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4"/>
          <w:szCs w:val="24"/>
          <w:color w:val="auto"/>
        </w:rPr>
        <w:drawing>
          <wp:anchor simplePos="0" relativeHeight="251657728" behindDoc="1" locked="0" layoutInCell="0" allowOverlap="1">
            <wp:simplePos x="0" y="0"/>
            <wp:positionH relativeFrom="page">
              <wp:posOffset>205105</wp:posOffset>
            </wp:positionH>
            <wp:positionV relativeFrom="page">
              <wp:posOffset>825500</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850265</wp:posOffset>
            </wp:positionV>
            <wp:extent cx="7138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8255"/>
                    </a:xfrm>
                    <a:prstGeom prst="rect">
                      <a:avLst/>
                    </a:prstGeom>
                    <a:noFill/>
                  </pic:spPr>
                </pic:pic>
              </a:graphicData>
            </a:graphic>
          </wp:anchor>
        </w:drawing>
        <w:t>SECURITIES AND EXCHANGE COMMISSION</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color w:val="auto"/>
        </w:rPr>
        <w:t>WASHINGTON, D.C. 20549</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color w:val="auto"/>
        </w:rPr>
        <w:t>FORM 10-Q</w:t>
      </w:r>
    </w:p>
    <w:p>
      <w:pPr>
        <w:spacing w:after="0" w:line="195" w:lineRule="exact"/>
        <w:rPr>
          <w:sz w:val="24"/>
          <w:szCs w:val="24"/>
          <w:color w:val="auto"/>
        </w:rPr>
      </w:pPr>
    </w:p>
    <w:p>
      <w:pPr>
        <w:ind w:right="480"/>
        <w:spacing w:after="0" w:line="287" w:lineRule="auto"/>
        <w:rPr>
          <w:sz w:val="20"/>
          <w:szCs w:val="20"/>
          <w:color w:val="auto"/>
        </w:rPr>
      </w:pPr>
      <w:r>
        <w:rPr>
          <w:rFonts w:ascii="Times New Roman" w:cs="Times New Roman" w:eastAsia="Times New Roman" w:hAnsi="Times New Roman"/>
          <w:sz w:val="17"/>
          <w:szCs w:val="17"/>
          <w:color w:val="auto"/>
        </w:rPr>
        <w:t xml:space="preserve">QUARTERLY REPORT PURSUANT TO SECTION 13 OR 15(d) OF THE SECURITIES EXCHANGE ACT OF 1934 FOR THE QUARTERLY PERIOD ENDED </w:t>
      </w:r>
      <w:r>
        <w:rPr>
          <w:rFonts w:ascii="Times New Roman" w:cs="Times New Roman" w:eastAsia="Times New Roman" w:hAnsi="Times New Roman"/>
          <w:sz w:val="17"/>
          <w:szCs w:val="17"/>
          <w:u w:val="single" w:color="auto"/>
          <w:color w:val="auto"/>
        </w:rPr>
        <w:t>September 30, 2026</w:t>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Commission file number  0-7818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1087120</wp:posOffset>
            </wp:positionH>
            <wp:positionV relativeFrom="paragraph">
              <wp:posOffset>-6350</wp:posOffset>
            </wp:positionV>
            <wp:extent cx="391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color w:val="auto"/>
        </w:rPr>
        <w:t>INDEPENDENT BANK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36830</wp:posOffset>
            </wp:positionV>
            <wp:extent cx="713867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282"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Michigan</w:t>
            </w:r>
          </w:p>
        </w:tc>
        <w:tc>
          <w:tcPr>
            <w:tcW w:w="80" w:type="dxa"/>
            <w:vAlign w:val="bottom"/>
          </w:tcPr>
          <w:p>
            <w:pPr>
              <w:spacing w:after="0"/>
              <w:rPr>
                <w:sz w:val="20"/>
                <w:szCs w:val="20"/>
                <w:color w:val="auto"/>
              </w:rPr>
            </w:pPr>
          </w:p>
        </w:tc>
        <w:tc>
          <w:tcPr>
            <w:tcW w:w="5580" w:type="dxa"/>
            <w:vAlign w:val="bottom"/>
            <w:tcBorders>
              <w:bottom w:val="single" w:sz="8" w:color="auto"/>
            </w:tcBorders>
          </w:tcPr>
          <w:p>
            <w:pPr>
              <w:jc w:val="right"/>
              <w:ind w:right="2294"/>
              <w:spacing w:after="0"/>
              <w:rPr>
                <w:sz w:val="20"/>
                <w:szCs w:val="20"/>
                <w:color w:val="auto"/>
              </w:rPr>
            </w:pPr>
            <w:r>
              <w:rPr>
                <w:rFonts w:ascii="Times New Roman" w:cs="Times New Roman" w:eastAsia="Times New Roman" w:hAnsi="Times New Roman"/>
                <w:sz w:val="17"/>
                <w:szCs w:val="17"/>
                <w:color w:val="auto"/>
              </w:rPr>
              <w:t>38-2032782</w:t>
            </w:r>
          </w:p>
        </w:tc>
      </w:tr>
      <w:tr>
        <w:trPr>
          <w:trHeight w:val="245"/>
        </w:trPr>
        <w:tc>
          <w:tcPr>
            <w:tcW w:w="56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(State or jurisdiction of Incorporation or Organization)</w:t>
            </w:r>
          </w:p>
        </w:tc>
        <w:tc>
          <w:tcPr>
            <w:tcW w:w="5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(I.R.S. Employer Identification Number)</w:t>
            </w:r>
          </w:p>
        </w:tc>
      </w:tr>
    </w:tbl>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98 Ottawa Ave NW, Grand Rapids, Michigan 49503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38670"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(616) 527-5820</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4200 East Beltline</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Grand Rapids, Michigan 49525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38670"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Former name, address and fiscal year, if changed since last report.</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4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2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120" w:type="dxa"/>
            <w:vAlign w:val="bottom"/>
          </w:tcPr>
          <w:p>
            <w:pPr>
              <w:spacing w:after="0"/>
              <w:rPr>
                <w:sz w:val="19"/>
                <w:szCs w:val="19"/>
                <w:color w:val="auto"/>
              </w:rPr>
            </w:pPr>
          </w:p>
        </w:tc>
      </w:tr>
      <w:tr>
        <w:trPr>
          <w:trHeight w:val="392"/>
        </w:trPr>
        <w:tc>
          <w:tcPr>
            <w:tcW w:w="4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Title of each Class</w:t>
            </w:r>
          </w:p>
        </w:tc>
        <w:tc>
          <w:tcPr>
            <w:tcW w:w="100" w:type="dxa"/>
            <w:vAlign w:val="bottom"/>
          </w:tcPr>
          <w:p>
            <w:pPr>
              <w:spacing w:after="0"/>
              <w:rPr>
                <w:sz w:val="24"/>
                <w:szCs w:val="24"/>
                <w:color w:val="auto"/>
              </w:rPr>
            </w:pPr>
          </w:p>
        </w:tc>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Trading Symbol</w:t>
            </w:r>
          </w:p>
        </w:tc>
        <w:tc>
          <w:tcPr>
            <w:tcW w:w="80" w:type="dxa"/>
            <w:vAlign w:val="bottom"/>
          </w:tcPr>
          <w:p>
            <w:pPr>
              <w:spacing w:after="0"/>
              <w:rPr>
                <w:sz w:val="24"/>
                <w:szCs w:val="24"/>
                <w:color w:val="auto"/>
              </w:rPr>
            </w:pPr>
          </w:p>
        </w:tc>
        <w:tc>
          <w:tcPr>
            <w:tcW w:w="4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Name of each exchange which registered</w:t>
            </w:r>
          </w:p>
        </w:tc>
      </w:tr>
      <w:tr>
        <w:trPr>
          <w:trHeight w:val="245"/>
        </w:trPr>
        <w:tc>
          <w:tcPr>
            <w:tcW w:w="41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Common stock, no par value</w:t>
            </w:r>
          </w:p>
        </w:tc>
        <w:tc>
          <w:tcPr>
            <w:tcW w:w="29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IBCP</w:t>
            </w:r>
          </w:p>
        </w:tc>
        <w:tc>
          <w:tcPr>
            <w:tcW w:w="4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The Nasdaq Stock Market, LLC</w:t>
            </w:r>
          </w:p>
        </w:tc>
      </w:tr>
    </w:tbl>
    <w:p>
      <w:pPr>
        <w:spacing w:after="0" w:line="254" w:lineRule="exact"/>
        <w:rPr>
          <w:sz w:val="24"/>
          <w:szCs w:val="24"/>
          <w:color w:val="auto"/>
        </w:rPr>
      </w:pPr>
    </w:p>
    <w:p>
      <w:pPr>
        <w:ind w:right="40"/>
        <w:spacing w:after="0" w:line="22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40" w:lineRule="exact"/>
        <w:rPr>
          <w:sz w:val="24"/>
          <w:szCs w:val="24"/>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67" w:lineRule="exact"/>
        <w:rPr>
          <w:sz w:val="24"/>
          <w:szCs w:val="24"/>
          <w:color w:val="auto"/>
        </w:rPr>
      </w:pPr>
    </w:p>
    <w:p>
      <w:pPr>
        <w:ind w:right="160"/>
        <w:spacing w:after="0" w:line="260"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w:t>
      </w:r>
    </w:p>
    <w:p>
      <w:pPr>
        <w:spacing w:after="0" w:line="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Accelerated filer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Non-accelerated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Smaller reporting company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Emerging growth company </w:t>
      </w:r>
      <w:r>
        <w:rPr>
          <w:rFonts w:ascii="MS PGothic" w:cs="MS PGothic" w:eastAsia="MS PGothic" w:hAnsi="MS PGothic"/>
          <w:sz w:val="17"/>
          <w:szCs w:val="17"/>
          <w:color w:val="auto"/>
        </w:rPr>
        <w:t>☐</w:t>
      </w:r>
    </w:p>
    <w:p>
      <w:pPr>
        <w:spacing w:after="0" w:line="17" w:lineRule="exact"/>
        <w:rPr>
          <w:sz w:val="24"/>
          <w:szCs w:val="24"/>
          <w:color w:val="auto"/>
        </w:rPr>
      </w:pPr>
    </w:p>
    <w:p>
      <w:pPr>
        <w:ind w:right="480"/>
        <w:spacing w:after="0" w:line="207"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Exchange Act).</w:t>
      </w:r>
    </w:p>
    <w:p>
      <w:pPr>
        <w:spacing w:after="0" w:line="1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p>
    <w:p>
      <w:pPr>
        <w:spacing w:after="0" w:line="12" w:lineRule="exact"/>
        <w:rPr>
          <w:sz w:val="24"/>
          <w:szCs w:val="24"/>
          <w:color w:val="auto"/>
        </w:rPr>
      </w:pPr>
    </w:p>
    <w:p>
      <w:pPr>
        <w:ind w:right="800"/>
        <w:spacing w:after="0" w:line="265" w:lineRule="auto"/>
        <w:rPr>
          <w:sz w:val="20"/>
          <w:szCs w:val="20"/>
          <w:color w:val="auto"/>
        </w:rPr>
      </w:pPr>
      <w:r>
        <w:rPr>
          <w:rFonts w:ascii="Times New Roman" w:cs="Times New Roman" w:eastAsia="Times New Roman" w:hAnsi="Times New Roman"/>
          <w:sz w:val="17"/>
          <w:szCs w:val="17"/>
          <w:color w:val="auto"/>
        </w:rPr>
        <w:t>Indicate the number of shares outstanding of each of the issuer's classes of common stock, as of the latest practicable date: common stock, no par value, 22,078,490 as of November 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800735</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167005</wp:posOffset>
            </wp:positionV>
            <wp:extent cx="71386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191770</wp:posOffset>
            </wp:positionV>
            <wp:extent cx="71386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1433"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color w:val="auto"/>
        </w:rPr>
        <w:t>INDEPENDENT BANK CORPORATION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INDEX</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w w:val="97"/>
              </w:rPr>
              <w:t>Number(s)</w:t>
            </w:r>
          </w:p>
        </w:tc>
      </w:tr>
      <w:tr>
        <w:trPr>
          <w:trHeight w:val="238"/>
        </w:trPr>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PART I -</w:t>
            </w:r>
          </w:p>
        </w:tc>
        <w:tc>
          <w:tcPr>
            <w:tcW w:w="9260" w:type="dxa"/>
            <w:vAlign w:val="bottom"/>
            <w:gridSpan w:val="17"/>
          </w:tcPr>
          <w:p>
            <w:pPr>
              <w:spacing w:after="0"/>
              <w:rPr>
                <w:sz w:val="20"/>
                <w:szCs w:val="20"/>
                <w:color w:val="auto"/>
              </w:rPr>
            </w:pPr>
            <w:r>
              <w:rPr>
                <w:rFonts w:ascii="Times New Roman" w:cs="Times New Roman" w:eastAsia="Times New Roman" w:hAnsi="Times New Roman"/>
                <w:sz w:val="17"/>
                <w:szCs w:val="17"/>
                <w:color w:val="auto"/>
              </w:rPr>
              <w:t>Financial Information</w:t>
            </w:r>
          </w:p>
        </w:tc>
        <w:tc>
          <w:tcPr>
            <w:tcW w:w="7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32"/>
        </w:trPr>
        <w:tc>
          <w:tcPr>
            <w:tcW w:w="10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06"/>
        </w:trPr>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Item 1.</w:t>
            </w:r>
          </w:p>
        </w:tc>
        <w:tc>
          <w:tcPr>
            <w:tcW w:w="926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7"/>
                <w:szCs w:val="17"/>
                <w:color w:val="0000FF"/>
              </w:rPr>
              <w:t>Condensed Consolidated Statements of Financial Condition September 30, 2026 and December 31, 2025</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w:t>
            </w:r>
          </w:p>
        </w:tc>
      </w:tr>
      <w:tr>
        <w:trPr>
          <w:trHeight w:val="44"/>
        </w:trPr>
        <w:tc>
          <w:tcPr>
            <w:tcW w:w="10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300" w:type="dxa"/>
            <w:vAlign w:val="bottom"/>
            <w:tcBorders>
              <w:top w:val="single" w:sz="8" w:color="0000FF"/>
            </w:tcBorders>
            <w:shd w:val="clear" w:color="auto" w:fill="CCEEFF"/>
          </w:tcPr>
          <w:p>
            <w:pPr>
              <w:spacing w:after="0"/>
              <w:rPr>
                <w:sz w:val="3"/>
                <w:szCs w:val="3"/>
                <w:color w:val="auto"/>
              </w:rPr>
            </w:pPr>
          </w:p>
        </w:tc>
        <w:tc>
          <w:tcPr>
            <w:tcW w:w="38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242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1780" w:type="dxa"/>
            <w:vAlign w:val="bottom"/>
            <w:tcBorders>
              <w:top w:val="single" w:sz="8" w:color="0000FF"/>
            </w:tcBorders>
            <w:shd w:val="clear" w:color="auto" w:fill="CCEEFF"/>
          </w:tcPr>
          <w:p>
            <w:pPr>
              <w:spacing w:after="0"/>
              <w:rPr>
                <w:sz w:val="3"/>
                <w:szCs w:val="3"/>
                <w:color w:val="auto"/>
              </w:rPr>
            </w:pPr>
          </w:p>
        </w:tc>
        <w:tc>
          <w:tcPr>
            <w:tcW w:w="1060" w:type="dxa"/>
            <w:vAlign w:val="bottom"/>
            <w:tcBorders>
              <w:top w:val="single" w:sz="8" w:color="0000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r>
      <w:tr>
        <w:trPr>
          <w:trHeight w:val="206"/>
        </w:trPr>
        <w:tc>
          <w:tcPr>
            <w:tcW w:w="1020" w:type="dxa"/>
            <w:vAlign w:val="bottom"/>
          </w:tcPr>
          <w:p>
            <w:pPr>
              <w:spacing w:after="0"/>
              <w:rPr>
                <w:sz w:val="17"/>
                <w:szCs w:val="17"/>
                <w:color w:val="auto"/>
              </w:rPr>
            </w:pPr>
          </w:p>
        </w:tc>
        <w:tc>
          <w:tcPr>
            <w:tcW w:w="9260" w:type="dxa"/>
            <w:vAlign w:val="bottom"/>
            <w:gridSpan w:val="17"/>
          </w:tcPr>
          <w:p>
            <w:pPr>
              <w:spacing w:after="0" w:line="186" w:lineRule="exact"/>
              <w:rPr>
                <w:sz w:val="20"/>
                <w:szCs w:val="20"/>
                <w:color w:val="auto"/>
              </w:rPr>
            </w:pPr>
            <w:r>
              <w:rPr>
                <w:rFonts w:ascii="Times New Roman" w:cs="Times New Roman" w:eastAsia="Times New Roman" w:hAnsi="Times New Roman"/>
                <w:sz w:val="17"/>
                <w:szCs w:val="17"/>
                <w:color w:val="0000FF"/>
              </w:rPr>
              <w:t>Condensed Consolidated Statements of Operations Three- and Nine-month periods ended September 30, 2026 and 2025</w:t>
            </w:r>
          </w:p>
        </w:tc>
        <w:tc>
          <w:tcPr>
            <w:tcW w:w="960" w:type="dxa"/>
            <w:vAlign w:val="bottom"/>
            <w:gridSpan w:val="2"/>
          </w:tcPr>
          <w:p>
            <w:pPr>
              <w:jc w:val="right"/>
              <w:ind w:right="20"/>
              <w:spacing w:after="0" w:line="186" w:lineRule="exact"/>
              <w:rPr>
                <w:sz w:val="20"/>
                <w:szCs w:val="20"/>
                <w:color w:val="auto"/>
              </w:rPr>
            </w:pPr>
            <w:r>
              <w:rPr>
                <w:rFonts w:ascii="Times New Roman" w:cs="Times New Roman" w:eastAsia="Times New Roman" w:hAnsi="Times New Roman"/>
                <w:sz w:val="17"/>
                <w:szCs w:val="17"/>
                <w:color w:val="auto"/>
              </w:rPr>
              <w:t>4</w:t>
            </w:r>
          </w:p>
        </w:tc>
      </w:tr>
      <w:tr>
        <w:trPr>
          <w:trHeight w:val="44"/>
        </w:trPr>
        <w:tc>
          <w:tcPr>
            <w:tcW w:w="1020" w:type="dxa"/>
            <w:vAlign w:val="bottom"/>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300" w:type="dxa"/>
            <w:vAlign w:val="bottom"/>
            <w:tcBorders>
              <w:top w:val="single" w:sz="8" w:color="0000FF"/>
            </w:tcBorders>
          </w:tcPr>
          <w:p>
            <w:pPr>
              <w:spacing w:after="0"/>
              <w:rPr>
                <w:sz w:val="3"/>
                <w:szCs w:val="3"/>
                <w:color w:val="auto"/>
              </w:rPr>
            </w:pPr>
          </w:p>
        </w:tc>
        <w:tc>
          <w:tcPr>
            <w:tcW w:w="38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24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1780" w:type="dxa"/>
            <w:vAlign w:val="bottom"/>
            <w:tcBorders>
              <w:top w:val="single" w:sz="8" w:color="0000FF"/>
            </w:tcBorders>
          </w:tcPr>
          <w:p>
            <w:pPr>
              <w:spacing w:after="0"/>
              <w:rPr>
                <w:sz w:val="3"/>
                <w:szCs w:val="3"/>
                <w:color w:val="auto"/>
              </w:rPr>
            </w:pPr>
          </w:p>
        </w:tc>
        <w:tc>
          <w:tcPr>
            <w:tcW w:w="106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740" w:type="dxa"/>
            <w:vAlign w:val="bottom"/>
            <w:tcBorders>
              <w:top w:val="single" w:sz="8" w:color="0000FF"/>
            </w:tcBorders>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06"/>
        </w:trPr>
        <w:tc>
          <w:tcPr>
            <w:tcW w:w="1020" w:type="dxa"/>
            <w:vAlign w:val="bottom"/>
            <w:shd w:val="clear" w:color="auto" w:fill="CCEEFF"/>
          </w:tcPr>
          <w:p>
            <w:pPr>
              <w:spacing w:after="0"/>
              <w:rPr>
                <w:sz w:val="17"/>
                <w:szCs w:val="17"/>
                <w:color w:val="auto"/>
              </w:rPr>
            </w:pPr>
          </w:p>
        </w:tc>
        <w:tc>
          <w:tcPr>
            <w:tcW w:w="926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7"/>
                <w:szCs w:val="17"/>
                <w:color w:val="0000FF"/>
              </w:rPr>
              <w:t>Condensed Consolidated Statements of Comprehensive Income Three- and Nine-month periods ended September 30, 2026 and</w:t>
            </w: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1"/>
        </w:trPr>
        <w:tc>
          <w:tcPr>
            <w:tcW w:w="10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0000FF"/>
              <w:bottom w:val="single" w:sz="8" w:color="CCEEFF"/>
            </w:tcBorders>
            <w:shd w:val="clear" w:color="auto" w:fill="CCEEFF"/>
          </w:tcPr>
          <w:p>
            <w:pPr>
              <w:spacing w:after="0"/>
              <w:rPr>
                <w:sz w:val="20"/>
                <w:szCs w:val="20"/>
                <w:color w:val="auto"/>
              </w:rPr>
            </w:pPr>
          </w:p>
        </w:tc>
        <w:tc>
          <w:tcPr>
            <w:tcW w:w="360" w:type="dxa"/>
            <w:vAlign w:val="bottom"/>
            <w:tcBorders>
              <w:top w:val="single" w:sz="8" w:color="0000FF"/>
              <w:bottom w:val="single" w:sz="8" w:color="0000FF"/>
            </w:tcBorders>
            <w:shd w:val="clear" w:color="auto" w:fill="CCEEFF"/>
          </w:tcPr>
          <w:p>
            <w:pPr>
              <w:jc w:val="right"/>
              <w:spacing w:after="0" w:line="173" w:lineRule="exact"/>
              <w:rPr>
                <w:sz w:val="20"/>
                <w:szCs w:val="20"/>
                <w:color w:val="auto"/>
              </w:rPr>
            </w:pPr>
            <w:r>
              <w:rPr>
                <w:rFonts w:ascii="Times New Roman" w:cs="Times New Roman" w:eastAsia="Times New Roman" w:hAnsi="Times New Roman"/>
                <w:sz w:val="17"/>
                <w:szCs w:val="17"/>
                <w:color w:val="0000FF"/>
                <w:w w:val="99"/>
              </w:rPr>
              <w:t>2025</w:t>
            </w:r>
          </w:p>
        </w:tc>
        <w:tc>
          <w:tcPr>
            <w:tcW w:w="60" w:type="dxa"/>
            <w:vAlign w:val="bottom"/>
            <w:tcBorders>
              <w:top w:val="single" w:sz="8" w:color="0000FF"/>
              <w:bottom w:val="single" w:sz="8" w:color="CCEEFF"/>
            </w:tcBorders>
            <w:shd w:val="clear" w:color="auto" w:fill="CCEEFF"/>
          </w:tcPr>
          <w:p>
            <w:pPr>
              <w:spacing w:after="0"/>
              <w:rPr>
                <w:sz w:val="20"/>
                <w:szCs w:val="20"/>
                <w:color w:val="auto"/>
              </w:rPr>
            </w:pPr>
          </w:p>
        </w:tc>
        <w:tc>
          <w:tcPr>
            <w:tcW w:w="300" w:type="dxa"/>
            <w:vAlign w:val="bottom"/>
            <w:tcBorders>
              <w:top w:val="single" w:sz="8" w:color="0000FF"/>
              <w:bottom w:val="single" w:sz="8" w:color="CCEEFF"/>
            </w:tcBorders>
            <w:shd w:val="clear" w:color="auto" w:fill="CCEEFF"/>
          </w:tcPr>
          <w:p>
            <w:pPr>
              <w:spacing w:after="0"/>
              <w:rPr>
                <w:sz w:val="20"/>
                <w:szCs w:val="20"/>
                <w:color w:val="auto"/>
              </w:rPr>
            </w:pPr>
          </w:p>
        </w:tc>
        <w:tc>
          <w:tcPr>
            <w:tcW w:w="380" w:type="dxa"/>
            <w:vAlign w:val="bottom"/>
            <w:tcBorders>
              <w:top w:val="single" w:sz="8" w:color="0000FF"/>
              <w:bottom w:val="single" w:sz="8" w:color="CCEEFF"/>
            </w:tcBorders>
            <w:shd w:val="clear" w:color="auto" w:fill="CCEEFF"/>
          </w:tcPr>
          <w:p>
            <w:pPr>
              <w:spacing w:after="0"/>
              <w:rPr>
                <w:sz w:val="20"/>
                <w:szCs w:val="20"/>
                <w:color w:val="auto"/>
              </w:rPr>
            </w:pPr>
          </w:p>
        </w:tc>
        <w:tc>
          <w:tcPr>
            <w:tcW w:w="260" w:type="dxa"/>
            <w:vAlign w:val="bottom"/>
            <w:tcBorders>
              <w:top w:val="single" w:sz="8" w:color="0000FF"/>
              <w:bottom w:val="single" w:sz="8" w:color="CCEEFF"/>
            </w:tcBorders>
            <w:shd w:val="clear" w:color="auto" w:fill="CCEEFF"/>
          </w:tcPr>
          <w:p>
            <w:pPr>
              <w:spacing w:after="0"/>
              <w:rPr>
                <w:sz w:val="20"/>
                <w:szCs w:val="20"/>
                <w:color w:val="auto"/>
              </w:rPr>
            </w:pPr>
          </w:p>
        </w:tc>
        <w:tc>
          <w:tcPr>
            <w:tcW w:w="180" w:type="dxa"/>
            <w:vAlign w:val="bottom"/>
            <w:tcBorders>
              <w:top w:val="single" w:sz="8" w:color="0000FF"/>
              <w:bottom w:val="single" w:sz="8" w:color="CCEEFF"/>
            </w:tcBorders>
            <w:shd w:val="clear" w:color="auto" w:fill="CCEEFF"/>
          </w:tcPr>
          <w:p>
            <w:pPr>
              <w:spacing w:after="0"/>
              <w:rPr>
                <w:sz w:val="20"/>
                <w:szCs w:val="20"/>
                <w:color w:val="auto"/>
              </w:rPr>
            </w:pPr>
          </w:p>
        </w:tc>
        <w:tc>
          <w:tcPr>
            <w:tcW w:w="2420" w:type="dxa"/>
            <w:vAlign w:val="bottom"/>
            <w:tcBorders>
              <w:top w:val="single" w:sz="8" w:color="0000FF"/>
              <w:bottom w:val="single" w:sz="8" w:color="CCEEFF"/>
            </w:tcBorders>
            <w:shd w:val="clear" w:color="auto" w:fill="CCEEFF"/>
          </w:tcPr>
          <w:p>
            <w:pPr>
              <w:spacing w:after="0"/>
              <w:rPr>
                <w:sz w:val="20"/>
                <w:szCs w:val="20"/>
                <w:color w:val="auto"/>
              </w:rPr>
            </w:pPr>
          </w:p>
        </w:tc>
        <w:tc>
          <w:tcPr>
            <w:tcW w:w="40" w:type="dxa"/>
            <w:vAlign w:val="bottom"/>
            <w:tcBorders>
              <w:top w:val="single" w:sz="8" w:color="0000FF"/>
              <w:bottom w:val="single" w:sz="8" w:color="CCEEFF"/>
            </w:tcBorders>
            <w:shd w:val="clear" w:color="auto" w:fill="CCEEFF"/>
          </w:tcPr>
          <w:p>
            <w:pPr>
              <w:spacing w:after="0"/>
              <w:rPr>
                <w:sz w:val="20"/>
                <w:szCs w:val="20"/>
                <w:color w:val="auto"/>
              </w:rPr>
            </w:pPr>
          </w:p>
        </w:tc>
        <w:tc>
          <w:tcPr>
            <w:tcW w:w="220" w:type="dxa"/>
            <w:vAlign w:val="bottom"/>
            <w:tcBorders>
              <w:top w:val="single" w:sz="8" w:color="0000FF"/>
              <w:bottom w:val="single" w:sz="8" w:color="CCEEFF"/>
            </w:tcBorders>
            <w:shd w:val="clear" w:color="auto" w:fill="CCEEFF"/>
          </w:tcPr>
          <w:p>
            <w:pPr>
              <w:spacing w:after="0"/>
              <w:rPr>
                <w:sz w:val="20"/>
                <w:szCs w:val="20"/>
                <w:color w:val="auto"/>
              </w:rPr>
            </w:pPr>
          </w:p>
        </w:tc>
        <w:tc>
          <w:tcPr>
            <w:tcW w:w="1780" w:type="dxa"/>
            <w:vAlign w:val="bottom"/>
            <w:tcBorders>
              <w:top w:val="single" w:sz="8" w:color="0000FF"/>
              <w:bottom w:val="single" w:sz="8" w:color="CCEEFF"/>
            </w:tcBorders>
            <w:shd w:val="clear" w:color="auto" w:fill="CCEEFF"/>
          </w:tcPr>
          <w:p>
            <w:pPr>
              <w:spacing w:after="0"/>
              <w:rPr>
                <w:sz w:val="20"/>
                <w:szCs w:val="20"/>
                <w:color w:val="auto"/>
              </w:rPr>
            </w:pPr>
          </w:p>
        </w:tc>
        <w:tc>
          <w:tcPr>
            <w:tcW w:w="1060" w:type="dxa"/>
            <w:vAlign w:val="bottom"/>
            <w:tcBorders>
              <w:top w:val="single" w:sz="8" w:color="0000FF"/>
              <w:bottom w:val="single" w:sz="8" w:color="CCEEFF"/>
            </w:tcBorders>
            <w:shd w:val="clear" w:color="auto" w:fill="CCEEFF"/>
          </w:tcPr>
          <w:p>
            <w:pPr>
              <w:spacing w:after="0"/>
              <w:rPr>
                <w:sz w:val="20"/>
                <w:szCs w:val="20"/>
                <w:color w:val="auto"/>
              </w:rPr>
            </w:pPr>
          </w:p>
        </w:tc>
        <w:tc>
          <w:tcPr>
            <w:tcW w:w="320" w:type="dxa"/>
            <w:vAlign w:val="bottom"/>
            <w:tcBorders>
              <w:top w:val="single" w:sz="8" w:color="0000FF"/>
              <w:bottom w:val="single" w:sz="8" w:color="CCEEFF"/>
            </w:tcBorders>
            <w:shd w:val="clear" w:color="auto" w:fill="CCEEFF"/>
          </w:tcPr>
          <w:p>
            <w:pPr>
              <w:spacing w:after="0"/>
              <w:rPr>
                <w:sz w:val="20"/>
                <w:szCs w:val="20"/>
                <w:color w:val="auto"/>
              </w:rPr>
            </w:pPr>
          </w:p>
        </w:tc>
        <w:tc>
          <w:tcPr>
            <w:tcW w:w="740" w:type="dxa"/>
            <w:vAlign w:val="bottom"/>
            <w:tcBorders>
              <w:top w:val="single" w:sz="8" w:color="0000FF"/>
              <w:bottom w:val="single" w:sz="8" w:color="CCEEFF"/>
            </w:tcBorders>
            <w:shd w:val="clear" w:color="auto" w:fill="CCEEFF"/>
          </w:tcPr>
          <w:p>
            <w:pPr>
              <w:spacing w:after="0"/>
              <w:rPr>
                <w:sz w:val="20"/>
                <w:szCs w:val="20"/>
                <w:color w:val="auto"/>
              </w:rPr>
            </w:pPr>
          </w:p>
        </w:tc>
        <w:tc>
          <w:tcPr>
            <w:tcW w:w="480" w:type="dxa"/>
            <w:vAlign w:val="bottom"/>
            <w:tcBorders>
              <w:top w:val="single" w:sz="8" w:color="0000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CCEEFF"/>
              <w:bottom w:val="single" w:sz="8" w:color="CCEEFF"/>
            </w:tcBorders>
            <w:gridSpan w:val="2"/>
            <w:shd w:val="clear" w:color="auto" w:fill="CCEEFF"/>
          </w:tcPr>
          <w:p>
            <w:pPr>
              <w:jc w:val="right"/>
              <w:ind w:right="20"/>
              <w:spacing w:after="0" w:line="173" w:lineRule="exact"/>
              <w:rPr>
                <w:sz w:val="20"/>
                <w:szCs w:val="20"/>
                <w:color w:val="auto"/>
              </w:rPr>
            </w:pPr>
            <w:r>
              <w:rPr>
                <w:rFonts w:ascii="Times New Roman" w:cs="Times New Roman" w:eastAsia="Times New Roman" w:hAnsi="Times New Roman"/>
                <w:sz w:val="17"/>
                <w:szCs w:val="17"/>
                <w:color w:val="auto"/>
              </w:rPr>
              <w:t>5</w:t>
            </w:r>
          </w:p>
        </w:tc>
      </w:tr>
      <w:tr>
        <w:trPr>
          <w:trHeight w:val="206"/>
        </w:trPr>
        <w:tc>
          <w:tcPr>
            <w:tcW w:w="1020" w:type="dxa"/>
            <w:vAlign w:val="bottom"/>
          </w:tcPr>
          <w:p>
            <w:pPr>
              <w:spacing w:after="0"/>
              <w:rPr>
                <w:sz w:val="17"/>
                <w:szCs w:val="17"/>
                <w:color w:val="auto"/>
              </w:rPr>
            </w:pPr>
          </w:p>
        </w:tc>
        <w:tc>
          <w:tcPr>
            <w:tcW w:w="926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Condensed Consolidated Statements of Cash Flows Nine-month periods ended September 30, 2026 and 2025</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w:t>
            </w:r>
          </w:p>
        </w:tc>
      </w:tr>
      <w:tr>
        <w:trPr>
          <w:trHeight w:val="44"/>
        </w:trPr>
        <w:tc>
          <w:tcPr>
            <w:tcW w:w="1020" w:type="dxa"/>
            <w:vAlign w:val="bottom"/>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300" w:type="dxa"/>
            <w:vAlign w:val="bottom"/>
            <w:tcBorders>
              <w:top w:val="single" w:sz="8" w:color="0000FF"/>
            </w:tcBorders>
          </w:tcPr>
          <w:p>
            <w:pPr>
              <w:spacing w:after="0"/>
              <w:rPr>
                <w:sz w:val="3"/>
                <w:szCs w:val="3"/>
                <w:color w:val="auto"/>
              </w:rPr>
            </w:pPr>
          </w:p>
        </w:tc>
        <w:tc>
          <w:tcPr>
            <w:tcW w:w="38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24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1780" w:type="dxa"/>
            <w:vAlign w:val="bottom"/>
            <w:tcBorders>
              <w:top w:val="single" w:sz="8" w:color="0000FF"/>
            </w:tcBorders>
          </w:tcPr>
          <w:p>
            <w:pPr>
              <w:spacing w:after="0"/>
              <w:rPr>
                <w:sz w:val="3"/>
                <w:szCs w:val="3"/>
                <w:color w:val="auto"/>
              </w:rPr>
            </w:pPr>
          </w:p>
        </w:tc>
        <w:tc>
          <w:tcPr>
            <w:tcW w:w="106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51"/>
        </w:trPr>
        <w:tc>
          <w:tcPr>
            <w:tcW w:w="1020" w:type="dxa"/>
            <w:vAlign w:val="bottom"/>
            <w:shd w:val="clear" w:color="auto" w:fill="CCEEFF"/>
          </w:tcPr>
          <w:p>
            <w:pPr>
              <w:spacing w:after="0"/>
              <w:rPr>
                <w:sz w:val="21"/>
                <w:szCs w:val="21"/>
                <w:color w:val="auto"/>
              </w:rPr>
            </w:pPr>
          </w:p>
        </w:tc>
        <w:tc>
          <w:tcPr>
            <w:tcW w:w="9260" w:type="dxa"/>
            <w:vAlign w:val="bottom"/>
            <w:gridSpan w:val="17"/>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0000FF"/>
              </w:rPr>
              <w:t>Condensed Consolidated Statements of Shareholders' Equity Three- and Nine-month periods ended September 30, 2026 and 2025</w:t>
            </w:r>
          </w:p>
        </w:tc>
        <w:tc>
          <w:tcPr>
            <w:tcW w:w="960" w:type="dxa"/>
            <w:vAlign w:val="bottom"/>
            <w:gridSpan w:val="2"/>
            <w:shd w:val="clear" w:color="auto" w:fill="CCEEFF"/>
          </w:tcPr>
          <w:p>
            <w:pPr>
              <w:jc w:val="right"/>
              <w:ind w:right="20"/>
              <w:spacing w:after="0" w:line="186" w:lineRule="exact"/>
              <w:rPr>
                <w:sz w:val="20"/>
                <w:szCs w:val="20"/>
                <w:color w:val="auto"/>
              </w:rPr>
            </w:pPr>
            <w:r>
              <w:rPr>
                <w:rFonts w:ascii="Times New Roman" w:cs="Times New Roman" w:eastAsia="Times New Roman" w:hAnsi="Times New Roman"/>
                <w:sz w:val="17"/>
                <w:szCs w:val="17"/>
                <w:color w:val="auto"/>
              </w:rPr>
              <w:t>7</w:t>
            </w:r>
          </w:p>
        </w:tc>
      </w:tr>
      <w:tr>
        <w:trPr>
          <w:trHeight w:val="206"/>
        </w:trPr>
        <w:tc>
          <w:tcPr>
            <w:tcW w:w="1020" w:type="dxa"/>
            <w:vAlign w:val="bottom"/>
            <w:tcBorders>
              <w:top w:val="single" w:sz="8" w:color="CCEEFF"/>
            </w:tcBorders>
          </w:tcPr>
          <w:p>
            <w:pPr>
              <w:spacing w:after="0"/>
              <w:rPr>
                <w:sz w:val="17"/>
                <w:szCs w:val="17"/>
                <w:color w:val="auto"/>
              </w:rPr>
            </w:pPr>
          </w:p>
        </w:tc>
        <w:tc>
          <w:tcPr>
            <w:tcW w:w="892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rPr>
              <w:t>Notes to Interim Condensed Consolidated Financial Statements</w:t>
            </w:r>
          </w:p>
        </w:tc>
        <w:tc>
          <w:tcPr>
            <w:tcW w:w="34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8-74</w:t>
            </w:r>
          </w:p>
        </w:tc>
      </w:tr>
      <w:tr>
        <w:trPr>
          <w:trHeight w:val="32"/>
        </w:trPr>
        <w:tc>
          <w:tcPr>
            <w:tcW w:w="102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4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38"/>
        </w:trPr>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Item 2.</w:t>
            </w:r>
          </w:p>
        </w:tc>
        <w:tc>
          <w:tcPr>
            <w:tcW w:w="926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75-93</w:t>
            </w:r>
          </w:p>
        </w:tc>
      </w:tr>
      <w:tr>
        <w:trPr>
          <w:trHeight w:val="206"/>
        </w:trPr>
        <w:tc>
          <w:tcPr>
            <w:tcW w:w="10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Item 3.</w:t>
            </w:r>
          </w:p>
        </w:tc>
        <w:tc>
          <w:tcPr>
            <w:tcW w:w="614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3120" w:type="dxa"/>
            <w:vAlign w:val="bottom"/>
            <w:tcBorders>
              <w:top w:val="single" w:sz="8" w:color="CCEEFF"/>
            </w:tcBorders>
            <w:gridSpan w:val="6"/>
          </w:tcPr>
          <w:p>
            <w:pPr>
              <w:spacing w:after="0"/>
              <w:rPr>
                <w:sz w:val="17"/>
                <w:szCs w:val="17"/>
                <w:color w:val="auto"/>
              </w:rPr>
            </w:pPr>
          </w:p>
        </w:tc>
        <w:tc>
          <w:tcPr>
            <w:tcW w:w="96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95</w:t>
            </w:r>
          </w:p>
        </w:tc>
      </w:tr>
      <w:tr>
        <w:trPr>
          <w:trHeight w:val="32"/>
        </w:trPr>
        <w:tc>
          <w:tcPr>
            <w:tcW w:w="102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42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38"/>
        </w:trPr>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Item 4.</w:t>
            </w:r>
          </w:p>
        </w:tc>
        <w:tc>
          <w:tcPr>
            <w:tcW w:w="926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95</w:t>
            </w:r>
          </w:p>
        </w:tc>
      </w:tr>
      <w:tr>
        <w:trPr>
          <w:trHeight w:val="258"/>
        </w:trPr>
        <w:tc>
          <w:tcPr>
            <w:tcW w:w="1020" w:type="dxa"/>
            <w:vAlign w:val="bottom"/>
            <w:tcBorders>
              <w:top w:val="single" w:sz="8" w:color="CCEE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36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24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1780" w:type="dxa"/>
            <w:vAlign w:val="bottom"/>
            <w:tcBorders>
              <w:top w:val="single" w:sz="8" w:color="CCEEFF"/>
            </w:tcBorders>
          </w:tcPr>
          <w:p>
            <w:pPr>
              <w:spacing w:after="0"/>
              <w:rPr>
                <w:sz w:val="22"/>
                <w:szCs w:val="22"/>
                <w:color w:val="auto"/>
              </w:rPr>
            </w:pPr>
          </w:p>
        </w:tc>
        <w:tc>
          <w:tcPr>
            <w:tcW w:w="1060" w:type="dxa"/>
            <w:vAlign w:val="bottom"/>
            <w:tcBorders>
              <w:top w:val="single" w:sz="8" w:color="CCEEFF"/>
            </w:tcBorders>
          </w:tcPr>
          <w:p>
            <w:pPr>
              <w:spacing w:after="0"/>
              <w:rPr>
                <w:sz w:val="22"/>
                <w:szCs w:val="22"/>
                <w:color w:val="auto"/>
              </w:rPr>
            </w:pPr>
          </w:p>
        </w:tc>
        <w:tc>
          <w:tcPr>
            <w:tcW w:w="320" w:type="dxa"/>
            <w:vAlign w:val="bottom"/>
            <w:tcBorders>
              <w:top w:val="single" w:sz="8" w:color="CCEEFF"/>
            </w:tcBorders>
          </w:tcPr>
          <w:p>
            <w:pPr>
              <w:spacing w:after="0"/>
              <w:rPr>
                <w:sz w:val="22"/>
                <w:szCs w:val="22"/>
                <w:color w:val="auto"/>
              </w:rPr>
            </w:pPr>
          </w:p>
        </w:tc>
        <w:tc>
          <w:tcPr>
            <w:tcW w:w="740" w:type="dxa"/>
            <w:vAlign w:val="bottom"/>
            <w:tcBorders>
              <w:top w:val="single" w:sz="8" w:color="CCEEFF"/>
            </w:tcBorders>
          </w:tcPr>
          <w:p>
            <w:pPr>
              <w:spacing w:after="0"/>
              <w:rPr>
                <w:sz w:val="22"/>
                <w:szCs w:val="22"/>
                <w:color w:val="auto"/>
              </w:rPr>
            </w:pPr>
          </w:p>
        </w:tc>
        <w:tc>
          <w:tcPr>
            <w:tcW w:w="480" w:type="dxa"/>
            <w:vAlign w:val="bottom"/>
            <w:tcBorders>
              <w:top w:val="single" w:sz="8" w:color="CCEEFF"/>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340" w:type="dxa"/>
            <w:vAlign w:val="bottom"/>
            <w:tcBorders>
              <w:top w:val="single" w:sz="8" w:color="CCEEFF"/>
            </w:tcBorders>
          </w:tcPr>
          <w:p>
            <w:pPr>
              <w:spacing w:after="0"/>
              <w:rPr>
                <w:sz w:val="22"/>
                <w:szCs w:val="22"/>
                <w:color w:val="auto"/>
              </w:rPr>
            </w:pPr>
          </w:p>
        </w:tc>
        <w:tc>
          <w:tcPr>
            <w:tcW w:w="74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r>
      <w:tr>
        <w:trPr>
          <w:trHeight w:val="238"/>
        </w:trPr>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PART II -</w:t>
            </w:r>
          </w:p>
        </w:tc>
        <w:tc>
          <w:tcPr>
            <w:tcW w:w="926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Information</w:t>
            </w:r>
          </w:p>
        </w:tc>
        <w:tc>
          <w:tcPr>
            <w:tcW w:w="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r>
      <w:tr>
        <w:trPr>
          <w:trHeight w:val="206"/>
        </w:trPr>
        <w:tc>
          <w:tcPr>
            <w:tcW w:w="10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Item 1A.</w:t>
            </w:r>
          </w:p>
        </w:tc>
        <w:tc>
          <w:tcPr>
            <w:tcW w:w="124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7"/>
                <w:szCs w:val="17"/>
                <w:color w:val="0000FF"/>
              </w:rPr>
              <w:t>Risk Factors</w:t>
            </w:r>
          </w:p>
        </w:tc>
        <w:tc>
          <w:tcPr>
            <w:tcW w:w="8020" w:type="dxa"/>
            <w:vAlign w:val="bottom"/>
            <w:tcBorders>
              <w:top w:val="single" w:sz="8" w:color="CCEEFF"/>
            </w:tcBorders>
            <w:gridSpan w:val="12"/>
          </w:tcPr>
          <w:p>
            <w:pPr>
              <w:spacing w:after="0"/>
              <w:rPr>
                <w:sz w:val="17"/>
                <w:szCs w:val="17"/>
                <w:color w:val="auto"/>
              </w:rPr>
            </w:pPr>
          </w:p>
        </w:tc>
        <w:tc>
          <w:tcPr>
            <w:tcW w:w="96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96</w:t>
            </w:r>
          </w:p>
        </w:tc>
      </w:tr>
      <w:tr>
        <w:trPr>
          <w:trHeight w:val="32"/>
        </w:trPr>
        <w:tc>
          <w:tcPr>
            <w:tcW w:w="102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38"/>
        </w:trPr>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Item 2.</w:t>
            </w:r>
          </w:p>
        </w:tc>
        <w:tc>
          <w:tcPr>
            <w:tcW w:w="926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96</w:t>
            </w:r>
          </w:p>
        </w:tc>
      </w:tr>
      <w:tr>
        <w:trPr>
          <w:trHeight w:val="206"/>
        </w:trPr>
        <w:tc>
          <w:tcPr>
            <w:tcW w:w="10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Item 5.</w:t>
            </w:r>
          </w:p>
        </w:tc>
        <w:tc>
          <w:tcPr>
            <w:tcW w:w="414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5120" w:type="dxa"/>
            <w:vAlign w:val="bottom"/>
            <w:tcBorders>
              <w:top w:val="single" w:sz="8" w:color="CCEEFF"/>
            </w:tcBorders>
            <w:gridSpan w:val="8"/>
          </w:tcPr>
          <w:p>
            <w:pPr>
              <w:spacing w:after="0"/>
              <w:rPr>
                <w:sz w:val="17"/>
                <w:szCs w:val="17"/>
                <w:color w:val="auto"/>
              </w:rPr>
            </w:pPr>
          </w:p>
        </w:tc>
        <w:tc>
          <w:tcPr>
            <w:tcW w:w="96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96</w:t>
            </w:r>
          </w:p>
        </w:tc>
      </w:tr>
      <w:tr>
        <w:trPr>
          <w:trHeight w:val="32"/>
        </w:trPr>
        <w:tc>
          <w:tcPr>
            <w:tcW w:w="102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38"/>
        </w:trPr>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Item 6.</w:t>
            </w:r>
          </w:p>
        </w:tc>
        <w:tc>
          <w:tcPr>
            <w:tcW w:w="926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7"/>
                <w:szCs w:val="17"/>
                <w:color w:val="0000FF"/>
              </w:rPr>
              <w:t>Exhibits</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97</w:t>
            </w:r>
          </w:p>
        </w:tc>
      </w:tr>
      <w:tr>
        <w:trPr>
          <w:trHeight w:val="851"/>
        </w:trPr>
        <w:tc>
          <w:tcPr>
            <w:tcW w:w="1020" w:type="dxa"/>
            <w:vAlign w:val="bottom"/>
            <w:tcBorders>
              <w:top w:val="single" w:sz="8" w:color="CCEEFF"/>
            </w:tcBorders>
          </w:tcPr>
          <w:p>
            <w:pPr>
              <w:spacing w:after="0"/>
              <w:rPr>
                <w:sz w:val="24"/>
                <w:szCs w:val="24"/>
                <w:color w:val="auto"/>
              </w:rPr>
            </w:pPr>
          </w:p>
        </w:tc>
        <w:tc>
          <w:tcPr>
            <w:tcW w:w="560" w:type="dxa"/>
            <w:vAlign w:val="bottom"/>
            <w:tcBorders>
              <w:top w:val="single" w:sz="8" w:color="0000FF"/>
            </w:tcBorders>
            <w:gridSpan w:val="3"/>
          </w:tcPr>
          <w:p>
            <w:pPr>
              <w:spacing w:after="0"/>
              <w:rPr>
                <w:sz w:val="24"/>
                <w:szCs w:val="24"/>
                <w:color w:val="auto"/>
              </w:rPr>
            </w:pPr>
          </w:p>
        </w:tc>
        <w:tc>
          <w:tcPr>
            <w:tcW w:w="5580" w:type="dxa"/>
            <w:vAlign w:val="bottom"/>
            <w:tcBorders>
              <w:top w:val="single" w:sz="8" w:color="CCEEFF"/>
            </w:tcBorders>
            <w:gridSpan w:val="8"/>
          </w:tcPr>
          <w:p>
            <w:pPr>
              <w:jc w:val="right"/>
              <w:ind w:right="1340"/>
              <w:spacing w:after="0"/>
              <w:rPr>
                <w:sz w:val="20"/>
                <w:szCs w:val="20"/>
                <w:color w:val="auto"/>
              </w:rPr>
            </w:pPr>
            <w:r>
              <w:rPr>
                <w:rFonts w:ascii="Times New Roman" w:cs="Times New Roman" w:eastAsia="Times New Roman" w:hAnsi="Times New Roman"/>
                <w:sz w:val="17"/>
                <w:szCs w:val="17"/>
                <w:color w:val="auto"/>
              </w:rPr>
              <w:t>1</w:t>
            </w:r>
          </w:p>
        </w:tc>
        <w:tc>
          <w:tcPr>
            <w:tcW w:w="106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r>
      <w:tr>
        <w:trPr>
          <w:trHeight w:val="108"/>
        </w:trPr>
        <w:tc>
          <w:tcPr>
            <w:tcW w:w="10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4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Statements in this report that are not statements of historical fact, including statements that include terms such as ‘‘will,’’ ‘‘may,’’ ‘‘should,’’ ‘‘believe,’’ ‘‘expect,’’ ‘‘forecast,’’ ‘‘anticipate,’’ ‘‘estimate,’’ ‘‘project,’’ ‘‘intend,’’ ‘‘likely,’’ ‘‘optimistic’’ and ‘‘plan’’ and statements about future or projected financial and operating results, plans, projections, objectives, expectations, and intentions, are forward-looking statements. Forward-looking statements include, but are not limited to, descriptions of plans and objectives for future operations, products or services; projections of our future revenue, earnings or other measures of economic performance; forecasts of credit losses and other asset quality trends; statements about our business and growth strategies; and expectations about economic and market conditions and trends. These forward-looking statements express our current expectations, forecasts of future events, or long-term goals. They are based on assumptions, estimates, and forecasts that, although believed to be reasonable, may turn out to be incorrect. Actual results could differ materially from those discussed in the forward-looking statements for a variety of reasons, including:</w:t>
      </w:r>
    </w:p>
    <w:p>
      <w:pPr>
        <w:spacing w:after="0" w:line="137" w:lineRule="exact"/>
        <w:rPr>
          <w:sz w:val="20"/>
          <w:szCs w:val="20"/>
          <w:color w:val="auto"/>
        </w:rPr>
      </w:pP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market, operational, liquidity, credit, and interest rate risks associated with our business;</w:t>
      </w:r>
    </w:p>
    <w:p>
      <w:pPr>
        <w:spacing w:after="0" w:line="27"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conditions generally and in the financial services industry, particularly economic conditions within Michigan and the regional and local real estate markets in which our bank operates;</w:t>
      </w: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of assumptions underlying the establishment of, and provisions made to, our allowance for credit losses;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our completed acquisition of HCB Financial Corp., which closed on July 1, 2026 during the quarterly period covered by this report;</w:t>
      </w:r>
    </w:p>
    <w:p>
      <w:pPr>
        <w:spacing w:after="0" w:line="10" w:lineRule="exact"/>
        <w:rPr>
          <w:rFonts w:ascii="Times New Roman" w:cs="Times New Roman" w:eastAsia="Times New Roman" w:hAnsi="Times New Roman"/>
          <w:sz w:val="17"/>
          <w:szCs w:val="17"/>
          <w:color w:val="auto"/>
        </w:rPr>
      </w:pPr>
    </w:p>
    <w:p>
      <w:pPr>
        <w:jc w:val="both"/>
        <w:ind w:left="620" w:hanging="307"/>
        <w:spacing w:after="0" w:line="253" w:lineRule="auto"/>
        <w:tabs>
          <w:tab w:leader="none" w:pos="61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the integration of HCB Financial Corp., including potential disruption to our business, diversion of management attention, retention of customers and employees, systems conversion, operational challenges, and the realization of anticipated benefits, cost savings, revenue opportunities, and other financial and strategic effects;</w:t>
      </w:r>
    </w:p>
    <w:p>
      <w:pPr>
        <w:ind w:left="620" w:hanging="307"/>
        <w:spacing w:after="0" w:line="253" w:lineRule="auto"/>
        <w:tabs>
          <w:tab w:leader="none" w:pos="61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credit, asset quality, liquidity, capital, compliance, and operational risks associated with the acquired business, including risks relating to acquired loans, deposits, customer relationships, and banking operations;</w:t>
      </w: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outcome of pending litigation;</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competition in the financial services industry, either nationally or regionally;</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achieve loan and deposit growth;</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volatility and direction of market interest rates;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continued services of our management team;</w:t>
      </w:r>
    </w:p>
    <w:p>
      <w:pPr>
        <w:spacing w:after="0" w:line="10"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or the implementation of, legislation, regulation, supervisory guidance, capital standards, accounting standards, governmental monetary or fiscal policies, any of which may have significant effects on us and the financial services industry; and</w:t>
      </w: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cybersecurity incidents, fraud, and other technology-related risks, including those involving the use of AI by third parties.</w:t>
      </w:r>
    </w:p>
    <w:p>
      <w:pPr>
        <w:spacing w:after="0" w:line="1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This list provides examples of factors that could affect the results described by forward-looking statements contained in this report, but the list is not intended to be all-inclusive. The risk factors disclosed in Part I – Item 1A of our Annual Report on Form 10-K for the year ended December 31, 2025, as updated by any new or modified risk factors disclosed in Part II – Item 1A of any subsequently filed Quarterly Report on Form 10-Q, include the known risks our management believes could materially affect the results described by forward-looking statements in this report. However, those risks may not be the only risks we face. Our results of operations, cash flows, financial position, and prospects could also be materially and adversely affected by additional factors that are not presently known to us that we currently consider to be immaterial, or that develop after the date of this report. We cannot assure you that our future results will meet expectations. While we believe the forward-looking statements in this report are reasonable, you should not place undue reliance on any forward-looking statement. In addition, these statements speak only as of the date made. We do not undertake, and expressly disclaim, any obligation to update or alter any statements, whether as a result of new information, future events, or otherwise, except as required by applicable law.</w:t>
      </w:r>
    </w:p>
    <w:p>
      <w:pPr>
        <w:spacing w:after="0" w:line="200" w:lineRule="exact"/>
        <w:rPr>
          <w:sz w:val="20"/>
          <w:szCs w:val="20"/>
          <w:color w:val="auto"/>
        </w:rPr>
      </w:pPr>
    </w:p>
    <w:p>
      <w:pPr>
        <w:spacing w:after="0" w:line="34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
        <w:spacing w:after="0"/>
        <w:tabs>
          <w:tab w:leader="none" w:pos="3300" w:val="left"/>
        </w:tabs>
        <w:rPr>
          <w:sz w:val="20"/>
          <w:szCs w:val="20"/>
          <w:color w:val="auto"/>
        </w:rPr>
      </w:pPr>
      <w:r>
        <w:rPr>
          <w:rFonts w:ascii="Times New Roman" w:cs="Times New Roman" w:eastAsia="Times New Roman" w:hAnsi="Times New Roman"/>
          <w:sz w:val="17"/>
          <w:szCs w:val="17"/>
          <w:color w:val="auto"/>
        </w:rPr>
        <w:t>Part I - Item 1.</w:t>
      </w:r>
      <w:r>
        <w:rPr>
          <w:sz w:val="20"/>
          <w:szCs w:val="20"/>
          <w:color w:val="auto"/>
        </w:rPr>
        <w:tab/>
      </w:r>
      <w:r>
        <w:rPr>
          <w:rFonts w:ascii="Times New Roman" w:cs="Times New Roman" w:eastAsia="Times New Roman" w:hAnsi="Times New Roman"/>
          <w:sz w:val="17"/>
          <w:szCs w:val="17"/>
          <w:color w:val="auto"/>
        </w:rPr>
        <w:t>INDEPENDENT BANK CORPORATION AND SUBSIDIARIES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Condensed Consolidated Statements of Financial Condition</w:t>
      </w:r>
    </w:p>
    <w:p>
      <w:pPr>
        <w:spacing w:after="0" w:line="34" w:lineRule="exact"/>
        <w:rPr>
          <w:sz w:val="20"/>
          <w:szCs w:val="20"/>
          <w:color w:val="auto"/>
        </w:rPr>
      </w:pPr>
    </w:p>
    <w:tbl>
      <w:tblPr>
        <w:tblLayout w:type="fixed"/>
        <w:tblInd w:w="8180" w:type="dxa"/>
        <w:tblCellMar>
          <w:top w:w="0" w:type="dxa"/>
          <w:left w:w="0" w:type="dxa"/>
          <w:bottom w:w="0" w:type="dxa"/>
          <w:right w:w="0" w:type="dxa"/>
        </w:tblCellMar>
      </w:tblPr>
      <w:tr>
        <w:trPr>
          <w:trHeight w:val="161"/>
        </w:trPr>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6"/>
              </w:rPr>
              <w:t>September 30,</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December 31,</w:t>
            </w:r>
          </w:p>
        </w:tc>
      </w:tr>
      <w:tr>
        <w:trPr>
          <w:trHeight w:val="186"/>
        </w:trPr>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2"/>
              </w:rPr>
              <w:t>2026</w:t>
            </w:r>
          </w:p>
        </w:tc>
        <w:tc>
          <w:tcPr>
            <w:tcW w:w="80" w:type="dxa"/>
            <w:vAlign w:val="bottom"/>
          </w:tcPr>
          <w:p>
            <w:pPr>
              <w:spacing w:after="0"/>
              <w:rPr>
                <w:sz w:val="16"/>
                <w:szCs w:val="16"/>
                <w:color w:val="auto"/>
              </w:rPr>
            </w:pPr>
          </w:p>
        </w:tc>
        <w:tc>
          <w:tcPr>
            <w:tcW w:w="14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color w:val="auto"/>
              </w:rPr>
              <w:t>2025</w:t>
            </w:r>
          </w:p>
        </w:tc>
      </w:tr>
      <w:tr>
        <w:trPr>
          <w:trHeight w:val="184"/>
        </w:trPr>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(Unaudited)</w:t>
            </w:r>
          </w:p>
        </w:tc>
        <w:tc>
          <w:tcPr>
            <w:tcW w:w="148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13970</wp:posOffset>
            </wp:positionV>
            <wp:extent cx="19399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39925" cy="8255"/>
                    </a:xfrm>
                    <a:prstGeom prst="rect">
                      <a:avLst/>
                    </a:prstGeom>
                    <a:noFill/>
                  </pic:spPr>
                </pic:pic>
              </a:graphicData>
            </a:graphic>
          </wp:anchor>
        </w:drawing>
      </w:r>
    </w:p>
    <w:p>
      <w:pPr>
        <w:spacing w:after="0" w:line="21"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4"/>
          <w:szCs w:val="14"/>
          <w:color w:val="auto"/>
        </w:rPr>
        <w:t>(In thousands, except share amounts)</w:t>
      </w:r>
    </w:p>
    <w:p>
      <w:pPr>
        <w:sectPr>
          <w:pgSz w:w="11900" w:h="16838" w:orient="portrait"/>
          <w:cols w:equalWidth="0" w:num="1">
            <w:col w:w="11240"/>
          </w:cols>
          <w:pgMar w:left="320" w:top="119" w:right="339" w:bottom="1440" w:gutter="0" w:footer="0" w:header="0"/>
        </w:sectPr>
      </w:pP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147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pacing w:after="0" w:line="51" w:lineRule="exact"/>
        <w:rPr>
          <w:sz w:val="20"/>
          <w:szCs w:val="20"/>
          <w:color w:val="auto"/>
        </w:rPr>
      </w:pPr>
    </w:p>
    <w:p>
      <w:pPr>
        <w:ind w:left="20"/>
        <w:spacing w:after="0"/>
        <w:tabs>
          <w:tab w:leader="none" w:pos="8180" w:val="left"/>
        </w:tabs>
        <w:rPr>
          <w:sz w:val="20"/>
          <w:szCs w:val="20"/>
          <w:color w:val="auto"/>
        </w:rPr>
      </w:pPr>
      <w:r>
        <w:rPr>
          <w:rFonts w:ascii="Times New Roman" w:cs="Times New Roman" w:eastAsia="Times New Roman" w:hAnsi="Times New Roman"/>
          <w:sz w:val="14"/>
          <w:szCs w:val="14"/>
          <w:color w:val="auto"/>
        </w:rPr>
        <w:t>Cash and due from banks</w:t>
      </w:r>
      <w:r>
        <w:rPr>
          <w:sz w:val="20"/>
          <w:szCs w:val="20"/>
          <w:color w:val="auto"/>
        </w:rPr>
        <w:tab/>
      </w:r>
      <w:r>
        <w:rPr>
          <w:rFonts w:ascii="Times New Roman" w:cs="Times New Roman" w:eastAsia="Times New Roman" w:hAnsi="Times New Roman"/>
          <w:sz w:val="14"/>
          <w:szCs w:val="14"/>
          <w:color w:val="auto"/>
        </w:rPr>
        <w:t>$</w:t>
      </w:r>
    </w:p>
    <w:p>
      <w:pPr>
        <w:spacing w:after="0" w:line="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Interest bearing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147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pacing w:after="0" w:line="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Cash and Cash Equivalents</w:t>
      </w:r>
    </w:p>
    <w:p>
      <w:pPr>
        <w:spacing w:after="0" w:line="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Interest bearing deposits -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147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Securities available for sale</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Securities held to maturity (fair value of $256,249 at September 30, 2026 and $282,830 at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38670" cy="147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Federal Home Loan Bank and Federal Reserve Bank stock, at cost</w:t>
      </w:r>
    </w:p>
    <w:p>
      <w:pPr>
        <w:spacing w:after="0" w:line="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Loans held for sale, carried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147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Loans</w:t>
      </w:r>
    </w:p>
    <w:p>
      <w:pPr>
        <w:spacing w:after="0" w:line="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Commercial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147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pacing w:after="0" w:line="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Mortgage</w:t>
      </w:r>
    </w:p>
    <w:p>
      <w:pPr>
        <w:spacing w:after="0" w:line="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Installment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147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pacing w:after="0" w:line="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Total Loans</w:t>
      </w:r>
    </w:p>
    <w:p>
      <w:pPr>
        <w:spacing w:after="0" w:line="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Allowance for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147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pacing w:after="0" w:line="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Net Loans</w:t>
      </w:r>
    </w:p>
    <w:p>
      <w:pPr>
        <w:spacing w:after="0" w:line="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real estate and repossessed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147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p>
      <w:pPr>
        <w:spacing w:after="0" w:line="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Bank-owned life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147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Capitalized mortgage loan servicing rights, carried at fair value</w:t>
      </w:r>
    </w:p>
    <w:p>
      <w:pPr>
        <w:spacing w:after="0" w:line="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intangibles,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147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Goodwill</w:t>
      </w:r>
    </w:p>
    <w:p>
      <w:pPr>
        <w:spacing w:after="0" w:line="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Accrued income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1555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8670" cy="155575"/>
                    </a:xfrm>
                    <a:prstGeom prst="rect">
                      <a:avLst/>
                    </a:prstGeom>
                    <a:noFill/>
                  </pic:spPr>
                </pic:pic>
              </a:graphicData>
            </a:graphic>
          </wp:anchor>
        </w:drawing>
      </w:r>
    </w:p>
    <w:p>
      <w:pPr>
        <w:spacing w:after="0" w:line="51" w:lineRule="exact"/>
        <w:rPr>
          <w:sz w:val="20"/>
          <w:szCs w:val="20"/>
          <w:color w:val="auto"/>
        </w:rPr>
      </w:pPr>
    </w:p>
    <w:p>
      <w:pPr>
        <w:ind w:left="540"/>
        <w:spacing w:after="0"/>
        <w:tabs>
          <w:tab w:leader="none" w:pos="8180" w:val="left"/>
        </w:tabs>
        <w:rPr>
          <w:sz w:val="20"/>
          <w:szCs w:val="20"/>
          <w:color w:val="auto"/>
        </w:rPr>
      </w:pPr>
      <w:r>
        <w:rPr>
          <w:rFonts w:ascii="Times New Roman" w:cs="Times New Roman" w:eastAsia="Times New Roman" w:hAnsi="Times New Roman"/>
          <w:sz w:val="14"/>
          <w:szCs w:val="14"/>
          <w:color w:val="auto"/>
        </w:rPr>
        <w:t>Total Assets</w:t>
      </w:r>
      <w:r>
        <w:rPr>
          <w:sz w:val="20"/>
          <w:szCs w:val="20"/>
          <w:color w:val="auto"/>
        </w:rPr>
        <w:tab/>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7138670" cy="147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Liabilities and Shareholders' Equity</w:t>
      </w:r>
    </w:p>
    <w:p>
      <w:pPr>
        <w:spacing w:after="0" w:line="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147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pacing w:after="0" w:line="51" w:lineRule="exact"/>
        <w:rPr>
          <w:sz w:val="20"/>
          <w:szCs w:val="20"/>
          <w:color w:val="auto"/>
        </w:rPr>
      </w:pPr>
    </w:p>
    <w:p>
      <w:pPr>
        <w:ind w:left="320"/>
        <w:spacing w:after="0"/>
        <w:tabs>
          <w:tab w:leader="none" w:pos="8180" w:val="left"/>
        </w:tabs>
        <w:rPr>
          <w:sz w:val="20"/>
          <w:szCs w:val="20"/>
          <w:color w:val="auto"/>
        </w:rPr>
      </w:pPr>
      <w:r>
        <w:rPr>
          <w:rFonts w:ascii="Times New Roman" w:cs="Times New Roman" w:eastAsia="Times New Roman" w:hAnsi="Times New Roman"/>
          <w:sz w:val="14"/>
          <w:szCs w:val="14"/>
          <w:color w:val="auto"/>
        </w:rPr>
        <w:t>Non-interest bearing</w:t>
      </w:r>
      <w:r>
        <w:rPr>
          <w:sz w:val="20"/>
          <w:szCs w:val="20"/>
          <w:color w:val="auto"/>
        </w:rPr>
        <w:tab/>
      </w:r>
      <w:r>
        <w:rPr>
          <w:rFonts w:ascii="Times New Roman" w:cs="Times New Roman" w:eastAsia="Times New Roman" w:hAnsi="Times New Roman"/>
          <w:sz w:val="14"/>
          <w:szCs w:val="14"/>
          <w:color w:val="auto"/>
        </w:rPr>
        <w:t>$</w:t>
      </w:r>
    </w:p>
    <w:p>
      <w:pPr>
        <w:spacing w:after="0" w:line="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Savings and interest-bearing checking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147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pacing w:after="0" w:line="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Reciprocal</w:t>
      </w:r>
    </w:p>
    <w:p>
      <w:pPr>
        <w:spacing w:after="0" w:line="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147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pacing w:after="0" w:line="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Brokered time</w:t>
      </w:r>
    </w:p>
    <w:p>
      <w:pPr>
        <w:spacing w:after="0" w:line="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Total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147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borrowings</w:t>
      </w:r>
    </w:p>
    <w:p>
      <w:pPr>
        <w:spacing w:after="0" w:line="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Subordinated debentures,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147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Accrued expenses and other liabilities</w:t>
      </w:r>
    </w:p>
    <w:p>
      <w:pPr>
        <w:spacing w:after="0" w:line="7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147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Commitments and contingent liabilities</w:t>
      </w:r>
    </w:p>
    <w:p>
      <w:pPr>
        <w:spacing w:after="0" w:line="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147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pacing w:after="0" w:line="5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Preferred stock, no par value, 200,000 shares authorized; none issued or outstanding</w:t>
      </w:r>
    </w:p>
    <w:p>
      <w:pPr>
        <w:spacing w:after="0" w:line="71" w:lineRule="exact"/>
        <w:rPr>
          <w:sz w:val="20"/>
          <w:szCs w:val="20"/>
          <w:color w:val="auto"/>
        </w:rPr>
      </w:pPr>
    </w:p>
    <w:p>
      <w:pPr>
        <w:ind w:left="320" w:right="280" w:hanging="154"/>
        <w:spacing w:after="0" w:line="256" w:lineRule="auto"/>
        <w:rPr>
          <w:sz w:val="20"/>
          <w:szCs w:val="20"/>
          <w:color w:val="auto"/>
        </w:rPr>
      </w:pPr>
      <w:r>
        <w:rPr>
          <w:rFonts w:ascii="Times New Roman" w:cs="Times New Roman" w:eastAsia="Times New Roman" w:hAnsi="Times New Roman"/>
          <w:sz w:val="14"/>
          <w:szCs w:val="14"/>
          <w:color w:val="auto"/>
        </w:rPr>
        <w:t>Common stock, no par value, 500,000,000 shares authorized; issued and outstanding: 22,081,450 shares at September 30, 2026 and 20,548,893 shares at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47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pacing w:after="0" w:line="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Retained earnings</w:t>
      </w:r>
    </w:p>
    <w:p>
      <w:pPr>
        <w:spacing w:after="0" w:line="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147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pacing w:after="0" w:line="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Total Shareholders’ Equity</w:t>
      </w:r>
    </w:p>
    <w:p>
      <w:pPr>
        <w:spacing w:after="0" w:line="71" w:lineRule="exact"/>
        <w:rPr>
          <w:sz w:val="20"/>
          <w:szCs w:val="20"/>
          <w:color w:val="auto"/>
        </w:rPr>
      </w:pPr>
    </w:p>
    <w:p>
      <w:pPr>
        <w:ind w:left="640"/>
        <w:spacing w:after="0"/>
        <w:tabs>
          <w:tab w:leader="none" w:pos="8180" w:val="left"/>
        </w:tabs>
        <w:rPr>
          <w:sz w:val="20"/>
          <w:szCs w:val="20"/>
          <w:color w:val="auto"/>
        </w:rPr>
      </w:pPr>
      <w:r>
        <w:rPr>
          <w:rFonts w:ascii="Times New Roman" w:cs="Times New Roman" w:eastAsia="Times New Roman" w:hAnsi="Times New Roman"/>
          <w:sz w:val="14"/>
          <w:szCs w:val="14"/>
          <w:color w:val="auto"/>
        </w:rPr>
        <w:t>Total Liabilities and Shareholders’ Equity</w:t>
      </w:r>
      <w:r>
        <w:rPr>
          <w:sz w:val="20"/>
          <w:szCs w:val="20"/>
          <w:color w:val="auto"/>
        </w:rPr>
        <w:tab/>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68,275</w:t>
            </w:r>
          </w:p>
        </w:tc>
        <w:tc>
          <w:tcPr>
            <w:tcW w:w="48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52,235</w:t>
            </w:r>
          </w:p>
        </w:tc>
        <w:tc>
          <w:tcPr>
            <w:tcW w:w="0" w:type="dxa"/>
            <w:vAlign w:val="bottom"/>
          </w:tcPr>
          <w:p>
            <w:pPr>
              <w:spacing w:after="0"/>
              <w:rPr>
                <w:sz w:val="1"/>
                <w:szCs w:val="1"/>
                <w:color w:val="auto"/>
              </w:rPr>
            </w:pPr>
          </w:p>
        </w:tc>
      </w:tr>
      <w:tr>
        <w:trPr>
          <w:trHeight w:val="232"/>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113,540</w:t>
            </w: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86,152</w:t>
            </w:r>
          </w:p>
        </w:tc>
        <w:tc>
          <w:tcPr>
            <w:tcW w:w="0" w:type="dxa"/>
            <w:vAlign w:val="bottom"/>
          </w:tcPr>
          <w:p>
            <w:pPr>
              <w:spacing w:after="0"/>
              <w:rPr>
                <w:sz w:val="1"/>
                <w:szCs w:val="1"/>
                <w:color w:val="auto"/>
              </w:rPr>
            </w:pPr>
          </w:p>
        </w:tc>
      </w:tr>
      <w:tr>
        <w:trPr>
          <w:trHeight w:val="22"/>
        </w:trPr>
        <w:tc>
          <w:tcPr>
            <w:tcW w:w="7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181,815</w:t>
            </w: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138,387</w:t>
            </w:r>
          </w:p>
        </w:tc>
        <w:tc>
          <w:tcPr>
            <w:tcW w:w="0" w:type="dxa"/>
            <w:vAlign w:val="bottom"/>
          </w:tcPr>
          <w:p>
            <w:pPr>
              <w:spacing w:after="0"/>
              <w:rPr>
                <w:sz w:val="1"/>
                <w:szCs w:val="1"/>
                <w:color w:val="auto"/>
              </w:rPr>
            </w:pPr>
          </w:p>
        </w:tc>
      </w:tr>
      <w:tr>
        <w:trPr>
          <w:trHeight w:val="232"/>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746</w:t>
            </w: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2"/>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519,616</w:t>
            </w: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495,909</w:t>
            </w:r>
          </w:p>
        </w:tc>
        <w:tc>
          <w:tcPr>
            <w:tcW w:w="0" w:type="dxa"/>
            <w:vAlign w:val="bottom"/>
          </w:tcPr>
          <w:p>
            <w:pPr>
              <w:spacing w:after="0"/>
              <w:rPr>
                <w:sz w:val="1"/>
                <w:szCs w:val="1"/>
                <w:color w:val="auto"/>
              </w:rPr>
            </w:pPr>
          </w:p>
        </w:tc>
      </w:tr>
      <w:tr>
        <w:trPr>
          <w:trHeight w:val="206"/>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292,884</w:t>
            </w: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309,523</w:t>
            </w:r>
          </w:p>
        </w:tc>
        <w:tc>
          <w:tcPr>
            <w:tcW w:w="0" w:type="dxa"/>
            <w:vAlign w:val="bottom"/>
          </w:tcPr>
          <w:p>
            <w:pPr>
              <w:spacing w:after="0"/>
              <w:rPr>
                <w:sz w:val="1"/>
                <w:szCs w:val="1"/>
                <w:color w:val="auto"/>
              </w:rPr>
            </w:pPr>
          </w:p>
        </w:tc>
      </w:tr>
      <w:tr>
        <w:trPr>
          <w:trHeight w:val="232"/>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20,452</w:t>
            </w: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18,102</w:t>
            </w:r>
          </w:p>
        </w:tc>
        <w:tc>
          <w:tcPr>
            <w:tcW w:w="0" w:type="dxa"/>
            <w:vAlign w:val="bottom"/>
          </w:tcPr>
          <w:p>
            <w:pPr>
              <w:spacing w:after="0"/>
              <w:rPr>
                <w:sz w:val="1"/>
                <w:szCs w:val="1"/>
                <w:color w:val="auto"/>
              </w:rPr>
            </w:pPr>
          </w:p>
        </w:tc>
      </w:tr>
      <w:tr>
        <w:trPr>
          <w:trHeight w:val="232"/>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12,836</w:t>
            </w: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9,031</w:t>
            </w:r>
          </w:p>
        </w:tc>
        <w:tc>
          <w:tcPr>
            <w:tcW w:w="0" w:type="dxa"/>
            <w:vAlign w:val="bottom"/>
          </w:tcPr>
          <w:p>
            <w:pPr>
              <w:spacing w:after="0"/>
              <w:rPr>
                <w:sz w:val="1"/>
                <w:szCs w:val="1"/>
                <w:color w:val="auto"/>
              </w:rPr>
            </w:pPr>
          </w:p>
        </w:tc>
      </w:tr>
      <w:tr>
        <w:trPr>
          <w:trHeight w:val="464"/>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96"/>
              </w:rPr>
              <w:t>2,763,222</w:t>
            </w:r>
          </w:p>
        </w:tc>
        <w:tc>
          <w:tcPr>
            <w:tcW w:w="4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2,213,557</w:t>
            </w:r>
          </w:p>
        </w:tc>
        <w:tc>
          <w:tcPr>
            <w:tcW w:w="0" w:type="dxa"/>
            <w:vAlign w:val="bottom"/>
          </w:tcPr>
          <w:p>
            <w:pPr>
              <w:spacing w:after="0"/>
              <w:rPr>
                <w:sz w:val="1"/>
                <w:szCs w:val="1"/>
                <w:color w:val="auto"/>
              </w:rPr>
            </w:pPr>
          </w:p>
        </w:tc>
      </w:tr>
      <w:tr>
        <w:trPr>
          <w:trHeight w:val="232"/>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96"/>
              </w:rPr>
              <w:t>1,612,243</w:t>
            </w: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1,524,821</w:t>
            </w:r>
          </w:p>
        </w:tc>
        <w:tc>
          <w:tcPr>
            <w:tcW w:w="0" w:type="dxa"/>
            <w:vAlign w:val="bottom"/>
          </w:tcPr>
          <w:p>
            <w:pPr>
              <w:spacing w:after="0"/>
              <w:rPr>
                <w:sz w:val="1"/>
                <w:szCs w:val="1"/>
                <w:color w:val="auto"/>
              </w:rPr>
            </w:pPr>
          </w:p>
        </w:tc>
      </w:tr>
      <w:tr>
        <w:trPr>
          <w:trHeight w:val="232"/>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521,684</w:t>
            </w: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537,907</w:t>
            </w:r>
          </w:p>
        </w:tc>
        <w:tc>
          <w:tcPr>
            <w:tcW w:w="0" w:type="dxa"/>
            <w:vAlign w:val="bottom"/>
          </w:tcPr>
          <w:p>
            <w:pPr>
              <w:spacing w:after="0"/>
              <w:rPr>
                <w:sz w:val="1"/>
                <w:szCs w:val="1"/>
                <w:color w:val="auto"/>
              </w:rPr>
            </w:pPr>
          </w:p>
        </w:tc>
      </w:tr>
      <w:tr>
        <w:trPr>
          <w:trHeight w:val="22"/>
        </w:trPr>
        <w:tc>
          <w:tcPr>
            <w:tcW w:w="7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96"/>
              </w:rPr>
              <w:t>4,897,149</w:t>
            </w: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4,276,285</w:t>
            </w:r>
          </w:p>
        </w:tc>
        <w:tc>
          <w:tcPr>
            <w:tcW w:w="0" w:type="dxa"/>
            <w:vAlign w:val="bottom"/>
          </w:tcPr>
          <w:p>
            <w:pPr>
              <w:spacing w:after="0"/>
              <w:rPr>
                <w:sz w:val="1"/>
                <w:szCs w:val="1"/>
                <w:color w:val="auto"/>
              </w:rPr>
            </w:pPr>
          </w:p>
        </w:tc>
      </w:tr>
      <w:tr>
        <w:trPr>
          <w:trHeight w:val="232"/>
        </w:trPr>
        <w:tc>
          <w:tcPr>
            <w:tcW w:w="7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(73,724)</w:t>
            </w: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(63,445)</w:t>
            </w:r>
          </w:p>
        </w:tc>
        <w:tc>
          <w:tcPr>
            <w:tcW w:w="0" w:type="dxa"/>
            <w:vAlign w:val="bottom"/>
          </w:tcPr>
          <w:p>
            <w:pPr>
              <w:spacing w:after="0"/>
              <w:rPr>
                <w:sz w:val="1"/>
                <w:szCs w:val="1"/>
                <w:color w:val="auto"/>
              </w:rPr>
            </w:pPr>
          </w:p>
        </w:tc>
      </w:tr>
      <w:tr>
        <w:trPr>
          <w:trHeight w:val="22"/>
        </w:trPr>
        <w:tc>
          <w:tcPr>
            <w:tcW w:w="7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96"/>
              </w:rPr>
              <w:t>4,823,425</w:t>
            </w: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4,212,840</w:t>
            </w:r>
          </w:p>
        </w:tc>
        <w:tc>
          <w:tcPr>
            <w:tcW w:w="0" w:type="dxa"/>
            <w:vAlign w:val="bottom"/>
          </w:tcPr>
          <w:p>
            <w:pPr>
              <w:spacing w:after="0"/>
              <w:rPr>
                <w:sz w:val="1"/>
                <w:szCs w:val="1"/>
                <w:color w:val="auto"/>
              </w:rPr>
            </w:pPr>
          </w:p>
        </w:tc>
      </w:tr>
      <w:tr>
        <w:trPr>
          <w:trHeight w:val="232"/>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759</w:t>
            </w: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0" w:type="dxa"/>
            <w:vAlign w:val="bottom"/>
          </w:tcPr>
          <w:p>
            <w:pPr>
              <w:spacing w:after="0"/>
              <w:rPr>
                <w:sz w:val="1"/>
                <w:szCs w:val="1"/>
                <w:color w:val="auto"/>
              </w:rPr>
            </w:pPr>
          </w:p>
        </w:tc>
      </w:tr>
      <w:tr>
        <w:trPr>
          <w:trHeight w:val="232"/>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57,235</w:t>
            </w: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38,972</w:t>
            </w:r>
          </w:p>
        </w:tc>
        <w:tc>
          <w:tcPr>
            <w:tcW w:w="0" w:type="dxa"/>
            <w:vAlign w:val="bottom"/>
          </w:tcPr>
          <w:p>
            <w:pPr>
              <w:spacing w:after="0"/>
              <w:rPr>
                <w:sz w:val="1"/>
                <w:szCs w:val="1"/>
                <w:color w:val="auto"/>
              </w:rPr>
            </w:pPr>
          </w:p>
        </w:tc>
      </w:tr>
      <w:tr>
        <w:trPr>
          <w:trHeight w:val="232"/>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63,424</w:t>
            </w: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53,750</w:t>
            </w:r>
          </w:p>
        </w:tc>
        <w:tc>
          <w:tcPr>
            <w:tcW w:w="0" w:type="dxa"/>
            <w:vAlign w:val="bottom"/>
          </w:tcPr>
          <w:p>
            <w:pPr>
              <w:spacing w:after="0"/>
              <w:rPr>
                <w:sz w:val="1"/>
                <w:szCs w:val="1"/>
                <w:color w:val="auto"/>
              </w:rPr>
            </w:pPr>
          </w:p>
        </w:tc>
      </w:tr>
      <w:tr>
        <w:trPr>
          <w:trHeight w:val="232"/>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37,839</w:t>
            </w: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31,493</w:t>
            </w:r>
          </w:p>
        </w:tc>
        <w:tc>
          <w:tcPr>
            <w:tcW w:w="0" w:type="dxa"/>
            <w:vAlign w:val="bottom"/>
          </w:tcPr>
          <w:p>
            <w:pPr>
              <w:spacing w:after="0"/>
              <w:rPr>
                <w:sz w:val="1"/>
                <w:szCs w:val="1"/>
                <w:color w:val="auto"/>
              </w:rPr>
            </w:pPr>
          </w:p>
        </w:tc>
      </w:tr>
      <w:tr>
        <w:trPr>
          <w:trHeight w:val="232"/>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17,045</w:t>
            </w: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1,001</w:t>
            </w:r>
          </w:p>
        </w:tc>
        <w:tc>
          <w:tcPr>
            <w:tcW w:w="0" w:type="dxa"/>
            <w:vAlign w:val="bottom"/>
          </w:tcPr>
          <w:p>
            <w:pPr>
              <w:spacing w:after="0"/>
              <w:rPr>
                <w:sz w:val="1"/>
                <w:szCs w:val="1"/>
                <w:color w:val="auto"/>
              </w:rPr>
            </w:pPr>
          </w:p>
        </w:tc>
      </w:tr>
      <w:tr>
        <w:trPr>
          <w:trHeight w:val="232"/>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50,219</w:t>
            </w: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28,300</w:t>
            </w:r>
          </w:p>
        </w:tc>
        <w:tc>
          <w:tcPr>
            <w:tcW w:w="0" w:type="dxa"/>
            <w:vAlign w:val="bottom"/>
          </w:tcPr>
          <w:p>
            <w:pPr>
              <w:spacing w:after="0"/>
              <w:rPr>
                <w:sz w:val="1"/>
                <w:szCs w:val="1"/>
                <w:color w:val="auto"/>
              </w:rPr>
            </w:pPr>
          </w:p>
        </w:tc>
      </w:tr>
      <w:tr>
        <w:trPr>
          <w:trHeight w:val="232"/>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185,337</w:t>
            </w: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167,516</w:t>
            </w:r>
          </w:p>
        </w:tc>
        <w:tc>
          <w:tcPr>
            <w:tcW w:w="0" w:type="dxa"/>
            <w:vAlign w:val="bottom"/>
          </w:tcPr>
          <w:p>
            <w:pPr>
              <w:spacing w:after="0"/>
              <w:rPr>
                <w:sz w:val="1"/>
                <w:szCs w:val="1"/>
                <w:color w:val="auto"/>
              </w:rPr>
            </w:pPr>
          </w:p>
        </w:tc>
      </w:tr>
      <w:tr>
        <w:trPr>
          <w:trHeight w:val="22"/>
        </w:trPr>
        <w:tc>
          <w:tcPr>
            <w:tcW w:w="70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w w:val="96"/>
              </w:rPr>
              <w:t>6,263,632</w:t>
            </w: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700" w:type="dxa"/>
            <w:vAlign w:val="bottom"/>
            <w:vMerge w:val="continue"/>
          </w:tcPr>
          <w:p>
            <w:pPr>
              <w:spacing w:after="0"/>
              <w:rPr>
                <w:sz w:val="15"/>
                <w:szCs w:val="15"/>
                <w:color w:val="auto"/>
              </w:rPr>
            </w:pPr>
          </w:p>
        </w:tc>
        <w:tc>
          <w:tcPr>
            <w:tcW w:w="48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5,505,720</w:t>
            </w:r>
          </w:p>
        </w:tc>
        <w:tc>
          <w:tcPr>
            <w:tcW w:w="0" w:type="dxa"/>
            <w:vAlign w:val="bottom"/>
          </w:tcPr>
          <w:p>
            <w:pPr>
              <w:spacing w:after="0"/>
              <w:rPr>
                <w:sz w:val="1"/>
                <w:szCs w:val="1"/>
                <w:color w:val="auto"/>
              </w:rPr>
            </w:pPr>
          </w:p>
        </w:tc>
      </w:tr>
      <w:tr>
        <w:trPr>
          <w:trHeight w:val="22"/>
        </w:trPr>
        <w:tc>
          <w:tcPr>
            <w:tcW w:w="7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7"/>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96"/>
              </w:rPr>
              <w:t>1,126,676</w:t>
            </w:r>
          </w:p>
        </w:tc>
        <w:tc>
          <w:tcPr>
            <w:tcW w:w="48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991,984</w:t>
            </w:r>
          </w:p>
        </w:tc>
        <w:tc>
          <w:tcPr>
            <w:tcW w:w="0" w:type="dxa"/>
            <w:vAlign w:val="bottom"/>
          </w:tcPr>
          <w:p>
            <w:pPr>
              <w:spacing w:after="0"/>
              <w:rPr>
                <w:sz w:val="1"/>
                <w:szCs w:val="1"/>
                <w:color w:val="auto"/>
              </w:rPr>
            </w:pPr>
          </w:p>
        </w:tc>
      </w:tr>
      <w:tr>
        <w:trPr>
          <w:trHeight w:val="232"/>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96"/>
              </w:rPr>
              <w:t>2,591,601</w:t>
            </w: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2,113,260</w:t>
            </w:r>
          </w:p>
        </w:tc>
        <w:tc>
          <w:tcPr>
            <w:tcW w:w="0" w:type="dxa"/>
            <w:vAlign w:val="bottom"/>
          </w:tcPr>
          <w:p>
            <w:pPr>
              <w:spacing w:after="0"/>
              <w:rPr>
                <w:sz w:val="1"/>
                <w:szCs w:val="1"/>
                <w:color w:val="auto"/>
              </w:rPr>
            </w:pPr>
          </w:p>
        </w:tc>
      </w:tr>
      <w:tr>
        <w:trPr>
          <w:trHeight w:val="232"/>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96"/>
              </w:rPr>
              <w:t>1,052,489</w:t>
            </w: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974,921</w:t>
            </w:r>
          </w:p>
        </w:tc>
        <w:tc>
          <w:tcPr>
            <w:tcW w:w="0" w:type="dxa"/>
            <w:vAlign w:val="bottom"/>
          </w:tcPr>
          <w:p>
            <w:pPr>
              <w:spacing w:after="0"/>
              <w:rPr>
                <w:sz w:val="1"/>
                <w:szCs w:val="1"/>
                <w:color w:val="auto"/>
              </w:rPr>
            </w:pPr>
          </w:p>
        </w:tc>
      </w:tr>
      <w:tr>
        <w:trPr>
          <w:trHeight w:val="232"/>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750,112</w:t>
            </w: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662,858</w:t>
            </w:r>
          </w:p>
        </w:tc>
        <w:tc>
          <w:tcPr>
            <w:tcW w:w="0" w:type="dxa"/>
            <w:vAlign w:val="bottom"/>
          </w:tcPr>
          <w:p>
            <w:pPr>
              <w:spacing w:after="0"/>
              <w:rPr>
                <w:sz w:val="1"/>
                <w:szCs w:val="1"/>
                <w:color w:val="auto"/>
              </w:rPr>
            </w:pPr>
          </w:p>
        </w:tc>
      </w:tr>
      <w:tr>
        <w:trPr>
          <w:trHeight w:val="232"/>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514</w:t>
            </w: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18,659</w:t>
            </w:r>
          </w:p>
        </w:tc>
        <w:tc>
          <w:tcPr>
            <w:tcW w:w="0" w:type="dxa"/>
            <w:vAlign w:val="bottom"/>
          </w:tcPr>
          <w:p>
            <w:pPr>
              <w:spacing w:after="0"/>
              <w:rPr>
                <w:sz w:val="1"/>
                <w:szCs w:val="1"/>
                <w:color w:val="auto"/>
              </w:rPr>
            </w:pPr>
          </w:p>
        </w:tc>
      </w:tr>
      <w:tr>
        <w:trPr>
          <w:trHeight w:val="22"/>
        </w:trPr>
        <w:tc>
          <w:tcPr>
            <w:tcW w:w="7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96"/>
              </w:rPr>
              <w:t>5,521,392</w:t>
            </w: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4,761,682</w:t>
            </w:r>
          </w:p>
        </w:tc>
        <w:tc>
          <w:tcPr>
            <w:tcW w:w="0" w:type="dxa"/>
            <w:vAlign w:val="bottom"/>
          </w:tcPr>
          <w:p>
            <w:pPr>
              <w:spacing w:after="0"/>
              <w:rPr>
                <w:sz w:val="1"/>
                <w:szCs w:val="1"/>
                <w:color w:val="auto"/>
              </w:rPr>
            </w:pPr>
          </w:p>
        </w:tc>
      </w:tr>
      <w:tr>
        <w:trPr>
          <w:trHeight w:val="232"/>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4,009</w:t>
            </w: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77,003</w:t>
            </w:r>
          </w:p>
        </w:tc>
        <w:tc>
          <w:tcPr>
            <w:tcW w:w="0" w:type="dxa"/>
            <w:vAlign w:val="bottom"/>
          </w:tcPr>
          <w:p>
            <w:pPr>
              <w:spacing w:after="0"/>
              <w:rPr>
                <w:sz w:val="1"/>
                <w:szCs w:val="1"/>
                <w:color w:val="auto"/>
              </w:rPr>
            </w:pPr>
          </w:p>
        </w:tc>
      </w:tr>
      <w:tr>
        <w:trPr>
          <w:trHeight w:val="232"/>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39,915</w:t>
            </w: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39,864</w:t>
            </w:r>
          </w:p>
        </w:tc>
        <w:tc>
          <w:tcPr>
            <w:tcW w:w="0" w:type="dxa"/>
            <w:vAlign w:val="bottom"/>
          </w:tcPr>
          <w:p>
            <w:pPr>
              <w:spacing w:after="0"/>
              <w:rPr>
                <w:sz w:val="1"/>
                <w:szCs w:val="1"/>
                <w:color w:val="auto"/>
              </w:rPr>
            </w:pPr>
          </w:p>
        </w:tc>
      </w:tr>
      <w:tr>
        <w:trPr>
          <w:trHeight w:val="232"/>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121,020</w:t>
            </w: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124,220</w:t>
            </w:r>
          </w:p>
        </w:tc>
        <w:tc>
          <w:tcPr>
            <w:tcW w:w="0" w:type="dxa"/>
            <w:vAlign w:val="bottom"/>
          </w:tcPr>
          <w:p>
            <w:pPr>
              <w:spacing w:after="0"/>
              <w:rPr>
                <w:sz w:val="1"/>
                <w:szCs w:val="1"/>
                <w:color w:val="auto"/>
              </w:rPr>
            </w:pPr>
          </w:p>
        </w:tc>
      </w:tr>
      <w:tr>
        <w:trPr>
          <w:trHeight w:val="22"/>
        </w:trPr>
        <w:tc>
          <w:tcPr>
            <w:tcW w:w="7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96"/>
              </w:rPr>
              <w:t>5,686,336</w:t>
            </w: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5,002,769</w:t>
            </w:r>
          </w:p>
        </w:tc>
        <w:tc>
          <w:tcPr>
            <w:tcW w:w="0" w:type="dxa"/>
            <w:vAlign w:val="bottom"/>
          </w:tcPr>
          <w:p>
            <w:pPr>
              <w:spacing w:after="0"/>
              <w:rPr>
                <w:sz w:val="1"/>
                <w:szCs w:val="1"/>
                <w:color w:val="auto"/>
              </w:rPr>
            </w:pPr>
          </w:p>
        </w:tc>
      </w:tr>
      <w:tr>
        <w:trPr>
          <w:trHeight w:val="22"/>
        </w:trPr>
        <w:tc>
          <w:tcPr>
            <w:tcW w:w="7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4"/>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00"/>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361,741</w:t>
            </w:r>
          </w:p>
        </w:tc>
        <w:tc>
          <w:tcPr>
            <w:tcW w:w="4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307,845</w:t>
            </w:r>
          </w:p>
        </w:tc>
        <w:tc>
          <w:tcPr>
            <w:tcW w:w="0" w:type="dxa"/>
            <w:vAlign w:val="bottom"/>
          </w:tcPr>
          <w:p>
            <w:pPr>
              <w:spacing w:after="0"/>
              <w:rPr>
                <w:sz w:val="1"/>
                <w:szCs w:val="1"/>
                <w:color w:val="auto"/>
              </w:rPr>
            </w:pPr>
          </w:p>
        </w:tc>
      </w:tr>
      <w:tr>
        <w:trPr>
          <w:trHeight w:val="232"/>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288,569</w:t>
            </w: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252,794</w:t>
            </w:r>
          </w:p>
        </w:tc>
        <w:tc>
          <w:tcPr>
            <w:tcW w:w="0" w:type="dxa"/>
            <w:vAlign w:val="bottom"/>
          </w:tcPr>
          <w:p>
            <w:pPr>
              <w:spacing w:after="0"/>
              <w:rPr>
                <w:sz w:val="1"/>
                <w:szCs w:val="1"/>
                <w:color w:val="auto"/>
              </w:rPr>
            </w:pPr>
          </w:p>
        </w:tc>
      </w:tr>
      <w:tr>
        <w:trPr>
          <w:trHeight w:val="232"/>
        </w:trPr>
        <w:tc>
          <w:tcPr>
            <w:tcW w:w="7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(73,014)</w:t>
            </w: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(57,688)</w:t>
            </w:r>
          </w:p>
        </w:tc>
        <w:tc>
          <w:tcPr>
            <w:tcW w:w="0" w:type="dxa"/>
            <w:vAlign w:val="bottom"/>
          </w:tcPr>
          <w:p>
            <w:pPr>
              <w:spacing w:after="0"/>
              <w:rPr>
                <w:sz w:val="1"/>
                <w:szCs w:val="1"/>
                <w:color w:val="auto"/>
              </w:rPr>
            </w:pPr>
          </w:p>
        </w:tc>
      </w:tr>
      <w:tr>
        <w:trPr>
          <w:trHeight w:val="22"/>
        </w:trPr>
        <w:tc>
          <w:tcPr>
            <w:tcW w:w="7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577,296</w:t>
            </w: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502,951</w:t>
            </w:r>
          </w:p>
        </w:tc>
        <w:tc>
          <w:tcPr>
            <w:tcW w:w="0" w:type="dxa"/>
            <w:vAlign w:val="bottom"/>
          </w:tcPr>
          <w:p>
            <w:pPr>
              <w:spacing w:after="0"/>
              <w:rPr>
                <w:sz w:val="1"/>
                <w:szCs w:val="1"/>
                <w:color w:val="auto"/>
              </w:rPr>
            </w:pPr>
          </w:p>
        </w:tc>
      </w:tr>
      <w:tr>
        <w:trPr>
          <w:trHeight w:val="22"/>
        </w:trPr>
        <w:tc>
          <w:tcPr>
            <w:tcW w:w="70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w w:val="96"/>
              </w:rPr>
              <w:t>6,263,632</w:t>
            </w: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700" w:type="dxa"/>
            <w:vAlign w:val="bottom"/>
            <w:vMerge w:val="continue"/>
          </w:tcPr>
          <w:p>
            <w:pPr>
              <w:spacing w:after="0"/>
              <w:rPr>
                <w:sz w:val="15"/>
                <w:szCs w:val="15"/>
                <w:color w:val="auto"/>
              </w:rPr>
            </w:pPr>
          </w:p>
        </w:tc>
        <w:tc>
          <w:tcPr>
            <w:tcW w:w="48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5,505,720</w:t>
            </w:r>
          </w:p>
        </w:tc>
        <w:tc>
          <w:tcPr>
            <w:tcW w:w="0" w:type="dxa"/>
            <w:vAlign w:val="bottom"/>
          </w:tcPr>
          <w:p>
            <w:pPr>
              <w:spacing w:after="0"/>
              <w:rPr>
                <w:sz w:val="1"/>
                <w:szCs w:val="1"/>
                <w:color w:val="auto"/>
              </w:rPr>
            </w:pPr>
          </w:p>
        </w:tc>
      </w:tr>
      <w:tr>
        <w:trPr>
          <w:trHeight w:val="22"/>
        </w:trPr>
        <w:tc>
          <w:tcPr>
            <w:tcW w:w="7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-552450</wp:posOffset>
            </wp:positionH>
            <wp:positionV relativeFrom="paragraph">
              <wp:posOffset>-32385</wp:posOffset>
            </wp:positionV>
            <wp:extent cx="9417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41705" cy="8255"/>
                    </a:xfrm>
                    <a:prstGeom prst="rect">
                      <a:avLst/>
                    </a:prstGeom>
                    <a:noFill/>
                  </pic:spPr>
                </pic:pic>
              </a:graphicData>
            </a:graphic>
          </wp:anchor>
        </w:drawing>
        <w:drawing>
          <wp:anchor simplePos="0" relativeHeight="251657728" behindDoc="1" locked="0" layoutInCell="0" allowOverlap="1">
            <wp:simplePos x="0" y="0"/>
            <wp:positionH relativeFrom="column">
              <wp:posOffset>-552450</wp:posOffset>
            </wp:positionH>
            <wp:positionV relativeFrom="paragraph">
              <wp:posOffset>-7620</wp:posOffset>
            </wp:positionV>
            <wp:extent cx="9417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41705" cy="8255"/>
                    </a:xfrm>
                    <a:prstGeom prst="rect">
                      <a:avLst/>
                    </a:prstGeom>
                    <a:noFill/>
                  </pic:spPr>
                </pic:pic>
              </a:graphicData>
            </a:graphic>
          </wp:anchor>
        </w:drawing>
        <w:drawing>
          <wp:anchor simplePos="0" relativeHeight="251657728" behindDoc="1" locked="0" layoutInCell="0" allowOverlap="1">
            <wp:simplePos x="0" y="0"/>
            <wp:positionH relativeFrom="column">
              <wp:posOffset>-552450</wp:posOffset>
            </wp:positionH>
            <wp:positionV relativeFrom="paragraph">
              <wp:posOffset>-171450</wp:posOffset>
            </wp:positionV>
            <wp:extent cx="9417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41705" cy="8255"/>
                    </a:xfrm>
                    <a:prstGeom prst="rect">
                      <a:avLst/>
                    </a:prstGeom>
                    <a:noFill/>
                  </pic:spPr>
                </pic:pic>
              </a:graphicData>
            </a:graphic>
          </wp:anchor>
        </w:drawing>
        <w:drawing>
          <wp:anchor simplePos="0" relativeHeight="251657728" behindDoc="1" locked="0" layoutInCell="0" allowOverlap="1">
            <wp:simplePos x="0" y="0"/>
            <wp:positionH relativeFrom="column">
              <wp:posOffset>-552450</wp:posOffset>
            </wp:positionH>
            <wp:positionV relativeFrom="paragraph">
              <wp:posOffset>-1456690</wp:posOffset>
            </wp:positionV>
            <wp:extent cx="9417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41705" cy="8255"/>
                    </a:xfrm>
                    <a:prstGeom prst="rect">
                      <a:avLst/>
                    </a:prstGeom>
                    <a:noFill/>
                  </pic:spPr>
                </pic:pic>
              </a:graphicData>
            </a:graphic>
          </wp:anchor>
        </w:drawing>
        <w:drawing>
          <wp:anchor simplePos="0" relativeHeight="251657728" behindDoc="1" locked="0" layoutInCell="0" allowOverlap="1">
            <wp:simplePos x="0" y="0"/>
            <wp:positionH relativeFrom="column">
              <wp:posOffset>-552450</wp:posOffset>
            </wp:positionH>
            <wp:positionV relativeFrom="paragraph">
              <wp:posOffset>-2045970</wp:posOffset>
            </wp:positionV>
            <wp:extent cx="9417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41705" cy="8255"/>
                    </a:xfrm>
                    <a:prstGeom prst="rect">
                      <a:avLst/>
                    </a:prstGeom>
                    <a:noFill/>
                  </pic:spPr>
                </pic:pic>
              </a:graphicData>
            </a:graphic>
          </wp:anchor>
        </w:drawing>
        <w:drawing>
          <wp:anchor simplePos="0" relativeHeight="251657728" behindDoc="1" locked="0" layoutInCell="0" allowOverlap="1">
            <wp:simplePos x="0" y="0"/>
            <wp:positionH relativeFrom="column">
              <wp:posOffset>-552450</wp:posOffset>
            </wp:positionH>
            <wp:positionV relativeFrom="paragraph">
              <wp:posOffset>-3232785</wp:posOffset>
            </wp:positionV>
            <wp:extent cx="9417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40" w:space="720"/>
            <w:col w:w="2180"/>
          </w:cols>
          <w:pgMar w:left="320" w:top="119"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notes to interim condensed consolidated financial statements (Unaudited)</w:t>
      </w:r>
    </w:p>
    <w:p>
      <w:pPr>
        <w:sectPr>
          <w:pgSz w:w="11900" w:h="16838" w:orient="portrait"/>
          <w:cols w:equalWidth="0" w:num="1">
            <w:col w:w="11240"/>
          </w:cols>
          <w:pgMar w:left="320" w:top="119" w:right="339" w:bottom="1440" w:gutter="0" w:footer="0" w:header="0"/>
          <w:type w:val="continuous"/>
        </w:sectPr>
      </w:pPr>
    </w:p>
    <w:p>
      <w:pPr>
        <w:spacing w:after="0" w:line="34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318" w:lineRule="exact"/>
        <w:rPr>
          <w:sz w:val="20"/>
          <w:szCs w:val="20"/>
          <w:color w:val="auto"/>
        </w:rPr>
      </w:pPr>
    </w:p>
    <w:tbl>
      <w:tblPr>
        <w:tblLayout w:type="fixed"/>
        <w:tblInd w:w="140" w:type="dxa"/>
        <w:tblCellMar>
          <w:top w:w="0" w:type="dxa"/>
          <w:left w:w="0" w:type="dxa"/>
          <w:bottom w:w="0" w:type="dxa"/>
          <w:right w:w="0" w:type="dxa"/>
        </w:tblCellMar>
      </w:tblPr>
      <w:tr>
        <w:trPr>
          <w:trHeight w:val="206"/>
        </w:trPr>
        <w:tc>
          <w:tcPr>
            <w:tcW w:w="8040" w:type="dxa"/>
            <w:vAlign w:val="bottom"/>
            <w:gridSpan w:val="11"/>
          </w:tcPr>
          <w:p>
            <w:pPr>
              <w:jc w:val="center"/>
              <w:ind w:left="2842"/>
              <w:spacing w:after="0"/>
              <w:rPr>
                <w:sz w:val="20"/>
                <w:szCs w:val="20"/>
                <w:color w:val="auto"/>
              </w:rPr>
            </w:pPr>
            <w:r>
              <w:rPr>
                <w:rFonts w:ascii="Times New Roman" w:cs="Times New Roman" w:eastAsia="Times New Roman" w:hAnsi="Times New Roman"/>
                <w:sz w:val="17"/>
                <w:szCs w:val="17"/>
                <w:color w:val="auto"/>
              </w:rPr>
              <w:t>INDEPENDENT BANK CORPORATION AND SUBSIDIARIES</w:t>
            </w: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84"/>
        </w:trPr>
        <w:tc>
          <w:tcPr>
            <w:tcW w:w="3740" w:type="dxa"/>
            <w:vAlign w:val="bottom"/>
          </w:tcPr>
          <w:p>
            <w:pPr>
              <w:spacing w:after="0"/>
              <w:rPr>
                <w:sz w:val="16"/>
                <w:szCs w:val="16"/>
                <w:color w:val="auto"/>
              </w:rPr>
            </w:pPr>
          </w:p>
        </w:tc>
        <w:tc>
          <w:tcPr>
            <w:tcW w:w="3500" w:type="dxa"/>
            <w:vAlign w:val="bottom"/>
            <w:tcBorders>
              <w:bottom w:val="single" w:sz="8" w:color="auto"/>
            </w:tcBorders>
            <w:gridSpan w:val="8"/>
          </w:tcPr>
          <w:p>
            <w:pPr>
              <w:jc w:val="center"/>
              <w:spacing w:after="0" w:line="184" w:lineRule="exact"/>
              <w:rPr>
                <w:sz w:val="20"/>
                <w:szCs w:val="20"/>
                <w:color w:val="auto"/>
              </w:rPr>
            </w:pPr>
            <w:r>
              <w:rPr>
                <w:rFonts w:ascii="Times New Roman" w:cs="Times New Roman" w:eastAsia="Times New Roman" w:hAnsi="Times New Roman"/>
                <w:sz w:val="17"/>
                <w:szCs w:val="17"/>
                <w:color w:val="auto"/>
              </w:rPr>
              <w:t>Condensed Consolidated Statements of Operations</w:t>
            </w: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393"/>
        </w:trPr>
        <w:tc>
          <w:tcPr>
            <w:tcW w:w="3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5"/>
          </w:tcPr>
          <w:p>
            <w:pPr>
              <w:jc w:val="center"/>
              <w:ind w:right="280"/>
              <w:spacing w:after="0"/>
              <w:rPr>
                <w:sz w:val="20"/>
                <w:szCs w:val="20"/>
                <w:color w:val="auto"/>
              </w:rPr>
            </w:pPr>
            <w:r>
              <w:rPr>
                <w:rFonts w:ascii="Times New Roman" w:cs="Times New Roman" w:eastAsia="Times New Roman" w:hAnsi="Times New Roman"/>
                <w:sz w:val="15"/>
                <w:szCs w:val="15"/>
                <w:color w:val="auto"/>
              </w:rPr>
              <w:t>Three months ended</w:t>
            </w:r>
          </w:p>
        </w:tc>
        <w:tc>
          <w:tcPr>
            <w:tcW w:w="1960" w:type="dxa"/>
            <w:vAlign w:val="bottom"/>
            <w:gridSpan w:val="5"/>
          </w:tcPr>
          <w:p>
            <w:pPr>
              <w:ind w:left="20"/>
              <w:spacing w:after="0"/>
              <w:rPr>
                <w:sz w:val="20"/>
                <w:szCs w:val="20"/>
                <w:color w:val="auto"/>
              </w:rPr>
            </w:pPr>
            <w:r>
              <w:rPr>
                <w:rFonts w:ascii="Times New Roman" w:cs="Times New Roman" w:eastAsia="Times New Roman" w:hAnsi="Times New Roman"/>
                <w:sz w:val="15"/>
                <w:szCs w:val="15"/>
                <w:color w:val="auto"/>
              </w:rPr>
              <w:t>Nine months ended September</w:t>
            </w:r>
          </w:p>
        </w:tc>
      </w:tr>
      <w:tr>
        <w:trPr>
          <w:trHeight w:val="200"/>
        </w:trPr>
        <w:tc>
          <w:tcPr>
            <w:tcW w:w="3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gridSpan w:val="5"/>
          </w:tcPr>
          <w:p>
            <w:pPr>
              <w:jc w:val="center"/>
              <w:ind w:right="280"/>
              <w:spacing w:after="0"/>
              <w:rPr>
                <w:sz w:val="20"/>
                <w:szCs w:val="20"/>
                <w:color w:val="auto"/>
              </w:rPr>
            </w:pPr>
            <w:r>
              <w:rPr>
                <w:rFonts w:ascii="Times New Roman" w:cs="Times New Roman" w:eastAsia="Times New Roman" w:hAnsi="Times New Roman"/>
                <w:sz w:val="15"/>
                <w:szCs w:val="15"/>
                <w:color w:val="auto"/>
              </w:rPr>
              <w:t>September 30,</w:t>
            </w:r>
          </w:p>
        </w:tc>
        <w:tc>
          <w:tcPr>
            <w:tcW w:w="240" w:type="dxa"/>
            <w:vAlign w:val="bottom"/>
          </w:tcPr>
          <w:p>
            <w:pPr>
              <w:spacing w:after="0"/>
              <w:rPr>
                <w:sz w:val="17"/>
                <w:szCs w:val="17"/>
                <w:color w:val="auto"/>
              </w:rPr>
            </w:pPr>
          </w:p>
        </w:tc>
        <w:tc>
          <w:tcPr>
            <w:tcW w:w="1120" w:type="dxa"/>
            <w:vAlign w:val="bottom"/>
            <w:gridSpan w:val="3"/>
          </w:tcPr>
          <w:p>
            <w:pPr>
              <w:jc w:val="right"/>
              <w:ind w:right="203"/>
              <w:spacing w:after="0"/>
              <w:rPr>
                <w:sz w:val="20"/>
                <w:szCs w:val="20"/>
                <w:color w:val="auto"/>
              </w:rPr>
            </w:pPr>
            <w:r>
              <w:rPr>
                <w:rFonts w:ascii="Times New Roman" w:cs="Times New Roman" w:eastAsia="Times New Roman" w:hAnsi="Times New Roman"/>
                <w:sz w:val="15"/>
                <w:szCs w:val="15"/>
                <w:color w:val="auto"/>
              </w:rPr>
              <w:t>30,</w:t>
            </w:r>
          </w:p>
        </w:tc>
        <w:tc>
          <w:tcPr>
            <w:tcW w:w="600" w:type="dxa"/>
            <w:vAlign w:val="bottom"/>
          </w:tcPr>
          <w:p>
            <w:pPr>
              <w:spacing w:after="0"/>
              <w:rPr>
                <w:sz w:val="17"/>
                <w:szCs w:val="17"/>
                <w:color w:val="auto"/>
              </w:rPr>
            </w:pPr>
          </w:p>
        </w:tc>
      </w:tr>
      <w:tr>
        <w:trPr>
          <w:trHeight w:val="222"/>
        </w:trPr>
        <w:tc>
          <w:tcPr>
            <w:tcW w:w="37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5"/>
                <w:szCs w:val="15"/>
                <w:color w:val="auto"/>
              </w:rPr>
              <w:t>2026</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color w:val="auto"/>
              </w:rPr>
              <w:t>2025</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5"/>
                <w:szCs w:val="15"/>
                <w:color w:val="auto"/>
              </w:rPr>
              <w:t>2026</w:t>
            </w:r>
          </w:p>
        </w:tc>
        <w:tc>
          <w:tcPr>
            <w:tcW w:w="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5"/>
                <w:szCs w:val="15"/>
                <w:color w:val="auto"/>
                <w:w w:val="93"/>
              </w:rPr>
              <w:t>2025</w:t>
            </w:r>
          </w:p>
        </w:tc>
      </w:tr>
      <w:tr>
        <w:trPr>
          <w:trHeight w:val="212"/>
        </w:trPr>
        <w:tc>
          <w:tcPr>
            <w:tcW w:w="3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5"/>
                <w:szCs w:val="15"/>
                <w:color w:val="auto"/>
              </w:rPr>
              <w:t>(Unaudited)</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5"/>
                <w:szCs w:val="15"/>
                <w:color w:val="auto"/>
              </w:rPr>
              <w:t>(Unaudited)</w:t>
            </w:r>
          </w:p>
        </w:tc>
        <w:tc>
          <w:tcPr>
            <w:tcW w:w="600" w:type="dxa"/>
            <w:vAlign w:val="bottom"/>
            <w:tcBorders>
              <w:bottom w:val="single" w:sz="8" w:color="auto"/>
            </w:tcBorders>
          </w:tcPr>
          <w:p>
            <w:pPr>
              <w:spacing w:after="0"/>
              <w:rPr>
                <w:sz w:val="18"/>
                <w:szCs w:val="18"/>
                <w:color w:val="auto"/>
              </w:rPr>
            </w:pPr>
          </w:p>
        </w:tc>
      </w:tr>
      <w:tr>
        <w:trPr>
          <w:trHeight w:val="209"/>
        </w:trPr>
        <w:tc>
          <w:tcPr>
            <w:tcW w:w="3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80" w:type="dxa"/>
            <w:vAlign w:val="bottom"/>
            <w:gridSpan w:val="9"/>
          </w:tcPr>
          <w:p>
            <w:pPr>
              <w:jc w:val="right"/>
              <w:ind w:right="43"/>
              <w:spacing w:after="0"/>
              <w:rPr>
                <w:sz w:val="20"/>
                <w:szCs w:val="20"/>
                <w:color w:val="auto"/>
              </w:rPr>
            </w:pPr>
            <w:r>
              <w:rPr>
                <w:rFonts w:ascii="Times New Roman" w:cs="Times New Roman" w:eastAsia="Times New Roman" w:hAnsi="Times New Roman"/>
                <w:sz w:val="15"/>
                <w:szCs w:val="15"/>
                <w:color w:val="auto"/>
              </w:rPr>
              <w:t>(In thousands, except per share amounts)</w:t>
            </w:r>
          </w:p>
        </w:tc>
        <w:tc>
          <w:tcPr>
            <w:tcW w:w="600" w:type="dxa"/>
            <w:vAlign w:val="bottom"/>
          </w:tcPr>
          <w:p>
            <w:pPr>
              <w:spacing w:after="0"/>
              <w:rPr>
                <w:sz w:val="18"/>
                <w:szCs w:val="18"/>
                <w:color w:val="auto"/>
              </w:rPr>
            </w:pPr>
          </w:p>
        </w:tc>
      </w:tr>
      <w:tr>
        <w:trPr>
          <w:trHeight w:val="222"/>
        </w:trPr>
        <w:tc>
          <w:tcPr>
            <w:tcW w:w="3740" w:type="dxa"/>
            <w:vAlign w:val="bottom"/>
          </w:tcPr>
          <w:p>
            <w:pPr>
              <w:spacing w:after="0"/>
              <w:rPr>
                <w:sz w:val="20"/>
                <w:szCs w:val="20"/>
                <w:color w:val="auto"/>
              </w:rPr>
            </w:pPr>
            <w:r>
              <w:rPr>
                <w:rFonts w:ascii="Times New Roman" w:cs="Times New Roman" w:eastAsia="Times New Roman" w:hAnsi="Times New Roman"/>
                <w:sz w:val="15"/>
                <w:szCs w:val="15"/>
                <w:color w:val="auto"/>
              </w:rPr>
              <w:t>Interest Income</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2"/>
        </w:trPr>
        <w:tc>
          <w:tcPr>
            <w:tcW w:w="3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Interest and fees on loans</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68,998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61,325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188,890</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178,628</w:t>
            </w:r>
          </w:p>
        </w:tc>
      </w:tr>
      <w:tr>
        <w:trPr>
          <w:trHeight w:val="216"/>
        </w:trPr>
        <w:tc>
          <w:tcPr>
            <w:tcW w:w="374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Interest on securities</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22"/>
        </w:trPr>
        <w:tc>
          <w:tcPr>
            <w:tcW w:w="37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5"/>
                <w:szCs w:val="15"/>
                <w:color w:val="auto"/>
              </w:rPr>
              <w:t>Taxable</w:t>
            </w: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3,902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3,660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10,556</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11,492</w:t>
            </w:r>
          </w:p>
        </w:tc>
      </w:tr>
      <w:tr>
        <w:trPr>
          <w:trHeight w:val="216"/>
        </w:trPr>
        <w:tc>
          <w:tcPr>
            <w:tcW w:w="3740" w:type="dxa"/>
            <w:vAlign w:val="bottom"/>
          </w:tcPr>
          <w:p>
            <w:pPr>
              <w:ind w:left="520"/>
              <w:spacing w:after="0"/>
              <w:rPr>
                <w:sz w:val="20"/>
                <w:szCs w:val="20"/>
                <w:color w:val="auto"/>
              </w:rPr>
            </w:pPr>
            <w:r>
              <w:rPr>
                <w:rFonts w:ascii="Times New Roman" w:cs="Times New Roman" w:eastAsia="Times New Roman" w:hAnsi="Times New Roman"/>
                <w:sz w:val="15"/>
                <w:szCs w:val="15"/>
                <w:color w:val="auto"/>
              </w:rPr>
              <w:t>Tax-exempt</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2,755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2,767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7,802</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8,310</w:t>
            </w:r>
          </w:p>
        </w:tc>
      </w:tr>
      <w:tr>
        <w:trPr>
          <w:trHeight w:val="219"/>
        </w:trPr>
        <w:tc>
          <w:tcPr>
            <w:tcW w:w="3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Other investments</w:t>
            </w:r>
          </w:p>
        </w:tc>
        <w:tc>
          <w:tcPr>
            <w:tcW w:w="12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1,538</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3,530</w:t>
            </w:r>
          </w:p>
        </w:tc>
        <w:tc>
          <w:tcPr>
            <w:tcW w:w="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3,882</w:t>
            </w:r>
          </w:p>
        </w:tc>
      </w:tr>
      <w:tr>
        <w:trPr>
          <w:trHeight w:val="212"/>
        </w:trPr>
        <w:tc>
          <w:tcPr>
            <w:tcW w:w="37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5"/>
                <w:szCs w:val="15"/>
                <w:color w:val="auto"/>
              </w:rPr>
              <w:t>Total Interest Income</w:t>
            </w:r>
          </w:p>
        </w:tc>
        <w:tc>
          <w:tcPr>
            <w:tcW w:w="1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77,315</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69,290</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210,778</w:t>
            </w:r>
          </w:p>
        </w:tc>
        <w:tc>
          <w:tcPr>
            <w:tcW w:w="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202,312</w:t>
            </w:r>
          </w:p>
        </w:tc>
      </w:tr>
      <w:tr>
        <w:trPr>
          <w:trHeight w:val="202"/>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Expense</w:t>
            </w: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16"/>
        </w:trPr>
        <w:tc>
          <w:tcPr>
            <w:tcW w:w="374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Deposits</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21,289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21,972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58,008</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63,389</w:t>
            </w:r>
          </w:p>
        </w:tc>
      </w:tr>
      <w:tr>
        <w:trPr>
          <w:trHeight w:val="219"/>
        </w:trPr>
        <w:tc>
          <w:tcPr>
            <w:tcW w:w="3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Other borrowings and subordinated debt and debentures</w:t>
            </w:r>
          </w:p>
        </w:tc>
        <w:tc>
          <w:tcPr>
            <w:tcW w:w="12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1,957</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2,756</w:t>
            </w:r>
          </w:p>
        </w:tc>
        <w:tc>
          <w:tcPr>
            <w:tcW w:w="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5,262</w:t>
            </w:r>
          </w:p>
        </w:tc>
      </w:tr>
      <w:tr>
        <w:trPr>
          <w:trHeight w:val="212"/>
        </w:trPr>
        <w:tc>
          <w:tcPr>
            <w:tcW w:w="37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Total Interest Expense</w:t>
            </w:r>
          </w:p>
        </w:tc>
        <w:tc>
          <w:tcPr>
            <w:tcW w:w="1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22,058</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23,929</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60,764</w:t>
            </w:r>
          </w:p>
        </w:tc>
        <w:tc>
          <w:tcPr>
            <w:tcW w:w="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68,651</w:t>
            </w:r>
          </w:p>
        </w:tc>
      </w:tr>
      <w:tr>
        <w:trPr>
          <w:trHeight w:val="215"/>
        </w:trPr>
        <w:tc>
          <w:tcPr>
            <w:tcW w:w="3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Net Interest Income</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55,257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45,361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150,014</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133,661</w:t>
            </w:r>
          </w:p>
        </w:tc>
      </w:tr>
      <w:tr>
        <w:trPr>
          <w:trHeight w:val="216"/>
        </w:trPr>
        <w:tc>
          <w:tcPr>
            <w:tcW w:w="3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Provision for credit losses</w:t>
            </w:r>
          </w:p>
        </w:tc>
        <w:tc>
          <w:tcPr>
            <w:tcW w:w="1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4,807</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1,991</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7,886</w:t>
            </w:r>
          </w:p>
        </w:tc>
        <w:tc>
          <w:tcPr>
            <w:tcW w:w="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4,212</w:t>
            </w:r>
          </w:p>
        </w:tc>
      </w:tr>
      <w:tr>
        <w:trPr>
          <w:trHeight w:val="215"/>
        </w:trPr>
        <w:tc>
          <w:tcPr>
            <w:tcW w:w="3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Net Interest Income After Provision for Credit Losses</w:t>
            </w:r>
          </w:p>
        </w:tc>
        <w:tc>
          <w:tcPr>
            <w:tcW w:w="1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50,450</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43,370</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142,128</w:t>
            </w:r>
          </w:p>
        </w:tc>
        <w:tc>
          <w:tcPr>
            <w:tcW w:w="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129,449</w:t>
            </w:r>
          </w:p>
        </w:tc>
      </w:tr>
      <w:tr>
        <w:trPr>
          <w:trHeight w:val="196"/>
        </w:trPr>
        <w:tc>
          <w:tcPr>
            <w:tcW w:w="3740" w:type="dxa"/>
            <w:vAlign w:val="bottom"/>
          </w:tcPr>
          <w:p>
            <w:pPr>
              <w:spacing w:after="0"/>
              <w:rPr>
                <w:sz w:val="20"/>
                <w:szCs w:val="20"/>
                <w:color w:val="auto"/>
              </w:rPr>
            </w:pPr>
            <w:r>
              <w:rPr>
                <w:rFonts w:ascii="Times New Roman" w:cs="Times New Roman" w:eastAsia="Times New Roman" w:hAnsi="Times New Roman"/>
                <w:sz w:val="15"/>
                <w:szCs w:val="15"/>
                <w:color w:val="auto"/>
              </w:rPr>
              <w:t>Non-interest Income</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22"/>
        </w:trPr>
        <w:tc>
          <w:tcPr>
            <w:tcW w:w="3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Interchange income</w:t>
            </w: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4,638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4,157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11,448</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10,674</w:t>
            </w:r>
          </w:p>
        </w:tc>
      </w:tr>
      <w:tr>
        <w:trPr>
          <w:trHeight w:val="216"/>
        </w:trPr>
        <w:tc>
          <w:tcPr>
            <w:tcW w:w="374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Service charges on deposit accounts</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3,353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3,131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9,388</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8,926</w:t>
            </w:r>
          </w:p>
        </w:tc>
      </w:tr>
      <w:tr>
        <w:trPr>
          <w:trHeight w:val="222"/>
        </w:trPr>
        <w:tc>
          <w:tcPr>
            <w:tcW w:w="3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Net gains (losses) on assets</w:t>
            </w: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16"/>
        </w:trPr>
        <w:tc>
          <w:tcPr>
            <w:tcW w:w="3740" w:type="dxa"/>
            <w:vAlign w:val="bottom"/>
          </w:tcPr>
          <w:p>
            <w:pPr>
              <w:ind w:left="520"/>
              <w:spacing w:after="0"/>
              <w:rPr>
                <w:sz w:val="20"/>
                <w:szCs w:val="20"/>
                <w:color w:val="auto"/>
              </w:rPr>
            </w:pPr>
            <w:r>
              <w:rPr>
                <w:rFonts w:ascii="Times New Roman" w:cs="Times New Roman" w:eastAsia="Times New Roman" w:hAnsi="Times New Roman"/>
                <w:sz w:val="15"/>
                <w:szCs w:val="15"/>
                <w:color w:val="auto"/>
              </w:rPr>
              <w:t>Mortgage loans</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1,474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3,970</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5,408</w:t>
            </w:r>
          </w:p>
        </w:tc>
      </w:tr>
      <w:tr>
        <w:trPr>
          <w:trHeight w:val="222"/>
        </w:trPr>
        <w:tc>
          <w:tcPr>
            <w:tcW w:w="37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5"/>
                <w:szCs w:val="15"/>
                <w:color w:val="auto"/>
              </w:rPr>
              <w:t>Equity securities at fair value</w:t>
            </w: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1,665</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16"/>
        </w:trPr>
        <w:tc>
          <w:tcPr>
            <w:tcW w:w="3740" w:type="dxa"/>
            <w:vAlign w:val="bottom"/>
          </w:tcPr>
          <w:p>
            <w:pPr>
              <w:ind w:left="520"/>
              <w:spacing w:after="0"/>
              <w:rPr>
                <w:sz w:val="20"/>
                <w:szCs w:val="20"/>
                <w:color w:val="auto"/>
              </w:rPr>
            </w:pPr>
            <w:r>
              <w:rPr>
                <w:rFonts w:ascii="Times New Roman" w:cs="Times New Roman" w:eastAsia="Times New Roman" w:hAnsi="Times New Roman"/>
                <w:sz w:val="15"/>
                <w:szCs w:val="15"/>
                <w:color w:val="auto"/>
              </w:rPr>
              <w:t>Securities available for sale</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(133)</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(355)</w:t>
            </w:r>
          </w:p>
        </w:tc>
      </w:tr>
      <w:tr>
        <w:trPr>
          <w:trHeight w:val="222"/>
        </w:trPr>
        <w:tc>
          <w:tcPr>
            <w:tcW w:w="3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Mortgage loan servicing, net</w:t>
            </w: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4,074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8,180</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w:t>
            </w:r>
          </w:p>
        </w:tc>
      </w:tr>
      <w:tr>
        <w:trPr>
          <w:trHeight w:val="216"/>
        </w:trPr>
        <w:tc>
          <w:tcPr>
            <w:tcW w:w="37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5"/>
                <w:szCs w:val="15"/>
                <w:color w:val="auto"/>
              </w:rPr>
              <w:t>Other</w:t>
            </w:r>
          </w:p>
        </w:tc>
        <w:tc>
          <w:tcPr>
            <w:tcW w:w="1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2,684</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3,137</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8,672</w:t>
            </w:r>
          </w:p>
        </w:tc>
        <w:tc>
          <w:tcPr>
            <w:tcW w:w="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9,105</w:t>
            </w:r>
          </w:p>
        </w:tc>
      </w:tr>
      <w:tr>
        <w:trPr>
          <w:trHeight w:val="215"/>
        </w:trPr>
        <w:tc>
          <w:tcPr>
            <w:tcW w:w="37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Total Non-interest Income</w:t>
            </w:r>
          </w:p>
        </w:tc>
        <w:tc>
          <w:tcPr>
            <w:tcW w:w="1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15,808</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11,937</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43,190</w:t>
            </w:r>
          </w:p>
        </w:tc>
        <w:tc>
          <w:tcPr>
            <w:tcW w:w="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33,686</w:t>
            </w:r>
          </w:p>
        </w:tc>
      </w:tr>
      <w:tr>
        <w:trPr>
          <w:trHeight w:val="196"/>
        </w:trPr>
        <w:tc>
          <w:tcPr>
            <w:tcW w:w="3740" w:type="dxa"/>
            <w:vAlign w:val="bottom"/>
          </w:tcPr>
          <w:p>
            <w:pPr>
              <w:spacing w:after="0"/>
              <w:rPr>
                <w:sz w:val="20"/>
                <w:szCs w:val="20"/>
                <w:color w:val="auto"/>
              </w:rPr>
            </w:pPr>
            <w:r>
              <w:rPr>
                <w:rFonts w:ascii="Times New Roman" w:cs="Times New Roman" w:eastAsia="Times New Roman" w:hAnsi="Times New Roman"/>
                <w:sz w:val="15"/>
                <w:szCs w:val="15"/>
                <w:color w:val="auto"/>
              </w:rPr>
              <w:t>Non-interest Expense</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22"/>
        </w:trPr>
        <w:tc>
          <w:tcPr>
            <w:tcW w:w="3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Compensation and employee benefits</w:t>
            </w: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24,487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21,125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68,876</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62,631</w:t>
            </w:r>
          </w:p>
        </w:tc>
      </w:tr>
      <w:tr>
        <w:trPr>
          <w:trHeight w:val="216"/>
        </w:trPr>
        <w:tc>
          <w:tcPr>
            <w:tcW w:w="374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Data processing</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4,761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3,784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12,865</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11,360</w:t>
            </w:r>
          </w:p>
        </w:tc>
      </w:tr>
      <w:tr>
        <w:trPr>
          <w:trHeight w:val="222"/>
        </w:trPr>
        <w:tc>
          <w:tcPr>
            <w:tcW w:w="3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Occupancy, net</w:t>
            </w: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2,419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2,127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6,905</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6,396</w:t>
            </w:r>
          </w:p>
        </w:tc>
      </w:tr>
      <w:tr>
        <w:trPr>
          <w:trHeight w:val="216"/>
        </w:trPr>
        <w:tc>
          <w:tcPr>
            <w:tcW w:w="374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Merger related expense</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3,457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8"/>
                <w:szCs w:val="18"/>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4,126</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2"/>
        </w:trPr>
        <w:tc>
          <w:tcPr>
            <w:tcW w:w="3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Interchange expense</w:t>
            </w: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3,861</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3,476</w:t>
            </w:r>
          </w:p>
        </w:tc>
      </w:tr>
      <w:tr>
        <w:trPr>
          <w:trHeight w:val="216"/>
        </w:trPr>
        <w:tc>
          <w:tcPr>
            <w:tcW w:w="374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Advertising</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3,128</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2,220</w:t>
            </w:r>
          </w:p>
        </w:tc>
      </w:tr>
      <w:tr>
        <w:trPr>
          <w:trHeight w:val="222"/>
        </w:trPr>
        <w:tc>
          <w:tcPr>
            <w:tcW w:w="3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Furniture, fixtures and equipment</w:t>
            </w: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2,945</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2,570</w:t>
            </w:r>
          </w:p>
        </w:tc>
      </w:tr>
      <w:tr>
        <w:trPr>
          <w:trHeight w:val="216"/>
        </w:trPr>
        <w:tc>
          <w:tcPr>
            <w:tcW w:w="374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Loan and collection</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2,813</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2,148</w:t>
            </w:r>
          </w:p>
        </w:tc>
      </w:tr>
      <w:tr>
        <w:trPr>
          <w:trHeight w:val="222"/>
        </w:trPr>
        <w:tc>
          <w:tcPr>
            <w:tcW w:w="3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FDIC deposit insurance</w:t>
            </w: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2,356</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1,963</w:t>
            </w:r>
          </w:p>
        </w:tc>
      </w:tr>
      <w:tr>
        <w:trPr>
          <w:trHeight w:val="216"/>
        </w:trPr>
        <w:tc>
          <w:tcPr>
            <w:tcW w:w="374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Legal and professional</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1,978</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1,661</w:t>
            </w:r>
          </w:p>
        </w:tc>
      </w:tr>
      <w:tr>
        <w:trPr>
          <w:trHeight w:val="222"/>
        </w:trPr>
        <w:tc>
          <w:tcPr>
            <w:tcW w:w="3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Litigation expense</w:t>
            </w: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1,850</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16"/>
        </w:trPr>
        <w:tc>
          <w:tcPr>
            <w:tcW w:w="374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Communications</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1,594</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1,526</w:t>
            </w:r>
          </w:p>
        </w:tc>
      </w:tr>
      <w:tr>
        <w:trPr>
          <w:trHeight w:val="248"/>
        </w:trPr>
        <w:tc>
          <w:tcPr>
            <w:tcW w:w="3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Amortization of other intangibles</w:t>
            </w:r>
          </w:p>
        </w:tc>
        <w:tc>
          <w:tcPr>
            <w:tcW w:w="1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1,147</w:t>
            </w: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365</w:t>
            </w:r>
          </w:p>
        </w:tc>
      </w:tr>
      <w:tr>
        <w:trPr>
          <w:trHeight w:val="216"/>
        </w:trPr>
        <w:tc>
          <w:tcPr>
            <w:tcW w:w="37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5"/>
                <w:szCs w:val="15"/>
                <w:color w:val="auto"/>
              </w:rPr>
              <w:t>Other</w:t>
            </w:r>
          </w:p>
        </w:tc>
        <w:tc>
          <w:tcPr>
            <w:tcW w:w="1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2,257</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1,996</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6,435</w:t>
            </w:r>
          </w:p>
        </w:tc>
        <w:tc>
          <w:tcPr>
            <w:tcW w:w="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5,839</w:t>
            </w:r>
          </w:p>
        </w:tc>
      </w:tr>
      <w:tr>
        <w:trPr>
          <w:trHeight w:val="212"/>
        </w:trPr>
        <w:tc>
          <w:tcPr>
            <w:tcW w:w="3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 Non-interest Expense</w:t>
            </w:r>
          </w:p>
        </w:tc>
        <w:tc>
          <w:tcPr>
            <w:tcW w:w="1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44,759</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34,131</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120,879</w:t>
            </w:r>
          </w:p>
        </w:tc>
        <w:tc>
          <w:tcPr>
            <w:tcW w:w="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102,155</w:t>
            </w:r>
          </w:p>
        </w:tc>
      </w:tr>
      <w:tr>
        <w:trPr>
          <w:trHeight w:val="212"/>
        </w:trPr>
        <w:tc>
          <w:tcPr>
            <w:tcW w:w="37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Income Before Income Tax</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21,499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21,176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64,439</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60,980</w:t>
            </w:r>
          </w:p>
        </w:tc>
      </w:tr>
      <w:tr>
        <w:trPr>
          <w:trHeight w:val="219"/>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Income tax expense</w:t>
            </w:r>
          </w:p>
        </w:tc>
        <w:tc>
          <w:tcPr>
            <w:tcW w:w="12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3,649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3,674</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10,909</w:t>
            </w:r>
          </w:p>
        </w:tc>
        <w:tc>
          <w:tcPr>
            <w:tcW w:w="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11,011</w:t>
            </w:r>
          </w:p>
        </w:tc>
      </w:tr>
      <w:tr>
        <w:trPr>
          <w:trHeight w:val="215"/>
        </w:trPr>
        <w:tc>
          <w:tcPr>
            <w:tcW w:w="37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Net Income</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17,850</w:t>
            </w:r>
          </w:p>
        </w:tc>
        <w:tc>
          <w:tcPr>
            <w:tcW w:w="80" w:type="dxa"/>
            <w:vAlign w:val="bottom"/>
          </w:tcPr>
          <w:p>
            <w:pPr>
              <w:spacing w:after="0"/>
              <w:rPr>
                <w:sz w:val="18"/>
                <w:szCs w:val="18"/>
                <w:color w:val="auto"/>
              </w:rPr>
            </w:pP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17,502</w:t>
            </w:r>
          </w:p>
        </w:tc>
        <w:tc>
          <w:tcPr>
            <w:tcW w:w="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53,530</w:t>
            </w:r>
          </w:p>
        </w:tc>
        <w:tc>
          <w:tcPr>
            <w:tcW w:w="60" w:type="dxa"/>
            <w:vAlign w:val="bottom"/>
          </w:tcPr>
          <w:p>
            <w:pPr>
              <w:spacing w:after="0"/>
              <w:rPr>
                <w:sz w:val="18"/>
                <w:szCs w:val="18"/>
                <w:color w:val="auto"/>
              </w:rPr>
            </w:pPr>
          </w:p>
        </w:tc>
        <w:tc>
          <w:tcPr>
            <w:tcW w:w="32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49,969</w:t>
            </w: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r>
        <w:trPr>
          <w:trHeight w:val="185"/>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Income Per Common Share</w:t>
            </w:r>
          </w:p>
        </w:tc>
        <w:tc>
          <w:tcPr>
            <w:tcW w:w="1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r>
      <w:tr>
        <w:trPr>
          <w:trHeight w:val="219"/>
        </w:trPr>
        <w:tc>
          <w:tcPr>
            <w:tcW w:w="374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Basic</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0.81</w:t>
            </w:r>
          </w:p>
        </w:tc>
        <w:tc>
          <w:tcPr>
            <w:tcW w:w="80" w:type="dxa"/>
            <w:vAlign w:val="bottom"/>
          </w:tcPr>
          <w:p>
            <w:pPr>
              <w:spacing w:after="0"/>
              <w:rPr>
                <w:sz w:val="19"/>
                <w:szCs w:val="19"/>
                <w:color w:val="auto"/>
              </w:rPr>
            </w:pP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0.85</w:t>
            </w:r>
          </w:p>
        </w:tc>
        <w:tc>
          <w:tcPr>
            <w:tcW w:w="8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2.54</w:t>
            </w:r>
          </w:p>
        </w:tc>
        <w:tc>
          <w:tcPr>
            <w:tcW w:w="60" w:type="dxa"/>
            <w:vAlign w:val="bottom"/>
          </w:tcPr>
          <w:p>
            <w:pPr>
              <w:spacing w:after="0"/>
              <w:rPr>
                <w:sz w:val="19"/>
                <w:szCs w:val="19"/>
                <w:color w:val="auto"/>
              </w:rPr>
            </w:pPr>
          </w:p>
        </w:tc>
        <w:tc>
          <w:tcPr>
            <w:tcW w:w="32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2.40</w:t>
            </w: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r>
        <w:trPr>
          <w:trHeight w:val="231"/>
        </w:trPr>
        <w:tc>
          <w:tcPr>
            <w:tcW w:w="3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Diluted</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0.84</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2.51</w:t>
            </w:r>
          </w:p>
        </w:tc>
        <w:tc>
          <w:tcPr>
            <w:tcW w:w="6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2.38</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notes to interim condensed consolidated financial statements (Unaudited)</w:t>
      </w:r>
    </w:p>
    <w:p>
      <w:pPr>
        <w:sectPr>
          <w:pgSz w:w="11900" w:h="16838" w:orient="portrait"/>
          <w:cols w:equalWidth="0" w:num="1">
            <w:col w:w="10139"/>
          </w:cols>
          <w:pgMar w:left="320" w:top="119" w:right="1440" w:bottom="1440" w:gutter="0" w:footer="0" w:header="0"/>
        </w:sectPr>
      </w:pPr>
    </w:p>
    <w:p>
      <w:pPr>
        <w:spacing w:after="0" w:line="34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19" w:right="1440"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INDEPENDENT BANK CORPORATION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Condensed Consolidated Statements of Comprehensive Income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40" w:type="dxa"/>
            <w:vAlign w:val="bottom"/>
            <w:gridSpan w:val="5"/>
          </w:tcPr>
          <w:p>
            <w:pPr>
              <w:jc w:val="center"/>
              <w:ind w:right="340"/>
              <w:spacing w:after="0"/>
              <w:rPr>
                <w:sz w:val="20"/>
                <w:szCs w:val="20"/>
                <w:color w:val="auto"/>
              </w:rPr>
            </w:pPr>
            <w:r>
              <w:rPr>
                <w:rFonts w:ascii="Times New Roman" w:cs="Times New Roman" w:eastAsia="Times New Roman" w:hAnsi="Times New Roman"/>
                <w:sz w:val="17"/>
                <w:szCs w:val="17"/>
                <w:color w:val="auto"/>
              </w:rPr>
              <w:t>Three months ended</w:t>
            </w:r>
          </w:p>
        </w:tc>
        <w:tc>
          <w:tcPr>
            <w:tcW w:w="260" w:type="dxa"/>
            <w:vAlign w:val="bottom"/>
          </w:tcPr>
          <w:p>
            <w:pPr>
              <w:spacing w:after="0"/>
              <w:rPr>
                <w:sz w:val="17"/>
                <w:szCs w:val="17"/>
                <w:color w:val="auto"/>
              </w:rPr>
            </w:pPr>
          </w:p>
        </w:tc>
        <w:tc>
          <w:tcPr>
            <w:tcW w:w="2260" w:type="dxa"/>
            <w:vAlign w:val="bottom"/>
            <w:gridSpan w:val="4"/>
          </w:tcPr>
          <w:p>
            <w:pPr>
              <w:jc w:val="right"/>
              <w:ind w:right="514"/>
              <w:spacing w:after="0"/>
              <w:rPr>
                <w:sz w:val="20"/>
                <w:szCs w:val="20"/>
                <w:color w:val="auto"/>
              </w:rPr>
            </w:pPr>
            <w:r>
              <w:rPr>
                <w:rFonts w:ascii="Times New Roman" w:cs="Times New Roman" w:eastAsia="Times New Roman" w:hAnsi="Times New Roman"/>
                <w:sz w:val="17"/>
                <w:szCs w:val="17"/>
                <w:color w:val="auto"/>
              </w:rPr>
              <w:t>Nine months ended</w:t>
            </w:r>
          </w:p>
        </w:tc>
      </w:tr>
      <w:tr>
        <w:trPr>
          <w:trHeight w:val="223"/>
        </w:trPr>
        <w:tc>
          <w:tcPr>
            <w:tcW w:w="6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40" w:type="dxa"/>
            <w:vAlign w:val="bottom"/>
            <w:gridSpan w:val="5"/>
          </w:tcPr>
          <w:p>
            <w:pPr>
              <w:jc w:val="center"/>
              <w:ind w:right="340"/>
              <w:spacing w:after="0"/>
              <w:rPr>
                <w:sz w:val="20"/>
                <w:szCs w:val="20"/>
                <w:color w:val="auto"/>
              </w:rPr>
            </w:pPr>
            <w:r>
              <w:rPr>
                <w:rFonts w:ascii="Times New Roman" w:cs="Times New Roman" w:eastAsia="Times New Roman" w:hAnsi="Times New Roman"/>
                <w:sz w:val="17"/>
                <w:szCs w:val="17"/>
                <w:color w:val="auto"/>
              </w:rPr>
              <w:t>September 30,</w:t>
            </w:r>
          </w:p>
        </w:tc>
        <w:tc>
          <w:tcPr>
            <w:tcW w:w="260" w:type="dxa"/>
            <w:vAlign w:val="bottom"/>
          </w:tcPr>
          <w:p>
            <w:pPr>
              <w:spacing w:after="0"/>
              <w:rPr>
                <w:sz w:val="19"/>
                <w:szCs w:val="19"/>
                <w:color w:val="auto"/>
              </w:rPr>
            </w:pPr>
          </w:p>
        </w:tc>
        <w:tc>
          <w:tcPr>
            <w:tcW w:w="2260" w:type="dxa"/>
            <w:vAlign w:val="bottom"/>
            <w:gridSpan w:val="4"/>
          </w:tcPr>
          <w:p>
            <w:pPr>
              <w:jc w:val="right"/>
              <w:ind w:right="674"/>
              <w:spacing w:after="0"/>
              <w:rPr>
                <w:sz w:val="20"/>
                <w:szCs w:val="20"/>
                <w:color w:val="auto"/>
              </w:rPr>
            </w:pPr>
            <w:r>
              <w:rPr>
                <w:rFonts w:ascii="Times New Roman" w:cs="Times New Roman" w:eastAsia="Times New Roman" w:hAnsi="Times New Roman"/>
                <w:sz w:val="17"/>
                <w:szCs w:val="17"/>
                <w:color w:val="auto"/>
              </w:rPr>
              <w:t>September 30,</w:t>
            </w:r>
          </w:p>
        </w:tc>
      </w:tr>
      <w:tr>
        <w:trPr>
          <w:trHeight w:val="257"/>
        </w:trPr>
        <w:tc>
          <w:tcPr>
            <w:tcW w:w="6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rPr>
              <w:t>2026</w:t>
            </w:r>
          </w:p>
        </w:tc>
        <w:tc>
          <w:tcPr>
            <w:tcW w:w="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rPr>
              <w:t>2025</w:t>
            </w: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rPr>
              <w:t>2026</w:t>
            </w:r>
          </w:p>
        </w:tc>
        <w:tc>
          <w:tcPr>
            <w:tcW w:w="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rPr>
              <w:t>2025</w:t>
            </w:r>
          </w:p>
        </w:tc>
      </w:tr>
      <w:tr>
        <w:trPr>
          <w:trHeight w:val="225"/>
        </w:trPr>
        <w:tc>
          <w:tcPr>
            <w:tcW w:w="6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80" w:type="dxa"/>
            <w:vAlign w:val="bottom"/>
            <w:gridSpan w:val="5"/>
          </w:tcPr>
          <w:p>
            <w:pPr>
              <w:ind w:left="120"/>
              <w:spacing w:after="0"/>
              <w:rPr>
                <w:sz w:val="20"/>
                <w:szCs w:val="20"/>
                <w:color w:val="auto"/>
              </w:rPr>
            </w:pPr>
            <w:r>
              <w:rPr>
                <w:rFonts w:ascii="Times New Roman" w:cs="Times New Roman" w:eastAsia="Times New Roman" w:hAnsi="Times New Roman"/>
                <w:sz w:val="17"/>
                <w:szCs w:val="17"/>
                <w:color w:val="auto"/>
              </w:rPr>
              <w:t>(Unaudited - In thousands)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57"/>
        </w:trPr>
        <w:tc>
          <w:tcPr>
            <w:tcW w:w="6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2"/>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17,850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17,502</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53,530</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49,969</w:t>
            </w:r>
          </w:p>
        </w:tc>
      </w:tr>
      <w:tr>
        <w:trPr>
          <w:trHeight w:val="232"/>
        </w:trPr>
        <w:tc>
          <w:tcPr>
            <w:tcW w:w="6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2"/>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Securities available for sale</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32"/>
        </w:trPr>
        <w:tc>
          <w:tcPr>
            <w:tcW w:w="6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Unrealized gains (losses) arising during period</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(20,933)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11,475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(18,732)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7,972</w:t>
            </w:r>
          </w:p>
        </w:tc>
      </w:tr>
      <w:tr>
        <w:trPr>
          <w:trHeight w:val="271"/>
        </w:trPr>
        <w:tc>
          <w:tcPr>
            <w:tcW w:w="6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Accretion of net unrealized losses on securities transferred to held to maturity</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777</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2,068</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2,405</w:t>
            </w:r>
          </w:p>
        </w:tc>
      </w:tr>
      <w:tr>
        <w:trPr>
          <w:trHeight w:val="271"/>
        </w:trPr>
        <w:tc>
          <w:tcPr>
            <w:tcW w:w="61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Reclassification adjustments for losses included in earnings</w:t>
            </w: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8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8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355</w:t>
            </w:r>
          </w:p>
        </w:tc>
      </w:tr>
      <w:tr>
        <w:trPr>
          <w:trHeight w:val="209"/>
        </w:trPr>
        <w:tc>
          <w:tcPr>
            <w:tcW w:w="6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Unrealized gains (losses) recognized in other comprehensive income (loss) on</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48"/>
        </w:trPr>
        <w:tc>
          <w:tcPr>
            <w:tcW w:w="6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securities available for sale</w:t>
            </w: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(20,302)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12,288</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(16,531)</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10,732</w:t>
            </w:r>
          </w:p>
        </w:tc>
      </w:tr>
      <w:tr>
        <w:trPr>
          <w:trHeight w:val="232"/>
        </w:trPr>
        <w:tc>
          <w:tcPr>
            <w:tcW w:w="61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(4,262)</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2,581</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(3,471)</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2,254</w:t>
            </w:r>
          </w:p>
        </w:tc>
      </w:tr>
      <w:tr>
        <w:trPr>
          <w:trHeight w:val="209"/>
        </w:trPr>
        <w:tc>
          <w:tcPr>
            <w:tcW w:w="6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Unrealized gains (losses) recognized in other comprehensive income (loss) on</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48"/>
        </w:trPr>
        <w:tc>
          <w:tcPr>
            <w:tcW w:w="6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securities available for sale, net of tax</w:t>
            </w: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(16,040)</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9,707</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(13,060)</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8,478</w:t>
            </w:r>
          </w:p>
        </w:tc>
      </w:tr>
      <w:tr>
        <w:trPr>
          <w:trHeight w:val="212"/>
        </w:trPr>
        <w:tc>
          <w:tcPr>
            <w:tcW w:w="61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Derivative instruments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71"/>
        </w:trPr>
        <w:tc>
          <w:tcPr>
            <w:tcW w:w="6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Unrealized losses arising during period</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(1,371)</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(1,182)</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(4,154)</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w:t>
            </w:r>
          </w:p>
        </w:tc>
      </w:tr>
      <w:tr>
        <w:trPr>
          <w:trHeight w:val="271"/>
        </w:trPr>
        <w:tc>
          <w:tcPr>
            <w:tcW w:w="61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Reclassification adjustment for expense recognized in earnings</w:t>
            </w: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569</w:t>
            </w:r>
          </w:p>
        </w:tc>
        <w:tc>
          <w:tcPr>
            <w:tcW w:w="8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610</w:t>
            </w:r>
          </w:p>
        </w:tc>
        <w:tc>
          <w:tcPr>
            <w:tcW w:w="8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1,286</w:t>
            </w:r>
          </w:p>
        </w:tc>
        <w:tc>
          <w:tcPr>
            <w:tcW w:w="8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1,543</w:t>
            </w:r>
          </w:p>
        </w:tc>
      </w:tr>
      <w:tr>
        <w:trPr>
          <w:trHeight w:val="209"/>
        </w:trPr>
        <w:tc>
          <w:tcPr>
            <w:tcW w:w="6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Unrealized gains (losses) recognized in other comprehensive income (loss) on</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48"/>
        </w:trPr>
        <w:tc>
          <w:tcPr>
            <w:tcW w:w="6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derivative instruments</w:t>
            </w: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(2,868)</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1,058</w:t>
            </w:r>
          </w:p>
        </w:tc>
      </w:tr>
      <w:tr>
        <w:trPr>
          <w:trHeight w:val="271"/>
        </w:trPr>
        <w:tc>
          <w:tcPr>
            <w:tcW w:w="61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8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8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(602)</w:t>
            </w:r>
          </w:p>
        </w:tc>
        <w:tc>
          <w:tcPr>
            <w:tcW w:w="8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222</w:t>
            </w:r>
          </w:p>
        </w:tc>
      </w:tr>
      <w:tr>
        <w:trPr>
          <w:trHeight w:val="209"/>
        </w:trPr>
        <w:tc>
          <w:tcPr>
            <w:tcW w:w="6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Unrealized gains (losses) recognized in other comprehensive income (loss) on</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48"/>
        </w:trPr>
        <w:tc>
          <w:tcPr>
            <w:tcW w:w="6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derivative instruments, net of tax</w:t>
            </w: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(633)</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(2,266)</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836</w:t>
            </w:r>
          </w:p>
        </w:tc>
      </w:tr>
      <w:tr>
        <w:trPr>
          <w:trHeight w:val="225"/>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(16,673)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9,257</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(15,326)</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9,314</w:t>
            </w:r>
          </w:p>
        </w:tc>
      </w:tr>
      <w:tr>
        <w:trPr>
          <w:trHeight w:val="250"/>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Comprehensive income</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26,759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38,204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59,283</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notes to interim condensed consolidated financial statements (Unaudited)</w:t>
      </w:r>
    </w:p>
    <w:p>
      <w:pPr>
        <w:spacing w:after="0" w:line="34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8" w:lineRule="exact"/>
        <w:rPr>
          <w:sz w:val="20"/>
          <w:szCs w:val="20"/>
          <w:color w:val="auto"/>
        </w:rPr>
      </w:pPr>
    </w:p>
    <w:p>
      <w:pPr>
        <w:ind w:right="3320" w:firstLine="3325"/>
        <w:spacing w:after="0" w:line="298" w:lineRule="auto"/>
        <w:rPr>
          <w:sz w:val="20"/>
          <w:szCs w:val="20"/>
          <w:color w:val="auto"/>
        </w:rPr>
      </w:pPr>
      <w:r>
        <w:rPr>
          <w:rFonts w:ascii="Times New Roman" w:cs="Times New Roman" w:eastAsia="Times New Roman" w:hAnsi="Times New Roman"/>
          <w:sz w:val="17"/>
          <w:szCs w:val="17"/>
          <w:color w:val="auto"/>
        </w:rPr>
        <w:t xml:space="preserve">INDEPENDENT BANK CORPORATION AND SUBSIDIARIES </w:t>
      </w:r>
      <w:r>
        <w:rPr>
          <w:rFonts w:ascii="Times New Roman" w:cs="Times New Roman" w:eastAsia="Times New Roman" w:hAnsi="Times New Roman"/>
          <w:sz w:val="17"/>
          <w:szCs w:val="17"/>
          <w:u w:val="single" w:color="auto"/>
          <w:color w:val="auto"/>
        </w:rPr>
        <w:t>Condensed Consolidated Statements of Cash Flows</w:t>
      </w:r>
    </w:p>
    <w:tbl>
      <w:tblPr>
        <w:tblLayout w:type="fixed"/>
        <w:tblInd w:w="0" w:type="dxa"/>
        <w:tblCellMar>
          <w:top w:w="0" w:type="dxa"/>
          <w:left w:w="0" w:type="dxa"/>
          <w:bottom w:w="0" w:type="dxa"/>
          <w:right w:w="0" w:type="dxa"/>
        </w:tblCellMar>
      </w:tblPr>
      <w:tr>
        <w:trPr>
          <w:trHeight w:val="178"/>
        </w:trPr>
        <w:tc>
          <w:tcPr>
            <w:tcW w:w="8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0" w:type="dxa"/>
            <w:vAlign w:val="bottom"/>
            <w:gridSpan w:val="4"/>
          </w:tcPr>
          <w:p>
            <w:pPr>
              <w:jc w:val="right"/>
              <w:ind w:right="291"/>
              <w:spacing w:after="0"/>
              <w:rPr>
                <w:sz w:val="20"/>
                <w:szCs w:val="20"/>
                <w:color w:val="auto"/>
              </w:rPr>
            </w:pPr>
            <w:r>
              <w:rPr>
                <w:rFonts w:ascii="Times New Roman" w:cs="Times New Roman" w:eastAsia="Times New Roman" w:hAnsi="Times New Roman"/>
                <w:sz w:val="14"/>
                <w:szCs w:val="14"/>
                <w:color w:val="auto"/>
              </w:rPr>
              <w:t>Nine months ended September 30,</w:t>
            </w:r>
          </w:p>
        </w:tc>
        <w:tc>
          <w:tcPr>
            <w:tcW w:w="0" w:type="dxa"/>
            <w:vAlign w:val="bottom"/>
          </w:tcPr>
          <w:p>
            <w:pPr>
              <w:spacing w:after="0"/>
              <w:rPr>
                <w:sz w:val="1"/>
                <w:szCs w:val="1"/>
                <w:color w:val="auto"/>
              </w:rPr>
            </w:pPr>
          </w:p>
        </w:tc>
      </w:tr>
      <w:tr>
        <w:trPr>
          <w:trHeight w:val="22"/>
        </w:trPr>
        <w:tc>
          <w:tcPr>
            <w:tcW w:w="8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8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411"/>
              <w:spacing w:after="0"/>
              <w:rPr>
                <w:sz w:val="20"/>
                <w:szCs w:val="20"/>
                <w:color w:val="auto"/>
              </w:rPr>
            </w:pPr>
            <w:r>
              <w:rPr>
                <w:rFonts w:ascii="Times New Roman" w:cs="Times New Roman" w:eastAsia="Times New Roman" w:hAnsi="Times New Roman"/>
                <w:sz w:val="14"/>
                <w:szCs w:val="14"/>
                <w:color w:val="auto"/>
              </w:rPr>
              <w:t>2026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451"/>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22"/>
        </w:trPr>
        <w:tc>
          <w:tcPr>
            <w:tcW w:w="8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8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0" w:type="dxa"/>
            <w:vAlign w:val="bottom"/>
            <w:gridSpan w:val="4"/>
          </w:tcPr>
          <w:p>
            <w:pPr>
              <w:jc w:val="right"/>
              <w:ind w:right="511"/>
              <w:spacing w:after="0"/>
              <w:rPr>
                <w:sz w:val="20"/>
                <w:szCs w:val="20"/>
                <w:color w:val="auto"/>
              </w:rPr>
            </w:pPr>
            <w:r>
              <w:rPr>
                <w:rFonts w:ascii="Times New Roman" w:cs="Times New Roman" w:eastAsia="Times New Roman" w:hAnsi="Times New Roman"/>
                <w:sz w:val="14"/>
                <w:szCs w:val="14"/>
                <w:color w:val="auto"/>
              </w:rPr>
              <w:t>(Unaudited - In thousands)</w:t>
            </w:r>
          </w:p>
        </w:tc>
        <w:tc>
          <w:tcPr>
            <w:tcW w:w="0" w:type="dxa"/>
            <w:vAlign w:val="bottom"/>
          </w:tcPr>
          <w:p>
            <w:pPr>
              <w:spacing w:after="0"/>
              <w:rPr>
                <w:sz w:val="1"/>
                <w:szCs w:val="1"/>
                <w:color w:val="auto"/>
              </w:rPr>
            </w:pPr>
          </w:p>
        </w:tc>
      </w:tr>
      <w:tr>
        <w:trPr>
          <w:trHeight w:val="22"/>
        </w:trPr>
        <w:tc>
          <w:tcPr>
            <w:tcW w:w="8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53,530</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49,969</w:t>
            </w:r>
          </w:p>
        </w:tc>
        <w:tc>
          <w:tcPr>
            <w:tcW w:w="0" w:type="dxa"/>
            <w:vAlign w:val="bottom"/>
          </w:tcPr>
          <w:p>
            <w:pPr>
              <w:spacing w:after="0"/>
              <w:rPr>
                <w:sz w:val="1"/>
                <w:szCs w:val="1"/>
                <w:color w:val="auto"/>
              </w:rPr>
            </w:pPr>
          </w:p>
        </w:tc>
      </w:tr>
      <w:tr>
        <w:trPr>
          <w:trHeight w:val="164"/>
        </w:trPr>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From Operating Activities</w:t>
            </w:r>
          </w:p>
        </w:tc>
        <w:tc>
          <w:tcPr>
            <w:tcW w:w="2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8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sales of loans held for sale</w:t>
            </w:r>
          </w:p>
        </w:tc>
        <w:tc>
          <w:tcPr>
            <w:tcW w:w="2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282,585</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265,152</w:t>
            </w:r>
          </w:p>
        </w:tc>
        <w:tc>
          <w:tcPr>
            <w:tcW w:w="0" w:type="dxa"/>
            <w:vAlign w:val="bottom"/>
          </w:tcPr>
          <w:p>
            <w:pPr>
              <w:spacing w:after="0"/>
              <w:rPr>
                <w:sz w:val="1"/>
                <w:szCs w:val="1"/>
                <w:color w:val="auto"/>
              </w:rPr>
            </w:pPr>
          </w:p>
        </w:tc>
      </w:tr>
      <w:tr>
        <w:trPr>
          <w:trHeight w:val="184"/>
        </w:trPr>
        <w:tc>
          <w:tcPr>
            <w:tcW w:w="8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Disbursements for loans held for sale</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(282,854)</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(263,956)</w:t>
            </w:r>
          </w:p>
        </w:tc>
        <w:tc>
          <w:tcPr>
            <w:tcW w:w="0" w:type="dxa"/>
            <w:vAlign w:val="bottom"/>
          </w:tcPr>
          <w:p>
            <w:pPr>
              <w:spacing w:after="0"/>
              <w:rPr>
                <w:sz w:val="1"/>
                <w:szCs w:val="1"/>
                <w:color w:val="auto"/>
              </w:rPr>
            </w:pPr>
          </w:p>
        </w:tc>
      </w:tr>
      <w:tr>
        <w:trPr>
          <w:trHeight w:val="22"/>
        </w:trPr>
        <w:tc>
          <w:tcPr>
            <w:tcW w:w="8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2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7,886</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4,212</w:t>
            </w:r>
          </w:p>
        </w:tc>
        <w:tc>
          <w:tcPr>
            <w:tcW w:w="0" w:type="dxa"/>
            <w:vAlign w:val="bottom"/>
          </w:tcPr>
          <w:p>
            <w:pPr>
              <w:spacing w:after="0"/>
              <w:rPr>
                <w:sz w:val="1"/>
                <w:szCs w:val="1"/>
                <w:color w:val="auto"/>
              </w:rPr>
            </w:pPr>
          </w:p>
        </w:tc>
      </w:tr>
      <w:tr>
        <w:trPr>
          <w:trHeight w:val="184"/>
        </w:trPr>
        <w:tc>
          <w:tcPr>
            <w:tcW w:w="8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income tax benefit (expense)</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(2,600)</w:t>
            </w:r>
          </w:p>
        </w:tc>
        <w:tc>
          <w:tcPr>
            <w:tcW w:w="0" w:type="dxa"/>
            <w:vAlign w:val="bottom"/>
          </w:tcPr>
          <w:p>
            <w:pPr>
              <w:spacing w:after="0"/>
              <w:rPr>
                <w:sz w:val="1"/>
                <w:szCs w:val="1"/>
                <w:color w:val="auto"/>
              </w:rPr>
            </w:pPr>
          </w:p>
        </w:tc>
      </w:tr>
      <w:tr>
        <w:trPr>
          <w:trHeight w:val="22"/>
        </w:trPr>
        <w:tc>
          <w:tcPr>
            <w:tcW w:w="8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deferred loan fees</w:t>
            </w:r>
          </w:p>
        </w:tc>
        <w:tc>
          <w:tcPr>
            <w:tcW w:w="2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w:t>
            </w:r>
          </w:p>
        </w:tc>
        <w:tc>
          <w:tcPr>
            <w:tcW w:w="0" w:type="dxa"/>
            <w:vAlign w:val="bottom"/>
          </w:tcPr>
          <w:p>
            <w:pPr>
              <w:spacing w:after="0"/>
              <w:rPr>
                <w:sz w:val="1"/>
                <w:szCs w:val="1"/>
                <w:color w:val="auto"/>
              </w:rPr>
            </w:pPr>
          </w:p>
        </w:tc>
      </w:tr>
      <w:tr>
        <w:trPr>
          <w:trHeight w:val="184"/>
        </w:trPr>
        <w:tc>
          <w:tcPr>
            <w:tcW w:w="8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depreciation, amortization of other intangible assets and premiums and accretion of discounts on securities and loans</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7,518</w:t>
            </w:r>
          </w:p>
        </w:tc>
        <w:tc>
          <w:tcPr>
            <w:tcW w:w="0" w:type="dxa"/>
            <w:vAlign w:val="bottom"/>
          </w:tcPr>
          <w:p>
            <w:pPr>
              <w:spacing w:after="0"/>
              <w:rPr>
                <w:sz w:val="1"/>
                <w:szCs w:val="1"/>
                <w:color w:val="auto"/>
              </w:rPr>
            </w:pPr>
          </w:p>
        </w:tc>
      </w:tr>
      <w:tr>
        <w:trPr>
          <w:trHeight w:val="22"/>
        </w:trPr>
        <w:tc>
          <w:tcPr>
            <w:tcW w:w="8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gains on mortgage loans</w:t>
            </w:r>
          </w:p>
        </w:tc>
        <w:tc>
          <w:tcPr>
            <w:tcW w:w="2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(3,970)</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(5,408)</w:t>
            </w:r>
          </w:p>
        </w:tc>
        <w:tc>
          <w:tcPr>
            <w:tcW w:w="0" w:type="dxa"/>
            <w:vAlign w:val="bottom"/>
          </w:tcPr>
          <w:p>
            <w:pPr>
              <w:spacing w:after="0"/>
              <w:rPr>
                <w:sz w:val="1"/>
                <w:szCs w:val="1"/>
                <w:color w:val="auto"/>
              </w:rPr>
            </w:pPr>
          </w:p>
        </w:tc>
      </w:tr>
      <w:tr>
        <w:trPr>
          <w:trHeight w:val="184"/>
        </w:trPr>
        <w:tc>
          <w:tcPr>
            <w:tcW w:w="8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gains on equity securities at fair value</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
        </w:trPr>
        <w:tc>
          <w:tcPr>
            <w:tcW w:w="8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losses on sales of securities available for sale</w:t>
            </w:r>
          </w:p>
        </w:tc>
        <w:tc>
          <w:tcPr>
            <w:tcW w:w="2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0" w:type="dxa"/>
            <w:vAlign w:val="bottom"/>
          </w:tcPr>
          <w:p>
            <w:pPr>
              <w:spacing w:after="0"/>
              <w:rPr>
                <w:sz w:val="1"/>
                <w:szCs w:val="1"/>
                <w:color w:val="auto"/>
              </w:rPr>
            </w:pPr>
          </w:p>
        </w:tc>
      </w:tr>
      <w:tr>
        <w:trPr>
          <w:trHeight w:val="184"/>
        </w:trPr>
        <w:tc>
          <w:tcPr>
            <w:tcW w:w="8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 on sale of capitalized mortgage loan servicing rights</w:t>
            </w:r>
          </w:p>
        </w:tc>
        <w:tc>
          <w:tcPr>
            <w:tcW w:w="24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0" w:type="dxa"/>
            <w:vAlign w:val="bottom"/>
          </w:tcPr>
          <w:p>
            <w:pPr>
              <w:spacing w:after="0"/>
              <w:rPr>
                <w:sz w:val="1"/>
                <w:szCs w:val="1"/>
                <w:color w:val="auto"/>
              </w:rPr>
            </w:pPr>
          </w:p>
        </w:tc>
      </w:tr>
      <w:tr>
        <w:trPr>
          <w:trHeight w:val="22"/>
        </w:trPr>
        <w:tc>
          <w:tcPr>
            <w:tcW w:w="8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 based compensation</w:t>
            </w:r>
          </w:p>
        </w:tc>
        <w:tc>
          <w:tcPr>
            <w:tcW w:w="2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2,095</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1,968</w:t>
            </w:r>
          </w:p>
        </w:tc>
        <w:tc>
          <w:tcPr>
            <w:tcW w:w="0" w:type="dxa"/>
            <w:vAlign w:val="bottom"/>
          </w:tcPr>
          <w:p>
            <w:pPr>
              <w:spacing w:after="0"/>
              <w:rPr>
                <w:sz w:val="1"/>
                <w:szCs w:val="1"/>
                <w:color w:val="auto"/>
              </w:rPr>
            </w:pPr>
          </w:p>
        </w:tc>
      </w:tr>
      <w:tr>
        <w:trPr>
          <w:trHeight w:val="184"/>
        </w:trPr>
        <w:tc>
          <w:tcPr>
            <w:tcW w:w="8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(Increase) Decrease in accrued income and other assets</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(16,825)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4,058</w:t>
            </w:r>
          </w:p>
        </w:tc>
        <w:tc>
          <w:tcPr>
            <w:tcW w:w="0" w:type="dxa"/>
            <w:vAlign w:val="bottom"/>
          </w:tcPr>
          <w:p>
            <w:pPr>
              <w:spacing w:after="0"/>
              <w:rPr>
                <w:sz w:val="1"/>
                <w:szCs w:val="1"/>
                <w:color w:val="auto"/>
              </w:rPr>
            </w:pPr>
          </w:p>
        </w:tc>
      </w:tr>
      <w:tr>
        <w:trPr>
          <w:trHeight w:val="22"/>
        </w:trPr>
        <w:tc>
          <w:tcPr>
            <w:tcW w:w="8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Decrease in accrued expenses and other liabilities</w:t>
            </w: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(13,935)</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(5,682)</w:t>
            </w:r>
          </w:p>
        </w:tc>
        <w:tc>
          <w:tcPr>
            <w:tcW w:w="0" w:type="dxa"/>
            <w:vAlign w:val="bottom"/>
          </w:tcPr>
          <w:p>
            <w:pPr>
              <w:spacing w:after="0"/>
              <w:rPr>
                <w:sz w:val="1"/>
                <w:szCs w:val="1"/>
                <w:color w:val="auto"/>
              </w:rPr>
            </w:pPr>
          </w:p>
        </w:tc>
      </w:tr>
      <w:tr>
        <w:trPr>
          <w:trHeight w:val="177"/>
        </w:trPr>
        <w:tc>
          <w:tcPr>
            <w:tcW w:w="8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Adjustments</w:t>
            </w:r>
          </w:p>
        </w:tc>
        <w:tc>
          <w:tcPr>
            <w:tcW w:w="2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(17,243)</w:t>
            </w: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6,670</w:t>
            </w:r>
          </w:p>
        </w:tc>
        <w:tc>
          <w:tcPr>
            <w:tcW w:w="0" w:type="dxa"/>
            <w:vAlign w:val="bottom"/>
          </w:tcPr>
          <w:p>
            <w:pPr>
              <w:spacing w:after="0"/>
              <w:rPr>
                <w:sz w:val="1"/>
                <w:szCs w:val="1"/>
                <w:color w:val="auto"/>
              </w:rPr>
            </w:pPr>
          </w:p>
        </w:tc>
      </w:tr>
      <w:tr>
        <w:trPr>
          <w:trHeight w:val="22"/>
        </w:trPr>
        <w:tc>
          <w:tcPr>
            <w:tcW w:w="86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86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Net Cash From Operating Activities</w:t>
            </w: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36,287</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56,639</w:t>
            </w:r>
          </w:p>
        </w:tc>
        <w:tc>
          <w:tcPr>
            <w:tcW w:w="0" w:type="dxa"/>
            <w:vAlign w:val="bottom"/>
          </w:tcPr>
          <w:p>
            <w:pPr>
              <w:spacing w:after="0"/>
              <w:rPr>
                <w:sz w:val="1"/>
                <w:szCs w:val="1"/>
                <w:color w:val="auto"/>
              </w:rPr>
            </w:pPr>
          </w:p>
        </w:tc>
      </w:tr>
      <w:tr>
        <w:trPr>
          <w:trHeight w:val="164"/>
        </w:trPr>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 Used in Investing Activities</w:t>
            </w:r>
          </w:p>
        </w:tc>
        <w:tc>
          <w:tcPr>
            <w:tcW w:w="2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8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sales of equity securities at fair value</w:t>
            </w:r>
          </w:p>
        </w:tc>
        <w:tc>
          <w:tcPr>
            <w:tcW w:w="2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1,665</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8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the sale of securities available for sale</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24,813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30,581</w:t>
            </w:r>
          </w:p>
        </w:tc>
        <w:tc>
          <w:tcPr>
            <w:tcW w:w="0" w:type="dxa"/>
            <w:vAlign w:val="bottom"/>
          </w:tcPr>
          <w:p>
            <w:pPr>
              <w:spacing w:after="0"/>
              <w:rPr>
                <w:sz w:val="1"/>
                <w:szCs w:val="1"/>
                <w:color w:val="auto"/>
              </w:rPr>
            </w:pPr>
          </w:p>
        </w:tc>
      </w:tr>
      <w:tr>
        <w:trPr>
          <w:trHeight w:val="22"/>
        </w:trPr>
        <w:tc>
          <w:tcPr>
            <w:tcW w:w="8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the sale of interest bearing time deposits</w:t>
            </w:r>
          </w:p>
        </w:tc>
        <w:tc>
          <w:tcPr>
            <w:tcW w:w="2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8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the maturity of interest bearing time deposits</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
        </w:trPr>
        <w:tc>
          <w:tcPr>
            <w:tcW w:w="8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maturities, prepayments and calls of securities available for sale</w:t>
            </w:r>
          </w:p>
        </w:tc>
        <w:tc>
          <w:tcPr>
            <w:tcW w:w="2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60,548</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54,733</w:t>
            </w:r>
          </w:p>
        </w:tc>
        <w:tc>
          <w:tcPr>
            <w:tcW w:w="0" w:type="dxa"/>
            <w:vAlign w:val="bottom"/>
          </w:tcPr>
          <w:p>
            <w:pPr>
              <w:spacing w:after="0"/>
              <w:rPr>
                <w:sz w:val="1"/>
                <w:szCs w:val="1"/>
                <w:color w:val="auto"/>
              </w:rPr>
            </w:pPr>
          </w:p>
        </w:tc>
      </w:tr>
      <w:tr>
        <w:trPr>
          <w:trHeight w:val="184"/>
        </w:trPr>
        <w:tc>
          <w:tcPr>
            <w:tcW w:w="8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maturities, prepayments and calls of securities held to maturity</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41,492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21,848</w:t>
            </w:r>
          </w:p>
        </w:tc>
        <w:tc>
          <w:tcPr>
            <w:tcW w:w="0" w:type="dxa"/>
            <w:vAlign w:val="bottom"/>
          </w:tcPr>
          <w:p>
            <w:pPr>
              <w:spacing w:after="0"/>
              <w:rPr>
                <w:sz w:val="1"/>
                <w:szCs w:val="1"/>
                <w:color w:val="auto"/>
              </w:rPr>
            </w:pPr>
          </w:p>
        </w:tc>
      </w:tr>
      <w:tr>
        <w:trPr>
          <w:trHeight w:val="22"/>
        </w:trPr>
        <w:tc>
          <w:tcPr>
            <w:tcW w:w="8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Purchases of securities held to maturity</w:t>
            </w:r>
          </w:p>
        </w:tc>
        <w:tc>
          <w:tcPr>
            <w:tcW w:w="2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184"/>
        </w:trPr>
        <w:tc>
          <w:tcPr>
            <w:tcW w:w="8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Purchases of securities available for sale</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(98,997)</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(17,957)</w:t>
            </w:r>
          </w:p>
        </w:tc>
        <w:tc>
          <w:tcPr>
            <w:tcW w:w="0" w:type="dxa"/>
            <w:vAlign w:val="bottom"/>
          </w:tcPr>
          <w:p>
            <w:pPr>
              <w:spacing w:after="0"/>
              <w:rPr>
                <w:sz w:val="1"/>
                <w:szCs w:val="1"/>
                <w:color w:val="auto"/>
              </w:rPr>
            </w:pPr>
          </w:p>
        </w:tc>
      </w:tr>
      <w:tr>
        <w:trPr>
          <w:trHeight w:val="22"/>
        </w:trPr>
        <w:tc>
          <w:tcPr>
            <w:tcW w:w="8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Purchases of Federal Home Loan Bank stock</w:t>
            </w:r>
          </w:p>
        </w:tc>
        <w:tc>
          <w:tcPr>
            <w:tcW w:w="2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(4,160)</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(3,212)</w:t>
            </w:r>
          </w:p>
        </w:tc>
        <w:tc>
          <w:tcPr>
            <w:tcW w:w="0" w:type="dxa"/>
            <w:vAlign w:val="bottom"/>
          </w:tcPr>
          <w:p>
            <w:pPr>
              <w:spacing w:after="0"/>
              <w:rPr>
                <w:sz w:val="1"/>
                <w:szCs w:val="1"/>
                <w:color w:val="auto"/>
              </w:rPr>
            </w:pPr>
          </w:p>
        </w:tc>
      </w:tr>
      <w:tr>
        <w:trPr>
          <w:trHeight w:val="184"/>
        </w:trPr>
        <w:tc>
          <w:tcPr>
            <w:tcW w:w="8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the redemption of Federal Home Loan Bank stock</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1,209</w:t>
            </w:r>
          </w:p>
        </w:tc>
        <w:tc>
          <w:tcPr>
            <w:tcW w:w="0" w:type="dxa"/>
            <w:vAlign w:val="bottom"/>
          </w:tcPr>
          <w:p>
            <w:pPr>
              <w:spacing w:after="0"/>
              <w:rPr>
                <w:sz w:val="1"/>
                <w:szCs w:val="1"/>
                <w:color w:val="auto"/>
              </w:rPr>
            </w:pPr>
          </w:p>
        </w:tc>
      </w:tr>
      <w:tr>
        <w:trPr>
          <w:trHeight w:val="22"/>
        </w:trPr>
        <w:tc>
          <w:tcPr>
            <w:tcW w:w="8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increase in portfolio loans (loans originated, net of principal payments)</w:t>
            </w:r>
          </w:p>
        </w:tc>
        <w:tc>
          <w:tcPr>
            <w:tcW w:w="2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(270,314)</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(178,896)</w:t>
            </w:r>
          </w:p>
        </w:tc>
        <w:tc>
          <w:tcPr>
            <w:tcW w:w="0" w:type="dxa"/>
            <w:vAlign w:val="bottom"/>
          </w:tcPr>
          <w:p>
            <w:pPr>
              <w:spacing w:after="0"/>
              <w:rPr>
                <w:sz w:val="1"/>
                <w:szCs w:val="1"/>
                <w:color w:val="auto"/>
              </w:rPr>
            </w:pPr>
          </w:p>
        </w:tc>
      </w:tr>
      <w:tr>
        <w:trPr>
          <w:trHeight w:val="184"/>
        </w:trPr>
        <w:tc>
          <w:tcPr>
            <w:tcW w:w="8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the sale of portfolio loans</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20,222</w:t>
            </w:r>
          </w:p>
        </w:tc>
        <w:tc>
          <w:tcPr>
            <w:tcW w:w="0" w:type="dxa"/>
            <w:vAlign w:val="bottom"/>
          </w:tcPr>
          <w:p>
            <w:pPr>
              <w:spacing w:after="0"/>
              <w:rPr>
                <w:sz w:val="1"/>
                <w:szCs w:val="1"/>
                <w:color w:val="auto"/>
              </w:rPr>
            </w:pPr>
          </w:p>
        </w:tc>
      </w:tr>
      <w:tr>
        <w:trPr>
          <w:trHeight w:val="22"/>
        </w:trPr>
        <w:tc>
          <w:tcPr>
            <w:tcW w:w="8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acquired, net of cash consideration paid in the acquisition of HCB Financial Corp.</w:t>
            </w:r>
          </w:p>
        </w:tc>
        <w:tc>
          <w:tcPr>
            <w:tcW w:w="2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132,289</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8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bank-owned life insurance</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861</w:t>
            </w:r>
          </w:p>
        </w:tc>
        <w:tc>
          <w:tcPr>
            <w:tcW w:w="0" w:type="dxa"/>
            <w:vAlign w:val="bottom"/>
          </w:tcPr>
          <w:p>
            <w:pPr>
              <w:spacing w:after="0"/>
              <w:rPr>
                <w:sz w:val="1"/>
                <w:szCs w:val="1"/>
                <w:color w:val="auto"/>
              </w:rPr>
            </w:pPr>
          </w:p>
        </w:tc>
      </w:tr>
      <w:tr>
        <w:trPr>
          <w:trHeight w:val="22"/>
        </w:trPr>
        <w:tc>
          <w:tcPr>
            <w:tcW w:w="8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the sale of other real estate and repossessed assets</w:t>
            </w:r>
          </w:p>
        </w:tc>
        <w:tc>
          <w:tcPr>
            <w:tcW w:w="2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w:t>
            </w:r>
          </w:p>
        </w:tc>
        <w:tc>
          <w:tcPr>
            <w:tcW w:w="0" w:type="dxa"/>
            <w:vAlign w:val="bottom"/>
          </w:tcPr>
          <w:p>
            <w:pPr>
              <w:spacing w:after="0"/>
              <w:rPr>
                <w:sz w:val="1"/>
                <w:szCs w:val="1"/>
                <w:color w:val="auto"/>
              </w:rPr>
            </w:pPr>
          </w:p>
        </w:tc>
      </w:tr>
      <w:tr>
        <w:trPr>
          <w:trHeight w:val="184"/>
        </w:trPr>
        <w:tc>
          <w:tcPr>
            <w:tcW w:w="8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Capital expenditures</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(5,057)</w:t>
            </w:r>
          </w:p>
        </w:tc>
        <w:tc>
          <w:tcPr>
            <w:tcW w:w="0" w:type="dxa"/>
            <w:vAlign w:val="bottom"/>
          </w:tcPr>
          <w:p>
            <w:pPr>
              <w:spacing w:after="0"/>
              <w:rPr>
                <w:sz w:val="1"/>
                <w:szCs w:val="1"/>
                <w:color w:val="auto"/>
              </w:rPr>
            </w:pPr>
          </w:p>
        </w:tc>
      </w:tr>
      <w:tr>
        <w:trPr>
          <w:trHeight w:val="22"/>
        </w:trPr>
        <w:tc>
          <w:tcPr>
            <w:tcW w:w="8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the sale of capitalized mortgage loan servicing rights</w:t>
            </w:r>
          </w:p>
        </w:tc>
        <w:tc>
          <w:tcPr>
            <w:tcW w:w="2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12,229</w:t>
            </w:r>
          </w:p>
        </w:tc>
        <w:tc>
          <w:tcPr>
            <w:tcW w:w="0" w:type="dxa"/>
            <w:vAlign w:val="bottom"/>
          </w:tcPr>
          <w:p>
            <w:pPr>
              <w:spacing w:after="0"/>
              <w:rPr>
                <w:sz w:val="1"/>
                <w:szCs w:val="1"/>
                <w:color w:val="auto"/>
              </w:rPr>
            </w:pPr>
          </w:p>
        </w:tc>
      </w:tr>
      <w:tr>
        <w:trPr>
          <w:trHeight w:val="177"/>
        </w:trPr>
        <w:tc>
          <w:tcPr>
            <w:tcW w:w="86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(114,326)</w:t>
            </w: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(64,704)</w:t>
            </w:r>
          </w:p>
        </w:tc>
        <w:tc>
          <w:tcPr>
            <w:tcW w:w="0" w:type="dxa"/>
            <w:vAlign w:val="bottom"/>
          </w:tcPr>
          <w:p>
            <w:pPr>
              <w:spacing w:after="0"/>
              <w:rPr>
                <w:sz w:val="1"/>
                <w:szCs w:val="1"/>
                <w:color w:val="auto"/>
              </w:rPr>
            </w:pPr>
          </w:p>
        </w:tc>
      </w:tr>
      <w:tr>
        <w:trPr>
          <w:trHeight w:val="22"/>
        </w:trPr>
        <w:tc>
          <w:tcPr>
            <w:tcW w:w="86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6"/>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 From Financing Activities</w:t>
            </w:r>
          </w:p>
        </w:tc>
        <w:tc>
          <w:tcPr>
            <w:tcW w:w="24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8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increase in total deposits</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219,762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205,067</w:t>
            </w:r>
          </w:p>
        </w:tc>
        <w:tc>
          <w:tcPr>
            <w:tcW w:w="0" w:type="dxa"/>
            <w:vAlign w:val="bottom"/>
          </w:tcPr>
          <w:p>
            <w:pPr>
              <w:spacing w:after="0"/>
              <w:rPr>
                <w:sz w:val="1"/>
                <w:szCs w:val="1"/>
                <w:color w:val="auto"/>
              </w:rPr>
            </w:pPr>
          </w:p>
        </w:tc>
      </w:tr>
      <w:tr>
        <w:trPr>
          <w:trHeight w:val="22"/>
        </w:trPr>
        <w:tc>
          <w:tcPr>
            <w:tcW w:w="8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increase (decrease) in other borrowings</w:t>
            </w:r>
          </w:p>
        </w:tc>
        <w:tc>
          <w:tcPr>
            <w:tcW w:w="2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4"/>
        </w:trPr>
        <w:tc>
          <w:tcPr>
            <w:tcW w:w="8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Federal Home Loan Bank Advances</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232,000</w:t>
            </w:r>
          </w:p>
        </w:tc>
        <w:tc>
          <w:tcPr>
            <w:tcW w:w="0" w:type="dxa"/>
            <w:vAlign w:val="bottom"/>
          </w:tcPr>
          <w:p>
            <w:pPr>
              <w:spacing w:after="0"/>
              <w:rPr>
                <w:sz w:val="1"/>
                <w:szCs w:val="1"/>
                <w:color w:val="auto"/>
              </w:rPr>
            </w:pPr>
          </w:p>
        </w:tc>
      </w:tr>
      <w:tr>
        <w:trPr>
          <w:trHeight w:val="22"/>
        </w:trPr>
        <w:tc>
          <w:tcPr>
            <w:tcW w:w="8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Payments of Federal Home Loan Bank Advances</w:t>
            </w:r>
          </w:p>
        </w:tc>
        <w:tc>
          <w:tcPr>
            <w:tcW w:w="2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(275,000)</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(275,000)</w:t>
            </w:r>
          </w:p>
        </w:tc>
        <w:tc>
          <w:tcPr>
            <w:tcW w:w="0" w:type="dxa"/>
            <w:vAlign w:val="bottom"/>
          </w:tcPr>
          <w:p>
            <w:pPr>
              <w:spacing w:after="0"/>
              <w:rPr>
                <w:sz w:val="1"/>
                <w:szCs w:val="1"/>
                <w:color w:val="auto"/>
              </w:rPr>
            </w:pPr>
          </w:p>
        </w:tc>
      </w:tr>
      <w:tr>
        <w:trPr>
          <w:trHeight w:val="184"/>
        </w:trPr>
        <w:tc>
          <w:tcPr>
            <w:tcW w:w="8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Repayment of subordinated debt</w:t>
            </w:r>
          </w:p>
        </w:tc>
        <w:tc>
          <w:tcPr>
            <w:tcW w:w="24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0" w:type="dxa"/>
            <w:vAlign w:val="bottom"/>
          </w:tcPr>
          <w:p>
            <w:pPr>
              <w:spacing w:after="0"/>
              <w:rPr>
                <w:sz w:val="1"/>
                <w:szCs w:val="1"/>
                <w:color w:val="auto"/>
              </w:rPr>
            </w:pPr>
          </w:p>
        </w:tc>
      </w:tr>
      <w:tr>
        <w:trPr>
          <w:trHeight w:val="22"/>
        </w:trPr>
        <w:tc>
          <w:tcPr>
            <w:tcW w:w="8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Dividends paid</w:t>
            </w:r>
          </w:p>
        </w:tc>
        <w:tc>
          <w:tcPr>
            <w:tcW w:w="2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(17,755)</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(16,220)</w:t>
            </w:r>
          </w:p>
        </w:tc>
        <w:tc>
          <w:tcPr>
            <w:tcW w:w="0" w:type="dxa"/>
            <w:vAlign w:val="bottom"/>
          </w:tcPr>
          <w:p>
            <w:pPr>
              <w:spacing w:after="0"/>
              <w:rPr>
                <w:sz w:val="1"/>
                <w:szCs w:val="1"/>
                <w:color w:val="auto"/>
              </w:rPr>
            </w:pPr>
          </w:p>
        </w:tc>
      </w:tr>
      <w:tr>
        <w:trPr>
          <w:trHeight w:val="184"/>
        </w:trPr>
        <w:tc>
          <w:tcPr>
            <w:tcW w:w="8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(7,770)</w:t>
            </w:r>
          </w:p>
        </w:tc>
        <w:tc>
          <w:tcPr>
            <w:tcW w:w="0" w:type="dxa"/>
            <w:vAlign w:val="bottom"/>
          </w:tcPr>
          <w:p>
            <w:pPr>
              <w:spacing w:after="0"/>
              <w:rPr>
                <w:sz w:val="1"/>
                <w:szCs w:val="1"/>
                <w:color w:val="auto"/>
              </w:rPr>
            </w:pPr>
          </w:p>
        </w:tc>
      </w:tr>
      <w:tr>
        <w:trPr>
          <w:trHeight w:val="22"/>
        </w:trPr>
        <w:tc>
          <w:tcPr>
            <w:tcW w:w="8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 based compensation withholding obligation</w:t>
            </w: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(1,391)</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(1,205)</w:t>
            </w:r>
          </w:p>
        </w:tc>
        <w:tc>
          <w:tcPr>
            <w:tcW w:w="0" w:type="dxa"/>
            <w:vAlign w:val="bottom"/>
          </w:tcPr>
          <w:p>
            <w:pPr>
              <w:spacing w:after="0"/>
              <w:rPr>
                <w:sz w:val="1"/>
                <w:szCs w:val="1"/>
                <w:color w:val="auto"/>
              </w:rPr>
            </w:pPr>
          </w:p>
        </w:tc>
      </w:tr>
      <w:tr>
        <w:trPr>
          <w:trHeight w:val="177"/>
        </w:trPr>
        <w:tc>
          <w:tcPr>
            <w:tcW w:w="8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Cash From Financing Activities</w:t>
            </w:r>
          </w:p>
        </w:tc>
        <w:tc>
          <w:tcPr>
            <w:tcW w:w="2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121,467</w:t>
            </w: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96,869</w:t>
            </w:r>
          </w:p>
        </w:tc>
        <w:tc>
          <w:tcPr>
            <w:tcW w:w="0" w:type="dxa"/>
            <w:vAlign w:val="bottom"/>
          </w:tcPr>
          <w:p>
            <w:pPr>
              <w:spacing w:after="0"/>
              <w:rPr>
                <w:sz w:val="1"/>
                <w:szCs w:val="1"/>
                <w:color w:val="auto"/>
              </w:rPr>
            </w:pPr>
          </w:p>
        </w:tc>
      </w:tr>
      <w:tr>
        <w:trPr>
          <w:trHeight w:val="22"/>
        </w:trPr>
        <w:tc>
          <w:tcPr>
            <w:tcW w:w="86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86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Net Increase in Cash and Cash Equivalents</w:t>
            </w:r>
          </w:p>
        </w:tc>
        <w:tc>
          <w:tcPr>
            <w:tcW w:w="2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43,428</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88,804</w:t>
            </w:r>
          </w:p>
        </w:tc>
        <w:tc>
          <w:tcPr>
            <w:tcW w:w="0" w:type="dxa"/>
            <w:vAlign w:val="bottom"/>
          </w:tcPr>
          <w:p>
            <w:pPr>
              <w:spacing w:after="0"/>
              <w:rPr>
                <w:sz w:val="1"/>
                <w:szCs w:val="1"/>
                <w:color w:val="auto"/>
              </w:rPr>
            </w:pPr>
          </w:p>
        </w:tc>
      </w:tr>
      <w:tr>
        <w:trPr>
          <w:trHeight w:val="184"/>
        </w:trPr>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138,387</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119,882</w:t>
            </w:r>
          </w:p>
        </w:tc>
        <w:tc>
          <w:tcPr>
            <w:tcW w:w="0" w:type="dxa"/>
            <w:vAlign w:val="bottom"/>
          </w:tcPr>
          <w:p>
            <w:pPr>
              <w:spacing w:after="0"/>
              <w:rPr>
                <w:sz w:val="1"/>
                <w:szCs w:val="1"/>
                <w:color w:val="auto"/>
              </w:rPr>
            </w:pPr>
          </w:p>
        </w:tc>
      </w:tr>
      <w:tr>
        <w:trPr>
          <w:trHeight w:val="22"/>
        </w:trPr>
        <w:tc>
          <w:tcPr>
            <w:tcW w:w="86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86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181,815</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208,686</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Cash paid during the period for</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86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8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w:t>
            </w: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59,672</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68,515</w:t>
            </w:r>
          </w:p>
        </w:tc>
        <w:tc>
          <w:tcPr>
            <w:tcW w:w="0" w:type="dxa"/>
            <w:vAlign w:val="bottom"/>
          </w:tcPr>
          <w:p>
            <w:pPr>
              <w:spacing w:after="0"/>
              <w:rPr>
                <w:sz w:val="1"/>
                <w:szCs w:val="1"/>
                <w:color w:val="auto"/>
              </w:rPr>
            </w:pPr>
          </w:p>
        </w:tc>
      </w:tr>
      <w:tr>
        <w:trPr>
          <w:trHeight w:val="184"/>
        </w:trPr>
        <w:tc>
          <w:tcPr>
            <w:tcW w:w="8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Income taxes</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11,650</w:t>
            </w:r>
          </w:p>
        </w:tc>
        <w:tc>
          <w:tcPr>
            <w:tcW w:w="0" w:type="dxa"/>
            <w:vAlign w:val="bottom"/>
          </w:tcPr>
          <w:p>
            <w:pPr>
              <w:spacing w:after="0"/>
              <w:rPr>
                <w:sz w:val="1"/>
                <w:szCs w:val="1"/>
                <w:color w:val="auto"/>
              </w:rPr>
            </w:pPr>
          </w:p>
        </w:tc>
      </w:tr>
      <w:tr>
        <w:trPr>
          <w:trHeight w:val="22"/>
        </w:trPr>
        <w:tc>
          <w:tcPr>
            <w:tcW w:w="8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Transfers to other real estate and repossessed assets</w:t>
            </w:r>
          </w:p>
        </w:tc>
        <w:tc>
          <w:tcPr>
            <w:tcW w:w="2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0" w:type="dxa"/>
            <w:vAlign w:val="bottom"/>
          </w:tcPr>
          <w:p>
            <w:pPr>
              <w:spacing w:after="0"/>
              <w:rPr>
                <w:sz w:val="1"/>
                <w:szCs w:val="1"/>
                <w:color w:val="auto"/>
              </w:rPr>
            </w:pPr>
          </w:p>
        </w:tc>
      </w:tr>
      <w:tr>
        <w:trPr>
          <w:trHeight w:val="184"/>
        </w:trPr>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 of use assets obtained in exchange for lease obligations</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2,030</w:t>
            </w:r>
          </w:p>
        </w:tc>
        <w:tc>
          <w:tcPr>
            <w:tcW w:w="0" w:type="dxa"/>
            <w:vAlign w:val="bottom"/>
          </w:tcPr>
          <w:p>
            <w:pPr>
              <w:spacing w:after="0"/>
              <w:rPr>
                <w:sz w:val="1"/>
                <w:szCs w:val="1"/>
                <w:color w:val="auto"/>
              </w:rPr>
            </w:pPr>
          </w:p>
        </w:tc>
      </w:tr>
      <w:tr>
        <w:trPr>
          <w:trHeight w:val="22"/>
        </w:trPr>
        <w:tc>
          <w:tcPr>
            <w:tcW w:w="8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issued in the HCB Financial Corp. acquisition</w:t>
            </w:r>
          </w:p>
        </w:tc>
        <w:tc>
          <w:tcPr>
            <w:tcW w:w="2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57,347</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of securities held to maturity not yet settled</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See note #18 regarding noncash investing and financing activities related to the acquisition of HCB Financial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See notes to interim condensed consolidated financial statements (Unaudited)</w:t>
      </w:r>
    </w:p>
    <w:p>
      <w:pPr>
        <w:sectPr>
          <w:pgSz w:w="11900" w:h="16838" w:orient="portrait"/>
          <w:cols w:equalWidth="0" w:num="1">
            <w:col w:w="11240"/>
          </w:cols>
          <w:pgMar w:left="320" w:top="119" w:right="339" w:bottom="1440" w:gutter="0" w:footer="0" w:header="0"/>
        </w:sectPr>
      </w:pPr>
    </w:p>
    <w:p>
      <w:pPr>
        <w:spacing w:after="0" w:line="25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INDEPENDENT BANK CORPORATION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Condensed Consolidated Statements of Shareholders’ Equity</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6"/>
              </w:rPr>
              <w:t>Accumulated</w:t>
            </w:r>
          </w:p>
        </w:tc>
        <w:tc>
          <w:tcPr>
            <w:tcW w:w="220" w:type="dxa"/>
            <w:vAlign w:val="bottom"/>
          </w:tcPr>
          <w:p>
            <w:pPr>
              <w:spacing w:after="0"/>
              <w:rPr>
                <w:sz w:val="13"/>
                <w:szCs w:val="13"/>
                <w:color w:val="auto"/>
              </w:rPr>
            </w:pPr>
          </w:p>
        </w:tc>
        <w:tc>
          <w:tcPr>
            <w:tcW w:w="1260" w:type="dxa"/>
            <w:vAlign w:val="bottom"/>
          </w:tcPr>
          <w:p>
            <w:pPr>
              <w:jc w:val="center"/>
              <w:ind w:right="151"/>
              <w:spacing w:after="0"/>
              <w:rPr>
                <w:sz w:val="20"/>
                <w:szCs w:val="20"/>
                <w:color w:val="auto"/>
              </w:rPr>
            </w:pPr>
            <w:r>
              <w:rPr>
                <w:rFonts w:ascii="Times New Roman" w:cs="Times New Roman" w:eastAsia="Times New Roman" w:hAnsi="Times New Roman"/>
                <w:sz w:val="14"/>
                <w:szCs w:val="14"/>
                <w:color w:val="auto"/>
                <w:w w:val="94"/>
              </w:rPr>
              <w:t>Total</w:t>
            </w:r>
          </w:p>
        </w:tc>
        <w:tc>
          <w:tcPr>
            <w:tcW w:w="0" w:type="dxa"/>
            <w:vAlign w:val="bottom"/>
          </w:tcPr>
          <w:p>
            <w:pPr>
              <w:spacing w:after="0"/>
              <w:rPr>
                <w:sz w:val="1"/>
                <w:szCs w:val="1"/>
                <w:color w:val="auto"/>
              </w:rPr>
            </w:pPr>
          </w:p>
        </w:tc>
      </w:tr>
      <w:tr>
        <w:trPr>
          <w:trHeight w:val="155"/>
        </w:trPr>
        <w:tc>
          <w:tcPr>
            <w:tcW w:w="4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jc w:val="center"/>
              <w:ind w:right="380"/>
              <w:spacing w:after="0" w:line="155" w:lineRule="exact"/>
              <w:rPr>
                <w:sz w:val="20"/>
                <w:szCs w:val="20"/>
                <w:color w:val="auto"/>
              </w:rPr>
            </w:pPr>
            <w:r>
              <w:rPr>
                <w:rFonts w:ascii="Times New Roman" w:cs="Times New Roman" w:eastAsia="Times New Roman" w:hAnsi="Times New Roman"/>
                <w:sz w:val="14"/>
                <w:szCs w:val="14"/>
                <w:color w:val="auto"/>
                <w:w w:val="99"/>
              </w:rPr>
              <w:t>Common</w:t>
            </w:r>
          </w:p>
        </w:tc>
        <w:tc>
          <w:tcPr>
            <w:tcW w:w="160" w:type="dxa"/>
            <w:vAlign w:val="bottom"/>
          </w:tcPr>
          <w:p>
            <w:pPr>
              <w:spacing w:after="0"/>
              <w:rPr>
                <w:sz w:val="13"/>
                <w:szCs w:val="13"/>
                <w:color w:val="auto"/>
              </w:rPr>
            </w:pPr>
          </w:p>
        </w:tc>
        <w:tc>
          <w:tcPr>
            <w:tcW w:w="1400" w:type="dxa"/>
            <w:vAlign w:val="bottom"/>
            <w:gridSpan w:val="2"/>
          </w:tcPr>
          <w:p>
            <w:pPr>
              <w:ind w:left="340"/>
              <w:spacing w:after="0" w:line="155" w:lineRule="exact"/>
              <w:rPr>
                <w:sz w:val="20"/>
                <w:szCs w:val="20"/>
                <w:color w:val="auto"/>
              </w:rPr>
            </w:pPr>
            <w:r>
              <w:rPr>
                <w:rFonts w:ascii="Times New Roman" w:cs="Times New Roman" w:eastAsia="Times New Roman" w:hAnsi="Times New Roman"/>
                <w:sz w:val="14"/>
                <w:szCs w:val="14"/>
                <w:color w:val="auto"/>
              </w:rPr>
              <w:t>Retained</w:t>
            </w:r>
          </w:p>
        </w:tc>
        <w:tc>
          <w:tcPr>
            <w:tcW w:w="160" w:type="dxa"/>
            <w:vAlign w:val="bottom"/>
          </w:tcPr>
          <w:p>
            <w:pPr>
              <w:spacing w:after="0"/>
              <w:rPr>
                <w:sz w:val="13"/>
                <w:szCs w:val="13"/>
                <w:color w:val="auto"/>
              </w:rPr>
            </w:pPr>
          </w:p>
        </w:tc>
        <w:tc>
          <w:tcPr>
            <w:tcW w:w="152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color w:val="auto"/>
              </w:rPr>
              <w:t>Other</w:t>
            </w:r>
          </w:p>
        </w:tc>
        <w:tc>
          <w:tcPr>
            <w:tcW w:w="220" w:type="dxa"/>
            <w:vAlign w:val="bottom"/>
          </w:tcPr>
          <w:p>
            <w:pPr>
              <w:spacing w:after="0"/>
              <w:rPr>
                <w:sz w:val="13"/>
                <w:szCs w:val="13"/>
                <w:color w:val="auto"/>
              </w:rPr>
            </w:pPr>
          </w:p>
        </w:tc>
        <w:tc>
          <w:tcPr>
            <w:tcW w:w="1260" w:type="dxa"/>
            <w:vAlign w:val="bottom"/>
          </w:tcPr>
          <w:p>
            <w:pPr>
              <w:jc w:val="center"/>
              <w:ind w:right="151"/>
              <w:spacing w:after="0" w:line="155" w:lineRule="exact"/>
              <w:rPr>
                <w:sz w:val="20"/>
                <w:szCs w:val="20"/>
                <w:color w:val="auto"/>
              </w:rPr>
            </w:pPr>
            <w:r>
              <w:rPr>
                <w:rFonts w:ascii="Times New Roman" w:cs="Times New Roman" w:eastAsia="Times New Roman" w:hAnsi="Times New Roman"/>
                <w:sz w:val="14"/>
                <w:szCs w:val="14"/>
                <w:color w:val="auto"/>
                <w:w w:val="97"/>
              </w:rPr>
              <w:t>Shareholders’</w:t>
            </w:r>
          </w:p>
        </w:tc>
        <w:tc>
          <w:tcPr>
            <w:tcW w:w="0" w:type="dxa"/>
            <w:vAlign w:val="bottom"/>
          </w:tcPr>
          <w:p>
            <w:pPr>
              <w:spacing w:after="0"/>
              <w:rPr>
                <w:sz w:val="1"/>
                <w:szCs w:val="1"/>
                <w:color w:val="auto"/>
              </w:rPr>
            </w:pPr>
          </w:p>
        </w:tc>
      </w:tr>
      <w:tr>
        <w:trPr>
          <w:trHeight w:val="191"/>
        </w:trPr>
        <w:tc>
          <w:tcPr>
            <w:tcW w:w="4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Stock</w:t>
            </w:r>
          </w:p>
        </w:tc>
        <w:tc>
          <w:tcPr>
            <w:tcW w:w="160" w:type="dxa"/>
            <w:vAlign w:val="bottom"/>
          </w:tcPr>
          <w:p>
            <w:pPr>
              <w:spacing w:after="0"/>
              <w:rPr>
                <w:sz w:val="16"/>
                <w:szCs w:val="16"/>
                <w:color w:val="auto"/>
              </w:rPr>
            </w:pPr>
          </w:p>
        </w:tc>
        <w:tc>
          <w:tcPr>
            <w:tcW w:w="140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Earnings</w:t>
            </w:r>
          </w:p>
        </w:tc>
        <w:tc>
          <w:tcPr>
            <w:tcW w:w="16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8"/>
              </w:rPr>
              <w:t>Comprehensive Loss</w:t>
            </w:r>
          </w:p>
        </w:tc>
        <w:tc>
          <w:tcPr>
            <w:tcW w:w="220" w:type="dxa"/>
            <w:vAlign w:val="bottom"/>
          </w:tcPr>
          <w:p>
            <w:pPr>
              <w:spacing w:after="0"/>
              <w:rPr>
                <w:sz w:val="16"/>
                <w:szCs w:val="16"/>
                <w:color w:val="auto"/>
              </w:rPr>
            </w:pPr>
          </w:p>
        </w:tc>
        <w:tc>
          <w:tcPr>
            <w:tcW w:w="1260" w:type="dxa"/>
            <w:vAlign w:val="bottom"/>
          </w:tcPr>
          <w:p>
            <w:pPr>
              <w:jc w:val="center"/>
              <w:ind w:right="151"/>
              <w:spacing w:after="0"/>
              <w:rPr>
                <w:sz w:val="20"/>
                <w:szCs w:val="20"/>
                <w:color w:val="auto"/>
              </w:rPr>
            </w:pPr>
            <w:r>
              <w:rPr>
                <w:rFonts w:ascii="Times New Roman" w:cs="Times New Roman" w:eastAsia="Times New Roman" w:hAnsi="Times New Roman"/>
                <w:sz w:val="14"/>
                <w:szCs w:val="14"/>
                <w:color w:val="auto"/>
                <w:w w:val="96"/>
              </w:rPr>
              <w:t>Equity</w:t>
            </w:r>
          </w:p>
        </w:tc>
        <w:tc>
          <w:tcPr>
            <w:tcW w:w="0" w:type="dxa"/>
            <w:vAlign w:val="bottom"/>
          </w:tcPr>
          <w:p>
            <w:pPr>
              <w:spacing w:after="0"/>
              <w:rPr>
                <w:sz w:val="1"/>
                <w:szCs w:val="1"/>
                <w:color w:val="auto"/>
              </w:rPr>
            </w:pPr>
          </w:p>
        </w:tc>
      </w:tr>
      <w:tr>
        <w:trPr>
          <w:trHeight w:val="35"/>
        </w:trPr>
        <w:tc>
          <w:tcPr>
            <w:tcW w:w="49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080" w:type="dxa"/>
            <w:vAlign w:val="bottom"/>
            <w:tcBorders>
              <w:bottom w:val="single" w:sz="8" w:color="auto"/>
            </w:tcBorders>
            <w:gridSpan w:val="5"/>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4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80" w:type="dxa"/>
            <w:vAlign w:val="bottom"/>
            <w:gridSpan w:val="5"/>
          </w:tcPr>
          <w:p>
            <w:pPr>
              <w:ind w:left="80"/>
              <w:spacing w:after="0"/>
              <w:rPr>
                <w:sz w:val="20"/>
                <w:szCs w:val="20"/>
                <w:color w:val="auto"/>
              </w:rPr>
            </w:pPr>
            <w:r>
              <w:rPr>
                <w:rFonts w:ascii="Times New Roman" w:cs="Times New Roman" w:eastAsia="Times New Roman" w:hAnsi="Times New Roman"/>
                <w:sz w:val="14"/>
                <w:szCs w:val="14"/>
                <w:color w:val="auto"/>
              </w:rPr>
              <w:t>(Dollars in thousands, except per share amounts)</w:t>
            </w: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July 1, 2026</w:t>
            </w:r>
          </w:p>
        </w:tc>
        <w:tc>
          <w:tcPr>
            <w:tcW w:w="2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307,820</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276,934</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(56,341)</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528,413</w:t>
            </w:r>
          </w:p>
        </w:tc>
        <w:tc>
          <w:tcPr>
            <w:tcW w:w="0" w:type="dxa"/>
            <w:vAlign w:val="bottom"/>
          </w:tcPr>
          <w:p>
            <w:pPr>
              <w:spacing w:after="0"/>
              <w:rPr>
                <w:sz w:val="1"/>
                <w:szCs w:val="1"/>
                <w:color w:val="auto"/>
              </w:rPr>
            </w:pPr>
          </w:p>
        </w:tc>
      </w:tr>
      <w:tr>
        <w:trPr>
          <w:trHeight w:val="184"/>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three months ended September 30, 2026</w:t>
            </w:r>
          </w:p>
        </w:tc>
        <w:tc>
          <w:tcPr>
            <w:tcW w:w="28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17,850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17,850</w:t>
            </w:r>
          </w:p>
        </w:tc>
        <w:tc>
          <w:tcPr>
            <w:tcW w:w="0" w:type="dxa"/>
            <w:vAlign w:val="bottom"/>
          </w:tcPr>
          <w:p>
            <w:pPr>
              <w:spacing w:after="0"/>
              <w:rPr>
                <w:sz w:val="1"/>
                <w:szCs w:val="1"/>
                <w:color w:val="auto"/>
              </w:rPr>
            </w:pPr>
          </w:p>
        </w:tc>
      </w:tr>
      <w:tr>
        <w:trPr>
          <w:trHeight w:val="22"/>
        </w:trPr>
        <w:tc>
          <w:tcPr>
            <w:tcW w:w="4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 declared, $0.28 per share</w:t>
            </w:r>
          </w:p>
        </w:tc>
        <w:tc>
          <w:tcPr>
            <w:tcW w:w="2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(6,215)</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(6,215)</w:t>
            </w:r>
          </w:p>
        </w:tc>
        <w:tc>
          <w:tcPr>
            <w:tcW w:w="0" w:type="dxa"/>
            <w:vAlign w:val="bottom"/>
          </w:tcPr>
          <w:p>
            <w:pPr>
              <w:spacing w:after="0"/>
              <w:rPr>
                <w:sz w:val="1"/>
                <w:szCs w:val="1"/>
                <w:color w:val="auto"/>
              </w:rPr>
            </w:pPr>
          </w:p>
        </w:tc>
      </w:tr>
      <w:tr>
        <w:trPr>
          <w:trHeight w:val="184"/>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 of 119,425 shares of common stock</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(4,155)</w:t>
            </w:r>
          </w:p>
        </w:tc>
        <w:tc>
          <w:tcPr>
            <w:tcW w:w="0" w:type="dxa"/>
            <w:vAlign w:val="bottom"/>
          </w:tcPr>
          <w:p>
            <w:pPr>
              <w:spacing w:after="0"/>
              <w:rPr>
                <w:sz w:val="1"/>
                <w:szCs w:val="1"/>
                <w:color w:val="auto"/>
              </w:rPr>
            </w:pPr>
          </w:p>
        </w:tc>
      </w:tr>
      <w:tr>
        <w:trPr>
          <w:trHeight w:val="22"/>
        </w:trPr>
        <w:tc>
          <w:tcPr>
            <w:tcW w:w="4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based compensation (issuance of 8,540 shares of common stock)</w:t>
            </w:r>
          </w:p>
        </w:tc>
        <w:tc>
          <w:tcPr>
            <w:tcW w:w="2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w:t>
            </w:r>
          </w:p>
        </w:tc>
        <w:tc>
          <w:tcPr>
            <w:tcW w:w="0" w:type="dxa"/>
            <w:vAlign w:val="bottom"/>
          </w:tcPr>
          <w:p>
            <w:pPr>
              <w:spacing w:after="0"/>
              <w:rPr>
                <w:sz w:val="1"/>
                <w:szCs w:val="1"/>
                <w:color w:val="auto"/>
              </w:rPr>
            </w:pPr>
          </w:p>
        </w:tc>
      </w:tr>
      <w:tr>
        <w:trPr>
          <w:trHeight w:val="142"/>
        </w:trPr>
        <w:tc>
          <w:tcPr>
            <w:tcW w:w="49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w w:val="99"/>
              </w:rPr>
              <w:t>Share based compensation withholding obligation (withholding of 95 shares of common</w:t>
            </w:r>
          </w:p>
        </w:tc>
        <w:tc>
          <w:tcPr>
            <w:tcW w:w="28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6"/>
        </w:trPr>
        <w:tc>
          <w:tcPr>
            <w:tcW w:w="4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stock)</w:t>
            </w:r>
          </w:p>
        </w:tc>
        <w:tc>
          <w:tcPr>
            <w:tcW w:w="2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issued to acquire HCB Financial Corp. (1,589,895 shares)</w:t>
            </w:r>
          </w:p>
        </w:tc>
        <w:tc>
          <w:tcPr>
            <w:tcW w:w="2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57,347</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57,347</w:t>
            </w:r>
          </w:p>
        </w:tc>
        <w:tc>
          <w:tcPr>
            <w:tcW w:w="0" w:type="dxa"/>
            <w:vAlign w:val="bottom"/>
          </w:tcPr>
          <w:p>
            <w:pPr>
              <w:spacing w:after="0"/>
              <w:rPr>
                <w:sz w:val="1"/>
                <w:szCs w:val="1"/>
                <w:color w:val="auto"/>
              </w:rPr>
            </w:pPr>
          </w:p>
        </w:tc>
      </w:tr>
      <w:tr>
        <w:trPr>
          <w:trHeight w:val="184"/>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28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(16,673)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(16,673)</w:t>
            </w:r>
          </w:p>
        </w:tc>
        <w:tc>
          <w:tcPr>
            <w:tcW w:w="0" w:type="dxa"/>
            <w:vAlign w:val="bottom"/>
          </w:tcPr>
          <w:p>
            <w:pPr>
              <w:spacing w:after="0"/>
              <w:rPr>
                <w:sz w:val="1"/>
                <w:szCs w:val="1"/>
                <w:color w:val="auto"/>
              </w:rPr>
            </w:pPr>
          </w:p>
        </w:tc>
      </w:tr>
      <w:tr>
        <w:trPr>
          <w:trHeight w:val="22"/>
        </w:trPr>
        <w:tc>
          <w:tcPr>
            <w:tcW w:w="49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September 30, 2026</w:t>
            </w:r>
          </w:p>
        </w:tc>
        <w:tc>
          <w:tcPr>
            <w:tcW w:w="2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361,741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288,569</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(73,014)</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577,296</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July 1, 2025</w:t>
            </w:r>
          </w:p>
        </w:tc>
        <w:tc>
          <w:tcPr>
            <w:tcW w:w="2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311,653</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227,484</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(69,887)</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469,250</w:t>
            </w:r>
          </w:p>
        </w:tc>
        <w:tc>
          <w:tcPr>
            <w:tcW w:w="0" w:type="dxa"/>
            <w:vAlign w:val="bottom"/>
          </w:tcPr>
          <w:p>
            <w:pPr>
              <w:spacing w:after="0"/>
              <w:rPr>
                <w:sz w:val="1"/>
                <w:szCs w:val="1"/>
                <w:color w:val="auto"/>
              </w:rPr>
            </w:pPr>
          </w:p>
        </w:tc>
      </w:tr>
      <w:tr>
        <w:trPr>
          <w:trHeight w:val="184"/>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three months ended September 30, 2025</w:t>
            </w:r>
          </w:p>
        </w:tc>
        <w:tc>
          <w:tcPr>
            <w:tcW w:w="28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17,502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17,502</w:t>
            </w:r>
          </w:p>
        </w:tc>
        <w:tc>
          <w:tcPr>
            <w:tcW w:w="0" w:type="dxa"/>
            <w:vAlign w:val="bottom"/>
          </w:tcPr>
          <w:p>
            <w:pPr>
              <w:spacing w:after="0"/>
              <w:rPr>
                <w:sz w:val="1"/>
                <w:szCs w:val="1"/>
                <w:color w:val="auto"/>
              </w:rPr>
            </w:pPr>
          </w:p>
        </w:tc>
      </w:tr>
      <w:tr>
        <w:trPr>
          <w:trHeight w:val="22"/>
        </w:trPr>
        <w:tc>
          <w:tcPr>
            <w:tcW w:w="4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 declared, $0.26 per share</w:t>
            </w:r>
          </w:p>
        </w:tc>
        <w:tc>
          <w:tcPr>
            <w:tcW w:w="2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(5,384)</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(5,384)</w:t>
            </w:r>
          </w:p>
        </w:tc>
        <w:tc>
          <w:tcPr>
            <w:tcW w:w="0" w:type="dxa"/>
            <w:vAlign w:val="bottom"/>
          </w:tcPr>
          <w:p>
            <w:pPr>
              <w:spacing w:after="0"/>
              <w:rPr>
                <w:sz w:val="1"/>
                <w:szCs w:val="1"/>
                <w:color w:val="auto"/>
              </w:rPr>
            </w:pPr>
          </w:p>
        </w:tc>
      </w:tr>
      <w:tr>
        <w:trPr>
          <w:trHeight w:val="184"/>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 of 13,732 shares of common stock</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0" w:type="dxa"/>
            <w:vAlign w:val="bottom"/>
          </w:tcPr>
          <w:p>
            <w:pPr>
              <w:spacing w:after="0"/>
              <w:rPr>
                <w:sz w:val="1"/>
                <w:szCs w:val="1"/>
                <w:color w:val="auto"/>
              </w:rPr>
            </w:pPr>
          </w:p>
        </w:tc>
      </w:tr>
      <w:tr>
        <w:trPr>
          <w:trHeight w:val="22"/>
        </w:trPr>
        <w:tc>
          <w:tcPr>
            <w:tcW w:w="4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based compensation (issuance of zero shares of common stock)</w:t>
            </w:r>
          </w:p>
        </w:tc>
        <w:tc>
          <w:tcPr>
            <w:tcW w:w="2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0" w:type="dxa"/>
            <w:vAlign w:val="bottom"/>
          </w:tcPr>
          <w:p>
            <w:pPr>
              <w:spacing w:after="0"/>
              <w:rPr>
                <w:sz w:val="1"/>
                <w:szCs w:val="1"/>
                <w:color w:val="auto"/>
              </w:rPr>
            </w:pPr>
          </w:p>
        </w:tc>
      </w:tr>
      <w:tr>
        <w:trPr>
          <w:trHeight w:val="142"/>
        </w:trPr>
        <w:tc>
          <w:tcPr>
            <w:tcW w:w="49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Share based compensation withholding obligation (withholding of 1,237 shares of</w:t>
            </w:r>
          </w:p>
        </w:tc>
        <w:tc>
          <w:tcPr>
            <w:tcW w:w="28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86"/>
        </w:trPr>
        <w:tc>
          <w:tcPr>
            <w:tcW w:w="4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common stock)</w:t>
            </w:r>
          </w:p>
        </w:tc>
        <w:tc>
          <w:tcPr>
            <w:tcW w:w="2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2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9,257</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9,257</w:t>
            </w:r>
          </w:p>
        </w:tc>
        <w:tc>
          <w:tcPr>
            <w:tcW w:w="0" w:type="dxa"/>
            <w:vAlign w:val="bottom"/>
          </w:tcPr>
          <w:p>
            <w:pPr>
              <w:spacing w:after="0"/>
              <w:rPr>
                <w:sz w:val="1"/>
                <w:szCs w:val="1"/>
                <w:color w:val="auto"/>
              </w:rPr>
            </w:pPr>
          </w:p>
        </w:tc>
      </w:tr>
      <w:tr>
        <w:trPr>
          <w:trHeight w:val="199"/>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at September 30, 2025</w:t>
            </w:r>
          </w:p>
        </w:tc>
        <w:tc>
          <w:tcPr>
            <w:tcW w:w="28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311,770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239,602</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(60,630)</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490,742</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at January 1, 2026</w:t>
            </w:r>
          </w:p>
        </w:tc>
        <w:tc>
          <w:tcPr>
            <w:tcW w:w="28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307,845</w:t>
            </w:r>
          </w:p>
        </w:tc>
        <w:tc>
          <w:tcPr>
            <w:tcW w:w="100" w:type="dxa"/>
            <w:vAlign w:val="bottom"/>
          </w:tcPr>
          <w:p>
            <w:pPr>
              <w:spacing w:after="0"/>
              <w:rPr>
                <w:sz w:val="15"/>
                <w:szCs w:val="15"/>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252,794</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(57,688)</w:t>
            </w:r>
          </w:p>
        </w:tc>
        <w:tc>
          <w:tcPr>
            <w:tcW w:w="80" w:type="dxa"/>
            <w:vAlign w:val="bottom"/>
          </w:tcPr>
          <w:p>
            <w:pPr>
              <w:spacing w:after="0"/>
              <w:rPr>
                <w:sz w:val="15"/>
                <w:szCs w:val="15"/>
                <w:color w:val="auto"/>
              </w:rPr>
            </w:pP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502,951</w:t>
            </w:r>
          </w:p>
        </w:tc>
        <w:tc>
          <w:tcPr>
            <w:tcW w:w="0" w:type="dxa"/>
            <w:vAlign w:val="bottom"/>
          </w:tcPr>
          <w:p>
            <w:pPr>
              <w:spacing w:after="0"/>
              <w:rPr>
                <w:sz w:val="1"/>
                <w:szCs w:val="1"/>
                <w:color w:val="auto"/>
              </w:rPr>
            </w:pPr>
          </w:p>
        </w:tc>
      </w:tr>
      <w:tr>
        <w:trPr>
          <w:trHeight w:val="22"/>
        </w:trPr>
        <w:tc>
          <w:tcPr>
            <w:tcW w:w="4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nine months ended September 30, 2026</w:t>
            </w:r>
          </w:p>
        </w:tc>
        <w:tc>
          <w:tcPr>
            <w:tcW w:w="2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53,530</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53,530</w:t>
            </w:r>
          </w:p>
        </w:tc>
        <w:tc>
          <w:tcPr>
            <w:tcW w:w="0" w:type="dxa"/>
            <w:vAlign w:val="bottom"/>
          </w:tcPr>
          <w:p>
            <w:pPr>
              <w:spacing w:after="0"/>
              <w:rPr>
                <w:sz w:val="1"/>
                <w:szCs w:val="1"/>
                <w:color w:val="auto"/>
              </w:rPr>
            </w:pPr>
          </w:p>
        </w:tc>
      </w:tr>
      <w:tr>
        <w:trPr>
          <w:trHeight w:val="184"/>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dividends declared, $0.84 per share</w:t>
            </w:r>
          </w:p>
        </w:tc>
        <w:tc>
          <w:tcPr>
            <w:tcW w:w="28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(17,755)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(17,755)</w:t>
            </w:r>
          </w:p>
        </w:tc>
        <w:tc>
          <w:tcPr>
            <w:tcW w:w="0" w:type="dxa"/>
            <w:vAlign w:val="bottom"/>
          </w:tcPr>
          <w:p>
            <w:pPr>
              <w:spacing w:after="0"/>
              <w:rPr>
                <w:sz w:val="1"/>
                <w:szCs w:val="1"/>
                <w:color w:val="auto"/>
              </w:rPr>
            </w:pPr>
          </w:p>
        </w:tc>
      </w:tr>
      <w:tr>
        <w:trPr>
          <w:trHeight w:val="22"/>
        </w:trPr>
        <w:tc>
          <w:tcPr>
            <w:tcW w:w="4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 of 119,425 shares of common stock</w:t>
            </w:r>
          </w:p>
        </w:tc>
        <w:tc>
          <w:tcPr>
            <w:tcW w:w="2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(4,155)</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(4,155)</w:t>
            </w:r>
          </w:p>
        </w:tc>
        <w:tc>
          <w:tcPr>
            <w:tcW w:w="0" w:type="dxa"/>
            <w:vAlign w:val="bottom"/>
          </w:tcPr>
          <w:p>
            <w:pPr>
              <w:spacing w:after="0"/>
              <w:rPr>
                <w:sz w:val="1"/>
                <w:szCs w:val="1"/>
                <w:color w:val="auto"/>
              </w:rPr>
            </w:pPr>
          </w:p>
        </w:tc>
      </w:tr>
      <w:tr>
        <w:trPr>
          <w:trHeight w:val="184"/>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 based compensation (issuance of 100,038 shares of common stock)</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2,095</w:t>
            </w:r>
          </w:p>
        </w:tc>
        <w:tc>
          <w:tcPr>
            <w:tcW w:w="0" w:type="dxa"/>
            <w:vAlign w:val="bottom"/>
          </w:tcPr>
          <w:p>
            <w:pPr>
              <w:spacing w:after="0"/>
              <w:rPr>
                <w:sz w:val="1"/>
                <w:szCs w:val="1"/>
                <w:color w:val="auto"/>
              </w:rPr>
            </w:pPr>
          </w:p>
        </w:tc>
      </w:tr>
      <w:tr>
        <w:trPr>
          <w:trHeight w:val="22"/>
        </w:trPr>
        <w:tc>
          <w:tcPr>
            <w:tcW w:w="4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9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Share based compensation withholding obligation (withholding of 40,741 shares of</w:t>
            </w:r>
          </w:p>
        </w:tc>
        <w:tc>
          <w:tcPr>
            <w:tcW w:w="28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(1,391)</w:t>
            </w:r>
          </w:p>
        </w:tc>
        <w:tc>
          <w:tcPr>
            <w:tcW w:w="0" w:type="dxa"/>
            <w:vAlign w:val="bottom"/>
          </w:tcPr>
          <w:p>
            <w:pPr>
              <w:spacing w:after="0"/>
              <w:rPr>
                <w:sz w:val="1"/>
                <w:szCs w:val="1"/>
                <w:color w:val="auto"/>
              </w:rPr>
            </w:pPr>
          </w:p>
        </w:tc>
      </w:tr>
      <w:tr>
        <w:trPr>
          <w:trHeight w:val="193"/>
        </w:trPr>
        <w:tc>
          <w:tcPr>
            <w:tcW w:w="4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common stock)</w:t>
            </w:r>
          </w:p>
        </w:tc>
        <w:tc>
          <w:tcPr>
            <w:tcW w:w="28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issued to acquire HCB Financial Corp. (1,589,895 shares)</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57,347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57,347</w:t>
            </w:r>
          </w:p>
        </w:tc>
        <w:tc>
          <w:tcPr>
            <w:tcW w:w="0" w:type="dxa"/>
            <w:vAlign w:val="bottom"/>
          </w:tcPr>
          <w:p>
            <w:pPr>
              <w:spacing w:after="0"/>
              <w:rPr>
                <w:sz w:val="1"/>
                <w:szCs w:val="1"/>
                <w:color w:val="auto"/>
              </w:rPr>
            </w:pPr>
          </w:p>
        </w:tc>
      </w:tr>
      <w:tr>
        <w:trPr>
          <w:trHeight w:val="22"/>
        </w:trPr>
        <w:tc>
          <w:tcPr>
            <w:tcW w:w="4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2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(15,326)</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(15,326)</w:t>
            </w:r>
          </w:p>
        </w:tc>
        <w:tc>
          <w:tcPr>
            <w:tcW w:w="0" w:type="dxa"/>
            <w:vAlign w:val="bottom"/>
          </w:tcPr>
          <w:p>
            <w:pPr>
              <w:spacing w:after="0"/>
              <w:rPr>
                <w:sz w:val="1"/>
                <w:szCs w:val="1"/>
                <w:color w:val="auto"/>
              </w:rPr>
            </w:pPr>
          </w:p>
        </w:tc>
      </w:tr>
      <w:tr>
        <w:trPr>
          <w:trHeight w:val="199"/>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at September 30, 2026</w:t>
            </w:r>
          </w:p>
        </w:tc>
        <w:tc>
          <w:tcPr>
            <w:tcW w:w="28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361,741</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288,569</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(73,014)</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577,296</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at January 1, 2025</w:t>
            </w:r>
          </w:p>
        </w:tc>
        <w:tc>
          <w:tcPr>
            <w:tcW w:w="28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318,777</w:t>
            </w:r>
          </w:p>
        </w:tc>
        <w:tc>
          <w:tcPr>
            <w:tcW w:w="100" w:type="dxa"/>
            <w:vAlign w:val="bottom"/>
          </w:tcPr>
          <w:p>
            <w:pPr>
              <w:spacing w:after="0"/>
              <w:rPr>
                <w:sz w:val="15"/>
                <w:szCs w:val="15"/>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205,853</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(69,944)</w:t>
            </w:r>
          </w:p>
        </w:tc>
        <w:tc>
          <w:tcPr>
            <w:tcW w:w="80" w:type="dxa"/>
            <w:vAlign w:val="bottom"/>
          </w:tcPr>
          <w:p>
            <w:pPr>
              <w:spacing w:after="0"/>
              <w:rPr>
                <w:sz w:val="15"/>
                <w:szCs w:val="15"/>
                <w:color w:val="auto"/>
              </w:rPr>
            </w:pP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454,686</w:t>
            </w:r>
          </w:p>
        </w:tc>
        <w:tc>
          <w:tcPr>
            <w:tcW w:w="0" w:type="dxa"/>
            <w:vAlign w:val="bottom"/>
          </w:tcPr>
          <w:p>
            <w:pPr>
              <w:spacing w:after="0"/>
              <w:rPr>
                <w:sz w:val="1"/>
                <w:szCs w:val="1"/>
                <w:color w:val="auto"/>
              </w:rPr>
            </w:pPr>
          </w:p>
        </w:tc>
      </w:tr>
      <w:tr>
        <w:trPr>
          <w:trHeight w:val="22"/>
        </w:trPr>
        <w:tc>
          <w:tcPr>
            <w:tcW w:w="4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nine months ended September 30, 2025</w:t>
            </w:r>
          </w:p>
        </w:tc>
        <w:tc>
          <w:tcPr>
            <w:tcW w:w="2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49,969</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49,969</w:t>
            </w:r>
          </w:p>
        </w:tc>
        <w:tc>
          <w:tcPr>
            <w:tcW w:w="0" w:type="dxa"/>
            <w:vAlign w:val="bottom"/>
          </w:tcPr>
          <w:p>
            <w:pPr>
              <w:spacing w:after="0"/>
              <w:rPr>
                <w:sz w:val="1"/>
                <w:szCs w:val="1"/>
                <w:color w:val="auto"/>
              </w:rPr>
            </w:pPr>
          </w:p>
        </w:tc>
      </w:tr>
      <w:tr>
        <w:trPr>
          <w:trHeight w:val="184"/>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dividends declared, $0.78 per share</w:t>
            </w:r>
          </w:p>
        </w:tc>
        <w:tc>
          <w:tcPr>
            <w:tcW w:w="28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(16,220)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(16,220)</w:t>
            </w:r>
          </w:p>
        </w:tc>
        <w:tc>
          <w:tcPr>
            <w:tcW w:w="0" w:type="dxa"/>
            <w:vAlign w:val="bottom"/>
          </w:tcPr>
          <w:p>
            <w:pPr>
              <w:spacing w:after="0"/>
              <w:rPr>
                <w:sz w:val="1"/>
                <w:szCs w:val="1"/>
                <w:color w:val="auto"/>
              </w:rPr>
            </w:pPr>
          </w:p>
        </w:tc>
      </w:tr>
      <w:tr>
        <w:trPr>
          <w:trHeight w:val="22"/>
        </w:trPr>
        <w:tc>
          <w:tcPr>
            <w:tcW w:w="4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 of 266,008 shares of common stock</w:t>
            </w:r>
          </w:p>
        </w:tc>
        <w:tc>
          <w:tcPr>
            <w:tcW w:w="2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(7,770)</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(7,770)</w:t>
            </w:r>
          </w:p>
        </w:tc>
        <w:tc>
          <w:tcPr>
            <w:tcW w:w="0" w:type="dxa"/>
            <w:vAlign w:val="bottom"/>
          </w:tcPr>
          <w:p>
            <w:pPr>
              <w:spacing w:after="0"/>
              <w:rPr>
                <w:sz w:val="1"/>
                <w:szCs w:val="1"/>
                <w:color w:val="auto"/>
              </w:rPr>
            </w:pPr>
          </w:p>
        </w:tc>
      </w:tr>
      <w:tr>
        <w:trPr>
          <w:trHeight w:val="184"/>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 based compensation (issuance of 94,600 shares of common stock)</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1,968</w:t>
            </w:r>
          </w:p>
        </w:tc>
        <w:tc>
          <w:tcPr>
            <w:tcW w:w="0" w:type="dxa"/>
            <w:vAlign w:val="bottom"/>
          </w:tcPr>
          <w:p>
            <w:pPr>
              <w:spacing w:after="0"/>
              <w:rPr>
                <w:sz w:val="1"/>
                <w:szCs w:val="1"/>
                <w:color w:val="auto"/>
              </w:rPr>
            </w:pPr>
          </w:p>
        </w:tc>
      </w:tr>
      <w:tr>
        <w:trPr>
          <w:trHeight w:val="22"/>
        </w:trPr>
        <w:tc>
          <w:tcPr>
            <w:tcW w:w="4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9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Share based compensation withholding obligation (withholding of 35,495 shares of</w:t>
            </w:r>
          </w:p>
        </w:tc>
        <w:tc>
          <w:tcPr>
            <w:tcW w:w="28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(1,205)</w:t>
            </w:r>
          </w:p>
        </w:tc>
        <w:tc>
          <w:tcPr>
            <w:tcW w:w="0" w:type="dxa"/>
            <w:vAlign w:val="bottom"/>
          </w:tcPr>
          <w:p>
            <w:pPr>
              <w:spacing w:after="0"/>
              <w:rPr>
                <w:sz w:val="1"/>
                <w:szCs w:val="1"/>
                <w:color w:val="auto"/>
              </w:rPr>
            </w:pPr>
          </w:p>
        </w:tc>
      </w:tr>
      <w:tr>
        <w:trPr>
          <w:trHeight w:val="193"/>
        </w:trPr>
        <w:tc>
          <w:tcPr>
            <w:tcW w:w="4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common stock)</w:t>
            </w:r>
          </w:p>
        </w:tc>
        <w:tc>
          <w:tcPr>
            <w:tcW w:w="28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28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9,314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9,314</w:t>
            </w:r>
          </w:p>
        </w:tc>
        <w:tc>
          <w:tcPr>
            <w:tcW w:w="0" w:type="dxa"/>
            <w:vAlign w:val="bottom"/>
          </w:tcPr>
          <w:p>
            <w:pPr>
              <w:spacing w:after="0"/>
              <w:rPr>
                <w:sz w:val="1"/>
                <w:szCs w:val="1"/>
                <w:color w:val="auto"/>
              </w:rPr>
            </w:pPr>
          </w:p>
        </w:tc>
      </w:tr>
      <w:tr>
        <w:trPr>
          <w:trHeight w:val="22"/>
        </w:trPr>
        <w:tc>
          <w:tcPr>
            <w:tcW w:w="49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September 30, 2025</w:t>
            </w:r>
          </w:p>
        </w:tc>
        <w:tc>
          <w:tcPr>
            <w:tcW w:w="2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311,770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239,602</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(60,630)</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490,742</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notes to interim condensed consolidated financial statements (Unaudited)</w:t>
      </w:r>
    </w:p>
    <w:p>
      <w:pPr>
        <w:spacing w:after="0" w:line="34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174" w:lineRule="exact"/>
        <w:rPr>
          <w:sz w:val="20"/>
          <w:szCs w:val="20"/>
          <w:color w:val="auto"/>
        </w:rPr>
      </w:pPr>
    </w:p>
    <w:p>
      <w:pPr>
        <w:ind w:left="300" w:hanging="297"/>
        <w:spacing w:after="0"/>
        <w:tabs>
          <w:tab w:leader="none" w:pos="3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Preparation of Financial Statements</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interim condensed consolidated financial statements have been prepared pursuant to the rules and regulations of the Securities and Exchange Commission. Certain information and note disclosures normally included in annual financial statements prepared in accordance with U.S. generally accepted accounting principles (“GAAP”) have been condensed or omitted pursuant to those rules and regulations, although we believe that the disclosures made are adequate to make the information not misleading. The unaudited interim condensed consolidated financial statements should be read in conjunction with the audited consolidated financial statements and notes for the year ended December 31, 2025 included in our Annual Report on Form 10-K.</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our opinion, the accompanying unaudited interim condensed consolidated financial statements contain all the adjustments necessary to present fairly our consolidated financial condition as of September 30, 2026 and December 31, 2025, and the results of operations for the three and nine-month periods ended September 30, 2026 and 2025. The results of operations for the three and nine-month periods ended September 30, 2026, are not necessarily indicative of the results to be expected for the full year. Certain reclassifications have been made in the prior period interim condensed consolidated financial statements to conform to the current period presentation. Our critical accounting policies include the determination of the allowance for credit losses (“ACL”), the valuation of capitalized mortgage loan servicing rights, and the valuation of assets acquired and liabilities assumed in business combinations. Refer to our 2025 Annual Report on Form 10-K for a disclosure of our accounting policies as well as to the business combination disclosures in this report for information regarding the acquisition of HCB Financial Corp.</w:t>
      </w:r>
    </w:p>
    <w:p>
      <w:pPr>
        <w:spacing w:after="0" w:line="149" w:lineRule="exact"/>
        <w:rPr>
          <w:sz w:val="20"/>
          <w:szCs w:val="20"/>
          <w:color w:val="auto"/>
        </w:rPr>
      </w:pPr>
    </w:p>
    <w:p>
      <w:pPr>
        <w:ind w:left="300" w:hanging="297"/>
        <w:spacing w:after="0"/>
        <w:tabs>
          <w:tab w:leader="none" w:pos="3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New Accounting Standards</w:t>
      </w:r>
    </w:p>
    <w:p>
      <w:pPr>
        <w:spacing w:after="0" w:line="178" w:lineRule="exact"/>
        <w:rPr>
          <w:sz w:val="20"/>
          <w:szCs w:val="20"/>
          <w:color w:val="auto"/>
        </w:rPr>
      </w:pPr>
    </w:p>
    <w:p>
      <w:pPr>
        <w:jc w:val="both"/>
        <w:ind w:firstLine="309"/>
        <w:spacing w:after="0" w:line="260" w:lineRule="auto"/>
        <w:rPr>
          <w:sz w:val="20"/>
          <w:szCs w:val="20"/>
          <w:color w:val="auto"/>
        </w:rPr>
      </w:pPr>
      <w:r>
        <w:rPr>
          <w:rFonts w:ascii="Times New Roman" w:cs="Times New Roman" w:eastAsia="Times New Roman" w:hAnsi="Times New Roman"/>
          <w:sz w:val="17"/>
          <w:szCs w:val="17"/>
          <w:color w:val="auto"/>
        </w:rPr>
        <w:t>In December 2024, the Financial Accounting Standards Board ("FASB") issued Accounting Standards Update ("ASU") 2024-03, "Income Statement - Reporting Comprehensive Income - Expense Disaggregation Disclosures (Subtopic 220-40): Disaggregation of Income Statement Expenses". This ASU requires public business entities to disaggregate certain expense captions into specific categories in disclosures within the footnotes to the consolidated financial statements. This ASU takes effect in annual reporting periods beginning after December 15, 2026, and interim reporting periods within annual reporting periods beginning after December 15, 2027, with early adoption permitted. We do not expect the adoption of this ASU to have a material impact on our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3.  Securities</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406"/>
        </w:trPr>
        <w:tc>
          <w:tcPr>
            <w:tcW w:w="50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Securities available for sale (“AFS”) consist of the following:</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51"/>
        </w:trPr>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Amortized</w:t>
            </w: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ind w:right="54"/>
              <w:spacing w:after="0"/>
              <w:rPr>
                <w:sz w:val="20"/>
                <w:szCs w:val="20"/>
                <w:color w:val="auto"/>
              </w:rPr>
            </w:pPr>
            <w:r>
              <w:rPr>
                <w:rFonts w:ascii="Times New Roman" w:cs="Times New Roman" w:eastAsia="Times New Roman" w:hAnsi="Times New Roman"/>
                <w:sz w:val="17"/>
                <w:szCs w:val="17"/>
                <w:color w:val="auto"/>
              </w:rPr>
              <w:t>Unrealized</w:t>
            </w:r>
          </w:p>
        </w:tc>
        <w:tc>
          <w:tcPr>
            <w:tcW w:w="10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8"/>
        </w:trPr>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Cost</w:t>
            </w: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7"/>
                <w:szCs w:val="17"/>
                <w:color w:val="auto"/>
              </w:rPr>
              <w:t>Gains</w:t>
            </w: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7"/>
                <w:szCs w:val="17"/>
                <w:color w:val="auto"/>
              </w:rPr>
              <w:t>Losses</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Fair Value</w:t>
            </w:r>
          </w:p>
        </w:tc>
      </w:tr>
      <w:tr>
        <w:trPr>
          <w:trHeight w:val="225"/>
        </w:trPr>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(In thousands)</w:t>
            </w: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2"/>
        </w:trPr>
        <w:tc>
          <w:tcPr>
            <w:tcW w:w="50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September 30, 2026</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32"/>
        </w:trPr>
        <w:tc>
          <w:tcPr>
            <w:tcW w:w="5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U.S. agency</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9,811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9,313</w:t>
            </w:r>
          </w:p>
        </w:tc>
      </w:tr>
      <w:tr>
        <w:trPr>
          <w:trHeight w:val="232"/>
        </w:trPr>
        <w:tc>
          <w:tcPr>
            <w:tcW w:w="50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U.S. agency residential mortgage-backed</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9,211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90,847</w:t>
            </w:r>
          </w:p>
        </w:tc>
      </w:tr>
      <w:tr>
        <w:trPr>
          <w:trHeight w:val="232"/>
        </w:trPr>
        <w:tc>
          <w:tcPr>
            <w:tcW w:w="5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U.S. agency commercial mortgage-backed</w:t>
            </w: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6,842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934</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5,908</w:t>
            </w:r>
          </w:p>
        </w:tc>
      </w:tr>
      <w:tr>
        <w:trPr>
          <w:trHeight w:val="232"/>
        </w:trPr>
        <w:tc>
          <w:tcPr>
            <w:tcW w:w="50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Private label mortgage-backed</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28,943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26,440</w:t>
            </w:r>
          </w:p>
        </w:tc>
      </w:tr>
      <w:tr>
        <w:trPr>
          <w:trHeight w:val="232"/>
        </w:trPr>
        <w:tc>
          <w:tcPr>
            <w:tcW w:w="5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asset backed</w:t>
            </w: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94,318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93,851</w:t>
            </w:r>
          </w:p>
        </w:tc>
      </w:tr>
      <w:tr>
        <w:trPr>
          <w:trHeight w:val="232"/>
        </w:trPr>
        <w:tc>
          <w:tcPr>
            <w:tcW w:w="50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Obligations of states and political subdivisions</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311,419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54,286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257,133</w:t>
            </w:r>
          </w:p>
        </w:tc>
      </w:tr>
      <w:tr>
        <w:trPr>
          <w:trHeight w:val="232"/>
        </w:trPr>
        <w:tc>
          <w:tcPr>
            <w:tcW w:w="5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Corporate</w:t>
            </w: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36,836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1,821</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35,144</w:t>
            </w:r>
          </w:p>
        </w:tc>
      </w:tr>
      <w:tr>
        <w:trPr>
          <w:trHeight w:val="232"/>
        </w:trPr>
        <w:tc>
          <w:tcPr>
            <w:tcW w:w="50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Trust preferred</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980</w:t>
            </w:r>
          </w:p>
        </w:tc>
      </w:tr>
      <w:tr>
        <w:trPr>
          <w:trHeight w:val="250"/>
        </w:trPr>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47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589,169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70,046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519,616</w:t>
            </w:r>
          </w:p>
        </w:tc>
      </w:tr>
      <w:tr>
        <w:trPr>
          <w:trHeight w:val="20"/>
        </w:trPr>
        <w:tc>
          <w:tcPr>
            <w:tcW w:w="5040" w:type="dxa"/>
            <w:vAlign w:val="bottom"/>
            <w:tcBorders>
              <w:top w:val="single" w:sz="8" w:color="CCEEFF"/>
            </w:tcBorders>
            <w:gridSpan w:val="3"/>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36"/>
        </w:trPr>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32"/>
        </w:trPr>
        <w:tc>
          <w:tcPr>
            <w:tcW w:w="5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December 31, 2025</w:t>
            </w: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71"/>
        </w:trPr>
        <w:tc>
          <w:tcPr>
            <w:tcW w:w="50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U.S. agency</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8,320</w:t>
            </w:r>
          </w:p>
        </w:tc>
        <w:tc>
          <w:tcPr>
            <w:tcW w:w="100" w:type="dxa"/>
            <w:vAlign w:val="bottom"/>
          </w:tcPr>
          <w:p>
            <w:pPr>
              <w:spacing w:after="0"/>
              <w:rPr>
                <w:sz w:val="23"/>
                <w:szCs w:val="23"/>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23"/>
                <w:szCs w:val="23"/>
                <w:color w:val="auto"/>
              </w:rPr>
            </w:pPr>
          </w:p>
        </w:tc>
        <w:tc>
          <w:tcPr>
            <w:tcW w:w="48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w:t>
            </w:r>
          </w:p>
        </w:tc>
        <w:tc>
          <w:tcPr>
            <w:tcW w:w="80" w:type="dxa"/>
            <w:vAlign w:val="bottom"/>
          </w:tcPr>
          <w:p>
            <w:pPr>
              <w:spacing w:after="0"/>
              <w:rPr>
                <w:sz w:val="23"/>
                <w:szCs w:val="23"/>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7,917</w:t>
            </w:r>
          </w:p>
        </w:tc>
      </w:tr>
      <w:tr>
        <w:trPr>
          <w:trHeight w:val="271"/>
        </w:trPr>
        <w:tc>
          <w:tcPr>
            <w:tcW w:w="5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U.S. agency residential mortgage-backed</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87,435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6,506</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81,065</w:t>
            </w:r>
          </w:p>
        </w:tc>
      </w:tr>
      <w:tr>
        <w:trPr>
          <w:trHeight w:val="271"/>
        </w:trPr>
        <w:tc>
          <w:tcPr>
            <w:tcW w:w="50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U.S. agency commercial mortgage-backed</w:t>
            </w: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8,039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853</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7,186</w:t>
            </w:r>
          </w:p>
        </w:tc>
      </w:tr>
      <w:tr>
        <w:trPr>
          <w:trHeight w:val="271"/>
        </w:trPr>
        <w:tc>
          <w:tcPr>
            <w:tcW w:w="5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Private label mortgage-backed</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42,689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2,443</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40,506</w:t>
            </w:r>
          </w:p>
        </w:tc>
      </w:tr>
      <w:tr>
        <w:trPr>
          <w:trHeight w:val="271"/>
        </w:trPr>
        <w:tc>
          <w:tcPr>
            <w:tcW w:w="50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Other asset backed</w:t>
            </w: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30,633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479</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30,185</w:t>
            </w:r>
          </w:p>
        </w:tc>
      </w:tr>
      <w:tr>
        <w:trPr>
          <w:trHeight w:val="271"/>
        </w:trPr>
        <w:tc>
          <w:tcPr>
            <w:tcW w:w="5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Obligations of states and political subdivisions</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319,402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39,000</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280,402</w:t>
            </w:r>
          </w:p>
        </w:tc>
      </w:tr>
      <w:tr>
        <w:trPr>
          <w:trHeight w:val="271"/>
        </w:trPr>
        <w:tc>
          <w:tcPr>
            <w:tcW w:w="50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Corporate</w:t>
            </w: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49,355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1,696</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47,661</w:t>
            </w:r>
          </w:p>
        </w:tc>
      </w:tr>
      <w:tr>
        <w:trPr>
          <w:trHeight w:val="271"/>
        </w:trPr>
        <w:tc>
          <w:tcPr>
            <w:tcW w:w="5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Trust preferred</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987</w:t>
            </w:r>
          </w:p>
        </w:tc>
      </w:tr>
      <w:tr>
        <w:trPr>
          <w:trHeight w:val="225"/>
        </w:trPr>
        <w:tc>
          <w:tcPr>
            <w:tcW w:w="300" w:type="dxa"/>
            <w:vAlign w:val="bottom"/>
          </w:tcPr>
          <w:p>
            <w:pPr>
              <w:spacing w:after="0"/>
              <w:rPr>
                <w:sz w:val="19"/>
                <w:szCs w:val="19"/>
                <w:color w:val="auto"/>
              </w:rPr>
            </w:pPr>
          </w:p>
        </w:tc>
        <w:tc>
          <w:tcPr>
            <w:tcW w:w="4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546,863</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430</w:t>
            </w:r>
          </w:p>
        </w:tc>
        <w:tc>
          <w:tcPr>
            <w:tcW w:w="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51,384</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495,909</w:t>
            </w:r>
          </w:p>
        </w:tc>
      </w:tr>
      <w:tr>
        <w:trPr>
          <w:trHeight w:val="20"/>
        </w:trPr>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856"/>
        </w:trPr>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center"/>
              <w:ind w:right="154"/>
              <w:spacing w:after="0"/>
              <w:rPr>
                <w:sz w:val="20"/>
                <w:szCs w:val="20"/>
                <w:color w:val="auto"/>
              </w:rPr>
            </w:pPr>
            <w:r>
              <w:rPr>
                <w:rFonts w:ascii="Times New Roman" w:cs="Times New Roman" w:eastAsia="Times New Roman" w:hAnsi="Times New Roman"/>
                <w:sz w:val="17"/>
                <w:szCs w:val="17"/>
                <w:color w:val="auto"/>
                <w:w w:val="93"/>
              </w:rPr>
              <w:t>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08"/>
        </w:trPr>
        <w:tc>
          <w:tcPr>
            <w:tcW w:w="3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40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Securities held to maturity (“HTM”) consist of the following:</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8"/>
              </w:rPr>
              <w:t>Transferred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gridSpan w:val="4"/>
            <w:vMerge w:val="restart"/>
          </w:tcPr>
          <w:p>
            <w:pPr>
              <w:ind w:left="460"/>
              <w:spacing w:after="0"/>
              <w:rPr>
                <w:sz w:val="20"/>
                <w:szCs w:val="20"/>
                <w:color w:val="auto"/>
              </w:rPr>
            </w:pPr>
            <w:r>
              <w:rPr>
                <w:rFonts w:ascii="Times New Roman" w:cs="Times New Roman" w:eastAsia="Times New Roman" w:hAnsi="Times New Roman"/>
                <w:sz w:val="17"/>
                <w:szCs w:val="17"/>
                <w:color w:val="auto"/>
              </w:rPr>
              <w:t>Unrecognized</w:t>
            </w:r>
          </w:p>
        </w:tc>
        <w:tc>
          <w:tcPr>
            <w:tcW w:w="100" w:type="dxa"/>
            <w:vAlign w:val="bottom"/>
            <w:vMerge w:val="restart"/>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280"/>
              <w:spacing w:after="0" w:line="151" w:lineRule="exact"/>
              <w:rPr>
                <w:sz w:val="20"/>
                <w:szCs w:val="20"/>
                <w:color w:val="auto"/>
              </w:rPr>
            </w:pPr>
            <w:r>
              <w:rPr>
                <w:rFonts w:ascii="Times New Roman" w:cs="Times New Roman" w:eastAsia="Times New Roman" w:hAnsi="Times New Roman"/>
                <w:sz w:val="17"/>
                <w:szCs w:val="17"/>
                <w:color w:val="auto"/>
                <w:w w:val="99"/>
              </w:rPr>
              <w:t>Carrying</w:t>
            </w:r>
          </w:p>
        </w:tc>
        <w:tc>
          <w:tcPr>
            <w:tcW w:w="180" w:type="dxa"/>
            <w:vAlign w:val="bottom"/>
          </w:tcPr>
          <w:p>
            <w:pPr>
              <w:spacing w:after="0"/>
              <w:rPr>
                <w:sz w:val="14"/>
                <w:szCs w:val="14"/>
                <w:color w:val="auto"/>
              </w:rPr>
            </w:pPr>
          </w:p>
        </w:tc>
        <w:tc>
          <w:tcPr>
            <w:tcW w:w="1260" w:type="dxa"/>
            <w:vAlign w:val="bottom"/>
            <w:gridSpan w:val="2"/>
          </w:tcPr>
          <w:p>
            <w:pPr>
              <w:jc w:val="center"/>
              <w:ind w:right="280"/>
              <w:spacing w:after="0" w:line="151" w:lineRule="exact"/>
              <w:rPr>
                <w:sz w:val="20"/>
                <w:szCs w:val="20"/>
                <w:color w:val="auto"/>
              </w:rPr>
            </w:pPr>
            <w:r>
              <w:rPr>
                <w:rFonts w:ascii="Times New Roman" w:cs="Times New Roman" w:eastAsia="Times New Roman" w:hAnsi="Times New Roman"/>
                <w:sz w:val="17"/>
                <w:szCs w:val="17"/>
                <w:color w:val="auto"/>
                <w:w w:val="99"/>
              </w:rPr>
              <w:t>Unrealized</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line="151" w:lineRule="exact"/>
              <w:rPr>
                <w:sz w:val="20"/>
                <w:szCs w:val="20"/>
                <w:color w:val="auto"/>
              </w:rPr>
            </w:pPr>
            <w:r>
              <w:rPr>
                <w:rFonts w:ascii="Times New Roman" w:cs="Times New Roman" w:eastAsia="Times New Roman" w:hAnsi="Times New Roman"/>
                <w:sz w:val="17"/>
                <w:szCs w:val="17"/>
                <w:color w:val="auto"/>
              </w:rPr>
              <w:t>Amortized</w:t>
            </w:r>
          </w:p>
        </w:tc>
        <w:tc>
          <w:tcPr>
            <w:tcW w:w="2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8"/>
              </w:rPr>
              <w:t>Value</w:t>
            </w:r>
          </w:p>
        </w:tc>
        <w:tc>
          <w:tcPr>
            <w:tcW w:w="180" w:type="dxa"/>
            <w:vAlign w:val="bottom"/>
          </w:tcPr>
          <w:p>
            <w:pPr>
              <w:spacing w:after="0"/>
              <w:rPr>
                <w:sz w:val="20"/>
                <w:szCs w:val="20"/>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Loss (1)</w:t>
            </w:r>
          </w:p>
        </w:tc>
        <w:tc>
          <w:tcPr>
            <w:tcW w:w="240" w:type="dxa"/>
            <w:vAlign w:val="bottom"/>
          </w:tcPr>
          <w:p>
            <w:pPr>
              <w:spacing w:after="0"/>
              <w:rPr>
                <w:sz w:val="20"/>
                <w:szCs w:val="20"/>
                <w:color w:val="auto"/>
              </w:rPr>
            </w:pPr>
          </w:p>
        </w:tc>
        <w:tc>
          <w:tcPr>
            <w:tcW w:w="8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ACL</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Cost</w:t>
            </w:r>
          </w:p>
        </w:tc>
        <w:tc>
          <w:tcPr>
            <w:tcW w:w="22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Gains</w:t>
            </w:r>
          </w:p>
        </w:tc>
        <w:tc>
          <w:tcPr>
            <w:tcW w:w="22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Losses</w:t>
            </w:r>
          </w:p>
        </w:tc>
        <w:tc>
          <w:tcPr>
            <w:tcW w:w="140" w:type="dxa"/>
            <w:vAlign w:val="bottom"/>
          </w:tcPr>
          <w:p>
            <w:pPr>
              <w:spacing w:after="0"/>
              <w:rPr>
                <w:sz w:val="20"/>
                <w:szCs w:val="20"/>
                <w:color w:val="auto"/>
              </w:rPr>
            </w:pP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Fair Value</w:t>
            </w:r>
          </w:p>
        </w:tc>
        <w:tc>
          <w:tcPr>
            <w:tcW w:w="0" w:type="dxa"/>
            <w:vAlign w:val="bottom"/>
          </w:tcPr>
          <w:p>
            <w:pPr>
              <w:spacing w:after="0"/>
              <w:rPr>
                <w:sz w:val="1"/>
                <w:szCs w:val="1"/>
                <w:color w:val="auto"/>
              </w:rPr>
            </w:pPr>
          </w:p>
        </w:tc>
      </w:tr>
      <w:tr>
        <w:trPr>
          <w:trHeight w:val="25"/>
        </w:trPr>
        <w:tc>
          <w:tcPr>
            <w:tcW w:w="2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2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rPr>
              <w:t>(In thousands)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September 30, 2026</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U.S. agency</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21,184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22,281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18,081</w:t>
            </w:r>
          </w:p>
        </w:tc>
        <w:tc>
          <w:tcPr>
            <w:tcW w:w="0" w:type="dxa"/>
            <w:vAlign w:val="bottom"/>
          </w:tcPr>
          <w:p>
            <w:pPr>
              <w:spacing w:after="0"/>
              <w:rPr>
                <w:sz w:val="1"/>
                <w:szCs w:val="1"/>
                <w:color w:val="auto"/>
              </w:rPr>
            </w:pPr>
          </w:p>
        </w:tc>
      </w:tr>
      <w:tr>
        <w:trPr>
          <w:trHeight w:val="180"/>
        </w:trPr>
        <w:tc>
          <w:tcPr>
            <w:tcW w:w="2560" w:type="dxa"/>
            <w:vAlign w:val="bottom"/>
          </w:tcPr>
          <w:p>
            <w:pPr>
              <w:ind w:left="180"/>
              <w:spacing w:after="0" w:line="181" w:lineRule="exact"/>
              <w:rPr>
                <w:sz w:val="20"/>
                <w:szCs w:val="20"/>
                <w:color w:val="auto"/>
              </w:rPr>
            </w:pPr>
            <w:r>
              <w:rPr>
                <w:rFonts w:ascii="Times New Roman" w:cs="Times New Roman" w:eastAsia="Times New Roman" w:hAnsi="Times New Roman"/>
                <w:sz w:val="17"/>
                <w:szCs w:val="17"/>
                <w:color w:val="auto"/>
              </w:rPr>
              <w:t>U.S. agency residential mortgage-</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5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backed</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87,424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7,011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94,435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22,482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71,953</w:t>
            </w:r>
          </w:p>
        </w:tc>
        <w:tc>
          <w:tcPr>
            <w:tcW w:w="0" w:type="dxa"/>
            <w:vAlign w:val="bottom"/>
          </w:tcPr>
          <w:p>
            <w:pPr>
              <w:spacing w:after="0"/>
              <w:rPr>
                <w:sz w:val="1"/>
                <w:szCs w:val="1"/>
                <w:color w:val="auto"/>
              </w:rPr>
            </w:pPr>
          </w:p>
        </w:tc>
      </w:tr>
      <w:tr>
        <w:trPr>
          <w:trHeight w:val="180"/>
        </w:trPr>
        <w:tc>
          <w:tcPr>
            <w:tcW w:w="256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7"/>
                <w:szCs w:val="17"/>
                <w:color w:val="auto"/>
              </w:rPr>
              <w:t>U.S. agency commercial</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mortgage-backed</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2,869</w:t>
            </w:r>
          </w:p>
        </w:tc>
        <w:tc>
          <w:tcPr>
            <w:tcW w:w="0" w:type="dxa"/>
            <w:vAlign w:val="bottom"/>
          </w:tcPr>
          <w:p>
            <w:pPr>
              <w:spacing w:after="0"/>
              <w:rPr>
                <w:sz w:val="1"/>
                <w:szCs w:val="1"/>
                <w:color w:val="auto"/>
              </w:rPr>
            </w:pPr>
          </w:p>
        </w:tc>
      </w:tr>
      <w:tr>
        <w:trPr>
          <w:trHeight w:val="232"/>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Private label mortgage-backed</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4,554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4,422</w:t>
            </w:r>
          </w:p>
        </w:tc>
        <w:tc>
          <w:tcPr>
            <w:tcW w:w="0" w:type="dxa"/>
            <w:vAlign w:val="bottom"/>
          </w:tcPr>
          <w:p>
            <w:pPr>
              <w:spacing w:after="0"/>
              <w:rPr>
                <w:sz w:val="1"/>
                <w:szCs w:val="1"/>
                <w:color w:val="auto"/>
              </w:rPr>
            </w:pPr>
          </w:p>
        </w:tc>
      </w:tr>
      <w:tr>
        <w:trPr>
          <w:trHeight w:val="180"/>
        </w:trPr>
        <w:tc>
          <w:tcPr>
            <w:tcW w:w="256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7"/>
                <w:szCs w:val="17"/>
                <w:color w:val="auto"/>
              </w:rPr>
              <w:t>Obligations of states and political</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subdivisions</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156,713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159,450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19,861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139,603</w:t>
            </w:r>
          </w:p>
        </w:tc>
        <w:tc>
          <w:tcPr>
            <w:tcW w:w="0" w:type="dxa"/>
            <w:vAlign w:val="bottom"/>
          </w:tcPr>
          <w:p>
            <w:pPr>
              <w:spacing w:after="0"/>
              <w:rPr>
                <w:sz w:val="1"/>
                <w:szCs w:val="1"/>
                <w:color w:val="auto"/>
              </w:rPr>
            </w:pPr>
          </w:p>
        </w:tc>
      </w:tr>
      <w:tr>
        <w:trPr>
          <w:trHeight w:val="232"/>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Corporate</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18,944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18,983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18,321</w:t>
            </w:r>
          </w:p>
        </w:tc>
        <w:tc>
          <w:tcPr>
            <w:tcW w:w="0" w:type="dxa"/>
            <w:vAlign w:val="bottom"/>
          </w:tcPr>
          <w:p>
            <w:pPr>
              <w:spacing w:after="0"/>
              <w:rPr>
                <w:sz w:val="1"/>
                <w:szCs w:val="1"/>
                <w:color w:val="auto"/>
              </w:rPr>
            </w:pPr>
          </w:p>
        </w:tc>
      </w:tr>
      <w:tr>
        <w:trPr>
          <w:trHeight w:val="232"/>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Trust preferred</w:t>
            </w:r>
          </w:p>
        </w:tc>
        <w:tc>
          <w:tcPr>
            <w:tcW w:w="2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963</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225"/>
        </w:trPr>
        <w:tc>
          <w:tcPr>
            <w:tcW w:w="25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Total</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292,884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10,914</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303,859</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47,624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256,249</w:t>
            </w:r>
          </w:p>
        </w:tc>
        <w:tc>
          <w:tcPr>
            <w:tcW w:w="0" w:type="dxa"/>
            <w:vAlign w:val="bottom"/>
          </w:tcPr>
          <w:p>
            <w:pPr>
              <w:spacing w:after="0"/>
              <w:rPr>
                <w:sz w:val="1"/>
                <w:szCs w:val="1"/>
                <w:color w:val="auto"/>
              </w:rPr>
            </w:pPr>
          </w:p>
        </w:tc>
      </w:tr>
      <w:tr>
        <w:trPr>
          <w:trHeight w:val="20"/>
        </w:trPr>
        <w:tc>
          <w:tcPr>
            <w:tcW w:w="25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December 31, 2025</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U.S. agency</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22,446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23,666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19,833</w:t>
            </w:r>
          </w:p>
        </w:tc>
        <w:tc>
          <w:tcPr>
            <w:tcW w:w="0" w:type="dxa"/>
            <w:vAlign w:val="bottom"/>
          </w:tcPr>
          <w:p>
            <w:pPr>
              <w:spacing w:after="0"/>
              <w:rPr>
                <w:sz w:val="1"/>
                <w:szCs w:val="1"/>
                <w:color w:val="auto"/>
              </w:rPr>
            </w:pPr>
          </w:p>
        </w:tc>
      </w:tr>
      <w:tr>
        <w:trPr>
          <w:trHeight w:val="180"/>
        </w:trPr>
        <w:tc>
          <w:tcPr>
            <w:tcW w:w="2560" w:type="dxa"/>
            <w:vAlign w:val="bottom"/>
          </w:tcPr>
          <w:p>
            <w:pPr>
              <w:ind w:left="180"/>
              <w:spacing w:after="0" w:line="181" w:lineRule="exact"/>
              <w:rPr>
                <w:sz w:val="20"/>
                <w:szCs w:val="20"/>
                <w:color w:val="auto"/>
              </w:rPr>
            </w:pPr>
            <w:r>
              <w:rPr>
                <w:rFonts w:ascii="Times New Roman" w:cs="Times New Roman" w:eastAsia="Times New Roman" w:hAnsi="Times New Roman"/>
                <w:sz w:val="17"/>
                <w:szCs w:val="17"/>
                <w:color w:val="auto"/>
              </w:rPr>
              <w:t>U.S. agency residential mortgage-</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5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backed</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92,900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7,688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100,588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81,251</w:t>
            </w:r>
          </w:p>
        </w:tc>
        <w:tc>
          <w:tcPr>
            <w:tcW w:w="0" w:type="dxa"/>
            <w:vAlign w:val="bottom"/>
          </w:tcPr>
          <w:p>
            <w:pPr>
              <w:spacing w:after="0"/>
              <w:rPr>
                <w:sz w:val="1"/>
                <w:szCs w:val="1"/>
                <w:color w:val="auto"/>
              </w:rPr>
            </w:pPr>
          </w:p>
        </w:tc>
      </w:tr>
      <w:tr>
        <w:trPr>
          <w:trHeight w:val="180"/>
        </w:trPr>
        <w:tc>
          <w:tcPr>
            <w:tcW w:w="256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7"/>
                <w:szCs w:val="17"/>
                <w:color w:val="auto"/>
              </w:rPr>
              <w:t>U.S. agency commercial</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mortgage-backed</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3,547</w:t>
            </w:r>
          </w:p>
        </w:tc>
        <w:tc>
          <w:tcPr>
            <w:tcW w:w="0" w:type="dxa"/>
            <w:vAlign w:val="bottom"/>
          </w:tcPr>
          <w:p>
            <w:pPr>
              <w:spacing w:after="0"/>
              <w:rPr>
                <w:sz w:val="1"/>
                <w:szCs w:val="1"/>
                <w:color w:val="auto"/>
              </w:rPr>
            </w:pPr>
          </w:p>
        </w:tc>
      </w:tr>
      <w:tr>
        <w:trPr>
          <w:trHeight w:val="232"/>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Private label mortgage-backed</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7,294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7,376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7,104</w:t>
            </w:r>
          </w:p>
        </w:tc>
        <w:tc>
          <w:tcPr>
            <w:tcW w:w="0" w:type="dxa"/>
            <w:vAlign w:val="bottom"/>
          </w:tcPr>
          <w:p>
            <w:pPr>
              <w:spacing w:after="0"/>
              <w:rPr>
                <w:sz w:val="1"/>
                <w:szCs w:val="1"/>
                <w:color w:val="auto"/>
              </w:rPr>
            </w:pPr>
          </w:p>
        </w:tc>
      </w:tr>
      <w:tr>
        <w:trPr>
          <w:trHeight w:val="180"/>
        </w:trPr>
        <w:tc>
          <w:tcPr>
            <w:tcW w:w="256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7"/>
                <w:szCs w:val="17"/>
                <w:color w:val="auto"/>
              </w:rPr>
              <w:t>Obligations of states and political</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subdivisions</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149,915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153,651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36</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14,278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139,409</w:t>
            </w:r>
          </w:p>
        </w:tc>
        <w:tc>
          <w:tcPr>
            <w:tcW w:w="0" w:type="dxa"/>
            <w:vAlign w:val="bottom"/>
          </w:tcPr>
          <w:p>
            <w:pPr>
              <w:spacing w:after="0"/>
              <w:rPr>
                <w:sz w:val="1"/>
                <w:szCs w:val="1"/>
                <w:color w:val="auto"/>
              </w:rPr>
            </w:pPr>
          </w:p>
        </w:tc>
      </w:tr>
      <w:tr>
        <w:trPr>
          <w:trHeight w:val="232"/>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Corporate</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32,276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30,686</w:t>
            </w:r>
          </w:p>
        </w:tc>
        <w:tc>
          <w:tcPr>
            <w:tcW w:w="0" w:type="dxa"/>
            <w:vAlign w:val="bottom"/>
          </w:tcPr>
          <w:p>
            <w:pPr>
              <w:spacing w:after="0"/>
              <w:rPr>
                <w:sz w:val="1"/>
                <w:szCs w:val="1"/>
                <w:color w:val="auto"/>
              </w:rPr>
            </w:pPr>
          </w:p>
        </w:tc>
      </w:tr>
      <w:tr>
        <w:trPr>
          <w:trHeight w:val="232"/>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Trust preferred</w:t>
            </w:r>
          </w:p>
        </w:tc>
        <w:tc>
          <w:tcPr>
            <w:tcW w:w="2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958</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225"/>
        </w:trPr>
        <w:tc>
          <w:tcPr>
            <w:tcW w:w="25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Total</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309,523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12,982</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322,597</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36</w:t>
            </w:r>
          </w:p>
        </w:tc>
        <w:tc>
          <w:tcPr>
            <w:tcW w:w="8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39,803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282,830</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ind w:left="300" w:hanging="297"/>
        <w:spacing w:after="0"/>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remaining unrealized loss to be accreted on securities that were transferred from AFS to HTM on April 1, 2022.</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77" w:lineRule="exact"/>
        <w:rPr>
          <w:rFonts w:ascii="Times New Roman" w:cs="Times New Roman" w:eastAsia="Times New Roman" w:hAnsi="Times New Roman"/>
          <w:sz w:val="17"/>
          <w:szCs w:val="17"/>
          <w:color w:val="auto"/>
        </w:rPr>
      </w:pPr>
    </w:p>
    <w:p>
      <w:pPr>
        <w:ind w:left="57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Our investments' gross unrealized losses and fair values for securities AFS aggregated by investment type and length of time that individual securities have been at a continuous unrealized loss position follows:</w:t>
      </w:r>
    </w:p>
    <w:p>
      <w:pPr>
        <w:spacing w:after="0" w:line="177" w:lineRule="exact"/>
        <w:rPr>
          <w:sz w:val="20"/>
          <w:szCs w:val="20"/>
          <w:color w:val="auto"/>
        </w:rPr>
      </w:pPr>
    </w:p>
    <w:tbl>
      <w:tblPr>
        <w:tblLayout w:type="fixed"/>
        <w:tblInd w:w="2680" w:type="dxa"/>
        <w:tblCellMar>
          <w:top w:w="0" w:type="dxa"/>
          <w:left w:w="0" w:type="dxa"/>
          <w:bottom w:w="0" w:type="dxa"/>
          <w:right w:w="0" w:type="dxa"/>
        </w:tblCellMar>
      </w:tblPr>
      <w:tr>
        <w:trPr>
          <w:trHeight w:val="223"/>
        </w:trPr>
        <w:tc>
          <w:tcPr>
            <w:tcW w:w="278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7"/>
                <w:szCs w:val="17"/>
                <w:color w:val="auto"/>
              </w:rPr>
              <w:t>Less Than Twelve Months</w:t>
            </w:r>
          </w:p>
        </w:tc>
        <w:tc>
          <w:tcPr>
            <w:tcW w:w="100" w:type="dxa"/>
            <w:vAlign w:val="bottom"/>
          </w:tcPr>
          <w:p>
            <w:pPr>
              <w:spacing w:after="0"/>
              <w:rPr>
                <w:sz w:val="19"/>
                <w:szCs w:val="19"/>
                <w:color w:val="auto"/>
              </w:rPr>
            </w:pPr>
          </w:p>
        </w:tc>
        <w:tc>
          <w:tcPr>
            <w:tcW w:w="280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7"/>
                <w:szCs w:val="17"/>
                <w:color w:val="auto"/>
              </w:rPr>
              <w:t>Twelve Months or More</w:t>
            </w:r>
          </w:p>
        </w:tc>
        <w:tc>
          <w:tcPr>
            <w:tcW w:w="8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Total</w:t>
            </w:r>
          </w:p>
        </w:tc>
      </w:tr>
      <w:tr>
        <w:trPr>
          <w:trHeight w:val="173"/>
        </w:trPr>
        <w:tc>
          <w:tcPr>
            <w:tcW w:w="1380" w:type="dxa"/>
            <w:vAlign w:val="bottom"/>
          </w:tcPr>
          <w:p>
            <w:pPr>
              <w:spacing w:after="0"/>
              <w:rPr>
                <w:sz w:val="15"/>
                <w:szCs w:val="15"/>
                <w:color w:val="auto"/>
              </w:rPr>
            </w:pPr>
          </w:p>
        </w:tc>
        <w:tc>
          <w:tcPr>
            <w:tcW w:w="1500" w:type="dxa"/>
            <w:vAlign w:val="bottom"/>
            <w:gridSpan w:val="2"/>
          </w:tcPr>
          <w:p>
            <w:pPr>
              <w:jc w:val="center"/>
              <w:ind w:right="40"/>
              <w:spacing w:after="0" w:line="173" w:lineRule="exact"/>
              <w:rPr>
                <w:sz w:val="20"/>
                <w:szCs w:val="20"/>
                <w:color w:val="auto"/>
              </w:rPr>
            </w:pPr>
            <w:r>
              <w:rPr>
                <w:rFonts w:ascii="Times New Roman" w:cs="Times New Roman" w:eastAsia="Times New Roman" w:hAnsi="Times New Roman"/>
                <w:sz w:val="17"/>
                <w:szCs w:val="17"/>
                <w:color w:val="auto"/>
                <w:w w:val="99"/>
              </w:rPr>
              <w:t>Unrealized</w:t>
            </w:r>
          </w:p>
        </w:tc>
        <w:tc>
          <w:tcPr>
            <w:tcW w:w="1380" w:type="dxa"/>
            <w:vAlign w:val="bottom"/>
          </w:tcPr>
          <w:p>
            <w:pPr>
              <w:spacing w:after="0"/>
              <w:rPr>
                <w:sz w:val="15"/>
                <w:szCs w:val="15"/>
                <w:color w:val="auto"/>
              </w:rPr>
            </w:pPr>
          </w:p>
        </w:tc>
        <w:tc>
          <w:tcPr>
            <w:tcW w:w="1500" w:type="dxa"/>
            <w:vAlign w:val="bottom"/>
            <w:gridSpan w:val="2"/>
          </w:tcPr>
          <w:p>
            <w:pPr>
              <w:jc w:val="center"/>
              <w:ind w:right="20"/>
              <w:spacing w:after="0" w:line="173" w:lineRule="exact"/>
              <w:rPr>
                <w:sz w:val="20"/>
                <w:szCs w:val="20"/>
                <w:color w:val="auto"/>
              </w:rPr>
            </w:pPr>
            <w:r>
              <w:rPr>
                <w:rFonts w:ascii="Times New Roman" w:cs="Times New Roman" w:eastAsia="Times New Roman" w:hAnsi="Times New Roman"/>
                <w:sz w:val="17"/>
                <w:szCs w:val="17"/>
                <w:color w:val="auto"/>
              </w:rPr>
              <w:t>Unrealized</w:t>
            </w:r>
          </w:p>
        </w:tc>
        <w:tc>
          <w:tcPr>
            <w:tcW w:w="1140" w:type="dxa"/>
            <w:vAlign w:val="bottom"/>
          </w:tcPr>
          <w:p>
            <w:pPr>
              <w:spacing w:after="0"/>
              <w:rPr>
                <w:sz w:val="15"/>
                <w:szCs w:val="15"/>
                <w:color w:val="auto"/>
              </w:rPr>
            </w:pPr>
          </w:p>
        </w:tc>
        <w:tc>
          <w:tcPr>
            <w:tcW w:w="1660" w:type="dxa"/>
            <w:vAlign w:val="bottom"/>
          </w:tcPr>
          <w:p>
            <w:pPr>
              <w:jc w:val="center"/>
              <w:ind w:left="234"/>
              <w:spacing w:after="0" w:line="173" w:lineRule="exact"/>
              <w:rPr>
                <w:sz w:val="20"/>
                <w:szCs w:val="20"/>
                <w:color w:val="auto"/>
              </w:rPr>
            </w:pPr>
            <w:r>
              <w:rPr>
                <w:rFonts w:ascii="Times New Roman" w:cs="Times New Roman" w:eastAsia="Times New Roman" w:hAnsi="Times New Roman"/>
                <w:sz w:val="17"/>
                <w:szCs w:val="17"/>
                <w:color w:val="auto"/>
                <w:w w:val="99"/>
              </w:rPr>
              <w:t>Unrealized</w:t>
            </w:r>
          </w:p>
        </w:tc>
      </w:tr>
      <w:tr>
        <w:trPr>
          <w:trHeight w:val="232"/>
        </w:trPr>
        <w:tc>
          <w:tcPr>
            <w:tcW w:w="1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Fair Value</w:t>
            </w:r>
          </w:p>
        </w:tc>
        <w:tc>
          <w:tcPr>
            <w:tcW w:w="150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color w:val="auto"/>
                <w:w w:val="99"/>
              </w:rPr>
              <w:t>Losses</w:t>
            </w:r>
          </w:p>
        </w:tc>
        <w:tc>
          <w:tcPr>
            <w:tcW w:w="1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Fair Value</w:t>
            </w:r>
          </w:p>
        </w:tc>
        <w:tc>
          <w:tcPr>
            <w:tcW w:w="150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auto"/>
              </w:rPr>
              <w:t>Losses</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Fair Value</w:t>
            </w:r>
          </w:p>
        </w:tc>
        <w:tc>
          <w:tcPr>
            <w:tcW w:w="1660" w:type="dxa"/>
            <w:vAlign w:val="bottom"/>
          </w:tcPr>
          <w:p>
            <w:pPr>
              <w:jc w:val="center"/>
              <w:ind w:left="234"/>
              <w:spacing w:after="0"/>
              <w:rPr>
                <w:sz w:val="20"/>
                <w:szCs w:val="20"/>
                <w:color w:val="auto"/>
              </w:rPr>
            </w:pPr>
            <w:r>
              <w:rPr>
                <w:rFonts w:ascii="Times New Roman" w:cs="Times New Roman" w:eastAsia="Times New Roman" w:hAnsi="Times New Roman"/>
                <w:sz w:val="17"/>
                <w:szCs w:val="17"/>
                <w:color w:val="auto"/>
                <w:w w:val="99"/>
              </w:rPr>
              <w:t>Losses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1696720</wp:posOffset>
            </wp:positionH>
            <wp:positionV relativeFrom="paragraph">
              <wp:posOffset>0</wp:posOffset>
            </wp:positionV>
            <wp:extent cx="54438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443855" cy="8255"/>
                    </a:xfrm>
                    <a:prstGeom prst="rect">
                      <a:avLst/>
                    </a:prstGeom>
                    <a:noFill/>
                  </pic:spPr>
                </pic:pic>
              </a:graphicData>
            </a:graphic>
          </wp:anchor>
        </w:drawing>
      </w:r>
    </w:p>
    <w:p>
      <w:pPr>
        <w:spacing w:after="0" w:line="2"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7"/>
          <w:szCs w:val="17"/>
          <w:color w:val="auto"/>
        </w:rPr>
        <w:t>(In thousands)</w:t>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720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8670" cy="17208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p>
      <w:pPr>
        <w:spacing w:after="0" w:line="49" w:lineRule="exact"/>
        <w:rPr>
          <w:sz w:val="20"/>
          <w:szCs w:val="20"/>
          <w:color w:val="auto"/>
        </w:rPr>
      </w:pPr>
    </w:p>
    <w:p>
      <w:pPr>
        <w:ind w:left="180"/>
        <w:spacing w:after="0"/>
        <w:tabs>
          <w:tab w:leader="none" w:pos="2660" w:val="left"/>
        </w:tabs>
        <w:rPr>
          <w:sz w:val="20"/>
          <w:szCs w:val="20"/>
          <w:color w:val="auto"/>
        </w:rPr>
      </w:pPr>
      <w:r>
        <w:rPr>
          <w:rFonts w:ascii="Times New Roman" w:cs="Times New Roman" w:eastAsia="Times New Roman" w:hAnsi="Times New Roman"/>
          <w:sz w:val="17"/>
          <w:szCs w:val="17"/>
          <w:color w:val="auto"/>
        </w:rPr>
        <w:t>U.S. agency</w:t>
      </w:r>
      <w:r>
        <w:rPr>
          <w:sz w:val="20"/>
          <w:szCs w:val="20"/>
          <w:color w:val="auto"/>
        </w:rPr>
        <w:tab/>
      </w:r>
      <w:r>
        <w:rPr>
          <w:rFonts w:ascii="Times New Roman" w:cs="Times New Roman" w:eastAsia="Times New Roman" w:hAnsi="Times New Roman"/>
          <w:sz w:val="17"/>
          <w:szCs w:val="17"/>
          <w:color w:val="auto"/>
        </w:rPr>
        <w:t>$</w:t>
      </w:r>
    </w:p>
    <w:p>
      <w:pPr>
        <w:spacing w:after="0" w:line="75" w:lineRule="exact"/>
        <w:rPr>
          <w:sz w:val="20"/>
          <w:szCs w:val="20"/>
          <w:color w:val="auto"/>
        </w:rPr>
      </w:pPr>
    </w:p>
    <w:p>
      <w:pPr>
        <w:ind w:left="320" w:right="260" w:hanging="154"/>
        <w:spacing w:after="0" w:line="287" w:lineRule="auto"/>
        <w:rPr>
          <w:sz w:val="20"/>
          <w:szCs w:val="20"/>
          <w:color w:val="auto"/>
        </w:rPr>
      </w:pPr>
      <w:r>
        <w:rPr>
          <w:rFonts w:ascii="Times New Roman" w:cs="Times New Roman" w:eastAsia="Times New Roman" w:hAnsi="Times New Roman"/>
          <w:sz w:val="17"/>
          <w:szCs w:val="17"/>
          <w:color w:val="auto"/>
        </w:rPr>
        <w:t>U.S. agency residential mortgage-backed</w:t>
      </w:r>
    </w:p>
    <w:p>
      <w:pPr>
        <w:spacing w:after="0" w:line="9" w:lineRule="exact"/>
        <w:rPr>
          <w:sz w:val="20"/>
          <w:szCs w:val="20"/>
          <w:color w:val="auto"/>
        </w:rPr>
      </w:pPr>
    </w:p>
    <w:p>
      <w:pPr>
        <w:ind w:left="320" w:right="160" w:hanging="154"/>
        <w:spacing w:after="0" w:line="287" w:lineRule="auto"/>
        <w:rPr>
          <w:sz w:val="20"/>
          <w:szCs w:val="20"/>
          <w:color w:val="auto"/>
        </w:rPr>
      </w:pPr>
      <w:r>
        <w:rPr>
          <w:rFonts w:ascii="Times New Roman" w:cs="Times New Roman" w:eastAsia="Times New Roman" w:hAnsi="Times New Roman"/>
          <w:sz w:val="17"/>
          <w:szCs w:val="17"/>
          <w:color w:val="auto"/>
        </w:rPr>
        <w:t>U.S. agency commercial mortgage-backed</w:t>
      </w:r>
    </w:p>
    <w:p>
      <w:pPr>
        <w:spacing w:after="0" w:line="9" w:lineRule="exact"/>
        <w:rPr>
          <w:sz w:val="20"/>
          <w:szCs w:val="20"/>
          <w:color w:val="auto"/>
        </w:rPr>
      </w:pPr>
    </w:p>
    <w:p>
      <w:pPr>
        <w:ind w:left="180" w:right="500"/>
        <w:spacing w:after="0" w:line="332" w:lineRule="auto"/>
        <w:rPr>
          <w:sz w:val="20"/>
          <w:szCs w:val="20"/>
          <w:color w:val="auto"/>
        </w:rPr>
      </w:pPr>
      <w:r>
        <w:rPr>
          <w:rFonts w:ascii="Times New Roman" w:cs="Times New Roman" w:eastAsia="Times New Roman" w:hAnsi="Times New Roman"/>
          <w:sz w:val="17"/>
          <w:szCs w:val="17"/>
          <w:color w:val="auto"/>
        </w:rPr>
        <w:t>Private label mortgage-backed Other asset backed</w:t>
      </w:r>
    </w:p>
    <w:p>
      <w:pPr>
        <w:spacing w:after="0" w:line="1" w:lineRule="exact"/>
        <w:rPr>
          <w:sz w:val="20"/>
          <w:szCs w:val="20"/>
          <w:color w:val="auto"/>
        </w:rPr>
      </w:pPr>
    </w:p>
    <w:p>
      <w:pPr>
        <w:ind w:left="320" w:right="300" w:hanging="154"/>
        <w:spacing w:after="0" w:line="287" w:lineRule="auto"/>
        <w:rPr>
          <w:sz w:val="20"/>
          <w:szCs w:val="20"/>
          <w:color w:val="auto"/>
        </w:rPr>
      </w:pPr>
      <w:r>
        <w:rPr>
          <w:rFonts w:ascii="Times New Roman" w:cs="Times New Roman" w:eastAsia="Times New Roman" w:hAnsi="Times New Roman"/>
          <w:sz w:val="17"/>
          <w:szCs w:val="17"/>
          <w:color w:val="auto"/>
        </w:rPr>
        <w:t>Obligations of states and political subdivisions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Corporate</w:t>
      </w:r>
    </w:p>
    <w:p>
      <w:pPr>
        <w:spacing w:after="0" w:line="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Trust preferred</w:t>
      </w:r>
    </w:p>
    <w:p>
      <w:pPr>
        <w:spacing w:after="0" w:line="75" w:lineRule="exact"/>
        <w:rPr>
          <w:sz w:val="20"/>
          <w:szCs w:val="20"/>
          <w:color w:val="auto"/>
        </w:rPr>
      </w:pPr>
    </w:p>
    <w:p>
      <w:pPr>
        <w:jc w:val="both"/>
        <w:ind w:left="320"/>
        <w:spacing w:after="0"/>
        <w:tabs>
          <w:tab w:leader="none" w:pos="2660" w:val="left"/>
        </w:tabs>
        <w:rPr>
          <w:sz w:val="20"/>
          <w:szCs w:val="20"/>
          <w:color w:val="auto"/>
        </w:rPr>
      </w:pPr>
      <w:r>
        <w:rPr>
          <w:rFonts w:ascii="Times New Roman" w:cs="Times New Roman" w:eastAsia="Times New Roman" w:hAnsi="Times New Roman"/>
          <w:sz w:val="17"/>
          <w:szCs w:val="17"/>
          <w:color w:val="auto"/>
        </w:rPr>
        <w:t>Total</w:t>
      </w:r>
      <w:r>
        <w:rPr>
          <w:sz w:val="20"/>
          <w:szCs w:val="20"/>
          <w:color w:val="auto"/>
        </w:rPr>
        <w:tab/>
      </w:r>
      <w:r>
        <w:rPr>
          <w:rFonts w:ascii="Times New Roman" w:cs="Times New Roman" w:eastAsia="Times New Roman" w:hAnsi="Times New Roman"/>
          <w:sz w:val="17"/>
          <w:szCs w:val="17"/>
          <w:color w:val="auto"/>
        </w:rPr>
        <w:t>$</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December 31, 2025</w:t>
      </w:r>
    </w:p>
    <w:p>
      <w:pPr>
        <w:spacing w:after="0" w:line="49" w:lineRule="exact"/>
        <w:rPr>
          <w:sz w:val="20"/>
          <w:szCs w:val="20"/>
          <w:color w:val="auto"/>
        </w:rPr>
      </w:pPr>
    </w:p>
    <w:p>
      <w:pPr>
        <w:ind w:left="180"/>
        <w:spacing w:after="0"/>
        <w:tabs>
          <w:tab w:leader="none" w:pos="2660" w:val="left"/>
        </w:tabs>
        <w:rPr>
          <w:sz w:val="20"/>
          <w:szCs w:val="20"/>
          <w:color w:val="auto"/>
        </w:rPr>
      </w:pPr>
      <w:r>
        <w:rPr>
          <w:rFonts w:ascii="Times New Roman" w:cs="Times New Roman" w:eastAsia="Times New Roman" w:hAnsi="Times New Roman"/>
          <w:sz w:val="17"/>
          <w:szCs w:val="17"/>
          <w:color w:val="auto"/>
        </w:rPr>
        <w:t>U.S. agency</w:t>
      </w:r>
      <w:r>
        <w:rPr>
          <w:sz w:val="20"/>
          <w:szCs w:val="20"/>
          <w:color w:val="auto"/>
        </w:rPr>
        <w:tab/>
      </w:r>
      <w:r>
        <w:rPr>
          <w:rFonts w:ascii="Times New Roman" w:cs="Times New Roman" w:eastAsia="Times New Roman" w:hAnsi="Times New Roman"/>
          <w:sz w:val="17"/>
          <w:szCs w:val="17"/>
          <w:color w:val="auto"/>
        </w:rPr>
        <w:t>$</w:t>
      </w:r>
    </w:p>
    <w:p>
      <w:pPr>
        <w:spacing w:after="0" w:line="75" w:lineRule="exact"/>
        <w:rPr>
          <w:sz w:val="20"/>
          <w:szCs w:val="20"/>
          <w:color w:val="auto"/>
        </w:rPr>
      </w:pPr>
    </w:p>
    <w:p>
      <w:pPr>
        <w:ind w:left="320" w:right="260" w:hanging="154"/>
        <w:spacing w:after="0" w:line="287" w:lineRule="auto"/>
        <w:rPr>
          <w:sz w:val="20"/>
          <w:szCs w:val="20"/>
          <w:color w:val="auto"/>
        </w:rPr>
      </w:pPr>
      <w:r>
        <w:rPr>
          <w:rFonts w:ascii="Times New Roman" w:cs="Times New Roman" w:eastAsia="Times New Roman" w:hAnsi="Times New Roman"/>
          <w:sz w:val="17"/>
          <w:szCs w:val="17"/>
          <w:color w:val="auto"/>
        </w:rPr>
        <w:t>U.S. agency residential mortgage-backed</w:t>
      </w:r>
    </w:p>
    <w:p>
      <w:pPr>
        <w:spacing w:after="0" w:line="9" w:lineRule="exact"/>
        <w:rPr>
          <w:sz w:val="20"/>
          <w:szCs w:val="20"/>
          <w:color w:val="auto"/>
        </w:rPr>
      </w:pPr>
    </w:p>
    <w:p>
      <w:pPr>
        <w:ind w:left="320" w:right="160" w:hanging="154"/>
        <w:spacing w:after="0" w:line="287" w:lineRule="auto"/>
        <w:rPr>
          <w:sz w:val="20"/>
          <w:szCs w:val="20"/>
          <w:color w:val="auto"/>
        </w:rPr>
      </w:pPr>
      <w:r>
        <w:rPr>
          <w:rFonts w:ascii="Times New Roman" w:cs="Times New Roman" w:eastAsia="Times New Roman" w:hAnsi="Times New Roman"/>
          <w:sz w:val="17"/>
          <w:szCs w:val="17"/>
          <w:color w:val="auto"/>
        </w:rPr>
        <w:t>U.S. agency commercial mortgage-backed</w:t>
      </w:r>
    </w:p>
    <w:p>
      <w:pPr>
        <w:spacing w:after="0" w:line="9" w:lineRule="exact"/>
        <w:rPr>
          <w:sz w:val="20"/>
          <w:szCs w:val="20"/>
          <w:color w:val="auto"/>
        </w:rPr>
      </w:pPr>
    </w:p>
    <w:p>
      <w:pPr>
        <w:ind w:left="180" w:right="500"/>
        <w:spacing w:after="0" w:line="332" w:lineRule="auto"/>
        <w:rPr>
          <w:sz w:val="20"/>
          <w:szCs w:val="20"/>
          <w:color w:val="auto"/>
        </w:rPr>
      </w:pPr>
      <w:r>
        <w:rPr>
          <w:rFonts w:ascii="Times New Roman" w:cs="Times New Roman" w:eastAsia="Times New Roman" w:hAnsi="Times New Roman"/>
          <w:sz w:val="17"/>
          <w:szCs w:val="17"/>
          <w:color w:val="auto"/>
        </w:rPr>
        <w:t>Private label mortgage-backed Other asset backed</w:t>
      </w:r>
    </w:p>
    <w:p>
      <w:pPr>
        <w:spacing w:after="0" w:line="1" w:lineRule="exact"/>
        <w:rPr>
          <w:sz w:val="20"/>
          <w:szCs w:val="20"/>
          <w:color w:val="auto"/>
        </w:rPr>
      </w:pPr>
    </w:p>
    <w:p>
      <w:pPr>
        <w:ind w:left="320" w:right="300" w:hanging="154"/>
        <w:spacing w:after="0" w:line="287" w:lineRule="auto"/>
        <w:rPr>
          <w:sz w:val="20"/>
          <w:szCs w:val="20"/>
          <w:color w:val="auto"/>
        </w:rPr>
      </w:pPr>
      <w:r>
        <w:rPr>
          <w:rFonts w:ascii="Times New Roman" w:cs="Times New Roman" w:eastAsia="Times New Roman" w:hAnsi="Times New Roman"/>
          <w:sz w:val="17"/>
          <w:szCs w:val="17"/>
          <w:color w:val="auto"/>
        </w:rPr>
        <w:t>Obligations of states and political subdivisions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Corporate</w:t>
      </w:r>
    </w:p>
    <w:p>
      <w:pPr>
        <w:spacing w:after="0" w:line="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Trust preferred</w:t>
      </w:r>
    </w:p>
    <w:p>
      <w:pPr>
        <w:spacing w:after="0" w:line="75" w:lineRule="exact"/>
        <w:rPr>
          <w:sz w:val="20"/>
          <w:szCs w:val="20"/>
          <w:color w:val="auto"/>
        </w:rPr>
      </w:pPr>
    </w:p>
    <w:p>
      <w:pPr>
        <w:jc w:val="both"/>
        <w:ind w:left="320"/>
        <w:spacing w:after="0"/>
        <w:tabs>
          <w:tab w:leader="none" w:pos="2660" w:val="left"/>
        </w:tabs>
        <w:rPr>
          <w:sz w:val="20"/>
          <w:szCs w:val="20"/>
          <w:color w:val="auto"/>
        </w:rPr>
      </w:pPr>
      <w:r>
        <w:rPr>
          <w:rFonts w:ascii="Times New Roman" w:cs="Times New Roman" w:eastAsia="Times New Roman" w:hAnsi="Times New Roman"/>
          <w:sz w:val="17"/>
          <w:szCs w:val="17"/>
          <w:color w:val="auto"/>
        </w:rPr>
        <w:t>Total</w:t>
      </w:r>
      <w:r>
        <w:rPr>
          <w:sz w:val="20"/>
          <w:szCs w:val="20"/>
          <w:color w:val="auto"/>
        </w:rPr>
        <w:tab/>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6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248</w:t>
            </w:r>
          </w:p>
        </w:tc>
        <w:tc>
          <w:tcPr>
            <w:tcW w:w="56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6,263</w:t>
            </w:r>
          </w:p>
        </w:tc>
        <w:tc>
          <w:tcPr>
            <w:tcW w:w="80" w:type="dxa"/>
            <w:vAlign w:val="bottom"/>
          </w:tcPr>
          <w:p>
            <w:pPr>
              <w:spacing w:after="0"/>
              <w:rPr>
                <w:sz w:val="19"/>
                <w:szCs w:val="19"/>
                <w:color w:val="auto"/>
              </w:rPr>
            </w:pPr>
          </w:p>
        </w:tc>
        <w:tc>
          <w:tcPr>
            <w:tcW w:w="46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w:t>
            </w:r>
          </w:p>
        </w:tc>
        <w:tc>
          <w:tcPr>
            <w:tcW w:w="80" w:type="dxa"/>
            <w:vAlign w:val="bottom"/>
          </w:tcPr>
          <w:p>
            <w:pPr>
              <w:spacing w:after="0"/>
              <w:rPr>
                <w:sz w:val="19"/>
                <w:szCs w:val="19"/>
                <w:color w:val="auto"/>
              </w:rPr>
            </w:pPr>
          </w:p>
        </w:tc>
        <w:tc>
          <w:tcPr>
            <w:tcW w:w="4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6,511</w:t>
            </w:r>
          </w:p>
        </w:tc>
        <w:tc>
          <w:tcPr>
            <w:tcW w:w="100" w:type="dxa"/>
            <w:vAlign w:val="bottom"/>
          </w:tcPr>
          <w:p>
            <w:pPr>
              <w:spacing w:after="0"/>
              <w:rPr>
                <w:sz w:val="19"/>
                <w:szCs w:val="19"/>
                <w:color w:val="auto"/>
              </w:rPr>
            </w:pP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w:t>
            </w:r>
          </w:p>
        </w:tc>
      </w:tr>
      <w:tr>
        <w:trPr>
          <w:trHeight w:val="477"/>
        </w:trPr>
        <w:tc>
          <w:tcPr>
            <w:tcW w:w="6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8"/>
              </w:rPr>
              <w:t>33,942</w:t>
            </w:r>
          </w:p>
        </w:tc>
        <w:tc>
          <w:tcPr>
            <w:tcW w:w="5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643</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43,389</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8,568</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77,331</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9,211</w:t>
            </w:r>
          </w:p>
        </w:tc>
      </w:tr>
      <w:tr>
        <w:trPr>
          <w:trHeight w:val="477"/>
        </w:trPr>
        <w:tc>
          <w:tcPr>
            <w:tcW w:w="6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5,908</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934</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5,908</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934</w:t>
            </w:r>
          </w:p>
        </w:tc>
      </w:tr>
      <w:tr>
        <w:trPr>
          <w:trHeight w:val="271"/>
        </w:trPr>
        <w:tc>
          <w:tcPr>
            <w:tcW w:w="6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23"/>
                <w:szCs w:val="23"/>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25,995</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2,760</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25,995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2,760</w:t>
            </w:r>
          </w:p>
        </w:tc>
      </w:tr>
      <w:tr>
        <w:trPr>
          <w:trHeight w:val="271"/>
        </w:trPr>
        <w:tc>
          <w:tcPr>
            <w:tcW w:w="6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8"/>
              </w:rPr>
              <w:t>48,518</w:t>
            </w:r>
          </w:p>
        </w:tc>
        <w:tc>
          <w:tcPr>
            <w:tcW w:w="5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20,474</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68,992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w:t>
            </w:r>
          </w:p>
        </w:tc>
      </w:tr>
      <w:tr>
        <w:trPr>
          <w:trHeight w:val="477"/>
        </w:trPr>
        <w:tc>
          <w:tcPr>
            <w:tcW w:w="6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1,515</w:t>
            </w:r>
          </w:p>
        </w:tc>
        <w:tc>
          <w:tcPr>
            <w:tcW w:w="5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255,672</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54,285</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257,187</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54,286</w:t>
            </w:r>
          </w:p>
        </w:tc>
      </w:tr>
      <w:tr>
        <w:trPr>
          <w:trHeight w:val="271"/>
        </w:trPr>
        <w:tc>
          <w:tcPr>
            <w:tcW w:w="6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1,607</w:t>
            </w:r>
          </w:p>
        </w:tc>
        <w:tc>
          <w:tcPr>
            <w:tcW w:w="5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27,243</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1,802</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28,850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1,821</w:t>
            </w:r>
          </w:p>
        </w:tc>
      </w:tr>
      <w:tr>
        <w:trPr>
          <w:trHeight w:val="270"/>
        </w:trPr>
        <w:tc>
          <w:tcPr>
            <w:tcW w:w="6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23"/>
                <w:szCs w:val="23"/>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980</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25"/>
        </w:trPr>
        <w:tc>
          <w:tcPr>
            <w:tcW w:w="6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8"/>
              </w:rPr>
              <w:t>85,830</w:t>
            </w:r>
          </w:p>
        </w:tc>
        <w:tc>
          <w:tcPr>
            <w:tcW w:w="56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801</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385,924</w:t>
            </w:r>
          </w:p>
        </w:tc>
        <w:tc>
          <w:tcPr>
            <w:tcW w:w="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69,245</w:t>
            </w:r>
          </w:p>
        </w:tc>
        <w:tc>
          <w:tcPr>
            <w:tcW w:w="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471,754</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70,046</w:t>
            </w:r>
          </w:p>
        </w:tc>
      </w:tr>
      <w:tr>
        <w:trPr>
          <w:trHeight w:val="20"/>
        </w:trPr>
        <w:tc>
          <w:tcPr>
            <w:tcW w:w="6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727"/>
        </w:trPr>
        <w:tc>
          <w:tcPr>
            <w:tcW w:w="6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972</w:t>
            </w:r>
          </w:p>
        </w:tc>
        <w:tc>
          <w:tcPr>
            <w:tcW w:w="56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4"/>
                <w:szCs w:val="24"/>
                <w:color w:val="auto"/>
              </w:rPr>
            </w:pP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6,884</w:t>
            </w:r>
          </w:p>
        </w:tc>
        <w:tc>
          <w:tcPr>
            <w:tcW w:w="80" w:type="dxa"/>
            <w:vAlign w:val="bottom"/>
          </w:tcPr>
          <w:p>
            <w:pPr>
              <w:spacing w:after="0"/>
              <w:rPr>
                <w:sz w:val="24"/>
                <w:szCs w:val="24"/>
                <w:color w:val="auto"/>
              </w:rPr>
            </w:pPr>
          </w:p>
        </w:tc>
        <w:tc>
          <w:tcPr>
            <w:tcW w:w="46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w:t>
            </w:r>
          </w:p>
        </w:tc>
        <w:tc>
          <w:tcPr>
            <w:tcW w:w="80" w:type="dxa"/>
            <w:vAlign w:val="bottom"/>
          </w:tcPr>
          <w:p>
            <w:pPr>
              <w:spacing w:after="0"/>
              <w:rPr>
                <w:sz w:val="24"/>
                <w:szCs w:val="24"/>
                <w:color w:val="auto"/>
              </w:rPr>
            </w:pPr>
          </w:p>
        </w:tc>
        <w:tc>
          <w:tcPr>
            <w:tcW w:w="4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7,856</w:t>
            </w:r>
          </w:p>
        </w:tc>
        <w:tc>
          <w:tcPr>
            <w:tcW w:w="100" w:type="dxa"/>
            <w:vAlign w:val="bottom"/>
          </w:tcPr>
          <w:p>
            <w:pPr>
              <w:spacing w:after="0"/>
              <w:rPr>
                <w:sz w:val="24"/>
                <w:szCs w:val="24"/>
                <w:color w:val="auto"/>
              </w:rPr>
            </w:pP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w:t>
            </w:r>
          </w:p>
        </w:tc>
      </w:tr>
      <w:tr>
        <w:trPr>
          <w:trHeight w:val="477"/>
        </w:trPr>
        <w:tc>
          <w:tcPr>
            <w:tcW w:w="6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6,931</w:t>
            </w:r>
          </w:p>
        </w:tc>
        <w:tc>
          <w:tcPr>
            <w:tcW w:w="5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49,103</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6,501</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56,034</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6,506</w:t>
            </w:r>
          </w:p>
        </w:tc>
      </w:tr>
      <w:tr>
        <w:trPr>
          <w:trHeight w:val="477"/>
        </w:trPr>
        <w:tc>
          <w:tcPr>
            <w:tcW w:w="6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7,186</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853</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7,186</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853</w:t>
            </w:r>
          </w:p>
        </w:tc>
      </w:tr>
      <w:tr>
        <w:trPr>
          <w:trHeight w:val="271"/>
        </w:trPr>
        <w:tc>
          <w:tcPr>
            <w:tcW w:w="6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23"/>
                <w:szCs w:val="23"/>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39,234</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2,443</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39,234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2,443</w:t>
            </w:r>
          </w:p>
        </w:tc>
      </w:tr>
      <w:tr>
        <w:trPr>
          <w:trHeight w:val="271"/>
        </w:trPr>
        <w:tc>
          <w:tcPr>
            <w:tcW w:w="6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1,392</w:t>
            </w:r>
          </w:p>
        </w:tc>
        <w:tc>
          <w:tcPr>
            <w:tcW w:w="5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24,417</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476</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25,809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479</w:t>
            </w:r>
          </w:p>
        </w:tc>
      </w:tr>
      <w:tr>
        <w:trPr>
          <w:trHeight w:val="477"/>
        </w:trPr>
        <w:tc>
          <w:tcPr>
            <w:tcW w:w="6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156</w:t>
            </w:r>
          </w:p>
        </w:tc>
        <w:tc>
          <w:tcPr>
            <w:tcW w:w="5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280,246</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38,991</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280,402</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39,000</w:t>
            </w:r>
          </w:p>
        </w:tc>
      </w:tr>
      <w:tr>
        <w:trPr>
          <w:trHeight w:val="271"/>
        </w:trPr>
        <w:tc>
          <w:tcPr>
            <w:tcW w:w="6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23"/>
                <w:szCs w:val="23"/>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45,986</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1,696</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45,986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1,696</w:t>
            </w:r>
          </w:p>
        </w:tc>
      </w:tr>
      <w:tr>
        <w:trPr>
          <w:trHeight w:val="270"/>
        </w:trPr>
        <w:tc>
          <w:tcPr>
            <w:tcW w:w="6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23"/>
                <w:szCs w:val="23"/>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987</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25"/>
        </w:trPr>
        <w:tc>
          <w:tcPr>
            <w:tcW w:w="6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9,451</w:t>
            </w:r>
          </w:p>
        </w:tc>
        <w:tc>
          <w:tcPr>
            <w:tcW w:w="56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454,043</w:t>
            </w:r>
          </w:p>
        </w:tc>
        <w:tc>
          <w:tcPr>
            <w:tcW w:w="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51,366</w:t>
            </w:r>
          </w:p>
        </w:tc>
        <w:tc>
          <w:tcPr>
            <w:tcW w:w="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463,494</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51,384</w:t>
            </w:r>
          </w:p>
        </w:tc>
      </w:tr>
      <w:tr>
        <w:trPr>
          <w:trHeight w:val="20"/>
        </w:trPr>
        <w:tc>
          <w:tcPr>
            <w:tcW w:w="6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-2207260</wp:posOffset>
            </wp:positionH>
            <wp:positionV relativeFrom="paragraph">
              <wp:posOffset>-3732530</wp:posOffset>
            </wp:positionV>
            <wp:extent cx="7138670" cy="3028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8670" cy="302895"/>
                    </a:xfrm>
                    <a:prstGeom prst="rect">
                      <a:avLst/>
                    </a:prstGeom>
                    <a:noFill/>
                  </pic:spPr>
                </pic:pic>
              </a:graphicData>
            </a:graphic>
          </wp:anchor>
        </w:drawing>
        <w:drawing>
          <wp:anchor simplePos="0" relativeHeight="251657728" behindDoc="1" locked="0" layoutInCell="0" allowOverlap="1">
            <wp:simplePos x="0" y="0"/>
            <wp:positionH relativeFrom="column">
              <wp:posOffset>-2207260</wp:posOffset>
            </wp:positionH>
            <wp:positionV relativeFrom="paragraph">
              <wp:posOffset>-3257550</wp:posOffset>
            </wp:positionV>
            <wp:extent cx="7138670" cy="1720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8670" cy="172085"/>
                    </a:xfrm>
                    <a:prstGeom prst="rect">
                      <a:avLst/>
                    </a:prstGeom>
                    <a:noFill/>
                  </pic:spPr>
                </pic:pic>
              </a:graphicData>
            </a:graphic>
          </wp:anchor>
        </w:drawing>
        <w:drawing>
          <wp:anchor simplePos="0" relativeHeight="251657728" behindDoc="1" locked="0" layoutInCell="0" allowOverlap="1">
            <wp:simplePos x="0" y="0"/>
            <wp:positionH relativeFrom="column">
              <wp:posOffset>-2207260</wp:posOffset>
            </wp:positionH>
            <wp:positionV relativeFrom="paragraph">
              <wp:posOffset>-2782570</wp:posOffset>
            </wp:positionV>
            <wp:extent cx="7138670" cy="1720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8670" cy="172085"/>
                    </a:xfrm>
                    <a:prstGeom prst="rect">
                      <a:avLst/>
                    </a:prstGeom>
                    <a:noFill/>
                  </pic:spPr>
                </pic:pic>
              </a:graphicData>
            </a:graphic>
          </wp:anchor>
        </w:drawing>
        <w:drawing>
          <wp:anchor simplePos="0" relativeHeight="251657728" behindDoc="1" locked="0" layoutInCell="0" allowOverlap="1">
            <wp:simplePos x="0" y="0"/>
            <wp:positionH relativeFrom="column">
              <wp:posOffset>-2207260</wp:posOffset>
            </wp:positionH>
            <wp:positionV relativeFrom="paragraph">
              <wp:posOffset>-2103120</wp:posOffset>
            </wp:positionV>
            <wp:extent cx="7138670" cy="147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8670" cy="147320"/>
                    </a:xfrm>
                    <a:prstGeom prst="rect">
                      <a:avLst/>
                    </a:prstGeom>
                    <a:noFill/>
                  </pic:spPr>
                </pic:pic>
              </a:graphicData>
            </a:graphic>
          </wp:anchor>
        </w:drawing>
        <w:drawing>
          <wp:anchor simplePos="0" relativeHeight="251657728" behindDoc="1" locked="0" layoutInCell="0" allowOverlap="1">
            <wp:simplePos x="0" y="0"/>
            <wp:positionH relativeFrom="column">
              <wp:posOffset>-2207260</wp:posOffset>
            </wp:positionH>
            <wp:positionV relativeFrom="paragraph">
              <wp:posOffset>-1783715</wp:posOffset>
            </wp:positionV>
            <wp:extent cx="7138670" cy="3028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8670" cy="302895"/>
                    </a:xfrm>
                    <a:prstGeom prst="rect">
                      <a:avLst/>
                    </a:prstGeom>
                    <a:noFill/>
                  </pic:spPr>
                </pic:pic>
              </a:graphicData>
            </a:graphic>
          </wp:anchor>
        </w:drawing>
        <w:drawing>
          <wp:anchor simplePos="0" relativeHeight="251657728" behindDoc="1" locked="0" layoutInCell="0" allowOverlap="1">
            <wp:simplePos x="0" y="0"/>
            <wp:positionH relativeFrom="column">
              <wp:posOffset>-2207260</wp:posOffset>
            </wp:positionH>
            <wp:positionV relativeFrom="paragraph">
              <wp:posOffset>-1177925</wp:posOffset>
            </wp:positionV>
            <wp:extent cx="7138670" cy="1720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8670" cy="172085"/>
                    </a:xfrm>
                    <a:prstGeom prst="rect">
                      <a:avLst/>
                    </a:prstGeom>
                    <a:noFill/>
                  </pic:spPr>
                </pic:pic>
              </a:graphicData>
            </a:graphic>
          </wp:anchor>
        </w:drawing>
        <w:drawing>
          <wp:anchor simplePos="0" relativeHeight="251657728" behindDoc="1" locked="0" layoutInCell="0" allowOverlap="1">
            <wp:simplePos x="0" y="0"/>
            <wp:positionH relativeFrom="column">
              <wp:posOffset>-2207260</wp:posOffset>
            </wp:positionH>
            <wp:positionV relativeFrom="paragraph">
              <wp:posOffset>-834390</wp:posOffset>
            </wp:positionV>
            <wp:extent cx="7138670" cy="3028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8670" cy="302895"/>
                    </a:xfrm>
                    <a:prstGeom prst="rect">
                      <a:avLst/>
                    </a:prstGeom>
                    <a:noFill/>
                  </pic:spPr>
                </pic:pic>
              </a:graphicData>
            </a:graphic>
          </wp:anchor>
        </w:drawing>
        <w:drawing>
          <wp:anchor simplePos="0" relativeHeight="251657728" behindDoc="1" locked="0" layoutInCell="0" allowOverlap="1">
            <wp:simplePos x="0" y="0"/>
            <wp:positionH relativeFrom="column">
              <wp:posOffset>-2207260</wp:posOffset>
            </wp:positionH>
            <wp:positionV relativeFrom="paragraph">
              <wp:posOffset>-359410</wp:posOffset>
            </wp:positionV>
            <wp:extent cx="7138670" cy="3600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8670" cy="360045"/>
                    </a:xfrm>
                    <a:prstGeom prst="rect">
                      <a:avLst/>
                    </a:prstGeom>
                    <a:noFill/>
                  </pic:spPr>
                </pic:pic>
              </a:graphicData>
            </a:graphic>
          </wp:anchor>
        </w:drawing>
        <w:drawing>
          <wp:anchor simplePos="0" relativeHeight="251657728" behindDoc="1" locked="0" layoutInCell="0" allowOverlap="1">
            <wp:simplePos x="0" y="0"/>
            <wp:positionH relativeFrom="column">
              <wp:posOffset>-2207260</wp:posOffset>
            </wp:positionH>
            <wp:positionV relativeFrom="paragraph">
              <wp:posOffset>-2439035</wp:posOffset>
            </wp:positionV>
            <wp:extent cx="7138670" cy="1885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867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80" w:space="700"/>
            <w:col w:w="7760"/>
          </w:cols>
          <w:pgMar w:left="320" w:top="119" w:right="339" w:bottom="1440" w:gutter="0" w:footer="0" w:header="0"/>
          <w:type w:val="continuous"/>
        </w:sectPr>
      </w:pPr>
    </w:p>
    <w:p>
      <w:pPr>
        <w:spacing w:after="0" w:line="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Securities AFS in unrealized loss positions are evaluated quarterly for impairment related to credit losses. For securities AFS in an unrealized loss position, we first assess whether we intend to sell, or it is more likely than not that we will be required to sell the security before recovery of its amortized cost basis. If either of the criteria regarding intent or requirement to sell is met, the security’s amortized cost basis is written down to fair value through earnings. No securities AFS met these two criteria during the periods presented. For securities AFS that do not meet these criteria, we evaluate whether the decline in fair value has resulted from credit losses or other factors. In making this assessment, we consider the extent to which fair value is less than amortized cost, adverse conditions specifically related to the security and the issuer and the impact of changes in market interest rates on the market value of the security, among other factors. If this assessment indicates that a credit loss exists, we compare the present value of cash flows expected to be collected from the security with the amortized cost basis of the security. If the present value of cash flows expected to be collected is less than the amortized cost basis for the security, a credit loss exists and an ACL is recorded, limited to the amount that the fair value of the security is less than its amortized cost basis. Any impairment that has not been recorded through an ACL is recognized in other comprehensive income (loss), net of applicable taxes. No ACL for securities AFS was needed at September 30, 2026 and December 31, 2025. Accrued interest receivable on securities AFS totaled $3.1 million at</w:t>
      </w:r>
    </w:p>
    <w:p>
      <w:pPr>
        <w:spacing w:after="0" w:line="200" w:lineRule="exact"/>
        <w:rPr>
          <w:sz w:val="20"/>
          <w:szCs w:val="20"/>
          <w:color w:val="auto"/>
        </w:rPr>
      </w:pPr>
    </w:p>
    <w:p>
      <w:pPr>
        <w:spacing w:after="0" w:line="34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September 30, 2026 and $3.5 million at December 31, 2025, and is excluded from the estimate of credit losses and is included in accrued income and other assets in the interim Condensed Consolidated Statements of Financial Condition.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is a summary of securities AFS with an unrealized loss by grouping as of September 30, 2026.</w:t>
      </w:r>
    </w:p>
    <w:p>
      <w:pPr>
        <w:spacing w:after="0" w:line="19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U.S. agency, U.S. agency residential mortgage-backed and U.S. agency commercial mortgage-backed securities — at September 30, 2026, we had 29 U.S. agency, 105 U.S. agency residential mortgage-backed and 8 U.S. agency commercial mortgage-backed securities whose fair value is less than amortized cost. These securities are either explicitly or implicitly guaranteed by the U.S. government, are highly rated by major credit rating agencies, and have a long history of no credit losses. The unrealized losses are largely attributed to widening spreads to Treasury bonds and/or an increase in interest rates since acquisition.</w:t>
      </w:r>
    </w:p>
    <w:p>
      <w:pPr>
        <w:spacing w:after="0" w:line="13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Private label mortgage-backed, other asset backed and corporate securities — at September 30, 2026, we had 38 private label mortgage-backed, 52 other asset backed, and 37 corporate securities whose fair value is less than amortized cost. The unrealized losses are primarily due to credit spread widening and/or an increase in interest rates since acquisition.</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Obligations of states and political subdivisions — at September 30, 2026, we had 277 municipal securities whose fair value is less than amortized cost. The unrealized losses are primarily due to an increase in interest rates since acquisition.</w:t>
      </w:r>
    </w:p>
    <w:p>
      <w:pPr>
        <w:spacing w:after="0" w:line="1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Trust preferred securities — at September 30, 2026, we had one trust preferred security whose fair value is less than amortized cost. This trust preferred security is a single issue security issued by a trust subsidiary of a bank holding company. The pricing of trust preferred securities has suffered from credit spread widening. This security is rated by a major rating agency as investment grade.</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At September 30, 2026, management does not intend to liquidate any of the securities discussed above and it is more likely than not that we will not be required to sell these securities prior to recovery of these unrealized losses.</w:t>
      </w:r>
    </w:p>
    <w:p>
      <w:pPr>
        <w:spacing w:after="0" w:line="11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recorded no credit related charges in our interim Condensed Consolidated Statements of Operations related to securities AFS during the three and nine month periods ended September 30, 2026 and 2025, respectively.</w:t>
      </w:r>
    </w:p>
    <w:p>
      <w:pPr>
        <w:spacing w:after="0" w:line="1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ACL on securities HTM is a contra asset valuation account that is deducted from the carrying amount of securities HTM to present the net amount expected to be collected. Securities HTM are charged off against the ACL when deemed uncollectible. Adjustments to the ACL are reported in our interim Condensed Consolidated Statements of Operations in provision for credit losses. We measure expected credit losses on securities HTM on a collective basis by major security type with each type sharing similar risk characteristics, and consider historical credit loss information. Accrued interest receivable on securities HTM totaled $1.6 million and $1.5 million at September 30, 2026 and December 31, 2025, respectively, and is excluded from the estimate of credit losses and is included in accrued income and other assets in the interim Condensed Consolidated Statements of Financial Condition. With regard to U.S. Government-sponsored agency and mortgage-backed securities (residential and commercial), all these securities are issued by a U.S. government-sponsored entity and have an implicit or explicit government guarantee; therefore, no allowance for credit losses has been recorded for these securities. With regard to obligations of states and political subdivisions, private label-mortgage-backed, corporate and trust preferred securities HTM, we consider (1) issuer bond ratings, (2) historical loss rates for given bond ratings, (3) the financial condition of the issuer, and (4) whether issuers continue to make timely principal and interest payments under the contractual terms of the securities. The long-term historical loss rates associated with securities having similar grades as those in our portfolio have been insignificant. Furthermore, as of September 30, 2026 and December 31, 2025, there were no past due principal and interest payments associated with these securities. At September 30, 2026 and December 31, 2025, an allowance for credit losses of $61,000 and $92,000 was recorded on non-U.S. agency securities HTM based on applying the long-term historical credit loss rate, as published by credit rating agencies, for similarly rated securities.</w:t>
      </w:r>
    </w:p>
    <w:p>
      <w:pPr>
        <w:spacing w:after="0" w:line="200" w:lineRule="exact"/>
        <w:rPr>
          <w:sz w:val="20"/>
          <w:szCs w:val="20"/>
          <w:color w:val="auto"/>
        </w:rPr>
      </w:pPr>
    </w:p>
    <w:p>
      <w:pPr>
        <w:spacing w:after="0" w:line="34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On a quarterly basis, we monitor the credit quality of securities HTM through the use of credit ratings. The carrying value of securities HTM aggregated by credit quality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Private</w:t>
            </w:r>
          </w:p>
        </w:tc>
        <w:tc>
          <w:tcPr>
            <w:tcW w:w="20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Obligations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6"/>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w w:val="98"/>
              </w:rPr>
              <w:t>Label</w:t>
            </w:r>
          </w:p>
        </w:tc>
        <w:tc>
          <w:tcPr>
            <w:tcW w:w="20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of States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center"/>
              <w:ind w:right="194"/>
              <w:spacing w:after="0"/>
              <w:rPr>
                <w:sz w:val="20"/>
                <w:szCs w:val="20"/>
                <w:color w:val="auto"/>
              </w:rPr>
            </w:pPr>
            <w:r>
              <w:rPr>
                <w:rFonts w:ascii="Times New Roman" w:cs="Times New Roman" w:eastAsia="Times New Roman" w:hAnsi="Times New Roman"/>
                <w:sz w:val="17"/>
                <w:szCs w:val="17"/>
                <w:color w:val="auto"/>
                <w:w w:val="99"/>
              </w:rPr>
              <w:t>Carrying</w:t>
            </w:r>
          </w:p>
        </w:tc>
      </w:tr>
      <w:tr>
        <w:trPr>
          <w:trHeight w:val="206"/>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Mortgage-</w:t>
            </w:r>
          </w:p>
        </w:tc>
        <w:tc>
          <w:tcPr>
            <w:tcW w:w="20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and Political</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color w:val="auto"/>
                <w:w w:val="94"/>
              </w:rPr>
              <w:t>Trust</w:t>
            </w:r>
          </w:p>
        </w:tc>
        <w:tc>
          <w:tcPr>
            <w:tcW w:w="280" w:type="dxa"/>
            <w:vAlign w:val="bottom"/>
          </w:tcPr>
          <w:p>
            <w:pPr>
              <w:spacing w:after="0"/>
              <w:rPr>
                <w:sz w:val="17"/>
                <w:szCs w:val="17"/>
                <w:color w:val="auto"/>
              </w:rPr>
            </w:pPr>
          </w:p>
        </w:tc>
        <w:tc>
          <w:tcPr>
            <w:tcW w:w="1200" w:type="dxa"/>
            <w:vAlign w:val="bottom"/>
          </w:tcPr>
          <w:p>
            <w:pPr>
              <w:jc w:val="center"/>
              <w:ind w:right="194"/>
              <w:spacing w:after="0"/>
              <w:rPr>
                <w:sz w:val="20"/>
                <w:szCs w:val="20"/>
                <w:color w:val="auto"/>
              </w:rPr>
            </w:pPr>
            <w:r>
              <w:rPr>
                <w:rFonts w:ascii="Times New Roman" w:cs="Times New Roman" w:eastAsia="Times New Roman" w:hAnsi="Times New Roman"/>
                <w:sz w:val="17"/>
                <w:szCs w:val="17"/>
                <w:color w:val="auto"/>
                <w:w w:val="98"/>
              </w:rPr>
              <w:t>Value</w:t>
            </w:r>
          </w:p>
        </w:tc>
      </w:tr>
      <w:tr>
        <w:trPr>
          <w:trHeight w:val="248"/>
        </w:trPr>
        <w:tc>
          <w:tcPr>
            <w:tcW w:w="35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7"/>
                <w:szCs w:val="17"/>
                <w:color w:val="auto"/>
                <w:w w:val="97"/>
              </w:rPr>
              <w:t>Backed</w:t>
            </w: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Subdivisions</w:t>
            </w: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9"/>
              </w:rPr>
              <w:t>Corporate</w:t>
            </w: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Preferred</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7"/>
                <w:szCs w:val="17"/>
                <w:color w:val="auto"/>
              </w:rPr>
              <w:t>Total</w:t>
            </w:r>
          </w:p>
        </w:tc>
      </w:tr>
      <w:tr>
        <w:trPr>
          <w:trHeight w:val="225"/>
        </w:trPr>
        <w:tc>
          <w:tcPr>
            <w:tcW w:w="3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(In thousands)</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2"/>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September 30, 2026</w:t>
            </w: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2"/>
        </w:trPr>
        <w:tc>
          <w:tcPr>
            <w:tcW w:w="3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Credit rating:</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32"/>
        </w:trPr>
        <w:tc>
          <w:tcPr>
            <w:tcW w:w="3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AAA</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16,815</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21,369</w:t>
            </w:r>
          </w:p>
        </w:tc>
      </w:tr>
      <w:tr>
        <w:trPr>
          <w:trHeight w:val="232"/>
        </w:trPr>
        <w:tc>
          <w:tcPr>
            <w:tcW w:w="35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AA</w:t>
            </w:r>
          </w:p>
        </w:tc>
        <w:tc>
          <w:tcPr>
            <w:tcW w:w="2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108,655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108,655</w:t>
            </w:r>
          </w:p>
        </w:tc>
      </w:tr>
      <w:tr>
        <w:trPr>
          <w:trHeight w:val="232"/>
        </w:trPr>
        <w:tc>
          <w:tcPr>
            <w:tcW w:w="3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A</w:t>
            </w:r>
          </w:p>
        </w:tc>
        <w:tc>
          <w:tcPr>
            <w:tcW w:w="2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3,478</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5,530</w:t>
            </w:r>
          </w:p>
        </w:tc>
      </w:tr>
      <w:tr>
        <w:trPr>
          <w:trHeight w:val="232"/>
        </w:trPr>
        <w:tc>
          <w:tcPr>
            <w:tcW w:w="35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BBB</w:t>
            </w:r>
          </w:p>
        </w:tc>
        <w:tc>
          <w:tcPr>
            <w:tcW w:w="2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12,472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12,697</w:t>
            </w:r>
          </w:p>
        </w:tc>
      </w:tr>
      <w:tr>
        <w:trPr>
          <w:trHeight w:val="232"/>
        </w:trPr>
        <w:tc>
          <w:tcPr>
            <w:tcW w:w="3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Non-rated</w:t>
            </w:r>
          </w:p>
        </w:tc>
        <w:tc>
          <w:tcPr>
            <w:tcW w:w="2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28,966</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2,994</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963</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32,923</w:t>
            </w:r>
          </w:p>
        </w:tc>
      </w:tr>
      <w:tr>
        <w:trPr>
          <w:trHeight w:val="225"/>
        </w:trPr>
        <w:tc>
          <w:tcPr>
            <w:tcW w:w="35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4,554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156,713</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18,944</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963</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181,174</w:t>
            </w: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4"/>
        </w:trPr>
        <w:tc>
          <w:tcPr>
            <w:tcW w:w="3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2"/>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December 31, 2025</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32"/>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Credit rating:</w:t>
            </w: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2"/>
        </w:trPr>
        <w:tc>
          <w:tcPr>
            <w:tcW w:w="3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AAA</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7,294</w:t>
            </w:r>
          </w:p>
        </w:tc>
        <w:tc>
          <w:tcPr>
            <w:tcW w:w="10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17,357</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24,651</w:t>
            </w:r>
          </w:p>
        </w:tc>
      </w:tr>
      <w:tr>
        <w:trPr>
          <w:trHeight w:val="232"/>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AA</w:t>
            </w:r>
          </w:p>
        </w:tc>
        <w:tc>
          <w:tcPr>
            <w:tcW w:w="2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116,264</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116,264</w:t>
            </w:r>
          </w:p>
        </w:tc>
      </w:tr>
      <w:tr>
        <w:trPr>
          <w:trHeight w:val="232"/>
        </w:trPr>
        <w:tc>
          <w:tcPr>
            <w:tcW w:w="3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w:t>
            </w:r>
          </w:p>
        </w:tc>
        <w:tc>
          <w:tcPr>
            <w:tcW w:w="2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6,240</w:t>
            </w:r>
          </w:p>
        </w:tc>
      </w:tr>
      <w:tr>
        <w:trPr>
          <w:trHeight w:val="232"/>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BBB</w:t>
            </w:r>
          </w:p>
        </w:tc>
        <w:tc>
          <w:tcPr>
            <w:tcW w:w="2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23,814</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24,255</w:t>
            </w:r>
          </w:p>
        </w:tc>
      </w:tr>
      <w:tr>
        <w:trPr>
          <w:trHeight w:val="232"/>
        </w:trPr>
        <w:tc>
          <w:tcPr>
            <w:tcW w:w="3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BB</w:t>
            </w:r>
          </w:p>
        </w:tc>
        <w:tc>
          <w:tcPr>
            <w:tcW w:w="2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1,983</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1,983</w:t>
            </w:r>
          </w:p>
        </w:tc>
      </w:tr>
      <w:tr>
        <w:trPr>
          <w:trHeight w:val="232"/>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Non-rated</w:t>
            </w:r>
          </w:p>
        </w:tc>
        <w:tc>
          <w:tcPr>
            <w:tcW w:w="2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13,113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2,979</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958</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17,050</w:t>
            </w:r>
          </w:p>
        </w:tc>
      </w:tr>
      <w:tr>
        <w:trPr>
          <w:trHeight w:val="225"/>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7,294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149,915</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32,276</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958</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190,443</w:t>
            </w:r>
          </w:p>
        </w:tc>
      </w:tr>
      <w:tr>
        <w:trPr>
          <w:trHeight w:val="20"/>
        </w:trPr>
        <w:tc>
          <w:tcPr>
            <w:tcW w:w="3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 analysis of the allowance for credit losses by security HTM type for the three months ended September 30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00" w:type="dxa"/>
            <w:vAlign w:val="bottom"/>
          </w:tcPr>
          <w:p>
            <w:pPr>
              <w:spacing w:after="0"/>
              <w:rPr>
                <w:sz w:val="17"/>
                <w:szCs w:val="17"/>
                <w:color w:val="auto"/>
              </w:rPr>
            </w:pPr>
          </w:p>
        </w:tc>
        <w:tc>
          <w:tcPr>
            <w:tcW w:w="1180" w:type="dxa"/>
            <w:vAlign w:val="bottom"/>
          </w:tcPr>
          <w:p>
            <w:pPr>
              <w:jc w:val="center"/>
              <w:ind w:left="214"/>
              <w:spacing w:after="0"/>
              <w:rPr>
                <w:sz w:val="20"/>
                <w:szCs w:val="20"/>
                <w:color w:val="auto"/>
              </w:rPr>
            </w:pPr>
            <w:r>
              <w:rPr>
                <w:rFonts w:ascii="Times New Roman" w:cs="Times New Roman" w:eastAsia="Times New Roman" w:hAnsi="Times New Roman"/>
                <w:sz w:val="17"/>
                <w:szCs w:val="17"/>
                <w:color w:val="auto"/>
                <w:w w:val="99"/>
              </w:rPr>
              <w:t>Private</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Obligations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6"/>
        </w:trPr>
        <w:tc>
          <w:tcPr>
            <w:tcW w:w="3500" w:type="dxa"/>
            <w:vAlign w:val="bottom"/>
          </w:tcPr>
          <w:p>
            <w:pPr>
              <w:spacing w:after="0"/>
              <w:rPr>
                <w:sz w:val="17"/>
                <w:szCs w:val="17"/>
                <w:color w:val="auto"/>
              </w:rPr>
            </w:pPr>
          </w:p>
        </w:tc>
        <w:tc>
          <w:tcPr>
            <w:tcW w:w="1180" w:type="dxa"/>
            <w:vAlign w:val="bottom"/>
          </w:tcPr>
          <w:p>
            <w:pPr>
              <w:jc w:val="center"/>
              <w:ind w:left="214"/>
              <w:spacing w:after="0"/>
              <w:rPr>
                <w:sz w:val="20"/>
                <w:szCs w:val="20"/>
                <w:color w:val="auto"/>
              </w:rPr>
            </w:pPr>
            <w:r>
              <w:rPr>
                <w:rFonts w:ascii="Times New Roman" w:cs="Times New Roman" w:eastAsia="Times New Roman" w:hAnsi="Times New Roman"/>
                <w:sz w:val="17"/>
                <w:szCs w:val="17"/>
                <w:color w:val="auto"/>
              </w:rPr>
              <w:t>Label</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8"/>
              </w:rPr>
              <w:t>of States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6"/>
        </w:trPr>
        <w:tc>
          <w:tcPr>
            <w:tcW w:w="3500" w:type="dxa"/>
            <w:vAlign w:val="bottom"/>
          </w:tcPr>
          <w:p>
            <w:pPr>
              <w:spacing w:after="0"/>
              <w:rPr>
                <w:sz w:val="17"/>
                <w:szCs w:val="17"/>
                <w:color w:val="auto"/>
              </w:rPr>
            </w:pPr>
          </w:p>
        </w:tc>
        <w:tc>
          <w:tcPr>
            <w:tcW w:w="1180" w:type="dxa"/>
            <w:vAlign w:val="bottom"/>
          </w:tcPr>
          <w:p>
            <w:pPr>
              <w:jc w:val="center"/>
              <w:ind w:left="214"/>
              <w:spacing w:after="0"/>
              <w:rPr>
                <w:sz w:val="20"/>
                <w:szCs w:val="20"/>
                <w:color w:val="auto"/>
              </w:rPr>
            </w:pPr>
            <w:r>
              <w:rPr>
                <w:rFonts w:ascii="Times New Roman" w:cs="Times New Roman" w:eastAsia="Times New Roman" w:hAnsi="Times New Roman"/>
                <w:sz w:val="17"/>
                <w:szCs w:val="17"/>
                <w:color w:val="auto"/>
              </w:rPr>
              <w:t>Mortgage-</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and Political</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color w:val="auto"/>
              </w:rPr>
              <w:t>Trust</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48"/>
        </w:trPr>
        <w:tc>
          <w:tcPr>
            <w:tcW w:w="3500" w:type="dxa"/>
            <w:vAlign w:val="bottom"/>
          </w:tcPr>
          <w:p>
            <w:pPr>
              <w:spacing w:after="0"/>
              <w:rPr>
                <w:sz w:val="21"/>
                <w:szCs w:val="21"/>
                <w:color w:val="auto"/>
              </w:rPr>
            </w:pPr>
          </w:p>
        </w:tc>
        <w:tc>
          <w:tcPr>
            <w:tcW w:w="1180" w:type="dxa"/>
            <w:vAlign w:val="bottom"/>
            <w:tcBorders>
              <w:bottom w:val="single" w:sz="8" w:color="auto"/>
            </w:tcBorders>
          </w:tcPr>
          <w:p>
            <w:pPr>
              <w:jc w:val="center"/>
              <w:ind w:left="214"/>
              <w:spacing w:after="0"/>
              <w:rPr>
                <w:sz w:val="20"/>
                <w:szCs w:val="20"/>
                <w:color w:val="auto"/>
              </w:rPr>
            </w:pPr>
            <w:r>
              <w:rPr>
                <w:rFonts w:ascii="Times New Roman" w:cs="Times New Roman" w:eastAsia="Times New Roman" w:hAnsi="Times New Roman"/>
                <w:sz w:val="17"/>
                <w:szCs w:val="17"/>
                <w:color w:val="auto"/>
              </w:rPr>
              <w:t>Backed</w:t>
            </w:r>
          </w:p>
        </w:tc>
        <w:tc>
          <w:tcPr>
            <w:tcW w:w="3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Subdivisions</w:t>
            </w: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9"/>
              </w:rPr>
              <w:t>Corporate</w:t>
            </w: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7"/>
                <w:szCs w:val="17"/>
                <w:color w:val="auto"/>
              </w:rPr>
              <w:t>Preferred</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Total</w:t>
            </w:r>
          </w:p>
        </w:tc>
      </w:tr>
      <w:tr>
        <w:trPr>
          <w:trHeight w:val="225"/>
        </w:trPr>
        <w:tc>
          <w:tcPr>
            <w:tcW w:w="3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 thousands)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2"/>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32"/>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118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r>
      <w:tr>
        <w:trPr>
          <w:trHeight w:val="245"/>
        </w:trPr>
        <w:tc>
          <w:tcPr>
            <w:tcW w:w="3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Additions (deductions)</w:t>
            </w: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
        </w:trPr>
        <w:tc>
          <w:tcPr>
            <w:tcW w:w="3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1"/>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1180" w:type="dxa"/>
            <w:vAlign w:val="bottom"/>
            <w:shd w:val="clear" w:color="auto" w:fill="CCEEFF"/>
          </w:tcPr>
          <w:p>
            <w:pPr>
              <w:spacing w:after="0"/>
              <w:rPr>
                <w:sz w:val="23"/>
                <w:szCs w:val="2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71"/>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Recoveries credited to the allowance</w:t>
            </w:r>
          </w:p>
        </w:tc>
        <w:tc>
          <w:tcPr>
            <w:tcW w:w="1180" w:type="dxa"/>
            <w:vAlign w:val="bottom"/>
          </w:tcPr>
          <w:p>
            <w:pPr>
              <w:spacing w:after="0"/>
              <w:rPr>
                <w:sz w:val="23"/>
                <w:szCs w:val="23"/>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3"/>
                <w:szCs w:val="23"/>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3"/>
                <w:szCs w:val="23"/>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3"/>
                <w:szCs w:val="23"/>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9"/>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Securities HTM charged against the</w:t>
            </w: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48"/>
        </w:trPr>
        <w:tc>
          <w:tcPr>
            <w:tcW w:w="35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allowance</w:t>
            </w:r>
          </w:p>
        </w:tc>
        <w:tc>
          <w:tcPr>
            <w:tcW w:w="118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5"/>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Balance at end of period</w:t>
            </w:r>
          </w:p>
        </w:tc>
        <w:tc>
          <w:tcPr>
            <w:tcW w:w="1180" w:type="dxa"/>
            <w:vAlign w:val="bottom"/>
            <w:tcBorders>
              <w:top w:val="single" w:sz="8" w:color="auto"/>
              <w:bottom w:val="single" w:sz="8" w:color="auto"/>
            </w:tcBorders>
          </w:tcPr>
          <w:p>
            <w:pPr>
              <w:jc w:val="right"/>
              <w:ind w:right="97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w:t>
            </w: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4"/>
        </w:trPr>
        <w:tc>
          <w:tcPr>
            <w:tcW w:w="35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2"/>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32"/>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118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w:t>
            </w:r>
          </w:p>
        </w:tc>
      </w:tr>
      <w:tr>
        <w:trPr>
          <w:trHeight w:val="245"/>
        </w:trPr>
        <w:tc>
          <w:tcPr>
            <w:tcW w:w="3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Additions (deductions)</w:t>
            </w: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
        </w:trPr>
        <w:tc>
          <w:tcPr>
            <w:tcW w:w="3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1"/>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1180" w:type="dxa"/>
            <w:vAlign w:val="bottom"/>
            <w:shd w:val="clear" w:color="auto" w:fill="CCEEFF"/>
          </w:tcPr>
          <w:p>
            <w:pPr>
              <w:spacing w:after="0"/>
              <w:rPr>
                <w:sz w:val="23"/>
                <w:szCs w:val="2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71"/>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Recoveries credited to the allowance</w:t>
            </w:r>
          </w:p>
        </w:tc>
        <w:tc>
          <w:tcPr>
            <w:tcW w:w="1180" w:type="dxa"/>
            <w:vAlign w:val="bottom"/>
          </w:tcPr>
          <w:p>
            <w:pPr>
              <w:spacing w:after="0"/>
              <w:rPr>
                <w:sz w:val="23"/>
                <w:szCs w:val="23"/>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3"/>
                <w:szCs w:val="23"/>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3"/>
                <w:szCs w:val="23"/>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3"/>
                <w:szCs w:val="23"/>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9"/>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Securities HTM charged against the</w:t>
            </w: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48"/>
        </w:trPr>
        <w:tc>
          <w:tcPr>
            <w:tcW w:w="35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allowance</w:t>
            </w:r>
          </w:p>
        </w:tc>
        <w:tc>
          <w:tcPr>
            <w:tcW w:w="118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5"/>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Balance at end of period</w:t>
            </w:r>
          </w:p>
        </w:tc>
        <w:tc>
          <w:tcPr>
            <w:tcW w:w="1180" w:type="dxa"/>
            <w:vAlign w:val="bottom"/>
            <w:tcBorders>
              <w:top w:val="single" w:sz="8" w:color="auto"/>
              <w:bottom w:val="single" w:sz="8" w:color="auto"/>
            </w:tcBorders>
          </w:tcPr>
          <w:p>
            <w:pPr>
              <w:jc w:val="right"/>
              <w:ind w:right="97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w:t>
            </w:r>
          </w:p>
        </w:tc>
      </w:tr>
      <w:tr>
        <w:trPr>
          <w:trHeight w:val="20"/>
        </w:trPr>
        <w:tc>
          <w:tcPr>
            <w:tcW w:w="35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 analysis of the allowance for credit losses by security HTM type for the nine months ended September 30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00" w:type="dxa"/>
            <w:vAlign w:val="bottom"/>
          </w:tcPr>
          <w:p>
            <w:pPr>
              <w:spacing w:after="0"/>
              <w:rPr>
                <w:sz w:val="17"/>
                <w:szCs w:val="17"/>
                <w:color w:val="auto"/>
              </w:rPr>
            </w:pPr>
          </w:p>
        </w:tc>
        <w:tc>
          <w:tcPr>
            <w:tcW w:w="1180" w:type="dxa"/>
            <w:vAlign w:val="bottom"/>
          </w:tcPr>
          <w:p>
            <w:pPr>
              <w:jc w:val="center"/>
              <w:ind w:left="214"/>
              <w:spacing w:after="0"/>
              <w:rPr>
                <w:sz w:val="20"/>
                <w:szCs w:val="20"/>
                <w:color w:val="auto"/>
              </w:rPr>
            </w:pPr>
            <w:r>
              <w:rPr>
                <w:rFonts w:ascii="Times New Roman" w:cs="Times New Roman" w:eastAsia="Times New Roman" w:hAnsi="Times New Roman"/>
                <w:sz w:val="17"/>
                <w:szCs w:val="17"/>
                <w:color w:val="auto"/>
                <w:w w:val="99"/>
              </w:rPr>
              <w:t>Private</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Obligations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6"/>
        </w:trPr>
        <w:tc>
          <w:tcPr>
            <w:tcW w:w="3500" w:type="dxa"/>
            <w:vAlign w:val="bottom"/>
          </w:tcPr>
          <w:p>
            <w:pPr>
              <w:spacing w:after="0"/>
              <w:rPr>
                <w:sz w:val="17"/>
                <w:szCs w:val="17"/>
                <w:color w:val="auto"/>
              </w:rPr>
            </w:pPr>
          </w:p>
        </w:tc>
        <w:tc>
          <w:tcPr>
            <w:tcW w:w="1180" w:type="dxa"/>
            <w:vAlign w:val="bottom"/>
          </w:tcPr>
          <w:p>
            <w:pPr>
              <w:jc w:val="center"/>
              <w:ind w:left="214"/>
              <w:spacing w:after="0"/>
              <w:rPr>
                <w:sz w:val="20"/>
                <w:szCs w:val="20"/>
                <w:color w:val="auto"/>
              </w:rPr>
            </w:pPr>
            <w:r>
              <w:rPr>
                <w:rFonts w:ascii="Times New Roman" w:cs="Times New Roman" w:eastAsia="Times New Roman" w:hAnsi="Times New Roman"/>
                <w:sz w:val="17"/>
                <w:szCs w:val="17"/>
                <w:color w:val="auto"/>
              </w:rPr>
              <w:t>Label</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8"/>
              </w:rPr>
              <w:t>of States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6"/>
        </w:trPr>
        <w:tc>
          <w:tcPr>
            <w:tcW w:w="3500" w:type="dxa"/>
            <w:vAlign w:val="bottom"/>
          </w:tcPr>
          <w:p>
            <w:pPr>
              <w:spacing w:after="0"/>
              <w:rPr>
                <w:sz w:val="17"/>
                <w:szCs w:val="17"/>
                <w:color w:val="auto"/>
              </w:rPr>
            </w:pPr>
          </w:p>
        </w:tc>
        <w:tc>
          <w:tcPr>
            <w:tcW w:w="1180" w:type="dxa"/>
            <w:vAlign w:val="bottom"/>
          </w:tcPr>
          <w:p>
            <w:pPr>
              <w:jc w:val="center"/>
              <w:ind w:left="214"/>
              <w:spacing w:after="0"/>
              <w:rPr>
                <w:sz w:val="20"/>
                <w:szCs w:val="20"/>
                <w:color w:val="auto"/>
              </w:rPr>
            </w:pPr>
            <w:r>
              <w:rPr>
                <w:rFonts w:ascii="Times New Roman" w:cs="Times New Roman" w:eastAsia="Times New Roman" w:hAnsi="Times New Roman"/>
                <w:sz w:val="17"/>
                <w:szCs w:val="17"/>
                <w:color w:val="auto"/>
              </w:rPr>
              <w:t>Mortgage-</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and Political</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color w:val="auto"/>
              </w:rPr>
              <w:t>Trust</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48"/>
        </w:trPr>
        <w:tc>
          <w:tcPr>
            <w:tcW w:w="3500" w:type="dxa"/>
            <w:vAlign w:val="bottom"/>
          </w:tcPr>
          <w:p>
            <w:pPr>
              <w:spacing w:after="0"/>
              <w:rPr>
                <w:sz w:val="21"/>
                <w:szCs w:val="21"/>
                <w:color w:val="auto"/>
              </w:rPr>
            </w:pPr>
          </w:p>
        </w:tc>
        <w:tc>
          <w:tcPr>
            <w:tcW w:w="1180" w:type="dxa"/>
            <w:vAlign w:val="bottom"/>
            <w:tcBorders>
              <w:bottom w:val="single" w:sz="8" w:color="auto"/>
            </w:tcBorders>
          </w:tcPr>
          <w:p>
            <w:pPr>
              <w:jc w:val="center"/>
              <w:ind w:left="214"/>
              <w:spacing w:after="0"/>
              <w:rPr>
                <w:sz w:val="20"/>
                <w:szCs w:val="20"/>
                <w:color w:val="auto"/>
              </w:rPr>
            </w:pPr>
            <w:r>
              <w:rPr>
                <w:rFonts w:ascii="Times New Roman" w:cs="Times New Roman" w:eastAsia="Times New Roman" w:hAnsi="Times New Roman"/>
                <w:sz w:val="17"/>
                <w:szCs w:val="17"/>
                <w:color w:val="auto"/>
              </w:rPr>
              <w:t>Backed</w:t>
            </w:r>
          </w:p>
        </w:tc>
        <w:tc>
          <w:tcPr>
            <w:tcW w:w="3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Subdivisions</w:t>
            </w: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9"/>
              </w:rPr>
              <w:t>Corporate</w:t>
            </w: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7"/>
                <w:szCs w:val="17"/>
                <w:color w:val="auto"/>
              </w:rPr>
              <w:t>Preferred</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Total</w:t>
            </w:r>
          </w:p>
        </w:tc>
      </w:tr>
      <w:tr>
        <w:trPr>
          <w:trHeight w:val="225"/>
        </w:trPr>
        <w:tc>
          <w:tcPr>
            <w:tcW w:w="3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 thousands)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2"/>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32"/>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118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r>
      <w:tr>
        <w:trPr>
          <w:trHeight w:val="245"/>
        </w:trPr>
        <w:tc>
          <w:tcPr>
            <w:tcW w:w="3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Additions (deductions)</w:t>
            </w: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
        </w:trPr>
        <w:tc>
          <w:tcPr>
            <w:tcW w:w="3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1"/>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1180" w:type="dxa"/>
            <w:vAlign w:val="bottom"/>
            <w:shd w:val="clear" w:color="auto" w:fill="CCEEFF"/>
          </w:tcPr>
          <w:p>
            <w:pPr>
              <w:spacing w:after="0"/>
              <w:rPr>
                <w:sz w:val="23"/>
                <w:szCs w:val="2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71"/>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Recoveries credited to the allowance</w:t>
            </w:r>
          </w:p>
        </w:tc>
        <w:tc>
          <w:tcPr>
            <w:tcW w:w="1180" w:type="dxa"/>
            <w:vAlign w:val="bottom"/>
          </w:tcPr>
          <w:p>
            <w:pPr>
              <w:spacing w:after="0"/>
              <w:rPr>
                <w:sz w:val="23"/>
                <w:szCs w:val="23"/>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3"/>
                <w:szCs w:val="23"/>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3"/>
                <w:szCs w:val="23"/>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3"/>
                <w:szCs w:val="23"/>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9"/>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Securities HTM charged against the</w:t>
            </w: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48"/>
        </w:trPr>
        <w:tc>
          <w:tcPr>
            <w:tcW w:w="35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allowance</w:t>
            </w:r>
          </w:p>
        </w:tc>
        <w:tc>
          <w:tcPr>
            <w:tcW w:w="118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5"/>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Balance at end of period</w:t>
            </w:r>
          </w:p>
        </w:tc>
        <w:tc>
          <w:tcPr>
            <w:tcW w:w="1180" w:type="dxa"/>
            <w:vAlign w:val="bottom"/>
            <w:tcBorders>
              <w:top w:val="single" w:sz="8" w:color="auto"/>
              <w:bottom w:val="single" w:sz="8" w:color="auto"/>
            </w:tcBorders>
          </w:tcPr>
          <w:p>
            <w:pPr>
              <w:jc w:val="right"/>
              <w:ind w:right="97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w:t>
            </w: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4"/>
        </w:trPr>
        <w:tc>
          <w:tcPr>
            <w:tcW w:w="35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2"/>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32"/>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118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r>
      <w:tr>
        <w:trPr>
          <w:trHeight w:val="245"/>
        </w:trPr>
        <w:tc>
          <w:tcPr>
            <w:tcW w:w="3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Additions (deductions)</w:t>
            </w: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
        </w:trPr>
        <w:tc>
          <w:tcPr>
            <w:tcW w:w="3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1"/>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1180" w:type="dxa"/>
            <w:vAlign w:val="bottom"/>
            <w:shd w:val="clear" w:color="auto" w:fill="CCEEFF"/>
          </w:tcPr>
          <w:p>
            <w:pPr>
              <w:spacing w:after="0"/>
              <w:rPr>
                <w:sz w:val="23"/>
                <w:szCs w:val="2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71"/>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Recoveries credited to the allowance</w:t>
            </w:r>
          </w:p>
        </w:tc>
        <w:tc>
          <w:tcPr>
            <w:tcW w:w="1180" w:type="dxa"/>
            <w:vAlign w:val="bottom"/>
          </w:tcPr>
          <w:p>
            <w:pPr>
              <w:spacing w:after="0"/>
              <w:rPr>
                <w:sz w:val="23"/>
                <w:szCs w:val="23"/>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3"/>
                <w:szCs w:val="23"/>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3"/>
                <w:szCs w:val="23"/>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3"/>
                <w:szCs w:val="23"/>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9"/>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Securities HTM charged against the</w:t>
            </w: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48"/>
        </w:trPr>
        <w:tc>
          <w:tcPr>
            <w:tcW w:w="35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allowance</w:t>
            </w:r>
          </w:p>
        </w:tc>
        <w:tc>
          <w:tcPr>
            <w:tcW w:w="118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5"/>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Balance at end of period</w:t>
            </w:r>
          </w:p>
        </w:tc>
        <w:tc>
          <w:tcPr>
            <w:tcW w:w="1180" w:type="dxa"/>
            <w:vAlign w:val="bottom"/>
            <w:tcBorders>
              <w:top w:val="single" w:sz="8" w:color="auto"/>
              <w:bottom w:val="single" w:sz="8" w:color="auto"/>
            </w:tcBorders>
          </w:tcPr>
          <w:p>
            <w:pPr>
              <w:jc w:val="right"/>
              <w:ind w:right="97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w:t>
            </w:r>
          </w:p>
        </w:tc>
      </w:tr>
      <w:tr>
        <w:trPr>
          <w:trHeight w:val="20"/>
        </w:trPr>
        <w:tc>
          <w:tcPr>
            <w:tcW w:w="35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were no securities HTM on nonaccrual or past due at September 30, 2026 and 2025.</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amortized cost and fair value of securities AFS and securities HTM at September 30, 2026, by contractual maturity, follow: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Securities AFS</w:t>
            </w:r>
          </w:p>
        </w:tc>
        <w:tc>
          <w:tcPr>
            <w:tcW w:w="9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Securities HTM</w:t>
            </w:r>
          </w:p>
        </w:tc>
        <w:tc>
          <w:tcPr>
            <w:tcW w:w="960" w:type="dxa"/>
            <w:vAlign w:val="bottom"/>
            <w:tcBorders>
              <w:bottom w:val="single" w:sz="8" w:color="auto"/>
            </w:tcBorders>
          </w:tcPr>
          <w:p>
            <w:pPr>
              <w:spacing w:after="0"/>
              <w:rPr>
                <w:sz w:val="19"/>
                <w:szCs w:val="19"/>
                <w:color w:val="auto"/>
              </w:rPr>
            </w:pPr>
          </w:p>
        </w:tc>
      </w:tr>
      <w:tr>
        <w:trPr>
          <w:trHeight w:val="173"/>
        </w:trPr>
        <w:tc>
          <w:tcPr>
            <w:tcW w:w="5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center"/>
              <w:ind w:right="320"/>
              <w:spacing w:after="0" w:line="173" w:lineRule="exact"/>
              <w:rPr>
                <w:sz w:val="20"/>
                <w:szCs w:val="20"/>
                <w:color w:val="auto"/>
              </w:rPr>
            </w:pPr>
            <w:r>
              <w:rPr>
                <w:rFonts w:ascii="Times New Roman" w:cs="Times New Roman" w:eastAsia="Times New Roman" w:hAnsi="Times New Roman"/>
                <w:sz w:val="17"/>
                <w:szCs w:val="17"/>
                <w:color w:val="auto"/>
              </w:rPr>
              <w:t>Amortized</w:t>
            </w:r>
          </w:p>
        </w:tc>
        <w:tc>
          <w:tcPr>
            <w:tcW w:w="500" w:type="dxa"/>
            <w:vAlign w:val="bottom"/>
          </w:tcPr>
          <w:p>
            <w:pPr>
              <w:spacing w:after="0"/>
              <w:rPr>
                <w:sz w:val="15"/>
                <w:szCs w:val="15"/>
                <w:color w:val="auto"/>
              </w:rPr>
            </w:pPr>
          </w:p>
        </w:tc>
        <w:tc>
          <w:tcPr>
            <w:tcW w:w="1060" w:type="dxa"/>
            <w:vAlign w:val="bottom"/>
            <w:gridSpan w:val="2"/>
          </w:tcPr>
          <w:p>
            <w:pPr>
              <w:jc w:val="center"/>
              <w:ind w:right="580"/>
              <w:spacing w:after="0" w:line="173" w:lineRule="exact"/>
              <w:rPr>
                <w:sz w:val="20"/>
                <w:szCs w:val="20"/>
                <w:color w:val="auto"/>
              </w:rPr>
            </w:pPr>
            <w:r>
              <w:rPr>
                <w:rFonts w:ascii="Times New Roman" w:cs="Times New Roman" w:eastAsia="Times New Roman" w:hAnsi="Times New Roman"/>
                <w:sz w:val="17"/>
                <w:szCs w:val="17"/>
                <w:color w:val="auto"/>
              </w:rPr>
              <w:t>Fair</w:t>
            </w:r>
          </w:p>
        </w:tc>
        <w:tc>
          <w:tcPr>
            <w:tcW w:w="240" w:type="dxa"/>
            <w:vAlign w:val="bottom"/>
          </w:tcPr>
          <w:p>
            <w:pPr>
              <w:spacing w:after="0"/>
              <w:rPr>
                <w:sz w:val="15"/>
                <w:szCs w:val="15"/>
                <w:color w:val="auto"/>
              </w:rPr>
            </w:pPr>
          </w:p>
        </w:tc>
        <w:tc>
          <w:tcPr>
            <w:tcW w:w="1340" w:type="dxa"/>
            <w:vAlign w:val="bottom"/>
            <w:gridSpan w:val="2"/>
          </w:tcPr>
          <w:p>
            <w:pPr>
              <w:jc w:val="center"/>
              <w:ind w:right="320"/>
              <w:spacing w:after="0" w:line="173" w:lineRule="exact"/>
              <w:rPr>
                <w:sz w:val="20"/>
                <w:szCs w:val="20"/>
                <w:color w:val="auto"/>
              </w:rPr>
            </w:pPr>
            <w:r>
              <w:rPr>
                <w:rFonts w:ascii="Times New Roman" w:cs="Times New Roman" w:eastAsia="Times New Roman" w:hAnsi="Times New Roman"/>
                <w:sz w:val="17"/>
                <w:szCs w:val="17"/>
                <w:color w:val="auto"/>
              </w:rPr>
              <w:t>Amortized</w:t>
            </w:r>
          </w:p>
        </w:tc>
        <w:tc>
          <w:tcPr>
            <w:tcW w:w="520" w:type="dxa"/>
            <w:vAlign w:val="bottom"/>
          </w:tcPr>
          <w:p>
            <w:pPr>
              <w:spacing w:after="0"/>
              <w:rPr>
                <w:sz w:val="15"/>
                <w:szCs w:val="15"/>
                <w:color w:val="auto"/>
              </w:rPr>
            </w:pPr>
          </w:p>
        </w:tc>
        <w:tc>
          <w:tcPr>
            <w:tcW w:w="960" w:type="dxa"/>
            <w:vAlign w:val="bottom"/>
          </w:tcPr>
          <w:p>
            <w:pPr>
              <w:jc w:val="right"/>
              <w:ind w:right="514"/>
              <w:spacing w:after="0" w:line="173" w:lineRule="exact"/>
              <w:rPr>
                <w:sz w:val="20"/>
                <w:szCs w:val="20"/>
                <w:color w:val="auto"/>
              </w:rPr>
            </w:pPr>
            <w:r>
              <w:rPr>
                <w:rFonts w:ascii="Times New Roman" w:cs="Times New Roman" w:eastAsia="Times New Roman" w:hAnsi="Times New Roman"/>
                <w:sz w:val="17"/>
                <w:szCs w:val="17"/>
                <w:color w:val="auto"/>
              </w:rPr>
              <w:t>Fair</w:t>
            </w:r>
          </w:p>
        </w:tc>
      </w:tr>
      <w:tr>
        <w:trPr>
          <w:trHeight w:val="228"/>
        </w:trPr>
        <w:tc>
          <w:tcPr>
            <w:tcW w:w="50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Cost</w:t>
            </w: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center"/>
              <w:ind w:right="580"/>
              <w:spacing w:after="0"/>
              <w:rPr>
                <w:sz w:val="20"/>
                <w:szCs w:val="20"/>
                <w:color w:val="auto"/>
              </w:rPr>
            </w:pPr>
            <w:r>
              <w:rPr>
                <w:rFonts w:ascii="Times New Roman" w:cs="Times New Roman" w:eastAsia="Times New Roman" w:hAnsi="Times New Roman"/>
                <w:sz w:val="17"/>
                <w:szCs w:val="17"/>
                <w:color w:val="auto"/>
                <w:w w:val="98"/>
              </w:rPr>
              <w:t>Value</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6"/>
              </w:rPr>
              <w:t>Cost</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w w:val="98"/>
              </w:rPr>
              <w:t>Value</w:t>
            </w:r>
          </w:p>
        </w:tc>
      </w:tr>
      <w:tr>
        <w:trPr>
          <w:trHeight w:val="229"/>
        </w:trPr>
        <w:tc>
          <w:tcPr>
            <w:tcW w:w="5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40" w:type="dxa"/>
            <w:vAlign w:val="bottom"/>
            <w:gridSpan w:val="5"/>
          </w:tcPr>
          <w:p>
            <w:pPr>
              <w:ind w:left="540"/>
              <w:spacing w:after="0"/>
              <w:rPr>
                <w:sz w:val="20"/>
                <w:szCs w:val="20"/>
                <w:color w:val="auto"/>
              </w:rPr>
            </w:pPr>
            <w:r>
              <w:rPr>
                <w:rFonts w:ascii="Times New Roman" w:cs="Times New Roman" w:eastAsia="Times New Roman" w:hAnsi="Times New Roman"/>
                <w:sz w:val="17"/>
                <w:szCs w:val="17"/>
                <w:color w:val="auto"/>
              </w:rPr>
              <w:t>(In thousands)</w:t>
            </w: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2"/>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Maturing within one year</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31,964</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31,446</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26,052</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25,808</w:t>
            </w:r>
          </w:p>
        </w:tc>
      </w:tr>
      <w:tr>
        <w:trPr>
          <w:trHeight w:val="232"/>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Maturing after one year but within five years</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103,392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96,423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56,678</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53,808</w:t>
            </w:r>
          </w:p>
        </w:tc>
      </w:tr>
      <w:tr>
        <w:trPr>
          <w:trHeight w:val="232"/>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Maturing after five years but within ten years</w:t>
            </w: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37,108</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31,903</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62,142</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53,249</w:t>
            </w:r>
          </w:p>
        </w:tc>
      </w:tr>
      <w:tr>
        <w:trPr>
          <w:trHeight w:val="232"/>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Maturing after ten years</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186,595</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142,798</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56,842</w:t>
            </w:r>
          </w:p>
        </w:tc>
        <w:tc>
          <w:tcPr>
            <w:tcW w:w="8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44,140</w:t>
            </w:r>
          </w:p>
        </w:tc>
      </w:tr>
      <w:tr>
        <w:trPr>
          <w:trHeight w:val="225"/>
        </w:trPr>
        <w:tc>
          <w:tcPr>
            <w:tcW w:w="5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359,059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302,570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201,714</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177,005</w:t>
            </w:r>
          </w:p>
        </w:tc>
      </w:tr>
      <w:tr>
        <w:trPr>
          <w:trHeight w:val="232"/>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 agency residential mortgage-backed</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90,847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94,435</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71,953</w:t>
            </w:r>
          </w:p>
        </w:tc>
      </w:tr>
      <w:tr>
        <w:trPr>
          <w:trHeight w:val="232"/>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agency commercial mortgage-backed</w:t>
            </w: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6,842</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5,908</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3,137</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2,869</w:t>
            </w:r>
          </w:p>
        </w:tc>
      </w:tr>
      <w:tr>
        <w:trPr>
          <w:trHeight w:val="232"/>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Private label mortgage-backed</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28,943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26,440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4,573</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4,422</w:t>
            </w:r>
          </w:p>
        </w:tc>
      </w:tr>
      <w:tr>
        <w:trPr>
          <w:trHeight w:val="232"/>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 backed</w:t>
            </w: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94,318</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93,851</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5"/>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589,169</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519,616</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303,859</w:t>
            </w:r>
          </w:p>
        </w:tc>
        <w:tc>
          <w:tcPr>
            <w:tcW w:w="8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256,249</w:t>
            </w:r>
          </w:p>
        </w:tc>
      </w:tr>
      <w:tr>
        <w:trPr>
          <w:trHeight w:val="20"/>
        </w:trPr>
        <w:tc>
          <w:tcPr>
            <w:tcW w:w="5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actual maturity may differ from the contractual maturity because issuers may have the right to call or prepay obligations with or without call or prepayment penalties.</w:t>
      </w:r>
    </w:p>
    <w:p>
      <w:pPr>
        <w:spacing w:after="0" w:line="200" w:lineRule="exact"/>
        <w:rPr>
          <w:sz w:val="20"/>
          <w:szCs w:val="20"/>
          <w:color w:val="auto"/>
        </w:rPr>
      </w:pP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Gains and losses realized on the sale of securities AFS are determined using the specific identification method and are recognized on a trade-date basis. A summary of proceeds from the sale of securities AFS and gains and losses for the nine month periods ending September 30,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tcPr>
          <w:p>
            <w:pPr>
              <w:ind w:left="1060"/>
              <w:spacing w:after="0"/>
              <w:rPr>
                <w:sz w:val="20"/>
                <w:szCs w:val="20"/>
                <w:color w:val="auto"/>
              </w:rPr>
            </w:pPr>
            <w:r>
              <w:rPr>
                <w:rFonts w:ascii="Times New Roman" w:cs="Times New Roman" w:eastAsia="Times New Roman" w:hAnsi="Times New Roman"/>
                <w:sz w:val="17"/>
                <w:szCs w:val="17"/>
                <w:color w:val="auto"/>
              </w:rPr>
              <w:t>Realized</w:t>
            </w:r>
          </w:p>
        </w:tc>
        <w:tc>
          <w:tcPr>
            <w:tcW w:w="1100" w:type="dxa"/>
            <w:vAlign w:val="bottom"/>
            <w:tcBorders>
              <w:bottom w:val="single" w:sz="8" w:color="auto"/>
            </w:tcBorders>
          </w:tcPr>
          <w:p>
            <w:pPr>
              <w:spacing w:after="0"/>
              <w:rPr>
                <w:sz w:val="19"/>
                <w:szCs w:val="19"/>
                <w:color w:val="auto"/>
              </w:rPr>
            </w:pPr>
          </w:p>
        </w:tc>
      </w:tr>
      <w:tr>
        <w:trPr>
          <w:trHeight w:val="225"/>
        </w:trPr>
        <w:tc>
          <w:tcPr>
            <w:tcW w:w="66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Proceeds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7"/>
                <w:szCs w:val="17"/>
                <w:color w:val="auto"/>
              </w:rPr>
              <w:t>Gains</w:t>
            </w: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Losses</w:t>
            </w:r>
          </w:p>
        </w:tc>
      </w:tr>
      <w:tr>
        <w:trPr>
          <w:trHeight w:val="225"/>
        </w:trPr>
        <w:tc>
          <w:tcPr>
            <w:tcW w:w="6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center"/>
              <w:ind w:right="114"/>
              <w:spacing w:after="0"/>
              <w:rPr>
                <w:sz w:val="20"/>
                <w:szCs w:val="20"/>
                <w:color w:val="auto"/>
              </w:rPr>
            </w:pPr>
            <w:r>
              <w:rPr>
                <w:rFonts w:ascii="Times New Roman" w:cs="Times New Roman" w:eastAsia="Times New Roman" w:hAnsi="Times New Roman"/>
                <w:sz w:val="17"/>
                <w:szCs w:val="17"/>
                <w:color w:val="auto"/>
              </w:rPr>
              <w:t>(In thousands)</w:t>
            </w: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2"/>
        </w:trPr>
        <w:tc>
          <w:tcPr>
            <w:tcW w:w="6620" w:type="dxa"/>
            <w:vAlign w:val="bottom"/>
            <w:shd w:val="clear" w:color="auto" w:fill="CCEEFF"/>
          </w:tcPr>
          <w:p>
            <w:pPr>
              <w:jc w:val="right"/>
              <w:ind w:right="6174"/>
              <w:spacing w:after="0"/>
              <w:rPr>
                <w:sz w:val="20"/>
                <w:szCs w:val="20"/>
                <w:color w:val="auto"/>
              </w:rPr>
            </w:pPr>
            <w:r>
              <w:rPr>
                <w:rFonts w:ascii="Times New Roman" w:cs="Times New Roman" w:eastAsia="Times New Roman" w:hAnsi="Times New Roman"/>
                <w:sz w:val="17"/>
                <w:szCs w:val="17"/>
                <w:color w:val="auto"/>
                <w:w w:val="99"/>
              </w:rPr>
              <w:t>2026</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24,813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11</w:t>
            </w:r>
          </w:p>
        </w:tc>
        <w:tc>
          <w:tcPr>
            <w:tcW w:w="44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w:t>
            </w:r>
          </w:p>
        </w:tc>
      </w:tr>
      <w:tr>
        <w:trPr>
          <w:trHeight w:val="232"/>
        </w:trPr>
        <w:tc>
          <w:tcPr>
            <w:tcW w:w="6620" w:type="dxa"/>
            <w:vAlign w:val="bottom"/>
          </w:tcPr>
          <w:p>
            <w:pPr>
              <w:jc w:val="right"/>
              <w:ind w:right="6174"/>
              <w:spacing w:after="0"/>
              <w:rPr>
                <w:sz w:val="20"/>
                <w:szCs w:val="20"/>
                <w:color w:val="auto"/>
              </w:rPr>
            </w:pPr>
            <w:r>
              <w:rPr>
                <w:rFonts w:ascii="Times New Roman" w:cs="Times New Roman" w:eastAsia="Times New Roman" w:hAnsi="Times New Roman"/>
                <w:sz w:val="17"/>
                <w:szCs w:val="17"/>
                <w:color w:val="auto"/>
                <w:w w:val="99"/>
              </w:rPr>
              <w:t>2025</w:t>
            </w:r>
          </w:p>
        </w:tc>
        <w:tc>
          <w:tcPr>
            <w:tcW w:w="260" w:type="dxa"/>
            <w:vAlign w:val="bottom"/>
          </w:tcPr>
          <w:p>
            <w:pPr>
              <w:spacing w:after="0"/>
              <w:rPr>
                <w:sz w:val="20"/>
                <w:szCs w:val="20"/>
                <w:color w:val="auto"/>
              </w:rPr>
            </w:pPr>
          </w:p>
        </w:tc>
        <w:tc>
          <w:tcPr>
            <w:tcW w:w="13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30,581</w:t>
            </w:r>
          </w:p>
        </w:tc>
        <w:tc>
          <w:tcPr>
            <w:tcW w:w="180" w:type="dxa"/>
            <w:vAlign w:val="bottom"/>
          </w:tcPr>
          <w:p>
            <w:pPr>
              <w:spacing w:after="0"/>
              <w:rPr>
                <w:sz w:val="20"/>
                <w:szCs w:val="20"/>
                <w:color w:val="auto"/>
              </w:rPr>
            </w:pPr>
          </w:p>
        </w:tc>
        <w:tc>
          <w:tcPr>
            <w:tcW w:w="134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37</w:t>
            </w:r>
          </w:p>
        </w:tc>
        <w:tc>
          <w:tcPr>
            <w:tcW w:w="4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w:t>
            </w:r>
          </w:p>
        </w:tc>
      </w:tr>
    </w:tbl>
    <w:p>
      <w:pPr>
        <w:spacing w:after="0" w:line="24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tax benefit related to these net realized losses was $0.03 million and $0.07 million for the nine month periods ending September 30, 2026 and 2025, respectively.</w:t>
      </w:r>
    </w:p>
    <w:p>
      <w:pPr>
        <w:spacing w:after="0" w:line="11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During the third quarter of 2026, we sold our remaining Visa Inc. Class C common stock. Accordingly, we held no equity securities at fair value at September 30, 2026. During the three and nine months ended September 30, 2026, we recognized gains on equity securities of $0.07 million and $1.67 million, respectively, that are included in net gains on equity securities at fair value in the Condensed Consolidated Statements of Operations. No portion of these gains relates to equity securities at fair value still held at September 30, 2026. We had no equity securities at fair value during the same periods in 2025. See note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p>
      <w:pPr>
        <w:ind w:left="300" w:hanging="297"/>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Loans</w:t>
      </w:r>
    </w:p>
    <w:p>
      <w:pPr>
        <w:spacing w:after="0" w:line="19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estimate the ACL based on relevant available information from both internal and external sources, including historical loss trends, current conditions and forecasts, specific analysis of individual loans, and other relevant and appropriate factors. The ACL process is designed to provide for expected future losses based on our reasonable and supportable (“R&amp;S”) forecast as of the reporting date. Our ACL process is administered by our Risk Management group utilizing a third party software solution, with significant input and ultimate approval from our Executive Enterprise Risk Committee. Further, we have established a current expected credit loss ("CECL") Forecast Committee, which includes a cross discipline structure with membership from Executive Management, Risk Management, Credit Administration and Accounting, which approves ACL model assumptions each quarter. Our ACL is comprised of three principal elements: (i) specific analysis of individual loans identified during the review of the loan portfolio, (ii) pooled analysis of loans with similar risk characteristics based on historical experience, adjusted for current conditions, R&amp;S forecasts, and expected prepayments, and (iii) additional allowances based on subjective factors, including local and general economic business factors and trends, portfolio concentrations and changes in the size and/or the general terms of the loan portfolio.</w:t>
      </w:r>
    </w:p>
    <w:p>
      <w:pPr>
        <w:spacing w:after="0" w:line="1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first ACL element (specific allocations) includes loans that do not share similar risk characteristics and are evaluated on an individual basis. We will typically evaluate on an individual basis loans that are on nonaccrual; commercial loans that have been modified resulting in a concession, for which the borrower is experiencing financial difficulties, and which are considered loan modifications or with well defined weaknesses; and severely delinquent mortgage and installment loans. When we determine that foreclosure is probable or when repayment is expected to be provided substantially through the operation or sale of underlying collateral, expected credit losses are based on the fair value of the collateral at the reporting date, adjusted for estimated selling costs. For loans evaluated on an individual basis that are not determined to be collateral dependent, a discounted cash flow analysis is performed to determine expected credit losses.</w:t>
      </w:r>
    </w:p>
    <w:p>
      <w:pPr>
        <w:spacing w:after="0" w:line="3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second ACL element (pooled analysis) includes loans with similar risk characteristics, which are broken down by segment, class, and risk metric. The Bank’s primary segments of commercial, mortgage, and installment loans are further classified by other relevant attributes, such as collateral type, lien position, occupancy status, amortization method, and balance size. Commercial classes are additionally segmented by risk rating, and mortgage and installment loan classes by credit score tier, which are updated at least semi-annually.</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utilize a discounted cash flow (“DCF”) model to estimate expected future losses for pooled loans. Expected future cash flows are developed from payment schedules over the contractual term, adjusted for forecasted default (probability of default), loss, and prepayment assumptions. We are not required to develop forecasts over the full contractual term of the financial asset or group of financial assets. Rather, for periods beyond which we are able to make or obtain R&amp;S forecasts of expected credit losses, we revert to the long term average on a straight line or immediate basis, as determined by our CECL Forecast Committee, and which may vary depending on the economic outlook and uncertainty.</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DCF model for the mortgage and installment pooled loan segments includes using probability of default (“PD”) assumptions that are derived through regression analysis with forecasted US unemployment levels by credit score tier. We review a composite forecast of approximately 50 analysts as well as the Federal Open Market Committee (“FOMC”) projections in setting the unemployment forecast for the R&amp;S period. The current ACL utilizes a one year R&amp;S forecast followed by immediate reversion to the 75 year average unemployment rate. PD assumptions for the remaining segments are based primarily on historical rates by risk metric as defaults were not strongly correlated with any economic indicator. Loss given default (“LGD”) assumptions for the mortgage loan segment are based on a two year forecast followed by a two year straight line reversion period to the longer term average, while LGD rates for the remaining segments are the historical average for the entire period. Prepayment assumptions represent average rates per segment for a period determined by the CECL Forecast Committee and as calculated through the Bank’s Asset and Liability Management program.</w:t>
      </w:r>
    </w:p>
    <w:p>
      <w:pPr>
        <w:spacing w:after="0" w:line="13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Pooled reserves for the commercial loan segment are calculated using the DCF model with assumptions generally based on historical averages by class and risk rating. Effective risk rating practices allow for strong predictability of defaults and losses over the portfolio’s expected shorter duration, relative to mortgage and installment loans. Our risk rating system is similar to those employed by state and federal banking regulators.</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third ACL element (additional allocations based on subjective factors) is based on factors that cannot be associated with a specific credit or loan category and reflects our attempt to ensure that the overall ACL appropriately reflects a margin for the imprecision necessarily inherent in the estimates of expected credit losses. We adjust our quantitative model for certain qualitative factors to reflect the extent to which management expects current conditions and R&amp;S forecasts to differ from the conditions that existed for the period over which historical information was evaluated. The qualitative framework reflects changes related to relevant data, such as changes in asset quality trends, portfolio growth and</w:t>
      </w:r>
    </w:p>
    <w:p>
      <w:pPr>
        <w:spacing w:after="0" w:line="30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composition, national and local economic factors, credit policy and administration and other factors not considered in the base quantitative model. We utilize a survey completed by business unit management throughout the Bank, as well as discussion with the CECL Forecast Committee to establish reserves under the qualitative framework.</w:t>
      </w:r>
    </w:p>
    <w:p>
      <w:pPr>
        <w:spacing w:after="0" w:line="14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connection with our July 1, 2026 acquisition of HCB Financial Corp., we measured acquired loans at their acquisition-date fair values (see Note #18). We evaluated the loans for a more-than-insignificant deterioration in credit quality since origination and classified qualifying loans as purchased credit-deteriorated (“PCD”). Under ASU 2025-08, Purchased Loans, which we adopted upon issuance of the ASU in 2025, acquired loans that were not PCD and were eligible under the guidance were classified as purchased seasoned loans (“PSL”).</w:t>
      </w:r>
    </w:p>
    <w:p>
      <w:pPr>
        <w:spacing w:after="0" w:line="13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PSL and PCD loans are accounted for using the gross-up approach. The gross-up approach requires recognition of an allowance for the estimate of credit losses at the acquisition date. The ACL is recorded with an offsetting gross-up adjustment to the purchase price of the acquired financial asset.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 analysis of the allowance for credit losses by portfolio segment for the three months ended September 30,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Subjective</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2"/>
        </w:trPr>
        <w:tc>
          <w:tcPr>
            <w:tcW w:w="3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7"/>
                <w:szCs w:val="17"/>
                <w:color w:val="auto"/>
              </w:rPr>
              <w:t>Commercial</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7"/>
                <w:szCs w:val="17"/>
                <w:color w:val="auto"/>
              </w:rPr>
              <w:t>Mortgage</w:t>
            </w: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Installment</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Allocation</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Total</w:t>
            </w:r>
          </w:p>
        </w:tc>
      </w:tr>
      <w:tr>
        <w:trPr>
          <w:trHeight w:val="225"/>
        </w:trPr>
        <w:tc>
          <w:tcPr>
            <w:tcW w:w="3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 thousands)</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2"/>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32"/>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35,085</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18,005</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3,503</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9,080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65,673</w:t>
            </w:r>
          </w:p>
        </w:tc>
      </w:tr>
      <w:tr>
        <w:trPr>
          <w:trHeight w:val="232"/>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Additions (deductions)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1"/>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4,074</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3,713</w:t>
            </w:r>
          </w:p>
        </w:tc>
      </w:tr>
      <w:tr>
        <w:trPr>
          <w:trHeight w:val="271"/>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Recoveries credited to the allowance</w:t>
            </w: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555</w:t>
            </w:r>
          </w:p>
        </w:tc>
      </w:tr>
      <w:tr>
        <w:trPr>
          <w:trHeight w:val="271"/>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Loans charged against the allowance</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(679)</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(769)</w:t>
            </w:r>
          </w:p>
        </w:tc>
      </w:tr>
      <w:tr>
        <w:trPr>
          <w:trHeight w:val="271"/>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Allowance recorded on PSL loans</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3,497</w:t>
            </w:r>
          </w:p>
        </w:tc>
        <w:tc>
          <w:tcPr>
            <w:tcW w:w="80" w:type="dxa"/>
            <w:vAlign w:val="bottom"/>
          </w:tcPr>
          <w:p>
            <w:pPr>
              <w:spacing w:after="0"/>
              <w:rPr>
                <w:sz w:val="23"/>
                <w:szCs w:val="23"/>
                <w:color w:val="auto"/>
              </w:rPr>
            </w:pP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803</w:t>
            </w:r>
          </w:p>
        </w:tc>
        <w:tc>
          <w:tcPr>
            <w:tcW w:w="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80" w:type="dxa"/>
            <w:vAlign w:val="bottom"/>
          </w:tcPr>
          <w:p>
            <w:pPr>
              <w:spacing w:after="0"/>
              <w:rPr>
                <w:sz w:val="23"/>
                <w:szCs w:val="23"/>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4,445</w:t>
            </w:r>
          </w:p>
        </w:tc>
      </w:tr>
      <w:tr>
        <w:trPr>
          <w:trHeight w:val="271"/>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Allowance recorded on PCD loans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r>
      <w:tr>
        <w:trPr>
          <w:trHeight w:val="225"/>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Balance at end of period</w:t>
            </w: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42,724</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18,506</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3,374</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9,120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73,724</w:t>
            </w: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4"/>
        </w:trPr>
        <w:tc>
          <w:tcPr>
            <w:tcW w:w="3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2"/>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32"/>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25,890</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20,752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3,015</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11,500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61,157</w:t>
            </w:r>
          </w:p>
        </w:tc>
      </w:tr>
      <w:tr>
        <w:trPr>
          <w:trHeight w:val="232"/>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Additions (deductions)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1"/>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2,587</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2,032</w:t>
            </w:r>
          </w:p>
        </w:tc>
      </w:tr>
      <w:tr>
        <w:trPr>
          <w:trHeight w:val="271"/>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Recoveries credited to the allowance</w:t>
            </w: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473</w:t>
            </w:r>
          </w:p>
        </w:tc>
      </w:tr>
      <w:tr>
        <w:trPr>
          <w:trHeight w:val="271"/>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Loans charged against the allowance</w:t>
            </w:r>
          </w:p>
        </w:tc>
        <w:tc>
          <w:tcPr>
            <w:tcW w:w="2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(1,193)</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(1,203)</w:t>
            </w:r>
          </w:p>
        </w:tc>
      </w:tr>
      <w:tr>
        <w:trPr>
          <w:trHeight w:val="225"/>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Balance at end of period</w:t>
            </w: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28,484</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20,546</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2,723</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10,706</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62,459</w:t>
            </w:r>
          </w:p>
        </w:tc>
      </w:tr>
      <w:tr>
        <w:trPr>
          <w:trHeight w:val="20"/>
        </w:trPr>
        <w:tc>
          <w:tcPr>
            <w:tcW w:w="3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 analysis of the ACL by portfolio segment for the nine months ended September 30,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Subjective</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2"/>
        </w:trPr>
        <w:tc>
          <w:tcPr>
            <w:tcW w:w="3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7"/>
                <w:szCs w:val="17"/>
                <w:color w:val="auto"/>
              </w:rPr>
              <w:t>Commercial</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7"/>
                <w:szCs w:val="17"/>
                <w:color w:val="auto"/>
              </w:rPr>
              <w:t>Mortgage</w:t>
            </w: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Installment</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Allocation</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Total</w:t>
            </w:r>
          </w:p>
        </w:tc>
      </w:tr>
      <w:tr>
        <w:trPr>
          <w:trHeight w:val="225"/>
        </w:trPr>
        <w:tc>
          <w:tcPr>
            <w:tcW w:w="3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 thousands)</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2"/>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1"/>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29,012</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20,914</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2,639</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10,880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63,445</w:t>
            </w:r>
          </w:p>
        </w:tc>
      </w:tr>
      <w:tr>
        <w:trPr>
          <w:trHeight w:val="245"/>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Additions (deductions)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
        </w:trPr>
        <w:tc>
          <w:tcPr>
            <w:tcW w:w="3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1"/>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10,185</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(3,320)</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1,469</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6,574</w:t>
            </w:r>
          </w:p>
        </w:tc>
      </w:tr>
      <w:tr>
        <w:trPr>
          <w:trHeight w:val="271"/>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Recoveries credited to the allowance</w:t>
            </w: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1,505</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1,691</w:t>
            </w:r>
          </w:p>
        </w:tc>
      </w:tr>
      <w:tr>
        <w:trPr>
          <w:trHeight w:val="271"/>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Loans charged against the allowance</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(2,390)</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(2,538)</w:t>
            </w:r>
          </w:p>
        </w:tc>
      </w:tr>
      <w:tr>
        <w:trPr>
          <w:trHeight w:val="271"/>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Allowance recorded on PSL loans</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3,497</w:t>
            </w:r>
          </w:p>
        </w:tc>
        <w:tc>
          <w:tcPr>
            <w:tcW w:w="80" w:type="dxa"/>
            <w:vAlign w:val="bottom"/>
          </w:tcPr>
          <w:p>
            <w:pPr>
              <w:spacing w:after="0"/>
              <w:rPr>
                <w:sz w:val="23"/>
                <w:szCs w:val="23"/>
                <w:color w:val="auto"/>
              </w:rPr>
            </w:pP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803</w:t>
            </w:r>
          </w:p>
        </w:tc>
        <w:tc>
          <w:tcPr>
            <w:tcW w:w="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80" w:type="dxa"/>
            <w:vAlign w:val="bottom"/>
          </w:tcPr>
          <w:p>
            <w:pPr>
              <w:spacing w:after="0"/>
              <w:rPr>
                <w:sz w:val="23"/>
                <w:szCs w:val="23"/>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4,445</w:t>
            </w:r>
          </w:p>
        </w:tc>
      </w:tr>
      <w:tr>
        <w:trPr>
          <w:trHeight w:val="271"/>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Allowance recorded on PCD loans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r>
      <w:tr>
        <w:trPr>
          <w:trHeight w:val="225"/>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Balance at end of period</w:t>
            </w: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42,724</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18,506</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3,374</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9,120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73,724</w:t>
            </w:r>
          </w:p>
        </w:tc>
      </w:tr>
      <w:tr>
        <w:trPr>
          <w:trHeight w:val="81"/>
        </w:trPr>
        <w:tc>
          <w:tcPr>
            <w:tcW w:w="35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r>
      <w:tr>
        <w:trPr>
          <w:trHeight w:val="232"/>
        </w:trPr>
        <w:tc>
          <w:tcPr>
            <w:tcW w:w="35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200" w:type="dxa"/>
            <w:vAlign w:val="bottom"/>
            <w:tcBorders>
              <w:top w:val="single" w:sz="8" w:color="CCEEFF"/>
            </w:tcBorders>
          </w:tcPr>
          <w:p>
            <w:pPr>
              <w:spacing w:after="0"/>
              <w:rPr>
                <w:sz w:val="20"/>
                <w:szCs w:val="20"/>
                <w:color w:val="auto"/>
              </w:rPr>
            </w:pPr>
          </w:p>
        </w:tc>
        <w:tc>
          <w:tcPr>
            <w:tcW w:w="128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260" w:type="dxa"/>
            <w:vAlign w:val="bottom"/>
            <w:tcBorders>
              <w:top w:val="single" w:sz="8" w:color="CCEEFF"/>
            </w:tcBorders>
          </w:tcPr>
          <w:p>
            <w:pPr>
              <w:spacing w:after="0"/>
              <w:rPr>
                <w:sz w:val="20"/>
                <w:szCs w:val="20"/>
                <w:color w:val="auto"/>
              </w:rPr>
            </w:pPr>
          </w:p>
        </w:tc>
        <w:tc>
          <w:tcPr>
            <w:tcW w:w="122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32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240" w:type="dxa"/>
            <w:vAlign w:val="bottom"/>
            <w:tcBorders>
              <w:top w:val="single" w:sz="8" w:color="CCEEFF"/>
            </w:tcBorders>
          </w:tcPr>
          <w:p>
            <w:pPr>
              <w:spacing w:after="0"/>
              <w:rPr>
                <w:sz w:val="20"/>
                <w:szCs w:val="20"/>
                <w:color w:val="auto"/>
              </w:rPr>
            </w:pPr>
          </w:p>
        </w:tc>
        <w:tc>
          <w:tcPr>
            <w:tcW w:w="124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320" w:type="dxa"/>
            <w:vAlign w:val="bottom"/>
            <w:tcBorders>
              <w:top w:val="single" w:sz="8" w:color="CCEEFF"/>
            </w:tcBorders>
          </w:tcPr>
          <w:p>
            <w:pPr>
              <w:spacing w:after="0"/>
              <w:rPr>
                <w:sz w:val="20"/>
                <w:szCs w:val="20"/>
                <w:color w:val="auto"/>
              </w:rPr>
            </w:pPr>
          </w:p>
        </w:tc>
        <w:tc>
          <w:tcPr>
            <w:tcW w:w="1140" w:type="dxa"/>
            <w:vAlign w:val="bottom"/>
            <w:tcBorders>
              <w:top w:val="single" w:sz="8" w:color="CCEEFF"/>
            </w:tcBorders>
          </w:tcPr>
          <w:p>
            <w:pPr>
              <w:spacing w:after="0"/>
              <w:rPr>
                <w:sz w:val="20"/>
                <w:szCs w:val="20"/>
                <w:color w:val="auto"/>
              </w:rPr>
            </w:pPr>
          </w:p>
        </w:tc>
      </w:tr>
      <w:tr>
        <w:trPr>
          <w:trHeight w:val="271"/>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22,872</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22,317</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3,040</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11,150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59,379</w:t>
            </w:r>
          </w:p>
        </w:tc>
      </w:tr>
      <w:tr>
        <w:trPr>
          <w:trHeight w:val="245"/>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Additions (deductions)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
        </w:trPr>
        <w:tc>
          <w:tcPr>
            <w:tcW w:w="3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1"/>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5,617</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(1,850)</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929</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4,252</w:t>
            </w:r>
          </w:p>
        </w:tc>
      </w:tr>
      <w:tr>
        <w:trPr>
          <w:trHeight w:val="271"/>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Recoveries credited to the allowance</w:t>
            </w: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1,326</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1,604</w:t>
            </w:r>
          </w:p>
        </w:tc>
      </w:tr>
      <w:tr>
        <w:trPr>
          <w:trHeight w:val="271"/>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Loans charged against the allowance</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(2,572)</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(2,776)</w:t>
            </w:r>
          </w:p>
        </w:tc>
      </w:tr>
      <w:tr>
        <w:trPr>
          <w:trHeight w:val="225"/>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Balance at end of period</w:t>
            </w: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28,484</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20,546</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2,723</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10,706</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62,459</w:t>
            </w:r>
          </w:p>
        </w:tc>
      </w:tr>
      <w:tr>
        <w:trPr>
          <w:trHeight w:val="20"/>
        </w:trPr>
        <w:tc>
          <w:tcPr>
            <w:tcW w:w="3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624"/>
        </w:trPr>
        <w:tc>
          <w:tcPr>
            <w:tcW w:w="3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594"/>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08"/>
        </w:trPr>
        <w:tc>
          <w:tcPr>
            <w:tcW w:w="35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Loans on non-accrual status and past due more than 90 days (“Non-performing Loans”) follow:</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Non-</w:t>
            </w:r>
          </w:p>
        </w:tc>
        <w:tc>
          <w:tcPr>
            <w:tcW w:w="24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7"/>
              </w:rPr>
              <w:t>Non-</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6"/>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Accrual</w:t>
            </w:r>
          </w:p>
        </w:tc>
        <w:tc>
          <w:tcPr>
            <w:tcW w:w="24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Accrual</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6"/>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with no</w:t>
            </w:r>
          </w:p>
        </w:tc>
        <w:tc>
          <w:tcPr>
            <w:tcW w:w="24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8"/>
              </w:rPr>
              <w:t>with an</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6"/>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Allowance</w:t>
            </w:r>
          </w:p>
        </w:tc>
        <w:tc>
          <w:tcPr>
            <w:tcW w:w="240" w:type="dxa"/>
            <w:vAlign w:val="bottom"/>
          </w:tcPr>
          <w:p>
            <w:pPr>
              <w:spacing w:after="0"/>
              <w:rPr>
                <w:sz w:val="17"/>
                <w:szCs w:val="17"/>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color w:val="auto"/>
              </w:rPr>
              <w:t>Allowance</w:t>
            </w:r>
          </w:p>
        </w:tc>
        <w:tc>
          <w:tcPr>
            <w:tcW w:w="18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90+ and</w:t>
            </w:r>
          </w:p>
        </w:tc>
        <w:tc>
          <w:tcPr>
            <w:tcW w:w="220" w:type="dxa"/>
            <w:vAlign w:val="bottom"/>
          </w:tcPr>
          <w:p>
            <w:pPr>
              <w:spacing w:after="0"/>
              <w:rPr>
                <w:sz w:val="17"/>
                <w:szCs w:val="17"/>
                <w:color w:val="auto"/>
              </w:rPr>
            </w:pPr>
          </w:p>
        </w:tc>
        <w:tc>
          <w:tcPr>
            <w:tcW w:w="1260" w:type="dxa"/>
            <w:vAlign w:val="bottom"/>
          </w:tcPr>
          <w:p>
            <w:pPr>
              <w:jc w:val="center"/>
              <w:ind w:right="114"/>
              <w:spacing w:after="0"/>
              <w:rPr>
                <w:sz w:val="20"/>
                <w:szCs w:val="20"/>
                <w:color w:val="auto"/>
              </w:rPr>
            </w:pPr>
            <w:r>
              <w:rPr>
                <w:rFonts w:ascii="Times New Roman" w:cs="Times New Roman" w:eastAsia="Times New Roman" w:hAnsi="Times New Roman"/>
                <w:sz w:val="17"/>
                <w:szCs w:val="17"/>
                <w:color w:val="auto"/>
                <w:w w:val="98"/>
              </w:rPr>
              <w:t>Total Non-</w:t>
            </w:r>
          </w:p>
        </w:tc>
      </w:tr>
      <w:tr>
        <w:trPr>
          <w:trHeight w:val="206"/>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for Credit</w:t>
            </w:r>
          </w:p>
        </w:tc>
        <w:tc>
          <w:tcPr>
            <w:tcW w:w="240" w:type="dxa"/>
            <w:vAlign w:val="bottom"/>
          </w:tcPr>
          <w:p>
            <w:pPr>
              <w:spacing w:after="0"/>
              <w:rPr>
                <w:sz w:val="17"/>
                <w:szCs w:val="17"/>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color w:val="auto"/>
                <w:w w:val="99"/>
              </w:rPr>
              <w:t>for Credit</w:t>
            </w:r>
          </w:p>
        </w:tc>
        <w:tc>
          <w:tcPr>
            <w:tcW w:w="18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Non-</w:t>
            </w:r>
          </w:p>
        </w:tc>
        <w:tc>
          <w:tcPr>
            <w:tcW w:w="26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w w:val="98"/>
              </w:rPr>
              <w:t>Still</w:t>
            </w:r>
          </w:p>
        </w:tc>
        <w:tc>
          <w:tcPr>
            <w:tcW w:w="220" w:type="dxa"/>
            <w:vAlign w:val="bottom"/>
          </w:tcPr>
          <w:p>
            <w:pPr>
              <w:spacing w:after="0"/>
              <w:rPr>
                <w:sz w:val="17"/>
                <w:szCs w:val="17"/>
                <w:color w:val="auto"/>
              </w:rPr>
            </w:pPr>
          </w:p>
        </w:tc>
        <w:tc>
          <w:tcPr>
            <w:tcW w:w="1260" w:type="dxa"/>
            <w:vAlign w:val="bottom"/>
          </w:tcPr>
          <w:p>
            <w:pPr>
              <w:jc w:val="center"/>
              <w:ind w:right="114"/>
              <w:spacing w:after="0"/>
              <w:rPr>
                <w:sz w:val="20"/>
                <w:szCs w:val="20"/>
                <w:color w:val="auto"/>
              </w:rPr>
            </w:pPr>
            <w:r>
              <w:rPr>
                <w:rFonts w:ascii="Times New Roman" w:cs="Times New Roman" w:eastAsia="Times New Roman" w:hAnsi="Times New Roman"/>
                <w:sz w:val="17"/>
                <w:szCs w:val="17"/>
                <w:color w:val="auto"/>
              </w:rPr>
              <w:t>Performing</w:t>
            </w:r>
          </w:p>
        </w:tc>
      </w:tr>
      <w:tr>
        <w:trPr>
          <w:trHeight w:val="223"/>
        </w:trPr>
        <w:tc>
          <w:tcPr>
            <w:tcW w:w="3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9"/>
              </w:rPr>
              <w:t>Loss</w:t>
            </w:r>
          </w:p>
        </w:tc>
        <w:tc>
          <w:tcPr>
            <w:tcW w:w="24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Loss</w:t>
            </w:r>
          </w:p>
        </w:tc>
        <w:tc>
          <w:tcPr>
            <w:tcW w:w="180" w:type="dxa"/>
            <w:vAlign w:val="bottom"/>
          </w:tcPr>
          <w:p>
            <w:pPr>
              <w:spacing w:after="0"/>
              <w:rPr>
                <w:sz w:val="19"/>
                <w:szCs w:val="19"/>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Accrual</w:t>
            </w:r>
          </w:p>
        </w:tc>
        <w:tc>
          <w:tcPr>
            <w:tcW w:w="260" w:type="dxa"/>
            <w:vAlign w:val="bottom"/>
          </w:tcPr>
          <w:p>
            <w:pPr>
              <w:spacing w:after="0"/>
              <w:rPr>
                <w:sz w:val="19"/>
                <w:szCs w:val="19"/>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Accruing</w:t>
            </w:r>
          </w:p>
        </w:tc>
        <w:tc>
          <w:tcPr>
            <w:tcW w:w="220" w:type="dxa"/>
            <w:vAlign w:val="bottom"/>
          </w:tcPr>
          <w:p>
            <w:pPr>
              <w:spacing w:after="0"/>
              <w:rPr>
                <w:sz w:val="19"/>
                <w:szCs w:val="19"/>
                <w:color w:val="auto"/>
              </w:rPr>
            </w:pPr>
          </w:p>
        </w:tc>
        <w:tc>
          <w:tcPr>
            <w:tcW w:w="1260" w:type="dxa"/>
            <w:vAlign w:val="bottom"/>
          </w:tcPr>
          <w:p>
            <w:pPr>
              <w:jc w:val="center"/>
              <w:ind w:right="114"/>
              <w:spacing w:after="0"/>
              <w:rPr>
                <w:sz w:val="20"/>
                <w:szCs w:val="20"/>
                <w:color w:val="auto"/>
              </w:rPr>
            </w:pPr>
            <w:r>
              <w:rPr>
                <w:rFonts w:ascii="Times New Roman" w:cs="Times New Roman" w:eastAsia="Times New Roman" w:hAnsi="Times New Roman"/>
                <w:sz w:val="17"/>
                <w:szCs w:val="17"/>
                <w:color w:val="auto"/>
              </w:rPr>
              <w:t>Loans</w:t>
            </w:r>
          </w:p>
        </w:tc>
      </w:tr>
      <w:tr>
        <w:trPr>
          <w:trHeight w:val="25"/>
        </w:trPr>
        <w:tc>
          <w:tcPr>
            <w:tcW w:w="3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5"/>
        </w:trPr>
        <w:tc>
          <w:tcPr>
            <w:tcW w:w="3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 thousands)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2"/>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September 30, 2026</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32"/>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Commercial</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8"/>
        </w:trPr>
        <w:tc>
          <w:tcPr>
            <w:tcW w:w="3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Commercial and industrial</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9,326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9,326</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9,326</w:t>
            </w:r>
          </w:p>
        </w:tc>
      </w:tr>
      <w:tr>
        <w:trPr>
          <w:trHeight w:val="258"/>
        </w:trPr>
        <w:tc>
          <w:tcPr>
            <w:tcW w:w="35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Commercial real estate (1)</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13,949</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6,357</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20,306</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20,306</w:t>
            </w:r>
          </w:p>
        </w:tc>
      </w:tr>
      <w:tr>
        <w:trPr>
          <w:trHeight w:val="232"/>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Mortgage</w:t>
            </w: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71"/>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owner occupied - jumbo</w:t>
            </w: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4,268</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4,268</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4,268</w:t>
            </w:r>
          </w:p>
        </w:tc>
      </w:tr>
      <w:tr>
        <w:trPr>
          <w:trHeight w:val="271"/>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owner occupied - non-jumbo (2)</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1,222</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1,470</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2,692</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2,692</w:t>
            </w:r>
          </w:p>
        </w:tc>
      </w:tr>
      <w:tr>
        <w:trPr>
          <w:trHeight w:val="271"/>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non-owner occupied</w:t>
            </w:r>
          </w:p>
        </w:tc>
        <w:tc>
          <w:tcPr>
            <w:tcW w:w="240" w:type="dxa"/>
            <w:vAlign w:val="bottom"/>
          </w:tcPr>
          <w:p>
            <w:pPr>
              <w:spacing w:after="0"/>
              <w:rPr>
                <w:sz w:val="23"/>
                <w:szCs w:val="23"/>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w:t>
            </w:r>
          </w:p>
        </w:tc>
      </w:tr>
      <w:tr>
        <w:trPr>
          <w:trHeight w:val="271"/>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- 2nd lien</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1,218</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1,669</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1,669</w:t>
            </w:r>
          </w:p>
        </w:tc>
      </w:tr>
      <w:tr>
        <w:trPr>
          <w:trHeight w:val="271"/>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Resort lending</w:t>
            </w: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r>
      <w:tr>
        <w:trPr>
          <w:trHeight w:val="232"/>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Installment</w:t>
            </w: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71"/>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Boat lending</w:t>
            </w:r>
          </w:p>
        </w:tc>
        <w:tc>
          <w:tcPr>
            <w:tcW w:w="240" w:type="dxa"/>
            <w:vAlign w:val="bottom"/>
          </w:tcPr>
          <w:p>
            <w:pPr>
              <w:spacing w:after="0"/>
              <w:rPr>
                <w:sz w:val="23"/>
                <w:szCs w:val="23"/>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r>
      <w:tr>
        <w:trPr>
          <w:trHeight w:val="271"/>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Recreational vehicle lending</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w:t>
            </w:r>
          </w:p>
        </w:tc>
      </w:tr>
      <w:tr>
        <w:trPr>
          <w:trHeight w:val="271"/>
        </w:trPr>
        <w:tc>
          <w:tcPr>
            <w:tcW w:w="35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8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8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w:t>
            </w:r>
          </w:p>
        </w:tc>
      </w:tr>
      <w:tr>
        <w:trPr>
          <w:trHeight w:val="245"/>
        </w:trPr>
        <w:tc>
          <w:tcPr>
            <w:tcW w:w="35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20,182</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18,979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39,161</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39,161</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152"/>
        </w:trPr>
        <w:tc>
          <w:tcPr>
            <w:tcW w:w="3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52"/>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interest excluded from total</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152"/>
        </w:trPr>
        <w:tc>
          <w:tcPr>
            <w:tcW w:w="3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32"/>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December 31, 2025</w:t>
            </w: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32"/>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Commercial</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8"/>
        </w:trPr>
        <w:tc>
          <w:tcPr>
            <w:tcW w:w="3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Commercial and industrial</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8"/>
        </w:trPr>
        <w:tc>
          <w:tcPr>
            <w:tcW w:w="35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Commercial real estate (1)</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9,261</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7,252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16,513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16,513</w:t>
            </w:r>
          </w:p>
        </w:tc>
      </w:tr>
      <w:tr>
        <w:trPr>
          <w:trHeight w:val="232"/>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Mortgage</w:t>
            </w: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71"/>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owner occupied - jumbo</w:t>
            </w: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2,145</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2,145</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2,145</w:t>
            </w:r>
          </w:p>
        </w:tc>
      </w:tr>
      <w:tr>
        <w:trPr>
          <w:trHeight w:val="271"/>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owner occupied - non-jumbo (2)</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1,700</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670</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2,370</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2,370</w:t>
            </w:r>
          </w:p>
        </w:tc>
      </w:tr>
      <w:tr>
        <w:trPr>
          <w:trHeight w:val="271"/>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non-owner occupied</w:t>
            </w:r>
          </w:p>
        </w:tc>
        <w:tc>
          <w:tcPr>
            <w:tcW w:w="240" w:type="dxa"/>
            <w:vAlign w:val="bottom"/>
          </w:tcPr>
          <w:p>
            <w:pPr>
              <w:spacing w:after="0"/>
              <w:rPr>
                <w:sz w:val="23"/>
                <w:szCs w:val="23"/>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r>
      <w:tr>
        <w:trPr>
          <w:trHeight w:val="271"/>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- 2nd lien</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888</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1,088</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1,088</w:t>
            </w:r>
          </w:p>
        </w:tc>
      </w:tr>
      <w:tr>
        <w:trPr>
          <w:trHeight w:val="271"/>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Resort lending</w:t>
            </w:r>
          </w:p>
        </w:tc>
        <w:tc>
          <w:tcPr>
            <w:tcW w:w="240" w:type="dxa"/>
            <w:vAlign w:val="bottom"/>
          </w:tcPr>
          <w:p>
            <w:pPr>
              <w:spacing w:after="0"/>
              <w:rPr>
                <w:sz w:val="23"/>
                <w:szCs w:val="23"/>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32"/>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Installment</w:t>
            </w: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71"/>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Boat lending</w:t>
            </w:r>
          </w:p>
        </w:tc>
        <w:tc>
          <w:tcPr>
            <w:tcW w:w="240" w:type="dxa"/>
            <w:vAlign w:val="bottom"/>
          </w:tcPr>
          <w:p>
            <w:pPr>
              <w:spacing w:after="0"/>
              <w:rPr>
                <w:sz w:val="23"/>
                <w:szCs w:val="23"/>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w:t>
            </w:r>
          </w:p>
        </w:tc>
      </w:tr>
      <w:tr>
        <w:trPr>
          <w:trHeight w:val="271"/>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Recreational vehicle lending</w:t>
            </w:r>
          </w:p>
        </w:tc>
        <w:tc>
          <w:tcPr>
            <w:tcW w:w="2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w:t>
            </w:r>
          </w:p>
        </w:tc>
      </w:tr>
      <w:tr>
        <w:trPr>
          <w:trHeight w:val="271"/>
        </w:trPr>
        <w:tc>
          <w:tcPr>
            <w:tcW w:w="35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8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8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w:t>
            </w:r>
          </w:p>
        </w:tc>
      </w:tr>
      <w:tr>
        <w:trPr>
          <w:trHeight w:val="245"/>
        </w:trPr>
        <w:tc>
          <w:tcPr>
            <w:tcW w:w="35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13,306</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9,821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23,127</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23,127</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152"/>
        </w:trPr>
        <w:tc>
          <w:tcPr>
            <w:tcW w:w="3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52"/>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interest excluded from total</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ind w:left="320" w:hanging="317"/>
        <w:spacing w:after="0" w:line="263" w:lineRule="auto"/>
        <w:tabs>
          <w:tab w:leader="none" w:pos="31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Non-performing commercial real estate loans exclude $7.987 million and $7.018 million of government guaranteed loans at September 30, 2026 and December 31, 2025, respectively.</w:t>
      </w:r>
    </w:p>
    <w:p>
      <w:pPr>
        <w:ind w:left="320" w:hanging="317"/>
        <w:spacing w:after="0" w:line="266" w:lineRule="auto"/>
        <w:tabs>
          <w:tab w:leader="none" w:pos="31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Non-performing 1-4 family owner occupied – non jumbo loans exclude $3.129 million and $2.929 million of government guaranteed loans at September 30, 2026 and December 31, 2025, respectively.</w:t>
      </w:r>
    </w:p>
    <w:p>
      <w:pPr>
        <w:sectPr>
          <w:pgSz w:w="11900" w:h="16838" w:orient="portrait"/>
          <w:cols w:equalWidth="0" w:num="1">
            <w:col w:w="11240"/>
          </w:cols>
          <w:pgMar w:left="320" w:top="119" w:right="339" w:bottom="1440" w:gutter="0" w:footer="0" w:header="0"/>
        </w:sectPr>
      </w:pPr>
    </w:p>
    <w:p>
      <w:pPr>
        <w:spacing w:after="0" w:line="29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following table provides collateral information by class of loan for collateral-dependent loans. A loan is considered to be collateral dependent when the borrower is experiencing financial difficulty and the repayment is expected to be provided substantially through the operation or sale of collateral.</w:t>
      </w:r>
    </w:p>
    <w:p>
      <w:pPr>
        <w:sectPr>
          <w:pgSz w:w="11900" w:h="16838" w:orient="portrait"/>
          <w:cols w:equalWidth="0" w:num="1">
            <w:col w:w="11240"/>
          </w:cols>
          <w:pgMar w:left="320" w:top="119" w:right="339" w:bottom="144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amortized cost of collateral-dependent loans by class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September 30, 2026</w:t>
      </w:r>
    </w:p>
    <w:p>
      <w:pPr>
        <w:spacing w:after="0" w:line="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Commercial</w:t>
      </w:r>
    </w:p>
    <w:p>
      <w:pPr>
        <w:spacing w:after="0" w:line="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Commercial and industrial</w:t>
      </w:r>
    </w:p>
    <w:p>
      <w:pPr>
        <w:spacing w:after="0" w:line="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Commercial real estate</w:t>
      </w:r>
    </w:p>
    <w:p>
      <w:pPr>
        <w:spacing w:after="0" w:line="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Mortgage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320" w:type="dxa"/>
            <w:vAlign w:val="bottom"/>
          </w:tcPr>
          <w:p>
            <w:pPr>
              <w:spacing w:after="0"/>
              <w:rPr>
                <w:sz w:val="17"/>
                <w:szCs w:val="17"/>
                <w:color w:val="auto"/>
              </w:rPr>
            </w:pPr>
          </w:p>
        </w:tc>
        <w:tc>
          <w:tcPr>
            <w:tcW w:w="2740" w:type="dxa"/>
            <w:vAlign w:val="bottom"/>
            <w:gridSpan w:val="3"/>
          </w:tcPr>
          <w:p>
            <w:pPr>
              <w:jc w:val="right"/>
              <w:ind w:right="914"/>
              <w:spacing w:after="0"/>
              <w:rPr>
                <w:sz w:val="20"/>
                <w:szCs w:val="20"/>
                <w:color w:val="auto"/>
              </w:rPr>
            </w:pPr>
            <w:r>
              <w:rPr>
                <w:rFonts w:ascii="Times New Roman" w:cs="Times New Roman" w:eastAsia="Times New Roman" w:hAnsi="Times New Roman"/>
                <w:sz w:val="17"/>
                <w:szCs w:val="17"/>
                <w:color w:val="auto"/>
              </w:rPr>
              <w:t>Collateral Type</w:t>
            </w:r>
          </w:p>
        </w:tc>
        <w:tc>
          <w:tcPr>
            <w:tcW w:w="260" w:type="dxa"/>
            <w:vAlign w:val="bottom"/>
          </w:tcPr>
          <w:p>
            <w:pPr>
              <w:spacing w:after="0"/>
              <w:rPr>
                <w:sz w:val="17"/>
                <w:szCs w:val="17"/>
                <w:color w:val="auto"/>
              </w:rPr>
            </w:pPr>
          </w:p>
        </w:tc>
        <w:tc>
          <w:tcPr>
            <w:tcW w:w="130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Allowance</w:t>
            </w:r>
          </w:p>
        </w:tc>
        <w:tc>
          <w:tcPr>
            <w:tcW w:w="0" w:type="dxa"/>
            <w:vAlign w:val="bottom"/>
          </w:tcPr>
          <w:p>
            <w:pPr>
              <w:spacing w:after="0"/>
              <w:rPr>
                <w:sz w:val="1"/>
                <w:szCs w:val="1"/>
                <w:color w:val="auto"/>
              </w:rPr>
            </w:pPr>
          </w:p>
        </w:tc>
      </w:tr>
      <w:tr>
        <w:trPr>
          <w:trHeight w:val="29"/>
        </w:trPr>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vMerge w:val="restart"/>
          </w:tcPr>
          <w:p>
            <w:pPr>
              <w:jc w:val="right"/>
              <w:ind w:right="554"/>
              <w:spacing w:after="0"/>
              <w:rPr>
                <w:sz w:val="20"/>
                <w:szCs w:val="20"/>
                <w:color w:val="auto"/>
              </w:rPr>
            </w:pPr>
            <w:r>
              <w:rPr>
                <w:rFonts w:ascii="Times New Roman" w:cs="Times New Roman" w:eastAsia="Times New Roman" w:hAnsi="Times New Roman"/>
                <w:sz w:val="17"/>
                <w:szCs w:val="17"/>
                <w:color w:val="auto"/>
              </w:rPr>
              <w:t>for</w:t>
            </w:r>
          </w:p>
        </w:tc>
        <w:tc>
          <w:tcPr>
            <w:tcW w:w="0" w:type="dxa"/>
            <w:vAlign w:val="bottom"/>
          </w:tcPr>
          <w:p>
            <w:pPr>
              <w:spacing w:after="0"/>
              <w:rPr>
                <w:sz w:val="1"/>
                <w:szCs w:val="1"/>
                <w:color w:val="auto"/>
              </w:rPr>
            </w:pPr>
          </w:p>
        </w:tc>
      </w:tr>
      <w:tr>
        <w:trPr>
          <w:trHeight w:val="173"/>
        </w:trPr>
        <w:tc>
          <w:tcPr>
            <w:tcW w:w="320" w:type="dxa"/>
            <w:vAlign w:val="bottom"/>
          </w:tcPr>
          <w:p>
            <w:pPr>
              <w:spacing w:after="0"/>
              <w:rPr>
                <w:sz w:val="15"/>
                <w:szCs w:val="15"/>
                <w:color w:val="auto"/>
              </w:rPr>
            </w:pPr>
          </w:p>
        </w:tc>
        <w:tc>
          <w:tcPr>
            <w:tcW w:w="1180" w:type="dxa"/>
            <w:vAlign w:val="bottom"/>
          </w:tcPr>
          <w:p>
            <w:pPr>
              <w:jc w:val="right"/>
              <w:ind w:right="514"/>
              <w:spacing w:after="0" w:line="173" w:lineRule="exact"/>
              <w:rPr>
                <w:sz w:val="20"/>
                <w:szCs w:val="20"/>
                <w:color w:val="auto"/>
              </w:rPr>
            </w:pPr>
            <w:r>
              <w:rPr>
                <w:rFonts w:ascii="Times New Roman" w:cs="Times New Roman" w:eastAsia="Times New Roman" w:hAnsi="Times New Roman"/>
                <w:sz w:val="17"/>
                <w:szCs w:val="17"/>
                <w:color w:val="auto"/>
              </w:rPr>
              <w:t>Real</w:t>
            </w: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Estate</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rPr>
              <w:t>Other (1)</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Credit Losses</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(In thousands)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5"/>
        </w:trPr>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12,523</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7,281</w:t>
            </w:r>
          </w:p>
        </w:tc>
        <w:tc>
          <w:tcPr>
            <w:tcW w:w="0" w:type="dxa"/>
            <w:vAlign w:val="bottom"/>
          </w:tcPr>
          <w:p>
            <w:pPr>
              <w:spacing w:after="0"/>
              <w:rPr>
                <w:sz w:val="1"/>
                <w:szCs w:val="1"/>
                <w:color w:val="auto"/>
              </w:rPr>
            </w:pPr>
          </w:p>
        </w:tc>
      </w:tr>
      <w:tr>
        <w:trPr>
          <w:trHeight w:val="271"/>
        </w:trPr>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28,784</w:t>
            </w:r>
          </w:p>
        </w:tc>
        <w:tc>
          <w:tcPr>
            <w:tcW w:w="2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-4201160</wp:posOffset>
            </wp:positionH>
            <wp:positionV relativeFrom="paragraph">
              <wp:posOffset>-343535</wp:posOffset>
            </wp:positionV>
            <wp:extent cx="7138670" cy="1720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8670" cy="172085"/>
                    </a:xfrm>
                    <a:prstGeom prst="rect">
                      <a:avLst/>
                    </a:prstGeom>
                    <a:noFill/>
                  </pic:spPr>
                </pic:pic>
              </a:graphicData>
            </a:graphic>
          </wp:anchor>
        </w:drawing>
        <w:drawing>
          <wp:anchor simplePos="0" relativeHeight="251657728" behindDoc="1" locked="0" layoutInCell="0" allowOverlap="1">
            <wp:simplePos x="0" y="0"/>
            <wp:positionH relativeFrom="column">
              <wp:posOffset>-4201160</wp:posOffset>
            </wp:positionH>
            <wp:positionV relativeFrom="paragraph">
              <wp:posOffset>0</wp:posOffset>
            </wp:positionV>
            <wp:extent cx="7138670" cy="1473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pacing w:after="0" w:line="253" w:lineRule="exact"/>
        <w:rPr>
          <w:sz w:val="20"/>
          <w:szCs w:val="20"/>
          <w:color w:val="auto"/>
        </w:rPr>
      </w:pPr>
    </w:p>
    <w:p>
      <w:pPr>
        <w:sectPr>
          <w:pgSz w:w="11900" w:h="16838" w:orient="portrait"/>
          <w:cols w:equalWidth="0" w:num="2">
            <w:col w:w="5900" w:space="720"/>
            <w:col w:w="4620"/>
          </w:cols>
          <w:pgMar w:left="320" w:top="119" w:right="339" w:bottom="1440" w:gutter="0" w:footer="0" w:header="0"/>
          <w:type w:val="continuous"/>
        </w:sectPr>
      </w:pPr>
    </w:p>
    <w:tbl>
      <w:tblPr>
        <w:tblLayout w:type="fixed"/>
        <w:tblInd w:w="0" w:type="dxa"/>
        <w:tblCellMar>
          <w:top w:w="0" w:type="dxa"/>
          <w:left w:w="0" w:type="dxa"/>
          <w:bottom w:w="0" w:type="dxa"/>
          <w:right w:w="0" w:type="dxa"/>
        </w:tblCellMar>
      </w:tblPr>
      <w:tr>
        <w:trPr>
          <w:trHeight w:val="248"/>
        </w:trPr>
        <w:tc>
          <w:tcPr>
            <w:tcW w:w="6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owner occupied - jumbo</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4,267</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1"/>
        </w:trPr>
        <w:tc>
          <w:tcPr>
            <w:tcW w:w="6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owner occupied - non-jumbo</w:t>
            </w: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1,953</w:t>
            </w:r>
          </w:p>
        </w:tc>
        <w:tc>
          <w:tcPr>
            <w:tcW w:w="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w:t>
            </w:r>
          </w:p>
        </w:tc>
        <w:tc>
          <w:tcPr>
            <w:tcW w:w="0" w:type="dxa"/>
            <w:vAlign w:val="bottom"/>
          </w:tcPr>
          <w:p>
            <w:pPr>
              <w:spacing w:after="0"/>
              <w:rPr>
                <w:sz w:val="1"/>
                <w:szCs w:val="1"/>
                <w:color w:val="auto"/>
              </w:rPr>
            </w:pPr>
          </w:p>
        </w:tc>
      </w:tr>
      <w:tr>
        <w:trPr>
          <w:trHeight w:val="271"/>
        </w:trPr>
        <w:tc>
          <w:tcPr>
            <w:tcW w:w="6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non-owner occupied</w:t>
            </w: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71"/>
        </w:trPr>
        <w:tc>
          <w:tcPr>
            <w:tcW w:w="6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- 2nd lien</w:t>
            </w: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907</w:t>
            </w:r>
          </w:p>
        </w:tc>
        <w:tc>
          <w:tcPr>
            <w:tcW w:w="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0" w:type="dxa"/>
            <w:vAlign w:val="bottom"/>
          </w:tcPr>
          <w:p>
            <w:pPr>
              <w:spacing w:after="0"/>
              <w:rPr>
                <w:sz w:val="1"/>
                <w:szCs w:val="1"/>
                <w:color w:val="auto"/>
              </w:rPr>
            </w:pPr>
          </w:p>
        </w:tc>
      </w:tr>
      <w:tr>
        <w:trPr>
          <w:trHeight w:val="271"/>
        </w:trPr>
        <w:tc>
          <w:tcPr>
            <w:tcW w:w="6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Resort lending</w:t>
            </w: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2"/>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Installment</w:t>
            </w: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6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Boat lending</w:t>
            </w:r>
          </w:p>
        </w:tc>
        <w:tc>
          <w:tcPr>
            <w:tcW w:w="520" w:type="dxa"/>
            <w:vAlign w:val="bottom"/>
          </w:tcPr>
          <w:p>
            <w:pPr>
              <w:spacing w:after="0"/>
              <w:rPr>
                <w:sz w:val="23"/>
                <w:szCs w:val="2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71"/>
        </w:trPr>
        <w:tc>
          <w:tcPr>
            <w:tcW w:w="6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Recreational vehicle lending</w:t>
            </w:r>
          </w:p>
        </w:tc>
        <w:tc>
          <w:tcPr>
            <w:tcW w:w="5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w:t>
            </w: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71"/>
        </w:trPr>
        <w:tc>
          <w:tcPr>
            <w:tcW w:w="66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Other</w:t>
            </w:r>
          </w:p>
        </w:tc>
        <w:tc>
          <w:tcPr>
            <w:tcW w:w="5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8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45"/>
        </w:trPr>
        <w:tc>
          <w:tcPr>
            <w:tcW w:w="6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w:t>
            </w: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36,334</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12,933</w:t>
            </w:r>
          </w:p>
        </w:tc>
        <w:tc>
          <w:tcPr>
            <w:tcW w:w="6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12,952</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interest excluded from total</w:t>
            </w: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December 31, 2025</w:t>
            </w: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662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Commercial</w:t>
            </w: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6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Commercial and industrial</w:t>
            </w: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680</w:t>
            </w:r>
          </w:p>
        </w:tc>
        <w:tc>
          <w:tcPr>
            <w:tcW w:w="8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8,841</w:t>
            </w:r>
          </w:p>
        </w:tc>
        <w:tc>
          <w:tcPr>
            <w:tcW w:w="6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1,631</w:t>
            </w:r>
          </w:p>
        </w:tc>
        <w:tc>
          <w:tcPr>
            <w:tcW w:w="0" w:type="dxa"/>
            <w:vAlign w:val="bottom"/>
          </w:tcPr>
          <w:p>
            <w:pPr>
              <w:spacing w:after="0"/>
              <w:rPr>
                <w:sz w:val="1"/>
                <w:szCs w:val="1"/>
                <w:color w:val="auto"/>
              </w:rPr>
            </w:pPr>
          </w:p>
        </w:tc>
      </w:tr>
      <w:tr>
        <w:trPr>
          <w:trHeight w:val="271"/>
        </w:trPr>
        <w:tc>
          <w:tcPr>
            <w:tcW w:w="6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Commercial real estate</w:t>
            </w: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28,047</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4,541</w:t>
            </w:r>
          </w:p>
        </w:tc>
        <w:tc>
          <w:tcPr>
            <w:tcW w:w="0" w:type="dxa"/>
            <w:vAlign w:val="bottom"/>
          </w:tcPr>
          <w:p>
            <w:pPr>
              <w:spacing w:after="0"/>
              <w:rPr>
                <w:sz w:val="1"/>
                <w:szCs w:val="1"/>
                <w:color w:val="auto"/>
              </w:rPr>
            </w:pPr>
          </w:p>
        </w:tc>
      </w:tr>
      <w:tr>
        <w:trPr>
          <w:trHeight w:val="232"/>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Mortgage</w:t>
            </w: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6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owner occupied - jumbo</w:t>
            </w: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2,147</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1"/>
        </w:trPr>
        <w:tc>
          <w:tcPr>
            <w:tcW w:w="6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owner occupied - non-jumbo</w:t>
            </w: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2,371</w:t>
            </w:r>
          </w:p>
        </w:tc>
        <w:tc>
          <w:tcPr>
            <w:tcW w:w="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w:t>
            </w:r>
          </w:p>
        </w:tc>
        <w:tc>
          <w:tcPr>
            <w:tcW w:w="0" w:type="dxa"/>
            <w:vAlign w:val="bottom"/>
          </w:tcPr>
          <w:p>
            <w:pPr>
              <w:spacing w:after="0"/>
              <w:rPr>
                <w:sz w:val="1"/>
                <w:szCs w:val="1"/>
                <w:color w:val="auto"/>
              </w:rPr>
            </w:pPr>
          </w:p>
        </w:tc>
      </w:tr>
      <w:tr>
        <w:trPr>
          <w:trHeight w:val="271"/>
        </w:trPr>
        <w:tc>
          <w:tcPr>
            <w:tcW w:w="6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non-owner occupied</w:t>
            </w: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71"/>
        </w:trPr>
        <w:tc>
          <w:tcPr>
            <w:tcW w:w="6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- 2nd lien</w:t>
            </w: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569</w:t>
            </w:r>
          </w:p>
        </w:tc>
        <w:tc>
          <w:tcPr>
            <w:tcW w:w="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0" w:type="dxa"/>
            <w:vAlign w:val="bottom"/>
          </w:tcPr>
          <w:p>
            <w:pPr>
              <w:spacing w:after="0"/>
              <w:rPr>
                <w:sz w:val="1"/>
                <w:szCs w:val="1"/>
                <w:color w:val="auto"/>
              </w:rPr>
            </w:pPr>
          </w:p>
        </w:tc>
      </w:tr>
      <w:tr>
        <w:trPr>
          <w:trHeight w:val="271"/>
        </w:trPr>
        <w:tc>
          <w:tcPr>
            <w:tcW w:w="6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Resort lending</w:t>
            </w: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32"/>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Installment</w:t>
            </w: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6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Boat lending</w:t>
            </w:r>
          </w:p>
        </w:tc>
        <w:tc>
          <w:tcPr>
            <w:tcW w:w="520" w:type="dxa"/>
            <w:vAlign w:val="bottom"/>
          </w:tcPr>
          <w:p>
            <w:pPr>
              <w:spacing w:after="0"/>
              <w:rPr>
                <w:sz w:val="23"/>
                <w:szCs w:val="2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0" w:type="dxa"/>
            <w:vAlign w:val="bottom"/>
          </w:tcPr>
          <w:p>
            <w:pPr>
              <w:spacing w:after="0"/>
              <w:rPr>
                <w:sz w:val="1"/>
                <w:szCs w:val="1"/>
                <w:color w:val="auto"/>
              </w:rPr>
            </w:pPr>
          </w:p>
        </w:tc>
      </w:tr>
      <w:tr>
        <w:trPr>
          <w:trHeight w:val="271"/>
        </w:trPr>
        <w:tc>
          <w:tcPr>
            <w:tcW w:w="6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Recreational vehicle lending</w:t>
            </w:r>
          </w:p>
        </w:tc>
        <w:tc>
          <w:tcPr>
            <w:tcW w:w="5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0" w:type="dxa"/>
            <w:vAlign w:val="bottom"/>
          </w:tcPr>
          <w:p>
            <w:pPr>
              <w:spacing w:after="0"/>
              <w:rPr>
                <w:sz w:val="1"/>
                <w:szCs w:val="1"/>
                <w:color w:val="auto"/>
              </w:rPr>
            </w:pPr>
          </w:p>
        </w:tc>
      </w:tr>
      <w:tr>
        <w:trPr>
          <w:trHeight w:val="271"/>
        </w:trPr>
        <w:tc>
          <w:tcPr>
            <w:tcW w:w="66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Other</w:t>
            </w:r>
          </w:p>
        </w:tc>
        <w:tc>
          <w:tcPr>
            <w:tcW w:w="5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8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45"/>
        </w:trPr>
        <w:tc>
          <w:tcPr>
            <w:tcW w:w="6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w:t>
            </w: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33,893</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9,420</w:t>
            </w:r>
          </w:p>
        </w:tc>
        <w:tc>
          <w:tcPr>
            <w:tcW w:w="6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6,776</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interest excluded from total</w:t>
            </w: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ind w:left="5700" w:right="2520" w:hanging="5697"/>
        <w:spacing w:after="0" w:line="698" w:lineRule="auto"/>
        <w:tabs>
          <w:tab w:leader="none" w:pos="25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Commercial and industrial loan collateral generally includes machinery and equipment, accounts receivable, and inventory.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-183515</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00" w:type="dxa"/>
            <w:vAlign w:val="bottom"/>
          </w:tcPr>
          <w:p>
            <w:pPr>
              <w:spacing w:after="0"/>
              <w:rPr>
                <w:sz w:val="20"/>
                <w:szCs w:val="20"/>
                <w:color w:val="auto"/>
              </w:rPr>
            </w:pPr>
            <w:r>
              <w:rPr>
                <w:rFonts w:ascii="Times New Roman" w:cs="Times New Roman" w:eastAsia="Times New Roman" w:hAnsi="Times New Roman"/>
                <w:sz w:val="17"/>
                <w:szCs w:val="17"/>
                <w:color w:val="auto"/>
              </w:rPr>
              <w:t>An aging analysis of loans by class follows:</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4"/>
        </w:trPr>
        <w:tc>
          <w:tcPr>
            <w:tcW w:w="34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7"/>
                <w:szCs w:val="17"/>
                <w:color w:val="auto"/>
              </w:rPr>
              <w:t>Loans Past Due</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Loans not</w:t>
            </w:r>
          </w:p>
        </w:tc>
        <w:tc>
          <w:tcPr>
            <w:tcW w:w="260" w:type="dxa"/>
            <w:vAlign w:val="bottom"/>
          </w:tcPr>
          <w:p>
            <w:pPr>
              <w:spacing w:after="0"/>
              <w:rPr>
                <w:sz w:val="24"/>
                <w:szCs w:val="24"/>
                <w:color w:val="auto"/>
              </w:rPr>
            </w:pPr>
          </w:p>
        </w:tc>
        <w:tc>
          <w:tcPr>
            <w:tcW w:w="98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238"/>
        </w:trPr>
        <w:tc>
          <w:tcPr>
            <w:tcW w:w="34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color w:val="auto"/>
              </w:rPr>
              <w:t>30-59 days</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color w:val="auto"/>
              </w:rPr>
              <w:t>60-89 days</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7"/>
                <w:szCs w:val="17"/>
                <w:color w:val="auto"/>
              </w:rPr>
              <w:t>90+ days</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8"/>
              </w:rPr>
              <w:t>Past Due</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Loans</w:t>
            </w:r>
          </w:p>
        </w:tc>
        <w:tc>
          <w:tcPr>
            <w:tcW w:w="0" w:type="dxa"/>
            <w:vAlign w:val="bottom"/>
          </w:tcPr>
          <w:p>
            <w:pPr>
              <w:spacing w:after="0"/>
              <w:rPr>
                <w:sz w:val="1"/>
                <w:szCs w:val="1"/>
                <w:color w:val="auto"/>
              </w:rPr>
            </w:pPr>
          </w:p>
        </w:tc>
      </w:tr>
      <w:tr>
        <w:trPr>
          <w:trHeight w:val="225"/>
        </w:trPr>
        <w:tc>
          <w:tcPr>
            <w:tcW w:w="3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60" w:type="dxa"/>
            <w:vAlign w:val="bottom"/>
            <w:gridSpan w:val="5"/>
          </w:tcPr>
          <w:p>
            <w:pPr>
              <w:ind w:left="600"/>
              <w:spacing w:after="0"/>
              <w:rPr>
                <w:sz w:val="20"/>
                <w:szCs w:val="20"/>
                <w:color w:val="auto"/>
              </w:rPr>
            </w:pPr>
            <w:r>
              <w:rPr>
                <w:rFonts w:ascii="Times New Roman" w:cs="Times New Roman" w:eastAsia="Times New Roman" w:hAnsi="Times New Roman"/>
                <w:sz w:val="17"/>
                <w:szCs w:val="17"/>
                <w:color w:val="auto"/>
              </w:rPr>
              <w:t>(In thousands)</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September 30, 2026</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4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Commercial</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Commercial and industrial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1,432,502</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1,436,504</w:t>
            </w:r>
          </w:p>
        </w:tc>
        <w:tc>
          <w:tcPr>
            <w:tcW w:w="0" w:type="dxa"/>
            <w:vAlign w:val="bottom"/>
          </w:tcPr>
          <w:p>
            <w:pPr>
              <w:spacing w:after="0"/>
              <w:rPr>
                <w:sz w:val="1"/>
                <w:szCs w:val="1"/>
                <w:color w:val="auto"/>
              </w:rPr>
            </w:pPr>
          </w:p>
        </w:tc>
      </w:tr>
      <w:tr>
        <w:trPr>
          <w:trHeight w:val="271"/>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Commercial real estate</w:t>
            </w:r>
          </w:p>
        </w:tc>
        <w:tc>
          <w:tcPr>
            <w:tcW w:w="160" w:type="dxa"/>
            <w:vAlign w:val="bottom"/>
          </w:tcPr>
          <w:p>
            <w:pPr>
              <w:spacing w:after="0"/>
              <w:rPr>
                <w:sz w:val="23"/>
                <w:szCs w:val="2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3"/>
                <w:szCs w:val="2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27,694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27,694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1,299,024</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1,326,718</w:t>
            </w:r>
          </w:p>
        </w:tc>
        <w:tc>
          <w:tcPr>
            <w:tcW w:w="0" w:type="dxa"/>
            <w:vAlign w:val="bottom"/>
          </w:tcPr>
          <w:p>
            <w:pPr>
              <w:spacing w:after="0"/>
              <w:rPr>
                <w:sz w:val="1"/>
                <w:szCs w:val="1"/>
                <w:color w:val="auto"/>
              </w:rPr>
            </w:pPr>
          </w:p>
        </w:tc>
      </w:tr>
      <w:tr>
        <w:trPr>
          <w:trHeight w:val="232"/>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Mortgage</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owner occupied - jumbo</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1,324</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1,305</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6,917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883,921</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890,838</w:t>
            </w:r>
          </w:p>
        </w:tc>
        <w:tc>
          <w:tcPr>
            <w:tcW w:w="0" w:type="dxa"/>
            <w:vAlign w:val="bottom"/>
          </w:tcPr>
          <w:p>
            <w:pPr>
              <w:spacing w:after="0"/>
              <w:rPr>
                <w:sz w:val="1"/>
                <w:szCs w:val="1"/>
                <w:color w:val="auto"/>
              </w:rPr>
            </w:pPr>
          </w:p>
        </w:tc>
      </w:tr>
      <w:tr>
        <w:trPr>
          <w:trHeight w:val="271"/>
        </w:trPr>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owner occupied - non-jumbo</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997</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528</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323,824</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326,908</w:t>
            </w:r>
          </w:p>
        </w:tc>
        <w:tc>
          <w:tcPr>
            <w:tcW w:w="0" w:type="dxa"/>
            <w:vAlign w:val="bottom"/>
          </w:tcPr>
          <w:p>
            <w:pPr>
              <w:spacing w:after="0"/>
              <w:rPr>
                <w:sz w:val="1"/>
                <w:szCs w:val="1"/>
                <w:color w:val="auto"/>
              </w:rPr>
            </w:pPr>
          </w:p>
        </w:tc>
      </w:tr>
      <w:tr>
        <w:trPr>
          <w:trHeight w:val="271"/>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non-owner occupied</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195,721</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195,901</w:t>
            </w:r>
          </w:p>
        </w:tc>
        <w:tc>
          <w:tcPr>
            <w:tcW w:w="0" w:type="dxa"/>
            <w:vAlign w:val="bottom"/>
          </w:tcPr>
          <w:p>
            <w:pPr>
              <w:spacing w:after="0"/>
              <w:rPr>
                <w:sz w:val="1"/>
                <w:szCs w:val="1"/>
                <w:color w:val="auto"/>
              </w:rPr>
            </w:pPr>
          </w:p>
        </w:tc>
      </w:tr>
      <w:tr>
        <w:trPr>
          <w:trHeight w:val="271"/>
        </w:trPr>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- 2nd lien</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855</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174,000</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175,545</w:t>
            </w:r>
          </w:p>
        </w:tc>
        <w:tc>
          <w:tcPr>
            <w:tcW w:w="0" w:type="dxa"/>
            <w:vAlign w:val="bottom"/>
          </w:tcPr>
          <w:p>
            <w:pPr>
              <w:spacing w:after="0"/>
              <w:rPr>
                <w:sz w:val="1"/>
                <w:szCs w:val="1"/>
                <w:color w:val="auto"/>
              </w:rPr>
            </w:pPr>
          </w:p>
        </w:tc>
      </w:tr>
      <w:tr>
        <w:trPr>
          <w:trHeight w:val="271"/>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Resort lending</w:t>
            </w:r>
          </w:p>
        </w:tc>
        <w:tc>
          <w:tcPr>
            <w:tcW w:w="160" w:type="dxa"/>
            <w:vAlign w:val="bottom"/>
          </w:tcPr>
          <w:p>
            <w:pPr>
              <w:spacing w:after="0"/>
              <w:rPr>
                <w:sz w:val="23"/>
                <w:szCs w:val="2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3"/>
                <w:szCs w:val="2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22,943</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23,051</w:t>
            </w:r>
          </w:p>
        </w:tc>
        <w:tc>
          <w:tcPr>
            <w:tcW w:w="0" w:type="dxa"/>
            <w:vAlign w:val="bottom"/>
          </w:tcPr>
          <w:p>
            <w:pPr>
              <w:spacing w:after="0"/>
              <w:rPr>
                <w:sz w:val="1"/>
                <w:szCs w:val="1"/>
                <w:color w:val="auto"/>
              </w:rPr>
            </w:pPr>
          </w:p>
        </w:tc>
      </w:tr>
      <w:tr>
        <w:trPr>
          <w:trHeight w:val="232"/>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Installment</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Boat lending</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277,576</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278,113</w:t>
            </w:r>
          </w:p>
        </w:tc>
        <w:tc>
          <w:tcPr>
            <w:tcW w:w="0" w:type="dxa"/>
            <w:vAlign w:val="bottom"/>
          </w:tcPr>
          <w:p>
            <w:pPr>
              <w:spacing w:after="0"/>
              <w:rPr>
                <w:sz w:val="1"/>
                <w:szCs w:val="1"/>
                <w:color w:val="auto"/>
              </w:rPr>
            </w:pPr>
          </w:p>
        </w:tc>
      </w:tr>
      <w:tr>
        <w:trPr>
          <w:trHeight w:val="271"/>
        </w:trPr>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Recreational vehicle lending</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810</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165,396</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166,604</w:t>
            </w:r>
          </w:p>
        </w:tc>
        <w:tc>
          <w:tcPr>
            <w:tcW w:w="0" w:type="dxa"/>
            <w:vAlign w:val="bottom"/>
          </w:tcPr>
          <w:p>
            <w:pPr>
              <w:spacing w:after="0"/>
              <w:rPr>
                <w:sz w:val="1"/>
                <w:szCs w:val="1"/>
                <w:color w:val="auto"/>
              </w:rPr>
            </w:pPr>
          </w:p>
        </w:tc>
      </w:tr>
      <w:tr>
        <w:trPr>
          <w:trHeight w:val="271"/>
        </w:trPr>
        <w:tc>
          <w:tcPr>
            <w:tcW w:w="34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Other</w:t>
            </w:r>
          </w:p>
        </w:tc>
        <w:tc>
          <w:tcPr>
            <w:tcW w:w="1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8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8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441</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76,526</w:t>
            </w:r>
          </w:p>
        </w:tc>
        <w:tc>
          <w:tcPr>
            <w:tcW w:w="8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76,967</w:t>
            </w:r>
          </w:p>
        </w:tc>
        <w:tc>
          <w:tcPr>
            <w:tcW w:w="0" w:type="dxa"/>
            <w:vAlign w:val="bottom"/>
          </w:tcPr>
          <w:p>
            <w:pPr>
              <w:spacing w:after="0"/>
              <w:rPr>
                <w:sz w:val="1"/>
                <w:szCs w:val="1"/>
                <w:color w:val="auto"/>
              </w:rPr>
            </w:pPr>
          </w:p>
        </w:tc>
      </w:tr>
      <w:tr>
        <w:trPr>
          <w:trHeight w:val="250"/>
        </w:trPr>
        <w:tc>
          <w:tcPr>
            <w:tcW w:w="34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4,851,433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4,897,149</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interest excluded from total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16,179</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16,258</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December 31, 2025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34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Commercial</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Commercial and industrial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1,158,841</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1,158,841</w:t>
            </w:r>
          </w:p>
        </w:tc>
        <w:tc>
          <w:tcPr>
            <w:tcW w:w="0" w:type="dxa"/>
            <w:vAlign w:val="bottom"/>
          </w:tcPr>
          <w:p>
            <w:pPr>
              <w:spacing w:after="0"/>
              <w:rPr>
                <w:sz w:val="1"/>
                <w:szCs w:val="1"/>
                <w:color w:val="auto"/>
              </w:rPr>
            </w:pPr>
          </w:p>
        </w:tc>
      </w:tr>
      <w:tr>
        <w:trPr>
          <w:trHeight w:val="271"/>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Commercial real estate</w:t>
            </w:r>
          </w:p>
        </w:tc>
        <w:tc>
          <w:tcPr>
            <w:tcW w:w="160" w:type="dxa"/>
            <w:vAlign w:val="bottom"/>
          </w:tcPr>
          <w:p>
            <w:pPr>
              <w:spacing w:after="0"/>
              <w:rPr>
                <w:sz w:val="23"/>
                <w:szCs w:val="2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22,988</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26,888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1,027,828</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1,054,716</w:t>
            </w:r>
          </w:p>
        </w:tc>
        <w:tc>
          <w:tcPr>
            <w:tcW w:w="0" w:type="dxa"/>
            <w:vAlign w:val="bottom"/>
          </w:tcPr>
          <w:p>
            <w:pPr>
              <w:spacing w:after="0"/>
              <w:rPr>
                <w:sz w:val="1"/>
                <w:szCs w:val="1"/>
                <w:color w:val="auto"/>
              </w:rPr>
            </w:pPr>
          </w:p>
        </w:tc>
      </w:tr>
      <w:tr>
        <w:trPr>
          <w:trHeight w:val="232"/>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Mortgage</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owner occupied - jumbo</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716</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660</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3,540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875,221</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878,761</w:t>
            </w:r>
          </w:p>
        </w:tc>
        <w:tc>
          <w:tcPr>
            <w:tcW w:w="0" w:type="dxa"/>
            <w:vAlign w:val="bottom"/>
          </w:tcPr>
          <w:p>
            <w:pPr>
              <w:spacing w:after="0"/>
              <w:rPr>
                <w:sz w:val="1"/>
                <w:szCs w:val="1"/>
                <w:color w:val="auto"/>
              </w:rPr>
            </w:pPr>
          </w:p>
        </w:tc>
      </w:tr>
      <w:tr>
        <w:trPr>
          <w:trHeight w:val="271"/>
        </w:trPr>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owner occupied - non-jumbo</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1,381</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757</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286,123</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289,562</w:t>
            </w:r>
          </w:p>
        </w:tc>
        <w:tc>
          <w:tcPr>
            <w:tcW w:w="0" w:type="dxa"/>
            <w:vAlign w:val="bottom"/>
          </w:tcPr>
          <w:p>
            <w:pPr>
              <w:spacing w:after="0"/>
              <w:rPr>
                <w:sz w:val="1"/>
                <w:szCs w:val="1"/>
                <w:color w:val="auto"/>
              </w:rPr>
            </w:pPr>
          </w:p>
        </w:tc>
      </w:tr>
      <w:tr>
        <w:trPr>
          <w:trHeight w:val="271"/>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non-owner occupied</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172,123</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172,293</w:t>
            </w:r>
          </w:p>
        </w:tc>
        <w:tc>
          <w:tcPr>
            <w:tcW w:w="0" w:type="dxa"/>
            <w:vAlign w:val="bottom"/>
          </w:tcPr>
          <w:p>
            <w:pPr>
              <w:spacing w:after="0"/>
              <w:rPr>
                <w:sz w:val="1"/>
                <w:szCs w:val="1"/>
                <w:color w:val="auto"/>
              </w:rPr>
            </w:pPr>
          </w:p>
        </w:tc>
      </w:tr>
      <w:tr>
        <w:trPr>
          <w:trHeight w:val="271"/>
        </w:trPr>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- 2nd lien</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156,632</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157,597</w:t>
            </w:r>
          </w:p>
        </w:tc>
        <w:tc>
          <w:tcPr>
            <w:tcW w:w="0" w:type="dxa"/>
            <w:vAlign w:val="bottom"/>
          </w:tcPr>
          <w:p>
            <w:pPr>
              <w:spacing w:after="0"/>
              <w:rPr>
                <w:sz w:val="1"/>
                <w:szCs w:val="1"/>
                <w:color w:val="auto"/>
              </w:rPr>
            </w:pPr>
          </w:p>
        </w:tc>
      </w:tr>
      <w:tr>
        <w:trPr>
          <w:trHeight w:val="271"/>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Resort lending</w:t>
            </w:r>
          </w:p>
        </w:tc>
        <w:tc>
          <w:tcPr>
            <w:tcW w:w="160" w:type="dxa"/>
            <w:vAlign w:val="bottom"/>
          </w:tcPr>
          <w:p>
            <w:pPr>
              <w:spacing w:after="0"/>
              <w:rPr>
                <w:sz w:val="23"/>
                <w:szCs w:val="2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3"/>
                <w:szCs w:val="2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26,551</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26,608</w:t>
            </w:r>
          </w:p>
        </w:tc>
        <w:tc>
          <w:tcPr>
            <w:tcW w:w="0" w:type="dxa"/>
            <w:vAlign w:val="bottom"/>
          </w:tcPr>
          <w:p>
            <w:pPr>
              <w:spacing w:after="0"/>
              <w:rPr>
                <w:sz w:val="1"/>
                <w:szCs w:val="1"/>
                <w:color w:val="auto"/>
              </w:rPr>
            </w:pPr>
          </w:p>
        </w:tc>
      </w:tr>
      <w:tr>
        <w:trPr>
          <w:trHeight w:val="232"/>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Installment</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Boat lending</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271,783</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272,512</w:t>
            </w:r>
          </w:p>
        </w:tc>
        <w:tc>
          <w:tcPr>
            <w:tcW w:w="0" w:type="dxa"/>
            <w:vAlign w:val="bottom"/>
          </w:tcPr>
          <w:p>
            <w:pPr>
              <w:spacing w:after="0"/>
              <w:rPr>
                <w:sz w:val="1"/>
                <w:szCs w:val="1"/>
                <w:color w:val="auto"/>
              </w:rPr>
            </w:pPr>
          </w:p>
        </w:tc>
      </w:tr>
      <w:tr>
        <w:trPr>
          <w:trHeight w:val="271"/>
        </w:trPr>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Recreational vehicle lending</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190,872</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191,857</w:t>
            </w:r>
          </w:p>
        </w:tc>
        <w:tc>
          <w:tcPr>
            <w:tcW w:w="0" w:type="dxa"/>
            <w:vAlign w:val="bottom"/>
          </w:tcPr>
          <w:p>
            <w:pPr>
              <w:spacing w:after="0"/>
              <w:rPr>
                <w:sz w:val="1"/>
                <w:szCs w:val="1"/>
                <w:color w:val="auto"/>
              </w:rPr>
            </w:pPr>
          </w:p>
        </w:tc>
      </w:tr>
      <w:tr>
        <w:trPr>
          <w:trHeight w:val="271"/>
        </w:trPr>
        <w:tc>
          <w:tcPr>
            <w:tcW w:w="34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Other</w:t>
            </w:r>
          </w:p>
        </w:tc>
        <w:tc>
          <w:tcPr>
            <w:tcW w:w="1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475</w:t>
            </w:r>
          </w:p>
        </w:tc>
        <w:tc>
          <w:tcPr>
            <w:tcW w:w="8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8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607</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72,931</w:t>
            </w:r>
          </w:p>
        </w:tc>
        <w:tc>
          <w:tcPr>
            <w:tcW w:w="8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73,538</w:t>
            </w:r>
          </w:p>
        </w:tc>
        <w:tc>
          <w:tcPr>
            <w:tcW w:w="0" w:type="dxa"/>
            <w:vAlign w:val="bottom"/>
          </w:tcPr>
          <w:p>
            <w:pPr>
              <w:spacing w:after="0"/>
              <w:rPr>
                <w:sz w:val="1"/>
                <w:szCs w:val="1"/>
                <w:color w:val="auto"/>
              </w:rPr>
            </w:pPr>
          </w:p>
        </w:tc>
      </w:tr>
      <w:tr>
        <w:trPr>
          <w:trHeight w:val="250"/>
        </w:trPr>
        <w:tc>
          <w:tcPr>
            <w:tcW w:w="34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25,148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4,238,905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4,276,285</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interest excluded from 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80" w:type="dxa"/>
            <w:vAlign w:val="bottom"/>
          </w:tcPr>
          <w:p>
            <w:pPr>
              <w:spacing w:after="0"/>
              <w:rPr>
                <w:sz w:val="17"/>
                <w:szCs w:val="17"/>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13,837</w:t>
            </w:r>
          </w:p>
        </w:tc>
        <w:tc>
          <w:tcPr>
            <w:tcW w:w="80" w:type="dxa"/>
            <w:vAlign w:val="bottom"/>
          </w:tcPr>
          <w:p>
            <w:pPr>
              <w:spacing w:after="0"/>
              <w:rPr>
                <w:sz w:val="17"/>
                <w:szCs w:val="17"/>
                <w:color w:val="auto"/>
              </w:rPr>
            </w:pP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13,952</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three and nine months ended September 30, 2026, there were no loans modified to a borrower experiencing financial difficulty.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three months ended September 30, 2025, there were no loans modified to a borrower experiencing financial difficulty.</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During the nine months ended September 30, 2025, there were two mortgage - 1-4 family owner occupied - non-jumbo loans modified to borrowers experiencing financial difficulty totaling $0.10 million (0.1% of the total loan class). Both of the loan modifications to borrowers experiencing financial difficulty during the nine months ended September 30, 2025 related to term extensions and added a weighted average of 12.0 years to the life of the loans. One of the loans modified during the nine months ended September 30, 2025 also received a 4.75% interest rate reduction. Both of the loans modified during the nine months ended September 30, 2025 were on non-accrual status.</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of September 30, 2026, none of the loans that were modified to borrowers experiencing financial difficulty within the past 12 months have subsequently defaulted.</w:t>
      </w:r>
    </w:p>
    <w:p>
      <w:pPr>
        <w:spacing w:after="0" w:line="1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 loan is generally considered to be in payment default once it is 90 days contractually past due under the modified terms for commercial loans and installment loans and when four consecutive payments are missed for mortgage loans.</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order to determine whether a borrower is experiencing financial difficulty, we perform an evaluation of the probability that the borrower will be in payment default on any of its debt in the foreseeable future without the modification. This evaluation is performed under our internal underwriting policy.</w:t>
      </w:r>
    </w:p>
    <w:p>
      <w:pPr>
        <w:spacing w:after="0" w:line="10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Credit Quality Indicators </w:t>
      </w:r>
      <w:r>
        <w:rPr>
          <w:rFonts w:ascii="Times New Roman" w:cs="Times New Roman" w:eastAsia="Times New Roman" w:hAnsi="Times New Roman"/>
          <w:sz w:val="17"/>
          <w:szCs w:val="17"/>
          <w:color w:val="auto"/>
        </w:rPr>
        <w:t>– As part of our on-going monitoring of the credit quality of our loan portfolios, we track certain credit quality indicators including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risk grade of commercial loans, (b) the level of classified commercial loans, (c) credit scores of mortgage and installment loan borrowers, and (d) delinquency history and non-performing loans.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commercial loans, we use a loan rating system that is similar to those employed by state and federal banking regulators. Loans are graded on a scale of 1 to 12.</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description of the general characteristics of the ratings follows:</w:t>
      </w:r>
    </w:p>
    <w:p>
      <w:pPr>
        <w:spacing w:after="0" w:line="17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i w:val="1"/>
          <w:iCs w:val="1"/>
          <w:color w:val="auto"/>
        </w:rPr>
        <w:t>Rating 1 through 6</w:t>
      </w:r>
      <w:r>
        <w:rPr>
          <w:rFonts w:ascii="Times New Roman" w:cs="Times New Roman" w:eastAsia="Times New Roman" w:hAnsi="Times New Roman"/>
          <w:sz w:val="17"/>
          <w:szCs w:val="17"/>
          <w:color w:val="auto"/>
        </w:rPr>
        <w:t>: These loans are generally referred to as our “non-watch” commercial credits that include very high or exceptional credit fundamentals through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acceptable credit fundamentals.</w:t>
      </w:r>
    </w:p>
    <w:p>
      <w:pPr>
        <w:spacing w:after="0" w:line="10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i w:val="1"/>
          <w:iCs w:val="1"/>
          <w:color w:val="auto"/>
        </w:rPr>
        <w:t>Rating 7 and 8</w:t>
      </w:r>
      <w:r>
        <w:rPr>
          <w:rFonts w:ascii="Times New Roman" w:cs="Times New Roman" w:eastAsia="Times New Roman" w:hAnsi="Times New Roman"/>
          <w:sz w:val="17"/>
          <w:szCs w:val="17"/>
          <w:color w:val="auto"/>
        </w:rPr>
        <w:t>: These loans are generally referred to as our “watch” commercial credits. These ratings include loans to borrowers that exhibit potential credit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weakness or downward trends. If not checked or cured these trends could weaken our asset or credit position. While potentially weak, no loss of principal or interest is envisioned with these ratings.</w:t>
      </w:r>
    </w:p>
    <w:p>
      <w:pPr>
        <w:spacing w:after="0" w:line="12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i w:val="1"/>
          <w:iCs w:val="1"/>
          <w:color w:val="auto"/>
        </w:rPr>
        <w:t>Rating 9</w:t>
      </w:r>
      <w:r>
        <w:rPr>
          <w:rFonts w:ascii="Times New Roman" w:cs="Times New Roman" w:eastAsia="Times New Roman" w:hAnsi="Times New Roman"/>
          <w:sz w:val="17"/>
          <w:szCs w:val="17"/>
          <w:color w:val="auto"/>
        </w:rPr>
        <w:t>: These loans are generally referred to as our “substandard accruing” commercial credits. This rating includes loans to borrowers that exhibit a well-defined weakness where payment default is probable and loss is possible if deficiencies are not corrected. Generally, loans with this rating are considered collectible as to both principal and interest primarily due to collateral coverage.</w:t>
      </w:r>
    </w:p>
    <w:p>
      <w:pPr>
        <w:spacing w:after="0" w:line="13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i w:val="1"/>
          <w:iCs w:val="1"/>
          <w:color w:val="auto"/>
        </w:rPr>
        <w:t>Rating 10 and 11</w:t>
      </w:r>
      <w:r>
        <w:rPr>
          <w:rFonts w:ascii="Times New Roman" w:cs="Times New Roman" w:eastAsia="Times New Roman" w:hAnsi="Times New Roman"/>
          <w:sz w:val="17"/>
          <w:szCs w:val="17"/>
          <w:color w:val="auto"/>
        </w:rPr>
        <w:t>: These loans are generally referred to as our ‘‘substandard - non-accrual’’ and ‘‘doubtful’’ commercial credits. These ratings include loans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borrowers with weaknesses that make collection of the loan in full, on the basis of current facts, conditions and values at best questionable and at worst improbable. All of these loans are placed in non-accrual.</w:t>
      </w:r>
    </w:p>
    <w:p>
      <w:pPr>
        <w:spacing w:after="0" w:line="12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i w:val="1"/>
          <w:iCs w:val="1"/>
          <w:color w:val="auto"/>
        </w:rPr>
        <w:t>Rating 12</w:t>
      </w:r>
      <w:r>
        <w:rPr>
          <w:rFonts w:ascii="Times New Roman" w:cs="Times New Roman" w:eastAsia="Times New Roman" w:hAnsi="Times New Roman"/>
          <w:sz w:val="17"/>
          <w:szCs w:val="17"/>
          <w:color w:val="auto"/>
        </w:rPr>
        <w:t>: These loans are generally referred to as our “loss” commercial credits. This rating includes loans to borrowers that are deemed incapable of repayment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are charged-off.</w:t>
      </w:r>
    </w:p>
    <w:p>
      <w:pPr>
        <w:spacing w:after="0" w:line="27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following tables summarize loan ratings by loan class for our commercial portfolio loan segment at September 30, 2026 and December 31, 2025, and gross loan charge-offs during the nine month periods ended September 30, 2026 and 2025:</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color w:val="auto"/>
                <w:w w:val="98"/>
              </w:rPr>
              <w:t>Commercial</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3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5"/>
              </w:rPr>
              <w:t>Revolving</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760" w:type="dxa"/>
            <w:vAlign w:val="bottom"/>
            <w:gridSpan w:val="11"/>
            <w:vMerge w:val="restart"/>
          </w:tcPr>
          <w:p>
            <w:pPr>
              <w:ind w:left="240"/>
              <w:spacing w:after="0"/>
              <w:rPr>
                <w:sz w:val="20"/>
                <w:szCs w:val="20"/>
                <w:color w:val="auto"/>
              </w:rPr>
            </w:pPr>
            <w:r>
              <w:rPr>
                <w:rFonts w:ascii="Times New Roman" w:cs="Times New Roman" w:eastAsia="Times New Roman" w:hAnsi="Times New Roman"/>
                <w:sz w:val="14"/>
                <w:szCs w:val="14"/>
                <w:color w:val="auto"/>
              </w:rPr>
              <w:t>Term Loans Amortized Cost Basis by Origination Year</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3"/>
              </w:rPr>
              <w:t>Loans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3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760" w:type="dxa"/>
            <w:vAlign w:val="bottom"/>
            <w:gridSpan w:val="11"/>
            <w:vMerge w:val="continue"/>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vMerge w:val="restart"/>
          </w:tcPr>
          <w:p>
            <w:pPr>
              <w:jc w:val="center"/>
              <w:ind w:right="200"/>
              <w:spacing w:after="0" w:line="116" w:lineRule="exact"/>
              <w:rPr>
                <w:sz w:val="20"/>
                <w:szCs w:val="20"/>
                <w:color w:val="auto"/>
              </w:rPr>
            </w:pPr>
            <w:r>
              <w:rPr>
                <w:rFonts w:ascii="Times New Roman" w:cs="Times New Roman" w:eastAsia="Times New Roman" w:hAnsi="Times New Roman"/>
                <w:sz w:val="13"/>
                <w:szCs w:val="13"/>
                <w:color w:val="auto"/>
              </w:rPr>
              <w:t>Amortized</w:t>
            </w: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3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3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51"/>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Prior</w:t>
            </w:r>
          </w:p>
        </w:tc>
        <w:tc>
          <w:tcPr>
            <w:tcW w:w="120" w:type="dxa"/>
            <w:vAlign w:val="bottom"/>
          </w:tcPr>
          <w:p>
            <w:pPr>
              <w:spacing w:after="0"/>
              <w:rPr>
                <w:sz w:val="17"/>
                <w:szCs w:val="17"/>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Cost Basis</w:t>
            </w:r>
          </w:p>
        </w:tc>
        <w:tc>
          <w:tcPr>
            <w:tcW w:w="220" w:type="dxa"/>
            <w:vAlign w:val="bottom"/>
          </w:tcPr>
          <w:p>
            <w:pPr>
              <w:spacing w:after="0"/>
              <w:rPr>
                <w:sz w:val="17"/>
                <w:szCs w:val="17"/>
                <w:color w:val="auto"/>
              </w:rPr>
            </w:pPr>
          </w:p>
        </w:tc>
        <w:tc>
          <w:tcPr>
            <w:tcW w:w="800" w:type="dxa"/>
            <w:vAlign w:val="bottom"/>
          </w:tcPr>
          <w:p>
            <w:pPr>
              <w:jc w:val="right"/>
              <w:ind w:right="29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2"/>
        </w:trPr>
        <w:tc>
          <w:tcPr>
            <w:tcW w:w="3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gridSpan w:val="5"/>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3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color w:val="auto"/>
                <w:w w:val="96"/>
              </w:rPr>
              <w:t>(In thousands)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September 30, 2026</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3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Non-watch (1-6)</w:t>
            </w:r>
          </w:p>
        </w:tc>
        <w:tc>
          <w:tcPr>
            <w:tcW w:w="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180,292</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231,879</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177,731</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119,085</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125,477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149,271</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388,583</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1,372,318</w:t>
            </w:r>
          </w:p>
        </w:tc>
        <w:tc>
          <w:tcPr>
            <w:tcW w:w="0" w:type="dxa"/>
            <w:vAlign w:val="bottom"/>
          </w:tcPr>
          <w:p>
            <w:pPr>
              <w:spacing w:after="0"/>
              <w:rPr>
                <w:sz w:val="1"/>
                <w:szCs w:val="1"/>
                <w:color w:val="auto"/>
              </w:rPr>
            </w:pPr>
          </w:p>
        </w:tc>
      </w:tr>
      <w:tr>
        <w:trPr>
          <w:trHeight w:val="184"/>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Watch (7-8)</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9,218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17,530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51,433</w:t>
            </w:r>
          </w:p>
        </w:tc>
        <w:tc>
          <w:tcPr>
            <w:tcW w:w="0" w:type="dxa"/>
            <w:vAlign w:val="bottom"/>
          </w:tcPr>
          <w:p>
            <w:pPr>
              <w:spacing w:after="0"/>
              <w:rPr>
                <w:sz w:val="1"/>
                <w:szCs w:val="1"/>
                <w:color w:val="auto"/>
              </w:rPr>
            </w:pPr>
          </w:p>
        </w:tc>
      </w:tr>
      <w:tr>
        <w:trPr>
          <w:trHeight w:val="22"/>
        </w:trPr>
        <w:tc>
          <w:tcPr>
            <w:tcW w:w="3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Substandard Accrual (9)</w:t>
            </w: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2,864</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3,427</w:t>
            </w:r>
          </w:p>
        </w:tc>
        <w:tc>
          <w:tcPr>
            <w:tcW w:w="0" w:type="dxa"/>
            <w:vAlign w:val="bottom"/>
          </w:tcPr>
          <w:p>
            <w:pPr>
              <w:spacing w:after="0"/>
              <w:rPr>
                <w:sz w:val="1"/>
                <w:szCs w:val="1"/>
                <w:color w:val="auto"/>
              </w:rPr>
            </w:pPr>
          </w:p>
        </w:tc>
      </w:tr>
      <w:tr>
        <w:trPr>
          <w:trHeight w:val="184"/>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Non-Accrual (10-11)</w:t>
            </w:r>
          </w:p>
        </w:tc>
        <w:tc>
          <w:tcPr>
            <w:tcW w:w="18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9,326</w:t>
            </w:r>
          </w:p>
        </w:tc>
        <w:tc>
          <w:tcPr>
            <w:tcW w:w="0" w:type="dxa"/>
            <w:vAlign w:val="bottom"/>
          </w:tcPr>
          <w:p>
            <w:pPr>
              <w:spacing w:after="0"/>
              <w:rPr>
                <w:sz w:val="1"/>
                <w:szCs w:val="1"/>
                <w:color w:val="auto"/>
              </w:rPr>
            </w:pPr>
          </w:p>
        </w:tc>
      </w:tr>
      <w:tr>
        <w:trPr>
          <w:trHeight w:val="22"/>
        </w:trPr>
        <w:tc>
          <w:tcPr>
            <w:tcW w:w="3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33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183,773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236,036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191,834</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131,309</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128,915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158,524</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406,113</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1,436,504</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1,050</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1,310</w:t>
            </w:r>
          </w:p>
        </w:tc>
        <w:tc>
          <w:tcPr>
            <w:tcW w:w="80" w:type="dxa"/>
            <w:vAlign w:val="bottom"/>
          </w:tcPr>
          <w:p>
            <w:pPr>
              <w:spacing w:after="0"/>
              <w:rPr>
                <w:sz w:val="15"/>
                <w:szCs w:val="15"/>
                <w:color w:val="auto"/>
              </w:rPr>
            </w:pPr>
          </w:p>
        </w:tc>
        <w:tc>
          <w:tcPr>
            <w:tcW w:w="2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4,584</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 real estate</w:t>
            </w:r>
          </w:p>
        </w:tc>
        <w:tc>
          <w:tcPr>
            <w:tcW w:w="1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Non-watch (1-6)</w:t>
            </w: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193,749</w:t>
            </w:r>
          </w:p>
        </w:tc>
        <w:tc>
          <w:tcPr>
            <w:tcW w:w="100" w:type="dxa"/>
            <w:vAlign w:val="bottom"/>
          </w:tcPr>
          <w:p>
            <w:pPr>
              <w:spacing w:after="0"/>
              <w:rPr>
                <w:sz w:val="15"/>
                <w:szCs w:val="15"/>
                <w:color w:val="auto"/>
              </w:rPr>
            </w:pP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268,579</w:t>
            </w:r>
          </w:p>
        </w:tc>
        <w:tc>
          <w:tcPr>
            <w:tcW w:w="100" w:type="dxa"/>
            <w:vAlign w:val="bottom"/>
          </w:tcPr>
          <w:p>
            <w:pPr>
              <w:spacing w:after="0"/>
              <w:rPr>
                <w:sz w:val="15"/>
                <w:szCs w:val="15"/>
                <w:color w:val="auto"/>
              </w:rPr>
            </w:pP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148,772</w:t>
            </w:r>
          </w:p>
        </w:tc>
        <w:tc>
          <w:tcPr>
            <w:tcW w:w="80" w:type="dxa"/>
            <w:vAlign w:val="bottom"/>
          </w:tcPr>
          <w:p>
            <w:pPr>
              <w:spacing w:after="0"/>
              <w:rPr>
                <w:sz w:val="15"/>
                <w:szCs w:val="15"/>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160,190</w:t>
            </w:r>
          </w:p>
        </w:tc>
        <w:tc>
          <w:tcPr>
            <w:tcW w:w="8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194,814</w:t>
            </w:r>
          </w:p>
        </w:tc>
        <w:tc>
          <w:tcPr>
            <w:tcW w:w="10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199,932</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113,002</w:t>
            </w:r>
          </w:p>
        </w:tc>
        <w:tc>
          <w:tcPr>
            <w:tcW w:w="80" w:type="dxa"/>
            <w:vAlign w:val="bottom"/>
          </w:tcPr>
          <w:p>
            <w:pPr>
              <w:spacing w:after="0"/>
              <w:rPr>
                <w:sz w:val="15"/>
                <w:szCs w:val="15"/>
                <w:color w:val="auto"/>
              </w:rPr>
            </w:pP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1,279,038</w:t>
            </w:r>
          </w:p>
        </w:tc>
        <w:tc>
          <w:tcPr>
            <w:tcW w:w="0" w:type="dxa"/>
            <w:vAlign w:val="bottom"/>
          </w:tcPr>
          <w:p>
            <w:pPr>
              <w:spacing w:after="0"/>
              <w:rPr>
                <w:sz w:val="1"/>
                <w:szCs w:val="1"/>
                <w:color w:val="auto"/>
              </w:rPr>
            </w:pPr>
          </w:p>
        </w:tc>
      </w:tr>
      <w:tr>
        <w:trPr>
          <w:trHeight w:val="22"/>
        </w:trPr>
        <w:tc>
          <w:tcPr>
            <w:tcW w:w="3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Watch (7-8)</w:t>
            </w: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2,447</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13,622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18,894</w:t>
            </w:r>
          </w:p>
        </w:tc>
        <w:tc>
          <w:tcPr>
            <w:tcW w:w="0" w:type="dxa"/>
            <w:vAlign w:val="bottom"/>
          </w:tcPr>
          <w:p>
            <w:pPr>
              <w:spacing w:after="0"/>
              <w:rPr>
                <w:sz w:val="1"/>
                <w:szCs w:val="1"/>
                <w:color w:val="auto"/>
              </w:rPr>
            </w:pPr>
          </w:p>
        </w:tc>
      </w:tr>
      <w:tr>
        <w:trPr>
          <w:trHeight w:val="184"/>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Substandard Accrual (9)</w:t>
            </w:r>
          </w:p>
        </w:tc>
        <w:tc>
          <w:tcPr>
            <w:tcW w:w="18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0" w:type="dxa"/>
            <w:vAlign w:val="bottom"/>
          </w:tcPr>
          <w:p>
            <w:pPr>
              <w:spacing w:after="0"/>
              <w:rPr>
                <w:sz w:val="1"/>
                <w:szCs w:val="1"/>
                <w:color w:val="auto"/>
              </w:rPr>
            </w:pPr>
          </w:p>
        </w:tc>
      </w:tr>
      <w:tr>
        <w:trPr>
          <w:trHeight w:val="22"/>
        </w:trPr>
        <w:tc>
          <w:tcPr>
            <w:tcW w:w="3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Non-Accrual (10-11)</w:t>
            </w: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9,450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18,353</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28,293</w:t>
            </w:r>
          </w:p>
        </w:tc>
        <w:tc>
          <w:tcPr>
            <w:tcW w:w="0" w:type="dxa"/>
            <w:vAlign w:val="bottom"/>
          </w:tcPr>
          <w:p>
            <w:pPr>
              <w:spacing w:after="0"/>
              <w:rPr>
                <w:sz w:val="1"/>
                <w:szCs w:val="1"/>
                <w:color w:val="auto"/>
              </w:rPr>
            </w:pPr>
          </w:p>
        </w:tc>
      </w:tr>
      <w:tr>
        <w:trPr>
          <w:trHeight w:val="199"/>
        </w:trPr>
        <w:tc>
          <w:tcPr>
            <w:tcW w:w="33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193,749</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278,999</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150,303</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181,375</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208,544</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200,448</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113,300</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1,326,718</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4,101</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Commercial</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Non-watch (1-6)</w:t>
            </w:r>
          </w:p>
        </w:tc>
        <w:tc>
          <w:tcPr>
            <w:tcW w:w="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374,041</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500,458</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326,503</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279,275</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320,291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349,203</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501,585</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2,651,356</w:t>
            </w:r>
          </w:p>
        </w:tc>
        <w:tc>
          <w:tcPr>
            <w:tcW w:w="0" w:type="dxa"/>
            <w:vAlign w:val="bottom"/>
          </w:tcPr>
          <w:p>
            <w:pPr>
              <w:spacing w:after="0"/>
              <w:rPr>
                <w:sz w:val="1"/>
                <w:szCs w:val="1"/>
                <w:color w:val="auto"/>
              </w:rPr>
            </w:pPr>
          </w:p>
        </w:tc>
      </w:tr>
      <w:tr>
        <w:trPr>
          <w:trHeight w:val="184"/>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Watch (7-8)</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9,294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15,788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9,245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17,828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70,327</w:t>
            </w:r>
          </w:p>
        </w:tc>
        <w:tc>
          <w:tcPr>
            <w:tcW w:w="0" w:type="dxa"/>
            <w:vAlign w:val="bottom"/>
          </w:tcPr>
          <w:p>
            <w:pPr>
              <w:spacing w:after="0"/>
              <w:rPr>
                <w:sz w:val="1"/>
                <w:szCs w:val="1"/>
                <w:color w:val="auto"/>
              </w:rPr>
            </w:pPr>
          </w:p>
        </w:tc>
      </w:tr>
      <w:tr>
        <w:trPr>
          <w:trHeight w:val="22"/>
        </w:trPr>
        <w:tc>
          <w:tcPr>
            <w:tcW w:w="3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Substandard Accrual (9)</w:t>
            </w: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2,864</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3,920</w:t>
            </w:r>
          </w:p>
        </w:tc>
        <w:tc>
          <w:tcPr>
            <w:tcW w:w="0" w:type="dxa"/>
            <w:vAlign w:val="bottom"/>
          </w:tcPr>
          <w:p>
            <w:pPr>
              <w:spacing w:after="0"/>
              <w:rPr>
                <w:sz w:val="1"/>
                <w:szCs w:val="1"/>
                <w:color w:val="auto"/>
              </w:rPr>
            </w:pPr>
          </w:p>
        </w:tc>
      </w:tr>
      <w:tr>
        <w:trPr>
          <w:trHeight w:val="184"/>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Non-Accrual (10-11)</w:t>
            </w:r>
          </w:p>
        </w:tc>
        <w:tc>
          <w:tcPr>
            <w:tcW w:w="18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23,730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37,619</w:t>
            </w:r>
          </w:p>
        </w:tc>
        <w:tc>
          <w:tcPr>
            <w:tcW w:w="0" w:type="dxa"/>
            <w:vAlign w:val="bottom"/>
          </w:tcPr>
          <w:p>
            <w:pPr>
              <w:spacing w:after="0"/>
              <w:rPr>
                <w:sz w:val="1"/>
                <w:szCs w:val="1"/>
                <w:color w:val="auto"/>
              </w:rPr>
            </w:pPr>
          </w:p>
        </w:tc>
      </w:tr>
      <w:tr>
        <w:trPr>
          <w:trHeight w:val="22"/>
        </w:trPr>
        <w:tc>
          <w:tcPr>
            <w:tcW w:w="3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33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377,522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515,035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342,137</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312,684</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337,459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358,972</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519,413</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2,763,222</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1,615</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1,952</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1,005</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833</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714</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924</w:t>
            </w:r>
          </w:p>
        </w:tc>
        <w:tc>
          <w:tcPr>
            <w:tcW w:w="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1,642</w:t>
            </w:r>
          </w:p>
        </w:tc>
        <w:tc>
          <w:tcPr>
            <w:tcW w:w="80" w:type="dxa"/>
            <w:vAlign w:val="bottom"/>
          </w:tcPr>
          <w:p>
            <w:pPr>
              <w:spacing w:after="0"/>
              <w:rPr>
                <w:sz w:val="15"/>
                <w:szCs w:val="15"/>
                <w:color w:val="auto"/>
              </w:rPr>
            </w:pPr>
          </w:p>
        </w:tc>
        <w:tc>
          <w:tcPr>
            <w:tcW w:w="2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8,685</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3300" w:type="dxa"/>
        <w:tblCellMar>
          <w:top w:w="0" w:type="dxa"/>
          <w:left w:w="0" w:type="dxa"/>
          <w:bottom w:w="0" w:type="dxa"/>
          <w:right w:w="0" w:type="dxa"/>
        </w:tblCellMar>
      </w:tblPr>
      <w:tr>
        <w:trPr>
          <w:trHeight w:val="168"/>
        </w:trPr>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Revolving</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40" w:type="dxa"/>
            <w:vAlign w:val="bottom"/>
          </w:tcPr>
          <w:p>
            <w:pPr>
              <w:spacing w:after="0"/>
              <w:rPr>
                <w:sz w:val="14"/>
                <w:szCs w:val="14"/>
                <w:color w:val="auto"/>
              </w:rPr>
            </w:pPr>
          </w:p>
        </w:tc>
        <w:tc>
          <w:tcPr>
            <w:tcW w:w="3960" w:type="dxa"/>
            <w:vAlign w:val="bottom"/>
            <w:gridSpan w:val="4"/>
            <w:vMerge w:val="restart"/>
          </w:tcPr>
          <w:p>
            <w:pPr>
              <w:jc w:val="right"/>
              <w:ind w:right="391"/>
              <w:spacing w:after="0"/>
              <w:rPr>
                <w:sz w:val="20"/>
                <w:szCs w:val="20"/>
                <w:color w:val="auto"/>
              </w:rPr>
            </w:pPr>
            <w:r>
              <w:rPr>
                <w:rFonts w:ascii="Times New Roman" w:cs="Times New Roman" w:eastAsia="Times New Roman" w:hAnsi="Times New Roman"/>
                <w:sz w:val="14"/>
                <w:szCs w:val="14"/>
                <w:color w:val="auto"/>
              </w:rPr>
              <w:t>Term Loans Amortized Cost Basis by Origination Year</w:t>
            </w:r>
          </w:p>
        </w:tc>
        <w:tc>
          <w:tcPr>
            <w:tcW w:w="9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Loans</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940" w:type="dxa"/>
            <w:vAlign w:val="bottom"/>
          </w:tcPr>
          <w:p>
            <w:pPr>
              <w:spacing w:after="0"/>
              <w:rPr>
                <w:sz w:val="11"/>
                <w:szCs w:val="11"/>
                <w:color w:val="auto"/>
              </w:rPr>
            </w:pPr>
          </w:p>
        </w:tc>
        <w:tc>
          <w:tcPr>
            <w:tcW w:w="3960" w:type="dxa"/>
            <w:vAlign w:val="bottom"/>
            <w:gridSpan w:val="4"/>
            <w:vMerge w:val="continue"/>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Amortized</w:t>
            </w: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9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940" w:type="dxa"/>
            <w:vAlign w:val="bottom"/>
          </w:tcPr>
          <w:p>
            <w:pPr>
              <w:jc w:val="right"/>
              <w:ind w:right="291"/>
              <w:spacing w:after="0"/>
              <w:rPr>
                <w:sz w:val="20"/>
                <w:szCs w:val="20"/>
                <w:color w:val="auto"/>
              </w:rPr>
            </w:pPr>
            <w:r>
              <w:rPr>
                <w:rFonts w:ascii="Times New Roman" w:cs="Times New Roman" w:eastAsia="Times New Roman" w:hAnsi="Times New Roman"/>
                <w:sz w:val="14"/>
                <w:szCs w:val="14"/>
                <w:color w:val="auto"/>
              </w:rPr>
              <w:t>2025</w:t>
            </w:r>
          </w:p>
        </w:tc>
        <w:tc>
          <w:tcPr>
            <w:tcW w:w="980" w:type="dxa"/>
            <w:vAlign w:val="bottom"/>
          </w:tcPr>
          <w:p>
            <w:pPr>
              <w:jc w:val="right"/>
              <w:ind w:right="291"/>
              <w:spacing w:after="0"/>
              <w:rPr>
                <w:sz w:val="20"/>
                <w:szCs w:val="20"/>
                <w:color w:val="auto"/>
              </w:rPr>
            </w:pPr>
            <w:r>
              <w:rPr>
                <w:rFonts w:ascii="Times New Roman" w:cs="Times New Roman" w:eastAsia="Times New Roman" w:hAnsi="Times New Roman"/>
                <w:sz w:val="14"/>
                <w:szCs w:val="14"/>
                <w:color w:val="auto"/>
              </w:rPr>
              <w:t>2024</w:t>
            </w:r>
          </w:p>
        </w:tc>
        <w:tc>
          <w:tcPr>
            <w:tcW w:w="1000" w:type="dxa"/>
            <w:vAlign w:val="bottom"/>
          </w:tcPr>
          <w:p>
            <w:pPr>
              <w:jc w:val="right"/>
              <w:ind w:right="291"/>
              <w:spacing w:after="0"/>
              <w:rPr>
                <w:sz w:val="20"/>
                <w:szCs w:val="20"/>
                <w:color w:val="auto"/>
              </w:rPr>
            </w:pPr>
            <w:r>
              <w:rPr>
                <w:rFonts w:ascii="Times New Roman" w:cs="Times New Roman" w:eastAsia="Times New Roman" w:hAnsi="Times New Roman"/>
                <w:sz w:val="14"/>
                <w:szCs w:val="14"/>
                <w:color w:val="auto"/>
              </w:rPr>
              <w:t>2023</w:t>
            </w:r>
          </w:p>
        </w:tc>
        <w:tc>
          <w:tcPr>
            <w:tcW w:w="980" w:type="dxa"/>
            <w:vAlign w:val="bottom"/>
          </w:tcPr>
          <w:p>
            <w:pPr>
              <w:jc w:val="right"/>
              <w:ind w:right="291"/>
              <w:spacing w:after="0"/>
              <w:rPr>
                <w:sz w:val="20"/>
                <w:szCs w:val="20"/>
                <w:color w:val="auto"/>
              </w:rPr>
            </w:pPr>
            <w:r>
              <w:rPr>
                <w:rFonts w:ascii="Times New Roman" w:cs="Times New Roman" w:eastAsia="Times New Roman" w:hAnsi="Times New Roman"/>
                <w:sz w:val="14"/>
                <w:szCs w:val="14"/>
                <w:color w:val="auto"/>
              </w:rPr>
              <w:t>2022</w:t>
            </w:r>
          </w:p>
        </w:tc>
        <w:tc>
          <w:tcPr>
            <w:tcW w:w="1000" w:type="dxa"/>
            <w:vAlign w:val="bottom"/>
          </w:tcPr>
          <w:p>
            <w:pPr>
              <w:jc w:val="right"/>
              <w:ind w:right="291"/>
              <w:spacing w:after="0"/>
              <w:rPr>
                <w:sz w:val="20"/>
                <w:szCs w:val="20"/>
                <w:color w:val="auto"/>
              </w:rPr>
            </w:pPr>
            <w:r>
              <w:rPr>
                <w:rFonts w:ascii="Times New Roman" w:cs="Times New Roman" w:eastAsia="Times New Roman" w:hAnsi="Times New Roman"/>
                <w:sz w:val="14"/>
                <w:szCs w:val="14"/>
                <w:color w:val="auto"/>
              </w:rPr>
              <w:t>2021</w:t>
            </w:r>
          </w:p>
        </w:tc>
        <w:tc>
          <w:tcPr>
            <w:tcW w:w="9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Prior</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Cost Basis</w:t>
            </w:r>
          </w:p>
        </w:tc>
        <w:tc>
          <w:tcPr>
            <w:tcW w:w="600" w:type="dxa"/>
            <w:vAlign w:val="bottom"/>
          </w:tcPr>
          <w:p>
            <w:pPr>
              <w:ind w:left="320"/>
              <w:spacing w:after="0"/>
              <w:rPr>
                <w:sz w:val="20"/>
                <w:szCs w:val="20"/>
                <w:color w:val="auto"/>
              </w:rPr>
            </w:pPr>
            <w:r>
              <w:rPr>
                <w:rFonts w:ascii="Times New Roman" w:cs="Times New Roman" w:eastAsia="Times New Roman" w:hAnsi="Times New Roman"/>
                <w:sz w:val="14"/>
                <w:szCs w:val="14"/>
                <w:color w:val="auto"/>
                <w:w w:val="87"/>
              </w:rPr>
              <w:t>Total</w:t>
            </w:r>
          </w:p>
        </w:tc>
        <w:tc>
          <w:tcPr>
            <w:tcW w:w="0" w:type="dxa"/>
            <w:vAlign w:val="bottom"/>
          </w:tcPr>
          <w:p>
            <w:pPr>
              <w:spacing w:after="0"/>
              <w:rPr>
                <w:sz w:val="1"/>
                <w:szCs w:val="1"/>
                <w:color w:val="auto"/>
              </w:rPr>
            </w:pPr>
          </w:p>
        </w:tc>
      </w:tr>
    </w:tbl>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3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gridSpan w:val="5"/>
          </w:tcPr>
          <w:p>
            <w:pPr>
              <w:ind w:left="38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r>
      <w:tr>
        <w:trPr>
          <w:trHeight w:val="22"/>
        </w:trPr>
        <w:tc>
          <w:tcPr>
            <w:tcW w:w="3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86"/>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2025</w:t>
            </w: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r>
      <w:tr>
        <w:trPr>
          <w:trHeight w:val="197"/>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2"/>
        </w:trPr>
        <w:tc>
          <w:tcPr>
            <w:tcW w:w="3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9"/>
        </w:trPr>
        <w:tc>
          <w:tcPr>
            <w:tcW w:w="3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Non-watch (1-6)</w:t>
            </w: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199,338</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188,309</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131,090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115,518</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45,116</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140,699</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300,540</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1,120,610</w:t>
            </w:r>
          </w:p>
        </w:tc>
      </w:tr>
      <w:tr>
        <w:trPr>
          <w:trHeight w:val="197"/>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Watch (7-8)</w:t>
            </w: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28,707</w:t>
            </w:r>
          </w:p>
        </w:tc>
      </w:tr>
      <w:tr>
        <w:trPr>
          <w:trHeight w:val="22"/>
        </w:trPr>
        <w:tc>
          <w:tcPr>
            <w:tcW w:w="3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9"/>
        </w:trPr>
        <w:tc>
          <w:tcPr>
            <w:tcW w:w="3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Substandard Accrual (9)</w:t>
            </w:r>
          </w:p>
        </w:tc>
        <w:tc>
          <w:tcPr>
            <w:tcW w:w="2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1,710</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5,779</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9,524</w:t>
            </w:r>
          </w:p>
        </w:tc>
      </w:tr>
      <w:tr>
        <w:trPr>
          <w:trHeight w:val="197"/>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Non-Accrual (10-11)</w:t>
            </w:r>
          </w:p>
        </w:tc>
        <w:tc>
          <w:tcPr>
            <w:tcW w:w="24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3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24"/>
        </w:trPr>
        <w:tc>
          <w:tcPr>
            <w:tcW w:w="33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200,779</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191,930</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135,420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118,223</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47,988</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149,334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315,167</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1,158,841</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78"/>
        </w:trPr>
        <w:tc>
          <w:tcPr>
            <w:tcW w:w="3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80" w:type="dxa"/>
            <w:vAlign w:val="bottom"/>
          </w:tcPr>
          <w:p>
            <w:pPr>
              <w:spacing w:after="0"/>
              <w:rPr>
                <w:sz w:val="15"/>
                <w:szCs w:val="15"/>
                <w:color w:val="auto"/>
              </w:rPr>
            </w:pPr>
          </w:p>
        </w:tc>
        <w:tc>
          <w:tcPr>
            <w:tcW w:w="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1,139</w:t>
            </w:r>
          </w:p>
        </w:tc>
        <w:tc>
          <w:tcPr>
            <w:tcW w:w="80" w:type="dxa"/>
            <w:vAlign w:val="bottom"/>
          </w:tcPr>
          <w:p>
            <w:pPr>
              <w:spacing w:after="0"/>
              <w:rPr>
                <w:sz w:val="15"/>
                <w:szCs w:val="15"/>
                <w:color w:val="auto"/>
              </w:rPr>
            </w:pPr>
          </w:p>
        </w:tc>
        <w:tc>
          <w:tcPr>
            <w:tcW w:w="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3,551</w:t>
            </w: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18"/>
        </w:trPr>
        <w:tc>
          <w:tcPr>
            <w:tcW w:w="3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3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9"/>
        </w:trPr>
        <w:tc>
          <w:tcPr>
            <w:tcW w:w="3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 real estate</w:t>
            </w:r>
          </w:p>
        </w:tc>
        <w:tc>
          <w:tcPr>
            <w:tcW w:w="2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r>
      <w:tr>
        <w:trPr>
          <w:trHeight w:val="197"/>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Non-watch (1-6)</w:t>
            </w: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204,584</w:t>
            </w:r>
          </w:p>
        </w:tc>
        <w:tc>
          <w:tcPr>
            <w:tcW w:w="80" w:type="dxa"/>
            <w:vAlign w:val="bottom"/>
          </w:tcPr>
          <w:p>
            <w:pPr>
              <w:spacing w:after="0"/>
              <w:rPr>
                <w:sz w:val="17"/>
                <w:szCs w:val="17"/>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162,957</w:t>
            </w:r>
          </w:p>
        </w:tc>
        <w:tc>
          <w:tcPr>
            <w:tcW w:w="80" w:type="dxa"/>
            <w:vAlign w:val="bottom"/>
          </w:tcPr>
          <w:p>
            <w:pPr>
              <w:spacing w:after="0"/>
              <w:rPr>
                <w:sz w:val="17"/>
                <w:szCs w:val="17"/>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167,203</w:t>
            </w:r>
          </w:p>
        </w:tc>
        <w:tc>
          <w:tcPr>
            <w:tcW w:w="100" w:type="dxa"/>
            <w:vAlign w:val="bottom"/>
          </w:tcPr>
          <w:p>
            <w:pPr>
              <w:spacing w:after="0"/>
              <w:rPr>
                <w:sz w:val="17"/>
                <w:szCs w:val="17"/>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159,948</w:t>
            </w:r>
          </w:p>
        </w:tc>
        <w:tc>
          <w:tcPr>
            <w:tcW w:w="80" w:type="dxa"/>
            <w:vAlign w:val="bottom"/>
          </w:tcPr>
          <w:p>
            <w:pPr>
              <w:spacing w:after="0"/>
              <w:rPr>
                <w:sz w:val="17"/>
                <w:szCs w:val="17"/>
                <w:color w:val="auto"/>
              </w:rPr>
            </w:pPr>
          </w:p>
        </w:tc>
        <w:tc>
          <w:tcPr>
            <w:tcW w:w="2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66,116</w:t>
            </w:r>
          </w:p>
        </w:tc>
        <w:tc>
          <w:tcPr>
            <w:tcW w:w="80" w:type="dxa"/>
            <w:vAlign w:val="bottom"/>
          </w:tcPr>
          <w:p>
            <w:pPr>
              <w:spacing w:after="0"/>
              <w:rPr>
                <w:sz w:val="17"/>
                <w:szCs w:val="17"/>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184,907</w:t>
            </w:r>
          </w:p>
        </w:tc>
        <w:tc>
          <w:tcPr>
            <w:tcW w:w="100" w:type="dxa"/>
            <w:vAlign w:val="bottom"/>
          </w:tcPr>
          <w:p>
            <w:pPr>
              <w:spacing w:after="0"/>
              <w:rPr>
                <w:sz w:val="17"/>
                <w:szCs w:val="17"/>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56,611</w:t>
            </w:r>
          </w:p>
        </w:tc>
        <w:tc>
          <w:tcPr>
            <w:tcW w:w="80" w:type="dxa"/>
            <w:vAlign w:val="bottom"/>
          </w:tcPr>
          <w:p>
            <w:pPr>
              <w:spacing w:after="0"/>
              <w:rPr>
                <w:sz w:val="17"/>
                <w:szCs w:val="17"/>
                <w:color w:val="auto"/>
              </w:rPr>
            </w:pPr>
          </w:p>
        </w:tc>
        <w:tc>
          <w:tcPr>
            <w:tcW w:w="2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1,002,326</w:t>
            </w:r>
          </w:p>
        </w:tc>
      </w:tr>
      <w:tr>
        <w:trPr>
          <w:trHeight w:val="22"/>
        </w:trPr>
        <w:tc>
          <w:tcPr>
            <w:tcW w:w="3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9"/>
        </w:trPr>
        <w:tc>
          <w:tcPr>
            <w:tcW w:w="3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Watch (7-8)</w:t>
            </w:r>
          </w:p>
        </w:tc>
        <w:tc>
          <w:tcPr>
            <w:tcW w:w="2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13,887</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24,337</w:t>
            </w:r>
          </w:p>
        </w:tc>
      </w:tr>
      <w:tr>
        <w:trPr>
          <w:trHeight w:val="197"/>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Substandard Accrual (9)</w:t>
            </w: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4,522</w:t>
            </w:r>
          </w:p>
        </w:tc>
      </w:tr>
      <w:tr>
        <w:trPr>
          <w:trHeight w:val="22"/>
        </w:trPr>
        <w:tc>
          <w:tcPr>
            <w:tcW w:w="3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19"/>
        </w:trPr>
        <w:tc>
          <w:tcPr>
            <w:tcW w:w="3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Non-Accrual (10-11)</w:t>
            </w:r>
          </w:p>
        </w:tc>
        <w:tc>
          <w:tcPr>
            <w:tcW w:w="2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4,878</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18,163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23,531</w:t>
            </w:r>
          </w:p>
        </w:tc>
      </w:tr>
      <w:tr>
        <w:trPr>
          <w:trHeight w:val="199"/>
        </w:trPr>
        <w:tc>
          <w:tcPr>
            <w:tcW w:w="33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212,810</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164,270</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189,924</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173,835</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66,242</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190,399</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57,236</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1,054,716</w:t>
            </w: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23"/>
        </w:trPr>
        <w:tc>
          <w:tcPr>
            <w:tcW w:w="3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3,350</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78"/>
        </w:trPr>
        <w:tc>
          <w:tcPr>
            <w:tcW w:w="3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3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184"/>
        </w:trPr>
        <w:tc>
          <w:tcPr>
            <w:tcW w:w="3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Commercial</w:t>
            </w: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2"/>
        </w:trPr>
        <w:tc>
          <w:tcPr>
            <w:tcW w:w="3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86"/>
        </w:trPr>
        <w:tc>
          <w:tcPr>
            <w:tcW w:w="3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Non-watch (1-6)</w:t>
            </w: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403,922</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351,266</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298,293</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275,466</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111,232</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325,606</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357,151</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2,122,936</w:t>
            </w:r>
          </w:p>
        </w:tc>
      </w:tr>
      <w:tr>
        <w:trPr>
          <w:trHeight w:val="184"/>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Watch (7-8)</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16,592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13,200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53,044</w:t>
            </w:r>
          </w:p>
        </w:tc>
      </w:tr>
      <w:tr>
        <w:trPr>
          <w:trHeight w:val="22"/>
        </w:trPr>
        <w:tc>
          <w:tcPr>
            <w:tcW w:w="3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86"/>
        </w:trPr>
        <w:tc>
          <w:tcPr>
            <w:tcW w:w="3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Substandard Accrual (9)</w:t>
            </w: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4,288</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1,710</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5,779</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14,046</w:t>
            </w:r>
          </w:p>
        </w:tc>
      </w:tr>
      <w:tr>
        <w:trPr>
          <w:trHeight w:val="184"/>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Non-Accrual (10-11)</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18,163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23,531</w:t>
            </w:r>
          </w:p>
        </w:tc>
      </w:tr>
      <w:tr>
        <w:trPr>
          <w:trHeight w:val="22"/>
        </w:trPr>
        <w:tc>
          <w:tcPr>
            <w:tcW w:w="3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24"/>
        </w:trPr>
        <w:tc>
          <w:tcPr>
            <w:tcW w:w="33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413,589</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356,200</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325,344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292,058</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114,230</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339,733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372,403</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2,213,557</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78"/>
        </w:trPr>
        <w:tc>
          <w:tcPr>
            <w:tcW w:w="3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1,259</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1,125</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971</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912</w:t>
            </w:r>
          </w:p>
        </w:tc>
        <w:tc>
          <w:tcPr>
            <w:tcW w:w="80" w:type="dxa"/>
            <w:vAlign w:val="bottom"/>
          </w:tcPr>
          <w:p>
            <w:pPr>
              <w:spacing w:after="0"/>
              <w:rPr>
                <w:sz w:val="15"/>
                <w:szCs w:val="15"/>
                <w:color w:val="auto"/>
              </w:rPr>
            </w:pPr>
          </w:p>
        </w:tc>
        <w:tc>
          <w:tcPr>
            <w:tcW w:w="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1,121</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1,277</w:t>
            </w:r>
          </w:p>
        </w:tc>
        <w:tc>
          <w:tcPr>
            <w:tcW w:w="80" w:type="dxa"/>
            <w:vAlign w:val="bottom"/>
          </w:tcPr>
          <w:p>
            <w:pPr>
              <w:spacing w:after="0"/>
              <w:rPr>
                <w:sz w:val="15"/>
                <w:szCs w:val="15"/>
                <w:color w:val="auto"/>
              </w:rPr>
            </w:pPr>
          </w:p>
        </w:tc>
        <w:tc>
          <w:tcPr>
            <w:tcW w:w="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6,901</w:t>
            </w: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18"/>
        </w:trPr>
        <w:tc>
          <w:tcPr>
            <w:tcW w:w="3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For each of our mortgage and installment portfolio segment classes, we generally monitor credit quality based on the credit scores of the borrowers. These credit scores are generally updated semi-annually.</w:t>
      </w:r>
    </w:p>
    <w:p>
      <w:pPr>
        <w:spacing w:after="0" w:line="28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following tables summarize credit scores by loan class for our mortgage and installment loan portfolio segments at September 30, 2026 and December 31, 2025, and gross loan charge-offs during the nine month periods ended September 30, 2026 and 2025:</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ind w:left="600"/>
              <w:spacing w:after="0"/>
              <w:rPr>
                <w:sz w:val="20"/>
                <w:szCs w:val="20"/>
                <w:color w:val="auto"/>
              </w:rPr>
            </w:pPr>
            <w:r>
              <w:rPr>
                <w:rFonts w:ascii="Times New Roman" w:cs="Times New Roman" w:eastAsia="Times New Roman" w:hAnsi="Times New Roman"/>
                <w:sz w:val="14"/>
                <w:szCs w:val="14"/>
                <w:color w:val="auto"/>
              </w:rPr>
              <w:t>Mortgage (1)</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color w:val="auto"/>
                <w:w w:val="99"/>
              </w:rPr>
              <w:t>Revolving</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760" w:type="dxa"/>
            <w:vAlign w:val="bottom"/>
            <w:gridSpan w:val="11"/>
            <w:vMerge w:val="restart"/>
          </w:tcPr>
          <w:p>
            <w:pPr>
              <w:ind w:left="220"/>
              <w:spacing w:after="0"/>
              <w:rPr>
                <w:sz w:val="20"/>
                <w:szCs w:val="20"/>
                <w:color w:val="auto"/>
              </w:rPr>
            </w:pPr>
            <w:r>
              <w:rPr>
                <w:rFonts w:ascii="Times New Roman" w:cs="Times New Roman" w:eastAsia="Times New Roman" w:hAnsi="Times New Roman"/>
                <w:sz w:val="14"/>
                <w:szCs w:val="14"/>
                <w:color w:val="auto"/>
              </w:rPr>
              <w:t>Term Loans Amortized Cost Basis by Origination Year</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color w:val="auto"/>
                <w:w w:val="99"/>
              </w:rPr>
              <w:t>Loans</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760" w:type="dxa"/>
            <w:vAlign w:val="bottom"/>
            <w:gridSpan w:val="11"/>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gridSpan w:val="2"/>
            <w:vMerge w:val="restart"/>
          </w:tcPr>
          <w:p>
            <w:pPr>
              <w:jc w:val="center"/>
              <w:ind w:right="280"/>
              <w:spacing w:after="0" w:line="116" w:lineRule="exact"/>
              <w:rPr>
                <w:sz w:val="20"/>
                <w:szCs w:val="20"/>
                <w:color w:val="auto"/>
              </w:rPr>
            </w:pPr>
            <w:r>
              <w:rPr>
                <w:rFonts w:ascii="Times New Roman" w:cs="Times New Roman" w:eastAsia="Times New Roman" w:hAnsi="Times New Roman"/>
                <w:sz w:val="13"/>
                <w:szCs w:val="13"/>
                <w:color w:val="auto"/>
              </w:rPr>
              <w:t>Amortized</w:t>
            </w: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7"/>
        </w:trPr>
        <w:tc>
          <w:tcPr>
            <w:tcW w:w="2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51"/>
              <w:spacing w:after="0"/>
              <w:rPr>
                <w:sz w:val="20"/>
                <w:szCs w:val="20"/>
                <w:color w:val="auto"/>
              </w:rPr>
            </w:pPr>
            <w:r>
              <w:rPr>
                <w:rFonts w:ascii="Times New Roman" w:cs="Times New Roman" w:eastAsia="Times New Roman" w:hAnsi="Times New Roman"/>
                <w:sz w:val="14"/>
                <w:szCs w:val="14"/>
                <w:color w:val="auto"/>
              </w:rPr>
              <w:t>2026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51"/>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51"/>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Prior</w:t>
            </w:r>
          </w:p>
        </w:tc>
        <w:tc>
          <w:tcPr>
            <w:tcW w:w="200" w:type="dxa"/>
            <w:vAlign w:val="bottom"/>
          </w:tcPr>
          <w:p>
            <w:pPr>
              <w:spacing w:after="0"/>
              <w:rPr>
                <w:sz w:val="15"/>
                <w:szCs w:val="15"/>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7"/>
              </w:rPr>
              <w:t>Cost Basis</w:t>
            </w:r>
          </w:p>
        </w:tc>
        <w:tc>
          <w:tcPr>
            <w:tcW w:w="2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gridSpan w:val="5"/>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2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September 30, 2026</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1-4 family owner occupied - jumbo</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9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12,595</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12,909</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3,129</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10,881</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34,413</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87,331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1,532</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162,790</w:t>
            </w:r>
          </w:p>
        </w:tc>
        <w:tc>
          <w:tcPr>
            <w:tcW w:w="0" w:type="dxa"/>
            <w:vAlign w:val="bottom"/>
          </w:tcPr>
          <w:p>
            <w:pPr>
              <w:spacing w:after="0"/>
              <w:rPr>
                <w:sz w:val="1"/>
                <w:szCs w:val="1"/>
                <w:color w:val="auto"/>
              </w:rPr>
            </w:pPr>
          </w:p>
        </w:tc>
      </w:tr>
      <w:tr>
        <w:trPr>
          <w:trHeight w:val="184"/>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33,565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50,149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23,421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18,556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90,584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243,702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461,750</w:t>
            </w: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9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11,853</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25,238</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7,545</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8,539</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32,115</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78,029</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163,319</w:t>
            </w:r>
          </w:p>
        </w:tc>
        <w:tc>
          <w:tcPr>
            <w:tcW w:w="0" w:type="dxa"/>
            <w:vAlign w:val="bottom"/>
          </w:tcPr>
          <w:p>
            <w:pPr>
              <w:spacing w:after="0"/>
              <w:rPr>
                <w:sz w:val="1"/>
                <w:szCs w:val="1"/>
                <w:color w:val="auto"/>
              </w:rPr>
            </w:pPr>
          </w:p>
        </w:tc>
      </w:tr>
      <w:tr>
        <w:trPr>
          <w:trHeight w:val="184"/>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9,671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13,644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31,379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71,220</w:t>
            </w: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9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4,842</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14,079</w:t>
            </w:r>
          </w:p>
        </w:tc>
        <w:tc>
          <w:tcPr>
            <w:tcW w:w="0" w:type="dxa"/>
            <w:vAlign w:val="bottom"/>
          </w:tcPr>
          <w:p>
            <w:pPr>
              <w:spacing w:after="0"/>
              <w:rPr>
                <w:sz w:val="1"/>
                <w:szCs w:val="1"/>
                <w:color w:val="auto"/>
              </w:rPr>
            </w:pPr>
          </w:p>
        </w:tc>
      </w:tr>
      <w:tr>
        <w:trPr>
          <w:trHeight w:val="184"/>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12,307</w:t>
            </w: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9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1,829</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2,536</w:t>
            </w:r>
          </w:p>
        </w:tc>
        <w:tc>
          <w:tcPr>
            <w:tcW w:w="0" w:type="dxa"/>
            <w:vAlign w:val="bottom"/>
          </w:tcPr>
          <w:p>
            <w:pPr>
              <w:spacing w:after="0"/>
              <w:rPr>
                <w:sz w:val="1"/>
                <w:szCs w:val="1"/>
                <w:color w:val="auto"/>
              </w:rPr>
            </w:pPr>
          </w:p>
        </w:tc>
      </w:tr>
      <w:tr>
        <w:trPr>
          <w:trHeight w:val="184"/>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2,837</w:t>
            </w:r>
          </w:p>
        </w:tc>
        <w:tc>
          <w:tcPr>
            <w:tcW w:w="0" w:type="dxa"/>
            <w:vAlign w:val="bottom"/>
          </w:tcPr>
          <w:p>
            <w:pPr>
              <w:spacing w:after="0"/>
              <w:rPr>
                <w:sz w:val="1"/>
                <w:szCs w:val="1"/>
                <w:color w:val="auto"/>
              </w:rPr>
            </w:pP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29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61,611</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100,627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43,330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48,987</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177,253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453,561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5,469</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890,838</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1,106</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2,866</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1-4 family owner occupied - non-jumbo</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3,663</w:t>
            </w:r>
          </w:p>
        </w:tc>
        <w:tc>
          <w:tcPr>
            <w:tcW w:w="8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3,402</w:t>
            </w:r>
          </w:p>
        </w:tc>
        <w:tc>
          <w:tcPr>
            <w:tcW w:w="10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3,080</w:t>
            </w:r>
          </w:p>
        </w:tc>
        <w:tc>
          <w:tcPr>
            <w:tcW w:w="10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4,894</w:t>
            </w:r>
          </w:p>
        </w:tc>
        <w:tc>
          <w:tcPr>
            <w:tcW w:w="80" w:type="dxa"/>
            <w:vAlign w:val="bottom"/>
          </w:tcPr>
          <w:p>
            <w:pPr>
              <w:spacing w:after="0"/>
              <w:rPr>
                <w:sz w:val="15"/>
                <w:szCs w:val="15"/>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11,326</w:t>
            </w:r>
          </w:p>
        </w:tc>
        <w:tc>
          <w:tcPr>
            <w:tcW w:w="10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28,377</w:t>
            </w:r>
          </w:p>
        </w:tc>
        <w:tc>
          <w:tcPr>
            <w:tcW w:w="10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7,269</w:t>
            </w:r>
          </w:p>
        </w:tc>
        <w:tc>
          <w:tcPr>
            <w:tcW w:w="80" w:type="dxa"/>
            <w:vAlign w:val="bottom"/>
          </w:tcPr>
          <w:p>
            <w:pPr>
              <w:spacing w:after="0"/>
              <w:rPr>
                <w:sz w:val="15"/>
                <w:szCs w:val="15"/>
                <w:color w:val="auto"/>
              </w:rPr>
            </w:pPr>
          </w:p>
        </w:tc>
        <w:tc>
          <w:tcPr>
            <w:tcW w:w="2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62,011</w:t>
            </w: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9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7,175</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9,892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10,851</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27,511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62,030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15,271</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139,201</w:t>
            </w:r>
          </w:p>
        </w:tc>
        <w:tc>
          <w:tcPr>
            <w:tcW w:w="0" w:type="dxa"/>
            <w:vAlign w:val="bottom"/>
          </w:tcPr>
          <w:p>
            <w:pPr>
              <w:spacing w:after="0"/>
              <w:rPr>
                <w:sz w:val="1"/>
                <w:szCs w:val="1"/>
                <w:color w:val="auto"/>
              </w:rPr>
            </w:pPr>
          </w:p>
        </w:tc>
      </w:tr>
      <w:tr>
        <w:trPr>
          <w:trHeight w:val="184"/>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29,790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56,956</w:t>
            </w: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9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1,099</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1,938</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20,498</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1,784</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35,838</w:t>
            </w:r>
          </w:p>
        </w:tc>
        <w:tc>
          <w:tcPr>
            <w:tcW w:w="0" w:type="dxa"/>
            <w:vAlign w:val="bottom"/>
          </w:tcPr>
          <w:p>
            <w:pPr>
              <w:spacing w:after="0"/>
              <w:rPr>
                <w:sz w:val="1"/>
                <w:szCs w:val="1"/>
                <w:color w:val="auto"/>
              </w:rPr>
            </w:pPr>
          </w:p>
        </w:tc>
      </w:tr>
      <w:tr>
        <w:trPr>
          <w:trHeight w:val="184"/>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13,497</w:t>
            </w: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9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7,078</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9,885</w:t>
            </w:r>
          </w:p>
        </w:tc>
        <w:tc>
          <w:tcPr>
            <w:tcW w:w="0" w:type="dxa"/>
            <w:vAlign w:val="bottom"/>
          </w:tcPr>
          <w:p>
            <w:pPr>
              <w:spacing w:after="0"/>
              <w:rPr>
                <w:sz w:val="1"/>
                <w:szCs w:val="1"/>
                <w:color w:val="auto"/>
              </w:rPr>
            </w:pPr>
          </w:p>
        </w:tc>
      </w:tr>
      <w:tr>
        <w:trPr>
          <w:trHeight w:val="184"/>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6,802</w:t>
            </w: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9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2,718</w:t>
            </w:r>
          </w:p>
        </w:tc>
        <w:tc>
          <w:tcPr>
            <w:tcW w:w="0" w:type="dxa"/>
            <w:vAlign w:val="bottom"/>
          </w:tcPr>
          <w:p>
            <w:pPr>
              <w:spacing w:after="0"/>
              <w:rPr>
                <w:sz w:val="1"/>
                <w:szCs w:val="1"/>
                <w:color w:val="auto"/>
              </w:rPr>
            </w:pPr>
          </w:p>
        </w:tc>
      </w:tr>
      <w:tr>
        <w:trPr>
          <w:trHeight w:val="199"/>
        </w:trPr>
        <w:tc>
          <w:tcPr>
            <w:tcW w:w="29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14,030</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20,010</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16,256</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23,305</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59,217</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164,123</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29,967</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326,908</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1,378</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1-4 family non-owner occupied</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9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3,095</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20,479</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39,440</w:t>
            </w:r>
          </w:p>
        </w:tc>
        <w:tc>
          <w:tcPr>
            <w:tcW w:w="0" w:type="dxa"/>
            <w:vAlign w:val="bottom"/>
          </w:tcPr>
          <w:p>
            <w:pPr>
              <w:spacing w:after="0"/>
              <w:rPr>
                <w:sz w:val="1"/>
                <w:szCs w:val="1"/>
                <w:color w:val="auto"/>
              </w:rPr>
            </w:pPr>
          </w:p>
        </w:tc>
      </w:tr>
      <w:tr>
        <w:trPr>
          <w:trHeight w:val="184"/>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13,525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8,087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11,672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49,784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99,936</w:t>
            </w: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9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2,686</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7,135</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2,456</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5,453</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12,798</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1,588</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35,922</w:t>
            </w:r>
          </w:p>
        </w:tc>
        <w:tc>
          <w:tcPr>
            <w:tcW w:w="0" w:type="dxa"/>
            <w:vAlign w:val="bottom"/>
          </w:tcPr>
          <w:p>
            <w:pPr>
              <w:spacing w:after="0"/>
              <w:rPr>
                <w:sz w:val="1"/>
                <w:szCs w:val="1"/>
                <w:color w:val="auto"/>
              </w:rPr>
            </w:pPr>
          </w:p>
        </w:tc>
      </w:tr>
      <w:tr>
        <w:trPr>
          <w:trHeight w:val="184"/>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11,276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16,042</w:t>
            </w: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9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2,836</w:t>
            </w:r>
          </w:p>
        </w:tc>
        <w:tc>
          <w:tcPr>
            <w:tcW w:w="0" w:type="dxa"/>
            <w:vAlign w:val="bottom"/>
          </w:tcPr>
          <w:p>
            <w:pPr>
              <w:spacing w:after="0"/>
              <w:rPr>
                <w:sz w:val="1"/>
                <w:szCs w:val="1"/>
                <w:color w:val="auto"/>
              </w:rPr>
            </w:pPr>
          </w:p>
        </w:tc>
      </w:tr>
      <w:tr>
        <w:trPr>
          <w:trHeight w:val="184"/>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1,005</w:t>
            </w: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9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0" w:type="dxa"/>
            <w:vAlign w:val="bottom"/>
          </w:tcPr>
          <w:p>
            <w:pPr>
              <w:spacing w:after="0"/>
              <w:rPr>
                <w:sz w:val="1"/>
                <w:szCs w:val="1"/>
                <w:color w:val="auto"/>
              </w:rPr>
            </w:pPr>
          </w:p>
        </w:tc>
      </w:tr>
      <w:tr>
        <w:trPr>
          <w:trHeight w:val="184"/>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0" w:type="dxa"/>
            <w:vAlign w:val="bottom"/>
          </w:tcPr>
          <w:p>
            <w:pPr>
              <w:spacing w:after="0"/>
              <w:rPr>
                <w:sz w:val="1"/>
                <w:szCs w:val="1"/>
                <w:color w:val="auto"/>
              </w:rPr>
            </w:pP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29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19,208</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20,431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18,025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13,384</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22,253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97,962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4,638</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195,901</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689</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jc w:val="center"/>
              <w:ind w:left="71"/>
              <w:spacing w:after="0"/>
              <w:rPr>
                <w:sz w:val="20"/>
                <w:szCs w:val="20"/>
                <w:color w:val="auto"/>
              </w:rPr>
            </w:pPr>
            <w:r>
              <w:rPr>
                <w:rFonts w:ascii="Times New Roman" w:cs="Times New Roman" w:eastAsia="Times New Roman" w:hAnsi="Times New Roman"/>
                <w:sz w:val="14"/>
                <w:szCs w:val="14"/>
                <w:color w:val="auto"/>
                <w:w w:val="99"/>
              </w:rPr>
              <w:t>Mortgage - continued (1)</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0"/>
        </w:trPr>
        <w:tc>
          <w:tcPr>
            <w:tcW w:w="3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0" w:lineRule="exact"/>
              <w:rPr>
                <w:sz w:val="20"/>
                <w:szCs w:val="20"/>
                <w:color w:val="auto"/>
              </w:rPr>
            </w:pPr>
            <w:r>
              <w:rPr>
                <w:rFonts w:ascii="Times New Roman" w:cs="Times New Roman" w:eastAsia="Times New Roman" w:hAnsi="Times New Roman"/>
                <w:sz w:val="14"/>
                <w:szCs w:val="14"/>
                <w:color w:val="auto"/>
                <w:w w:val="95"/>
              </w:rPr>
              <w:t>Revolving</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740" w:type="dxa"/>
            <w:vAlign w:val="bottom"/>
            <w:gridSpan w:val="11"/>
            <w:vMerge w:val="restart"/>
          </w:tcPr>
          <w:p>
            <w:pPr>
              <w:ind w:left="220"/>
              <w:spacing w:after="0"/>
              <w:rPr>
                <w:sz w:val="20"/>
                <w:szCs w:val="20"/>
                <w:color w:val="auto"/>
              </w:rPr>
            </w:pPr>
            <w:r>
              <w:rPr>
                <w:rFonts w:ascii="Times New Roman" w:cs="Times New Roman" w:eastAsia="Times New Roman" w:hAnsi="Times New Roman"/>
                <w:sz w:val="14"/>
                <w:szCs w:val="14"/>
                <w:color w:val="auto"/>
              </w:rPr>
              <w:t>Term Loans Amortized Cost Basis by Origination Year</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4"/>
                <w:szCs w:val="14"/>
                <w:color w:val="auto"/>
                <w:w w:val="93"/>
              </w:rPr>
              <w:t>Loans</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30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740" w:type="dxa"/>
            <w:vAlign w:val="bottom"/>
            <w:gridSpan w:val="11"/>
            <w:vMerge w:val="continue"/>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60" w:type="dxa"/>
            <w:vAlign w:val="bottom"/>
            <w:gridSpan w:val="2"/>
            <w:vMerge w:val="restart"/>
          </w:tcPr>
          <w:p>
            <w:pPr>
              <w:jc w:val="center"/>
              <w:ind w:right="320"/>
              <w:spacing w:after="0" w:line="111" w:lineRule="exact"/>
              <w:rPr>
                <w:sz w:val="20"/>
                <w:szCs w:val="20"/>
                <w:color w:val="auto"/>
              </w:rPr>
            </w:pPr>
            <w:r>
              <w:rPr>
                <w:rFonts w:ascii="Times New Roman" w:cs="Times New Roman" w:eastAsia="Times New Roman" w:hAnsi="Times New Roman"/>
                <w:sz w:val="11"/>
                <w:szCs w:val="11"/>
                <w:color w:val="auto"/>
              </w:rPr>
              <w:t>Amortized</w:t>
            </w: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3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30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Prior</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Cost Basis</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84"/>
        </w:trPr>
        <w:tc>
          <w:tcPr>
            <w:tcW w:w="3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jc w:val="center"/>
              <w:ind w:left="71"/>
              <w:spacing w:after="0"/>
              <w:rPr>
                <w:sz w:val="20"/>
                <w:szCs w:val="20"/>
                <w:color w:val="auto"/>
              </w:rPr>
            </w:pPr>
            <w:r>
              <w:rPr>
                <w:rFonts w:ascii="Times New Roman" w:cs="Times New Roman" w:eastAsia="Times New Roman" w:hAnsi="Times New Roman"/>
                <w:sz w:val="14"/>
                <w:szCs w:val="14"/>
                <w:color w:val="auto"/>
                <w:w w:val="99"/>
              </w:rPr>
              <w:t>(In thousands)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September 30, 2026 - continued</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3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1-4 family - 2nd lien</w:t>
            </w:r>
          </w:p>
        </w:tc>
        <w:tc>
          <w:tcPr>
            <w:tcW w:w="1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0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1,288</w:t>
            </w:r>
          </w:p>
        </w:tc>
        <w:tc>
          <w:tcPr>
            <w:tcW w:w="10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1,252</w:t>
            </w:r>
          </w:p>
        </w:tc>
        <w:tc>
          <w:tcPr>
            <w:tcW w:w="80" w:type="dxa"/>
            <w:vAlign w:val="bottom"/>
          </w:tcPr>
          <w:p>
            <w:pPr>
              <w:spacing w:after="0"/>
              <w:rPr>
                <w:sz w:val="15"/>
                <w:szCs w:val="15"/>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80" w:type="dxa"/>
            <w:vAlign w:val="bottom"/>
          </w:tcPr>
          <w:p>
            <w:pPr>
              <w:spacing w:after="0"/>
              <w:rPr>
                <w:sz w:val="15"/>
                <w:szCs w:val="15"/>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80" w:type="dxa"/>
            <w:vAlign w:val="bottom"/>
          </w:tcPr>
          <w:p>
            <w:pPr>
              <w:spacing w:after="0"/>
              <w:rPr>
                <w:sz w:val="15"/>
                <w:szCs w:val="15"/>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w:t>
            </w:r>
          </w:p>
        </w:tc>
        <w:tc>
          <w:tcPr>
            <w:tcW w:w="10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1,873</w:t>
            </w:r>
          </w:p>
        </w:tc>
        <w:tc>
          <w:tcPr>
            <w:tcW w:w="100" w:type="dxa"/>
            <w:vAlign w:val="bottom"/>
          </w:tcPr>
          <w:p>
            <w:pPr>
              <w:spacing w:after="0"/>
              <w:rPr>
                <w:sz w:val="15"/>
                <w:szCs w:val="15"/>
                <w:color w:val="auto"/>
              </w:rPr>
            </w:pP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17,429</w:t>
            </w:r>
          </w:p>
        </w:tc>
        <w:tc>
          <w:tcPr>
            <w:tcW w:w="8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23,140</w:t>
            </w:r>
          </w:p>
        </w:tc>
        <w:tc>
          <w:tcPr>
            <w:tcW w:w="0" w:type="dxa"/>
            <w:vAlign w:val="bottom"/>
          </w:tcPr>
          <w:p>
            <w:pPr>
              <w:spacing w:after="0"/>
              <w:rPr>
                <w:sz w:val="1"/>
                <w:szCs w:val="1"/>
                <w:color w:val="auto"/>
              </w:rPr>
            </w:pPr>
          </w:p>
        </w:tc>
      </w:tr>
      <w:tr>
        <w:trPr>
          <w:trHeight w:val="22"/>
        </w:trPr>
        <w:tc>
          <w:tcPr>
            <w:tcW w:w="3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0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1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3,559</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3,435</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2,002</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5,615</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68,087</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85,371</w:t>
            </w:r>
          </w:p>
        </w:tc>
        <w:tc>
          <w:tcPr>
            <w:tcW w:w="0" w:type="dxa"/>
            <w:vAlign w:val="bottom"/>
          </w:tcPr>
          <w:p>
            <w:pPr>
              <w:spacing w:after="0"/>
              <w:rPr>
                <w:sz w:val="1"/>
                <w:szCs w:val="1"/>
                <w:color w:val="auto"/>
              </w:rPr>
            </w:pPr>
          </w:p>
        </w:tc>
      </w:tr>
      <w:tr>
        <w:trPr>
          <w:trHeight w:val="184"/>
        </w:trPr>
        <w:tc>
          <w:tcPr>
            <w:tcW w:w="30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33,879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44,058</w:t>
            </w:r>
          </w:p>
        </w:tc>
        <w:tc>
          <w:tcPr>
            <w:tcW w:w="0" w:type="dxa"/>
            <w:vAlign w:val="bottom"/>
          </w:tcPr>
          <w:p>
            <w:pPr>
              <w:spacing w:after="0"/>
              <w:rPr>
                <w:sz w:val="1"/>
                <w:szCs w:val="1"/>
                <w:color w:val="auto"/>
              </w:rPr>
            </w:pPr>
          </w:p>
        </w:tc>
      </w:tr>
      <w:tr>
        <w:trPr>
          <w:trHeight w:val="22"/>
        </w:trPr>
        <w:tc>
          <w:tcPr>
            <w:tcW w:w="3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0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1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1,593</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9,566</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13,637</w:t>
            </w:r>
          </w:p>
        </w:tc>
        <w:tc>
          <w:tcPr>
            <w:tcW w:w="0" w:type="dxa"/>
            <w:vAlign w:val="bottom"/>
          </w:tcPr>
          <w:p>
            <w:pPr>
              <w:spacing w:after="0"/>
              <w:rPr>
                <w:sz w:val="1"/>
                <w:szCs w:val="1"/>
                <w:color w:val="auto"/>
              </w:rPr>
            </w:pPr>
          </w:p>
        </w:tc>
      </w:tr>
      <w:tr>
        <w:trPr>
          <w:trHeight w:val="184"/>
        </w:trPr>
        <w:tc>
          <w:tcPr>
            <w:tcW w:w="30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18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4,972</w:t>
            </w:r>
          </w:p>
        </w:tc>
        <w:tc>
          <w:tcPr>
            <w:tcW w:w="0" w:type="dxa"/>
            <w:vAlign w:val="bottom"/>
          </w:tcPr>
          <w:p>
            <w:pPr>
              <w:spacing w:after="0"/>
              <w:rPr>
                <w:sz w:val="1"/>
                <w:szCs w:val="1"/>
                <w:color w:val="auto"/>
              </w:rPr>
            </w:pPr>
          </w:p>
        </w:tc>
      </w:tr>
      <w:tr>
        <w:trPr>
          <w:trHeight w:val="22"/>
        </w:trPr>
        <w:tc>
          <w:tcPr>
            <w:tcW w:w="3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0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1,821</w:t>
            </w:r>
          </w:p>
        </w:tc>
        <w:tc>
          <w:tcPr>
            <w:tcW w:w="0" w:type="dxa"/>
            <w:vAlign w:val="bottom"/>
          </w:tcPr>
          <w:p>
            <w:pPr>
              <w:spacing w:after="0"/>
              <w:rPr>
                <w:sz w:val="1"/>
                <w:szCs w:val="1"/>
                <w:color w:val="auto"/>
              </w:rPr>
            </w:pPr>
          </w:p>
        </w:tc>
      </w:tr>
      <w:tr>
        <w:trPr>
          <w:trHeight w:val="184"/>
        </w:trPr>
        <w:tc>
          <w:tcPr>
            <w:tcW w:w="30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18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1,721</w:t>
            </w:r>
          </w:p>
        </w:tc>
        <w:tc>
          <w:tcPr>
            <w:tcW w:w="0" w:type="dxa"/>
            <w:vAlign w:val="bottom"/>
          </w:tcPr>
          <w:p>
            <w:pPr>
              <w:spacing w:after="0"/>
              <w:rPr>
                <w:sz w:val="1"/>
                <w:szCs w:val="1"/>
                <w:color w:val="auto"/>
              </w:rPr>
            </w:pPr>
          </w:p>
        </w:tc>
      </w:tr>
      <w:tr>
        <w:trPr>
          <w:trHeight w:val="22"/>
        </w:trPr>
        <w:tc>
          <w:tcPr>
            <w:tcW w:w="3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0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w:t>
            </w:r>
          </w:p>
        </w:tc>
        <w:tc>
          <w:tcPr>
            <w:tcW w:w="0" w:type="dxa"/>
            <w:vAlign w:val="bottom"/>
          </w:tcPr>
          <w:p>
            <w:pPr>
              <w:spacing w:after="0"/>
              <w:rPr>
                <w:sz w:val="1"/>
                <w:szCs w:val="1"/>
                <w:color w:val="auto"/>
              </w:rPr>
            </w:pPr>
          </w:p>
        </w:tc>
      </w:tr>
      <w:tr>
        <w:trPr>
          <w:trHeight w:val="199"/>
        </w:trPr>
        <w:tc>
          <w:tcPr>
            <w:tcW w:w="30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4,552</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8,082</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5,464</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4,938</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3,899</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14,806</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133,804</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175,545</w:t>
            </w: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3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Resort lending</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0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4,037</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4,037</w:t>
            </w:r>
          </w:p>
        </w:tc>
        <w:tc>
          <w:tcPr>
            <w:tcW w:w="0" w:type="dxa"/>
            <w:vAlign w:val="bottom"/>
          </w:tcPr>
          <w:p>
            <w:pPr>
              <w:spacing w:after="0"/>
              <w:rPr>
                <w:sz w:val="1"/>
                <w:szCs w:val="1"/>
                <w:color w:val="auto"/>
              </w:rPr>
            </w:pPr>
          </w:p>
        </w:tc>
      </w:tr>
      <w:tr>
        <w:trPr>
          <w:trHeight w:val="184"/>
        </w:trPr>
        <w:tc>
          <w:tcPr>
            <w:tcW w:w="30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9,028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9,341</w:t>
            </w:r>
          </w:p>
        </w:tc>
        <w:tc>
          <w:tcPr>
            <w:tcW w:w="0" w:type="dxa"/>
            <w:vAlign w:val="bottom"/>
          </w:tcPr>
          <w:p>
            <w:pPr>
              <w:spacing w:after="0"/>
              <w:rPr>
                <w:sz w:val="1"/>
                <w:szCs w:val="1"/>
                <w:color w:val="auto"/>
              </w:rPr>
            </w:pPr>
          </w:p>
        </w:tc>
      </w:tr>
      <w:tr>
        <w:trPr>
          <w:trHeight w:val="22"/>
        </w:trPr>
        <w:tc>
          <w:tcPr>
            <w:tcW w:w="3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0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4,058</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4,318</w:t>
            </w:r>
          </w:p>
        </w:tc>
        <w:tc>
          <w:tcPr>
            <w:tcW w:w="0" w:type="dxa"/>
            <w:vAlign w:val="bottom"/>
          </w:tcPr>
          <w:p>
            <w:pPr>
              <w:spacing w:after="0"/>
              <w:rPr>
                <w:sz w:val="1"/>
                <w:szCs w:val="1"/>
                <w:color w:val="auto"/>
              </w:rPr>
            </w:pPr>
          </w:p>
        </w:tc>
      </w:tr>
      <w:tr>
        <w:trPr>
          <w:trHeight w:val="184"/>
        </w:trPr>
        <w:tc>
          <w:tcPr>
            <w:tcW w:w="30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18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4,524</w:t>
            </w:r>
          </w:p>
        </w:tc>
        <w:tc>
          <w:tcPr>
            <w:tcW w:w="0" w:type="dxa"/>
            <w:vAlign w:val="bottom"/>
          </w:tcPr>
          <w:p>
            <w:pPr>
              <w:spacing w:after="0"/>
              <w:rPr>
                <w:sz w:val="1"/>
                <w:szCs w:val="1"/>
                <w:color w:val="auto"/>
              </w:rPr>
            </w:pPr>
          </w:p>
        </w:tc>
      </w:tr>
      <w:tr>
        <w:trPr>
          <w:trHeight w:val="22"/>
        </w:trPr>
        <w:tc>
          <w:tcPr>
            <w:tcW w:w="3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0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0" w:type="dxa"/>
            <w:vAlign w:val="bottom"/>
          </w:tcPr>
          <w:p>
            <w:pPr>
              <w:spacing w:after="0"/>
              <w:rPr>
                <w:sz w:val="1"/>
                <w:szCs w:val="1"/>
                <w:color w:val="auto"/>
              </w:rPr>
            </w:pPr>
          </w:p>
        </w:tc>
      </w:tr>
      <w:tr>
        <w:trPr>
          <w:trHeight w:val="184"/>
        </w:trPr>
        <w:tc>
          <w:tcPr>
            <w:tcW w:w="30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18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
        </w:trPr>
        <w:tc>
          <w:tcPr>
            <w:tcW w:w="3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0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0" w:type="dxa"/>
            <w:vAlign w:val="bottom"/>
          </w:tcPr>
          <w:p>
            <w:pPr>
              <w:spacing w:after="0"/>
              <w:rPr>
                <w:sz w:val="1"/>
                <w:szCs w:val="1"/>
                <w:color w:val="auto"/>
              </w:rPr>
            </w:pPr>
          </w:p>
        </w:tc>
      </w:tr>
      <w:tr>
        <w:trPr>
          <w:trHeight w:val="184"/>
        </w:trPr>
        <w:tc>
          <w:tcPr>
            <w:tcW w:w="30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18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
        </w:trPr>
        <w:tc>
          <w:tcPr>
            <w:tcW w:w="3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9"/>
        </w:trPr>
        <w:tc>
          <w:tcPr>
            <w:tcW w:w="30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22,478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23,051</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Pr>
          <w:p>
            <w:pPr>
              <w:spacing w:after="0"/>
              <w:rPr>
                <w:sz w:val="15"/>
                <w:szCs w:val="15"/>
                <w:color w:val="auto"/>
              </w:rPr>
            </w:pP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3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Mortgage</w:t>
            </w:r>
          </w:p>
        </w:tc>
        <w:tc>
          <w:tcPr>
            <w:tcW w:w="1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0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19,296</w:t>
            </w:r>
          </w:p>
        </w:tc>
        <w:tc>
          <w:tcPr>
            <w:tcW w:w="10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20,955</w:t>
            </w:r>
          </w:p>
        </w:tc>
        <w:tc>
          <w:tcPr>
            <w:tcW w:w="80" w:type="dxa"/>
            <w:vAlign w:val="bottom"/>
          </w:tcPr>
          <w:p>
            <w:pPr>
              <w:spacing w:after="0"/>
              <w:rPr>
                <w:sz w:val="15"/>
                <w:szCs w:val="15"/>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12,010</w:t>
            </w:r>
          </w:p>
        </w:tc>
        <w:tc>
          <w:tcPr>
            <w:tcW w:w="80" w:type="dxa"/>
            <w:vAlign w:val="bottom"/>
          </w:tcPr>
          <w:p>
            <w:pPr>
              <w:spacing w:after="0"/>
              <w:rPr>
                <w:sz w:val="15"/>
                <w:szCs w:val="15"/>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19,290</w:t>
            </w:r>
          </w:p>
        </w:tc>
        <w:tc>
          <w:tcPr>
            <w:tcW w:w="80" w:type="dxa"/>
            <w:vAlign w:val="bottom"/>
          </w:tcPr>
          <w:p>
            <w:pPr>
              <w:spacing w:after="0"/>
              <w:rPr>
                <w:sz w:val="15"/>
                <w:szCs w:val="15"/>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50,633</w:t>
            </w:r>
          </w:p>
        </w:tc>
        <w:tc>
          <w:tcPr>
            <w:tcW w:w="10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142,097</w:t>
            </w:r>
          </w:p>
        </w:tc>
        <w:tc>
          <w:tcPr>
            <w:tcW w:w="100" w:type="dxa"/>
            <w:vAlign w:val="bottom"/>
          </w:tcPr>
          <w:p>
            <w:pPr>
              <w:spacing w:after="0"/>
              <w:rPr>
                <w:sz w:val="15"/>
                <w:szCs w:val="15"/>
                <w:color w:val="auto"/>
              </w:rPr>
            </w:pP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27,137</w:t>
            </w:r>
          </w:p>
        </w:tc>
        <w:tc>
          <w:tcPr>
            <w:tcW w:w="8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291,418</w:t>
            </w:r>
          </w:p>
        </w:tc>
        <w:tc>
          <w:tcPr>
            <w:tcW w:w="0" w:type="dxa"/>
            <w:vAlign w:val="bottom"/>
          </w:tcPr>
          <w:p>
            <w:pPr>
              <w:spacing w:after="0"/>
              <w:rPr>
                <w:sz w:val="1"/>
                <w:szCs w:val="1"/>
                <w:color w:val="auto"/>
              </w:rPr>
            </w:pPr>
          </w:p>
        </w:tc>
      </w:tr>
      <w:tr>
        <w:trPr>
          <w:trHeight w:val="22"/>
        </w:trPr>
        <w:tc>
          <w:tcPr>
            <w:tcW w:w="3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0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1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55,852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71,807</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40,705</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39,117</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131,026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370,159</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86,933</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795,599</w:t>
            </w:r>
          </w:p>
        </w:tc>
        <w:tc>
          <w:tcPr>
            <w:tcW w:w="0" w:type="dxa"/>
            <w:vAlign w:val="bottom"/>
          </w:tcPr>
          <w:p>
            <w:pPr>
              <w:spacing w:after="0"/>
              <w:rPr>
                <w:sz w:val="1"/>
                <w:szCs w:val="1"/>
                <w:color w:val="auto"/>
              </w:rPr>
            </w:pPr>
          </w:p>
        </w:tc>
      </w:tr>
      <w:tr>
        <w:trPr>
          <w:trHeight w:val="184"/>
        </w:trPr>
        <w:tc>
          <w:tcPr>
            <w:tcW w:w="30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16,854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38,626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16,739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16,254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47,464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127,845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40,791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304,573</w:t>
            </w:r>
          </w:p>
        </w:tc>
        <w:tc>
          <w:tcPr>
            <w:tcW w:w="0" w:type="dxa"/>
            <w:vAlign w:val="bottom"/>
          </w:tcPr>
          <w:p>
            <w:pPr>
              <w:spacing w:after="0"/>
              <w:rPr>
                <w:sz w:val="1"/>
                <w:szCs w:val="1"/>
                <w:color w:val="auto"/>
              </w:rPr>
            </w:pPr>
          </w:p>
        </w:tc>
      </w:tr>
      <w:tr>
        <w:trPr>
          <w:trHeight w:val="22"/>
        </w:trPr>
        <w:tc>
          <w:tcPr>
            <w:tcW w:w="3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0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1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6,985</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14,546</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11,384</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6,665</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20,722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69,270</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11,689</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141,261</w:t>
            </w:r>
          </w:p>
        </w:tc>
        <w:tc>
          <w:tcPr>
            <w:tcW w:w="0" w:type="dxa"/>
            <w:vAlign w:val="bottom"/>
          </w:tcPr>
          <w:p>
            <w:pPr>
              <w:spacing w:after="0"/>
              <w:rPr>
                <w:sz w:val="1"/>
                <w:szCs w:val="1"/>
                <w:color w:val="auto"/>
              </w:rPr>
            </w:pPr>
          </w:p>
        </w:tc>
      </w:tr>
      <w:tr>
        <w:trPr>
          <w:trHeight w:val="184"/>
        </w:trPr>
        <w:tc>
          <w:tcPr>
            <w:tcW w:w="30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19,107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35,847</w:t>
            </w:r>
          </w:p>
        </w:tc>
        <w:tc>
          <w:tcPr>
            <w:tcW w:w="0" w:type="dxa"/>
            <w:vAlign w:val="bottom"/>
          </w:tcPr>
          <w:p>
            <w:pPr>
              <w:spacing w:after="0"/>
              <w:rPr>
                <w:sz w:val="1"/>
                <w:szCs w:val="1"/>
                <w:color w:val="auto"/>
              </w:rPr>
            </w:pPr>
          </w:p>
        </w:tc>
      </w:tr>
      <w:tr>
        <w:trPr>
          <w:trHeight w:val="22"/>
        </w:trPr>
        <w:tc>
          <w:tcPr>
            <w:tcW w:w="3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0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2,331</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2,715</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6,408</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12,421</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25,018</w:t>
            </w:r>
          </w:p>
        </w:tc>
        <w:tc>
          <w:tcPr>
            <w:tcW w:w="0" w:type="dxa"/>
            <w:vAlign w:val="bottom"/>
          </w:tcPr>
          <w:p>
            <w:pPr>
              <w:spacing w:after="0"/>
              <w:rPr>
                <w:sz w:val="1"/>
                <w:szCs w:val="1"/>
                <w:color w:val="auto"/>
              </w:rPr>
            </w:pPr>
          </w:p>
        </w:tc>
      </w:tr>
      <w:tr>
        <w:trPr>
          <w:trHeight w:val="184"/>
        </w:trPr>
        <w:tc>
          <w:tcPr>
            <w:tcW w:w="30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18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8,761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11,741</w:t>
            </w:r>
          </w:p>
        </w:tc>
        <w:tc>
          <w:tcPr>
            <w:tcW w:w="0" w:type="dxa"/>
            <w:vAlign w:val="bottom"/>
          </w:tcPr>
          <w:p>
            <w:pPr>
              <w:spacing w:after="0"/>
              <w:rPr>
                <w:sz w:val="1"/>
                <w:szCs w:val="1"/>
                <w:color w:val="auto"/>
              </w:rPr>
            </w:pPr>
          </w:p>
        </w:tc>
      </w:tr>
      <w:tr>
        <w:trPr>
          <w:trHeight w:val="22"/>
        </w:trPr>
        <w:tc>
          <w:tcPr>
            <w:tcW w:w="3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0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1,580</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6,786</w:t>
            </w:r>
          </w:p>
        </w:tc>
        <w:tc>
          <w:tcPr>
            <w:tcW w:w="0" w:type="dxa"/>
            <w:vAlign w:val="bottom"/>
          </w:tcPr>
          <w:p>
            <w:pPr>
              <w:spacing w:after="0"/>
              <w:rPr>
                <w:sz w:val="1"/>
                <w:szCs w:val="1"/>
                <w:color w:val="auto"/>
              </w:rPr>
            </w:pPr>
          </w:p>
        </w:tc>
      </w:tr>
      <w:tr>
        <w:trPr>
          <w:trHeight w:val="199"/>
        </w:trPr>
        <w:tc>
          <w:tcPr>
            <w:tcW w:w="30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99,476</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149,270</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83,075</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90,634</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262,980</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752,930</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173,878</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1,612,243</w:t>
            </w: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1,064</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5,979</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5"/>
                <w:szCs w:val="15"/>
                <w:color w:val="auto"/>
              </w:rPr>
            </w:pP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ind w:left="620"/>
              <w:spacing w:after="0"/>
              <w:rPr>
                <w:sz w:val="20"/>
                <w:szCs w:val="20"/>
                <w:color w:val="auto"/>
              </w:rPr>
            </w:pPr>
            <w:r>
              <w:rPr>
                <w:rFonts w:ascii="Times New Roman" w:cs="Times New Roman" w:eastAsia="Times New Roman" w:hAnsi="Times New Roman"/>
                <w:sz w:val="14"/>
                <w:szCs w:val="14"/>
                <w:color w:val="auto"/>
              </w:rPr>
              <w:t>Mortgage (1)</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0"/>
        </w:trPr>
        <w:tc>
          <w:tcPr>
            <w:tcW w:w="3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280"/>
              <w:spacing w:after="0" w:line="140" w:lineRule="exact"/>
              <w:rPr>
                <w:sz w:val="20"/>
                <w:szCs w:val="20"/>
                <w:color w:val="auto"/>
              </w:rPr>
            </w:pPr>
            <w:r>
              <w:rPr>
                <w:rFonts w:ascii="Times New Roman" w:cs="Times New Roman" w:eastAsia="Times New Roman" w:hAnsi="Times New Roman"/>
                <w:sz w:val="14"/>
                <w:szCs w:val="14"/>
                <w:color w:val="auto"/>
                <w:w w:val="99"/>
              </w:rPr>
              <w:t>Revolving</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740" w:type="dxa"/>
            <w:vAlign w:val="bottom"/>
            <w:gridSpan w:val="11"/>
            <w:vMerge w:val="restart"/>
          </w:tcPr>
          <w:p>
            <w:pPr>
              <w:ind w:left="220"/>
              <w:spacing w:after="0"/>
              <w:rPr>
                <w:sz w:val="20"/>
                <w:szCs w:val="20"/>
                <w:color w:val="auto"/>
              </w:rPr>
            </w:pPr>
            <w:r>
              <w:rPr>
                <w:rFonts w:ascii="Times New Roman" w:cs="Times New Roman" w:eastAsia="Times New Roman" w:hAnsi="Times New Roman"/>
                <w:sz w:val="14"/>
                <w:szCs w:val="14"/>
                <w:color w:val="auto"/>
              </w:rPr>
              <w:t>Term Loans Amortized Cost Basis by Origination Year</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color w:val="auto"/>
                <w:w w:val="99"/>
              </w:rPr>
              <w:t>Loans</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30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740" w:type="dxa"/>
            <w:vAlign w:val="bottom"/>
            <w:gridSpan w:val="11"/>
            <w:vMerge w:val="continue"/>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00" w:type="dxa"/>
            <w:vAlign w:val="bottom"/>
            <w:gridSpan w:val="2"/>
            <w:vMerge w:val="restart"/>
          </w:tcPr>
          <w:p>
            <w:pPr>
              <w:jc w:val="center"/>
              <w:ind w:right="280"/>
              <w:spacing w:after="0" w:line="111" w:lineRule="exact"/>
              <w:rPr>
                <w:sz w:val="20"/>
                <w:szCs w:val="20"/>
                <w:color w:val="auto"/>
              </w:rPr>
            </w:pPr>
            <w:r>
              <w:rPr>
                <w:rFonts w:ascii="Times New Roman" w:cs="Times New Roman" w:eastAsia="Times New Roman" w:hAnsi="Times New Roman"/>
                <w:sz w:val="11"/>
                <w:szCs w:val="11"/>
                <w:color w:val="auto"/>
              </w:rPr>
              <w:t>Amortized</w:t>
            </w: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3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30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Prior</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7"/>
              </w:rPr>
              <w:t>Cost Basis</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84"/>
        </w:trPr>
        <w:tc>
          <w:tcPr>
            <w:tcW w:w="3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2025</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1-4 family owner occupied - jumbo</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3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0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10,135</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13,290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40,752</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55,563</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35,693</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1,668</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160,982</w:t>
            </w:r>
          </w:p>
        </w:tc>
        <w:tc>
          <w:tcPr>
            <w:tcW w:w="0" w:type="dxa"/>
            <w:vAlign w:val="bottom"/>
          </w:tcPr>
          <w:p>
            <w:pPr>
              <w:spacing w:after="0"/>
              <w:rPr>
                <w:sz w:val="1"/>
                <w:szCs w:val="1"/>
                <w:color w:val="auto"/>
              </w:rPr>
            </w:pPr>
          </w:p>
        </w:tc>
      </w:tr>
      <w:tr>
        <w:trPr>
          <w:trHeight w:val="184"/>
        </w:trPr>
        <w:tc>
          <w:tcPr>
            <w:tcW w:w="3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51,765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33,022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25,431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89,810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168,312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75,497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445,743</w:t>
            </w:r>
          </w:p>
        </w:tc>
        <w:tc>
          <w:tcPr>
            <w:tcW w:w="0" w:type="dxa"/>
            <w:vAlign w:val="bottom"/>
          </w:tcPr>
          <w:p>
            <w:pPr>
              <w:spacing w:after="0"/>
              <w:rPr>
                <w:sz w:val="1"/>
                <w:szCs w:val="1"/>
                <w:color w:val="auto"/>
              </w:rPr>
            </w:pPr>
          </w:p>
        </w:tc>
      </w:tr>
      <w:tr>
        <w:trPr>
          <w:trHeight w:val="22"/>
        </w:trPr>
        <w:tc>
          <w:tcPr>
            <w:tcW w:w="3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0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16,958</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11,935</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32,634</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68,111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30,819</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172,909</w:t>
            </w:r>
          </w:p>
        </w:tc>
        <w:tc>
          <w:tcPr>
            <w:tcW w:w="0" w:type="dxa"/>
            <w:vAlign w:val="bottom"/>
          </w:tcPr>
          <w:p>
            <w:pPr>
              <w:spacing w:after="0"/>
              <w:rPr>
                <w:sz w:val="1"/>
                <w:szCs w:val="1"/>
                <w:color w:val="auto"/>
              </w:rPr>
            </w:pPr>
          </w:p>
        </w:tc>
      </w:tr>
      <w:tr>
        <w:trPr>
          <w:trHeight w:val="184"/>
        </w:trPr>
        <w:tc>
          <w:tcPr>
            <w:tcW w:w="3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17,251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13,827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15,953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69,175</w:t>
            </w:r>
          </w:p>
        </w:tc>
        <w:tc>
          <w:tcPr>
            <w:tcW w:w="0" w:type="dxa"/>
            <w:vAlign w:val="bottom"/>
          </w:tcPr>
          <w:p>
            <w:pPr>
              <w:spacing w:after="0"/>
              <w:rPr>
                <w:sz w:val="1"/>
                <w:szCs w:val="1"/>
                <w:color w:val="auto"/>
              </w:rPr>
            </w:pPr>
          </w:p>
        </w:tc>
      </w:tr>
      <w:tr>
        <w:trPr>
          <w:trHeight w:val="22"/>
        </w:trPr>
        <w:tc>
          <w:tcPr>
            <w:tcW w:w="3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0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1,568</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12,273</w:t>
            </w:r>
          </w:p>
        </w:tc>
        <w:tc>
          <w:tcPr>
            <w:tcW w:w="0" w:type="dxa"/>
            <w:vAlign w:val="bottom"/>
          </w:tcPr>
          <w:p>
            <w:pPr>
              <w:spacing w:after="0"/>
              <w:rPr>
                <w:sz w:val="1"/>
                <w:szCs w:val="1"/>
                <w:color w:val="auto"/>
              </w:rPr>
            </w:pPr>
          </w:p>
        </w:tc>
      </w:tr>
      <w:tr>
        <w:trPr>
          <w:trHeight w:val="184"/>
        </w:trPr>
        <w:tc>
          <w:tcPr>
            <w:tcW w:w="3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9,845</w:t>
            </w:r>
          </w:p>
        </w:tc>
        <w:tc>
          <w:tcPr>
            <w:tcW w:w="0" w:type="dxa"/>
            <w:vAlign w:val="bottom"/>
          </w:tcPr>
          <w:p>
            <w:pPr>
              <w:spacing w:after="0"/>
              <w:rPr>
                <w:sz w:val="1"/>
                <w:szCs w:val="1"/>
                <w:color w:val="auto"/>
              </w:rPr>
            </w:pPr>
          </w:p>
        </w:tc>
      </w:tr>
      <w:tr>
        <w:trPr>
          <w:trHeight w:val="22"/>
        </w:trPr>
        <w:tc>
          <w:tcPr>
            <w:tcW w:w="3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0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1,273</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3,936</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1,905</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7,834</w:t>
            </w:r>
          </w:p>
        </w:tc>
        <w:tc>
          <w:tcPr>
            <w:tcW w:w="0" w:type="dxa"/>
            <w:vAlign w:val="bottom"/>
          </w:tcPr>
          <w:p>
            <w:pPr>
              <w:spacing w:after="0"/>
              <w:rPr>
                <w:sz w:val="1"/>
                <w:szCs w:val="1"/>
                <w:color w:val="auto"/>
              </w:rPr>
            </w:pPr>
          </w:p>
        </w:tc>
      </w:tr>
      <w:tr>
        <w:trPr>
          <w:trHeight w:val="184"/>
        </w:trPr>
        <w:tc>
          <w:tcPr>
            <w:tcW w:w="3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
        </w:trPr>
        <w:tc>
          <w:tcPr>
            <w:tcW w:w="30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30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88,048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54,892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61,030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190,714</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312,208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166,277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5,592</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878,761</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695</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2,675</w:t>
            </w:r>
          </w:p>
        </w:tc>
        <w:tc>
          <w:tcPr>
            <w:tcW w:w="0" w:type="dxa"/>
            <w:vAlign w:val="bottom"/>
          </w:tcPr>
          <w:p>
            <w:pPr>
              <w:spacing w:after="0"/>
              <w:rPr>
                <w:sz w:val="1"/>
                <w:szCs w:val="1"/>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1-4 family owner occupied - non-jumbo</w:t>
            </w: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5,270</w:t>
            </w:r>
          </w:p>
        </w:tc>
        <w:tc>
          <w:tcPr>
            <w:tcW w:w="10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2,088</w:t>
            </w:r>
          </w:p>
        </w:tc>
        <w:tc>
          <w:tcPr>
            <w:tcW w:w="10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4,148</w:t>
            </w:r>
          </w:p>
        </w:tc>
        <w:tc>
          <w:tcPr>
            <w:tcW w:w="10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13,160</w:t>
            </w:r>
          </w:p>
        </w:tc>
        <w:tc>
          <w:tcPr>
            <w:tcW w:w="80" w:type="dxa"/>
            <w:vAlign w:val="bottom"/>
          </w:tcPr>
          <w:p>
            <w:pPr>
              <w:spacing w:after="0"/>
              <w:rPr>
                <w:sz w:val="15"/>
                <w:szCs w:val="15"/>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9,606</w:t>
            </w:r>
          </w:p>
        </w:tc>
        <w:tc>
          <w:tcPr>
            <w:tcW w:w="10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14,616</w:t>
            </w:r>
          </w:p>
        </w:tc>
        <w:tc>
          <w:tcPr>
            <w:tcW w:w="10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4,613</w:t>
            </w:r>
          </w:p>
        </w:tc>
        <w:tc>
          <w:tcPr>
            <w:tcW w:w="80" w:type="dxa"/>
            <w:vAlign w:val="bottom"/>
          </w:tcPr>
          <w:p>
            <w:pPr>
              <w:spacing w:after="0"/>
              <w:rPr>
                <w:sz w:val="15"/>
                <w:szCs w:val="15"/>
                <w:color w:val="auto"/>
              </w:rPr>
            </w:pPr>
          </w:p>
        </w:tc>
        <w:tc>
          <w:tcPr>
            <w:tcW w:w="2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53,501</w:t>
            </w:r>
          </w:p>
        </w:tc>
        <w:tc>
          <w:tcPr>
            <w:tcW w:w="0" w:type="dxa"/>
            <w:vAlign w:val="bottom"/>
          </w:tcPr>
          <w:p>
            <w:pPr>
              <w:spacing w:after="0"/>
              <w:rPr>
                <w:sz w:val="1"/>
                <w:szCs w:val="1"/>
                <w:color w:val="auto"/>
              </w:rPr>
            </w:pPr>
          </w:p>
        </w:tc>
      </w:tr>
      <w:tr>
        <w:trPr>
          <w:trHeight w:val="22"/>
        </w:trPr>
        <w:tc>
          <w:tcPr>
            <w:tcW w:w="3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0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9,828</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26,722</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21,376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30,100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13,508</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116,977</w:t>
            </w:r>
          </w:p>
        </w:tc>
        <w:tc>
          <w:tcPr>
            <w:tcW w:w="0" w:type="dxa"/>
            <w:vAlign w:val="bottom"/>
          </w:tcPr>
          <w:p>
            <w:pPr>
              <w:spacing w:after="0"/>
              <w:rPr>
                <w:sz w:val="1"/>
                <w:szCs w:val="1"/>
                <w:color w:val="auto"/>
              </w:rPr>
            </w:pPr>
          </w:p>
        </w:tc>
      </w:tr>
      <w:tr>
        <w:trPr>
          <w:trHeight w:val="184"/>
        </w:trPr>
        <w:tc>
          <w:tcPr>
            <w:tcW w:w="3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8,552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23,235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57,844</w:t>
            </w:r>
          </w:p>
        </w:tc>
        <w:tc>
          <w:tcPr>
            <w:tcW w:w="0" w:type="dxa"/>
            <w:vAlign w:val="bottom"/>
          </w:tcPr>
          <w:p>
            <w:pPr>
              <w:spacing w:after="0"/>
              <w:rPr>
                <w:sz w:val="1"/>
                <w:szCs w:val="1"/>
                <w:color w:val="auto"/>
              </w:rPr>
            </w:pPr>
          </w:p>
        </w:tc>
      </w:tr>
      <w:tr>
        <w:trPr>
          <w:trHeight w:val="22"/>
        </w:trPr>
        <w:tc>
          <w:tcPr>
            <w:tcW w:w="3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0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2,343</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5,046</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12,947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1,586</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28,824</w:t>
            </w:r>
          </w:p>
        </w:tc>
        <w:tc>
          <w:tcPr>
            <w:tcW w:w="0" w:type="dxa"/>
            <w:vAlign w:val="bottom"/>
          </w:tcPr>
          <w:p>
            <w:pPr>
              <w:spacing w:after="0"/>
              <w:rPr>
                <w:sz w:val="1"/>
                <w:szCs w:val="1"/>
                <w:color w:val="auto"/>
              </w:rPr>
            </w:pPr>
          </w:p>
        </w:tc>
      </w:tr>
      <w:tr>
        <w:trPr>
          <w:trHeight w:val="184"/>
        </w:trPr>
        <w:tc>
          <w:tcPr>
            <w:tcW w:w="3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9,218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14,030</w:t>
            </w:r>
          </w:p>
        </w:tc>
        <w:tc>
          <w:tcPr>
            <w:tcW w:w="0" w:type="dxa"/>
            <w:vAlign w:val="bottom"/>
          </w:tcPr>
          <w:p>
            <w:pPr>
              <w:spacing w:after="0"/>
              <w:rPr>
                <w:sz w:val="1"/>
                <w:szCs w:val="1"/>
                <w:color w:val="auto"/>
              </w:rPr>
            </w:pPr>
          </w:p>
        </w:tc>
      </w:tr>
      <w:tr>
        <w:trPr>
          <w:trHeight w:val="22"/>
        </w:trPr>
        <w:tc>
          <w:tcPr>
            <w:tcW w:w="3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0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1,570</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9,261</w:t>
            </w:r>
          </w:p>
        </w:tc>
        <w:tc>
          <w:tcPr>
            <w:tcW w:w="0" w:type="dxa"/>
            <w:vAlign w:val="bottom"/>
          </w:tcPr>
          <w:p>
            <w:pPr>
              <w:spacing w:after="0"/>
              <w:rPr>
                <w:sz w:val="1"/>
                <w:szCs w:val="1"/>
                <w:color w:val="auto"/>
              </w:rPr>
            </w:pPr>
          </w:p>
        </w:tc>
      </w:tr>
      <w:tr>
        <w:trPr>
          <w:trHeight w:val="184"/>
        </w:trPr>
        <w:tc>
          <w:tcPr>
            <w:tcW w:w="3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6,433</w:t>
            </w:r>
          </w:p>
        </w:tc>
        <w:tc>
          <w:tcPr>
            <w:tcW w:w="0" w:type="dxa"/>
            <w:vAlign w:val="bottom"/>
          </w:tcPr>
          <w:p>
            <w:pPr>
              <w:spacing w:after="0"/>
              <w:rPr>
                <w:sz w:val="1"/>
                <w:szCs w:val="1"/>
                <w:color w:val="auto"/>
              </w:rPr>
            </w:pPr>
          </w:p>
        </w:tc>
      </w:tr>
      <w:tr>
        <w:trPr>
          <w:trHeight w:val="22"/>
        </w:trPr>
        <w:tc>
          <w:tcPr>
            <w:tcW w:w="3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0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2,692</w:t>
            </w:r>
          </w:p>
        </w:tc>
        <w:tc>
          <w:tcPr>
            <w:tcW w:w="0" w:type="dxa"/>
            <w:vAlign w:val="bottom"/>
          </w:tcPr>
          <w:p>
            <w:pPr>
              <w:spacing w:after="0"/>
              <w:rPr>
                <w:sz w:val="1"/>
                <w:szCs w:val="1"/>
                <w:color w:val="auto"/>
              </w:rPr>
            </w:pPr>
          </w:p>
        </w:tc>
      </w:tr>
      <w:tr>
        <w:trPr>
          <w:trHeight w:val="199"/>
        </w:trPr>
        <w:tc>
          <w:tcPr>
            <w:tcW w:w="30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19,483</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14,772</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20,335</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58,982</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46,583</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103,729</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25,678</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289,562</w:t>
            </w:r>
          </w:p>
        </w:tc>
        <w:tc>
          <w:tcPr>
            <w:tcW w:w="0" w:type="dxa"/>
            <w:vAlign w:val="bottom"/>
          </w:tcPr>
          <w:p>
            <w:pPr>
              <w:spacing w:after="0"/>
              <w:rPr>
                <w:sz w:val="1"/>
                <w:szCs w:val="1"/>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5"/>
                <w:szCs w:val="15"/>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1-4 family non-owner occupied</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0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3,958</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2,399</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3,229</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3,693</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10,379</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34,903</w:t>
            </w:r>
          </w:p>
        </w:tc>
        <w:tc>
          <w:tcPr>
            <w:tcW w:w="0" w:type="dxa"/>
            <w:vAlign w:val="bottom"/>
          </w:tcPr>
          <w:p>
            <w:pPr>
              <w:spacing w:after="0"/>
              <w:rPr>
                <w:sz w:val="1"/>
                <w:szCs w:val="1"/>
                <w:color w:val="auto"/>
              </w:rPr>
            </w:pPr>
          </w:p>
        </w:tc>
      </w:tr>
      <w:tr>
        <w:trPr>
          <w:trHeight w:val="184"/>
        </w:trPr>
        <w:tc>
          <w:tcPr>
            <w:tcW w:w="3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13,466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10,671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9,247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13,152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26,912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19,293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94,193</w:t>
            </w:r>
          </w:p>
        </w:tc>
        <w:tc>
          <w:tcPr>
            <w:tcW w:w="0" w:type="dxa"/>
            <w:vAlign w:val="bottom"/>
          </w:tcPr>
          <w:p>
            <w:pPr>
              <w:spacing w:after="0"/>
              <w:rPr>
                <w:sz w:val="1"/>
                <w:szCs w:val="1"/>
                <w:color w:val="auto"/>
              </w:rPr>
            </w:pPr>
          </w:p>
        </w:tc>
      </w:tr>
      <w:tr>
        <w:trPr>
          <w:trHeight w:val="22"/>
        </w:trPr>
        <w:tc>
          <w:tcPr>
            <w:tcW w:w="3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0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4,343</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2,349</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2,551</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3,439</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1,618</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24,014</w:t>
            </w:r>
          </w:p>
        </w:tc>
        <w:tc>
          <w:tcPr>
            <w:tcW w:w="0" w:type="dxa"/>
            <w:vAlign w:val="bottom"/>
          </w:tcPr>
          <w:p>
            <w:pPr>
              <w:spacing w:after="0"/>
              <w:rPr>
                <w:sz w:val="1"/>
                <w:szCs w:val="1"/>
                <w:color w:val="auto"/>
              </w:rPr>
            </w:pPr>
          </w:p>
        </w:tc>
      </w:tr>
      <w:tr>
        <w:trPr>
          <w:trHeight w:val="184"/>
        </w:trPr>
        <w:tc>
          <w:tcPr>
            <w:tcW w:w="3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15,499</w:t>
            </w:r>
          </w:p>
        </w:tc>
        <w:tc>
          <w:tcPr>
            <w:tcW w:w="0" w:type="dxa"/>
            <w:vAlign w:val="bottom"/>
          </w:tcPr>
          <w:p>
            <w:pPr>
              <w:spacing w:after="0"/>
              <w:rPr>
                <w:sz w:val="1"/>
                <w:szCs w:val="1"/>
                <w:color w:val="auto"/>
              </w:rPr>
            </w:pPr>
          </w:p>
        </w:tc>
      </w:tr>
      <w:tr>
        <w:trPr>
          <w:trHeight w:val="22"/>
        </w:trPr>
        <w:tc>
          <w:tcPr>
            <w:tcW w:w="3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0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2,255</w:t>
            </w:r>
          </w:p>
        </w:tc>
        <w:tc>
          <w:tcPr>
            <w:tcW w:w="0" w:type="dxa"/>
            <w:vAlign w:val="bottom"/>
          </w:tcPr>
          <w:p>
            <w:pPr>
              <w:spacing w:after="0"/>
              <w:rPr>
                <w:sz w:val="1"/>
                <w:szCs w:val="1"/>
                <w:color w:val="auto"/>
              </w:rPr>
            </w:pPr>
          </w:p>
        </w:tc>
      </w:tr>
      <w:tr>
        <w:trPr>
          <w:trHeight w:val="184"/>
        </w:trPr>
        <w:tc>
          <w:tcPr>
            <w:tcW w:w="3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1,084</w:t>
            </w:r>
          </w:p>
        </w:tc>
        <w:tc>
          <w:tcPr>
            <w:tcW w:w="0" w:type="dxa"/>
            <w:vAlign w:val="bottom"/>
          </w:tcPr>
          <w:p>
            <w:pPr>
              <w:spacing w:after="0"/>
              <w:rPr>
                <w:sz w:val="1"/>
                <w:szCs w:val="1"/>
                <w:color w:val="auto"/>
              </w:rPr>
            </w:pPr>
          </w:p>
        </w:tc>
      </w:tr>
      <w:tr>
        <w:trPr>
          <w:trHeight w:val="22"/>
        </w:trPr>
        <w:tc>
          <w:tcPr>
            <w:tcW w:w="3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0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0" w:type="dxa"/>
            <w:vAlign w:val="bottom"/>
          </w:tcPr>
          <w:p>
            <w:pPr>
              <w:spacing w:after="0"/>
              <w:rPr>
                <w:sz w:val="1"/>
                <w:szCs w:val="1"/>
                <w:color w:val="auto"/>
              </w:rPr>
            </w:pPr>
          </w:p>
        </w:tc>
      </w:tr>
      <w:tr>
        <w:trPr>
          <w:trHeight w:val="184"/>
        </w:trPr>
        <w:tc>
          <w:tcPr>
            <w:tcW w:w="3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22"/>
        </w:trPr>
        <w:tc>
          <w:tcPr>
            <w:tcW w:w="30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30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22,813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17,390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14,137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22,587</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44,207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46,744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4,415</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172,293</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654</w:t>
            </w:r>
          </w:p>
        </w:tc>
        <w:tc>
          <w:tcPr>
            <w:tcW w:w="0" w:type="dxa"/>
            <w:vAlign w:val="bottom"/>
          </w:tcPr>
          <w:p>
            <w:pPr>
              <w:spacing w:after="0"/>
              <w:rPr>
                <w:sz w:val="1"/>
                <w:szCs w:val="1"/>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jc w:val="center"/>
              <w:ind w:left="91"/>
              <w:spacing w:after="0"/>
              <w:rPr>
                <w:sz w:val="20"/>
                <w:szCs w:val="20"/>
                <w:color w:val="auto"/>
              </w:rPr>
            </w:pPr>
            <w:r>
              <w:rPr>
                <w:rFonts w:ascii="Times New Roman" w:cs="Times New Roman" w:eastAsia="Times New Roman" w:hAnsi="Times New Roman"/>
                <w:sz w:val="14"/>
                <w:szCs w:val="14"/>
                <w:color w:val="auto"/>
                <w:w w:val="97"/>
              </w:rPr>
              <w:t>Mortgage - continued (1)</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0"/>
        </w:trPr>
        <w:tc>
          <w:tcPr>
            <w:tcW w:w="2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280"/>
              <w:spacing w:after="0" w:line="140" w:lineRule="exact"/>
              <w:rPr>
                <w:sz w:val="20"/>
                <w:szCs w:val="20"/>
                <w:color w:val="auto"/>
              </w:rPr>
            </w:pPr>
            <w:r>
              <w:rPr>
                <w:rFonts w:ascii="Times New Roman" w:cs="Times New Roman" w:eastAsia="Times New Roman" w:hAnsi="Times New Roman"/>
                <w:sz w:val="14"/>
                <w:szCs w:val="14"/>
                <w:color w:val="auto"/>
                <w:w w:val="99"/>
              </w:rPr>
              <w:t>Revolving</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760" w:type="dxa"/>
            <w:vAlign w:val="bottom"/>
            <w:gridSpan w:val="11"/>
            <w:vMerge w:val="restart"/>
          </w:tcPr>
          <w:p>
            <w:pPr>
              <w:ind w:left="220"/>
              <w:spacing w:after="0"/>
              <w:rPr>
                <w:sz w:val="20"/>
                <w:szCs w:val="20"/>
                <w:color w:val="auto"/>
              </w:rPr>
            </w:pPr>
            <w:r>
              <w:rPr>
                <w:rFonts w:ascii="Times New Roman" w:cs="Times New Roman" w:eastAsia="Times New Roman" w:hAnsi="Times New Roman"/>
                <w:sz w:val="14"/>
                <w:szCs w:val="14"/>
                <w:color w:val="auto"/>
              </w:rPr>
              <w:t>Term Loans Amortized Cost Basis by Origination Year</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color w:val="auto"/>
                <w:w w:val="99"/>
              </w:rPr>
              <w:t>Loans</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760" w:type="dxa"/>
            <w:vAlign w:val="bottom"/>
            <w:gridSpan w:val="11"/>
            <w:vMerge w:val="continue"/>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00" w:type="dxa"/>
            <w:vAlign w:val="bottom"/>
            <w:gridSpan w:val="2"/>
            <w:vMerge w:val="restart"/>
          </w:tcPr>
          <w:p>
            <w:pPr>
              <w:jc w:val="center"/>
              <w:ind w:right="280"/>
              <w:spacing w:after="0" w:line="111" w:lineRule="exact"/>
              <w:rPr>
                <w:sz w:val="20"/>
                <w:szCs w:val="20"/>
                <w:color w:val="auto"/>
              </w:rPr>
            </w:pPr>
            <w:r>
              <w:rPr>
                <w:rFonts w:ascii="Times New Roman" w:cs="Times New Roman" w:eastAsia="Times New Roman" w:hAnsi="Times New Roman"/>
                <w:sz w:val="11"/>
                <w:szCs w:val="11"/>
                <w:color w:val="auto"/>
              </w:rPr>
              <w:t>Amortized</w:t>
            </w: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2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29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Prior</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7"/>
              </w:rPr>
              <w:t>Cost Basis</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84"/>
        </w:trPr>
        <w:tc>
          <w:tcPr>
            <w:tcW w:w="2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jc w:val="center"/>
              <w:ind w:left="91"/>
              <w:spacing w:after="0"/>
              <w:rPr>
                <w:sz w:val="20"/>
                <w:szCs w:val="20"/>
                <w:color w:val="auto"/>
              </w:rPr>
            </w:pPr>
            <w:r>
              <w:rPr>
                <w:rFonts w:ascii="Times New Roman" w:cs="Times New Roman" w:eastAsia="Times New Roman" w:hAnsi="Times New Roman"/>
                <w:sz w:val="14"/>
                <w:szCs w:val="14"/>
                <w:color w:val="auto"/>
                <w:w w:val="96"/>
              </w:rPr>
              <w:t>(In thousands)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2025 - (continued)</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2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1-4 family - 2nd lien</w:t>
            </w: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9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1,256</w:t>
            </w:r>
          </w:p>
        </w:tc>
        <w:tc>
          <w:tcPr>
            <w:tcW w:w="8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8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10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80" w:type="dxa"/>
            <w:vAlign w:val="bottom"/>
          </w:tcPr>
          <w:p>
            <w:pPr>
              <w:spacing w:after="0"/>
              <w:rPr>
                <w:sz w:val="15"/>
                <w:szCs w:val="15"/>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w:t>
            </w:r>
          </w:p>
        </w:tc>
        <w:tc>
          <w:tcPr>
            <w:tcW w:w="10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1,454</w:t>
            </w:r>
          </w:p>
        </w:tc>
        <w:tc>
          <w:tcPr>
            <w:tcW w:w="10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16,797</w:t>
            </w:r>
          </w:p>
        </w:tc>
        <w:tc>
          <w:tcPr>
            <w:tcW w:w="80" w:type="dxa"/>
            <w:vAlign w:val="bottom"/>
          </w:tcPr>
          <w:p>
            <w:pPr>
              <w:spacing w:after="0"/>
              <w:rPr>
                <w:sz w:val="15"/>
                <w:szCs w:val="15"/>
                <w:color w:val="auto"/>
              </w:rPr>
            </w:pPr>
          </w:p>
        </w:tc>
        <w:tc>
          <w:tcPr>
            <w:tcW w:w="2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21,475</w:t>
            </w:r>
          </w:p>
        </w:tc>
        <w:tc>
          <w:tcPr>
            <w:tcW w:w="0" w:type="dxa"/>
            <w:vAlign w:val="bottom"/>
          </w:tcPr>
          <w:p>
            <w:pPr>
              <w:spacing w:after="0"/>
              <w:rPr>
                <w:sz w:val="1"/>
                <w:szCs w:val="1"/>
                <w:color w:val="auto"/>
              </w:rPr>
            </w:pPr>
          </w:p>
        </w:tc>
      </w:tr>
      <w:tr>
        <w:trPr>
          <w:trHeight w:val="22"/>
        </w:trPr>
        <w:tc>
          <w:tcPr>
            <w:tcW w:w="2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9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3,122</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2,528</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1,830</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56,532</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71,811</w:t>
            </w:r>
          </w:p>
        </w:tc>
        <w:tc>
          <w:tcPr>
            <w:tcW w:w="0" w:type="dxa"/>
            <w:vAlign w:val="bottom"/>
          </w:tcPr>
          <w:p>
            <w:pPr>
              <w:spacing w:after="0"/>
              <w:rPr>
                <w:sz w:val="1"/>
                <w:szCs w:val="1"/>
                <w:color w:val="auto"/>
              </w:rPr>
            </w:pPr>
          </w:p>
        </w:tc>
      </w:tr>
      <w:tr>
        <w:trPr>
          <w:trHeight w:val="184"/>
        </w:trPr>
        <w:tc>
          <w:tcPr>
            <w:tcW w:w="29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29,585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40,340</w:t>
            </w:r>
          </w:p>
        </w:tc>
        <w:tc>
          <w:tcPr>
            <w:tcW w:w="0" w:type="dxa"/>
            <w:vAlign w:val="bottom"/>
          </w:tcPr>
          <w:p>
            <w:pPr>
              <w:spacing w:after="0"/>
              <w:rPr>
                <w:sz w:val="1"/>
                <w:szCs w:val="1"/>
                <w:color w:val="auto"/>
              </w:rPr>
            </w:pPr>
          </w:p>
        </w:tc>
      </w:tr>
      <w:tr>
        <w:trPr>
          <w:trHeight w:val="22"/>
        </w:trPr>
        <w:tc>
          <w:tcPr>
            <w:tcW w:w="2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9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11,914</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15,681</w:t>
            </w:r>
          </w:p>
        </w:tc>
        <w:tc>
          <w:tcPr>
            <w:tcW w:w="0" w:type="dxa"/>
            <w:vAlign w:val="bottom"/>
          </w:tcPr>
          <w:p>
            <w:pPr>
              <w:spacing w:after="0"/>
              <w:rPr>
                <w:sz w:val="1"/>
                <w:szCs w:val="1"/>
                <w:color w:val="auto"/>
              </w:rPr>
            </w:pPr>
          </w:p>
        </w:tc>
      </w:tr>
      <w:tr>
        <w:trPr>
          <w:trHeight w:val="184"/>
        </w:trPr>
        <w:tc>
          <w:tcPr>
            <w:tcW w:w="29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3,304</w:t>
            </w:r>
          </w:p>
        </w:tc>
        <w:tc>
          <w:tcPr>
            <w:tcW w:w="0" w:type="dxa"/>
            <w:vAlign w:val="bottom"/>
          </w:tcPr>
          <w:p>
            <w:pPr>
              <w:spacing w:after="0"/>
              <w:rPr>
                <w:sz w:val="1"/>
                <w:szCs w:val="1"/>
                <w:color w:val="auto"/>
              </w:rPr>
            </w:pPr>
          </w:p>
        </w:tc>
      </w:tr>
      <w:tr>
        <w:trPr>
          <w:trHeight w:val="22"/>
        </w:trPr>
        <w:tc>
          <w:tcPr>
            <w:tcW w:w="2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9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1,770</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2,811</w:t>
            </w:r>
          </w:p>
        </w:tc>
        <w:tc>
          <w:tcPr>
            <w:tcW w:w="0" w:type="dxa"/>
            <w:vAlign w:val="bottom"/>
          </w:tcPr>
          <w:p>
            <w:pPr>
              <w:spacing w:after="0"/>
              <w:rPr>
                <w:sz w:val="1"/>
                <w:szCs w:val="1"/>
                <w:color w:val="auto"/>
              </w:rPr>
            </w:pPr>
          </w:p>
        </w:tc>
      </w:tr>
      <w:tr>
        <w:trPr>
          <w:trHeight w:val="184"/>
        </w:trPr>
        <w:tc>
          <w:tcPr>
            <w:tcW w:w="29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1,701</w:t>
            </w:r>
          </w:p>
        </w:tc>
        <w:tc>
          <w:tcPr>
            <w:tcW w:w="0" w:type="dxa"/>
            <w:vAlign w:val="bottom"/>
          </w:tcPr>
          <w:p>
            <w:pPr>
              <w:spacing w:after="0"/>
              <w:rPr>
                <w:sz w:val="1"/>
                <w:szCs w:val="1"/>
                <w:color w:val="auto"/>
              </w:rPr>
            </w:pPr>
          </w:p>
        </w:tc>
      </w:tr>
      <w:tr>
        <w:trPr>
          <w:trHeight w:val="22"/>
        </w:trPr>
        <w:tc>
          <w:tcPr>
            <w:tcW w:w="2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9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0" w:type="dxa"/>
            <w:vAlign w:val="bottom"/>
          </w:tcPr>
          <w:p>
            <w:pPr>
              <w:spacing w:after="0"/>
              <w:rPr>
                <w:sz w:val="1"/>
                <w:szCs w:val="1"/>
                <w:color w:val="auto"/>
              </w:rPr>
            </w:pPr>
          </w:p>
        </w:tc>
      </w:tr>
      <w:tr>
        <w:trPr>
          <w:trHeight w:val="199"/>
        </w:trPr>
        <w:tc>
          <w:tcPr>
            <w:tcW w:w="29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7,942</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4,685</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5,068</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4,648</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5,085</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10,997</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119,172</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157,597</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Resort lending</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9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4,651</w:t>
            </w:r>
          </w:p>
        </w:tc>
        <w:tc>
          <w:tcPr>
            <w:tcW w:w="0" w:type="dxa"/>
            <w:vAlign w:val="bottom"/>
          </w:tcPr>
          <w:p>
            <w:pPr>
              <w:spacing w:after="0"/>
              <w:rPr>
                <w:sz w:val="1"/>
                <w:szCs w:val="1"/>
                <w:color w:val="auto"/>
              </w:rPr>
            </w:pPr>
          </w:p>
        </w:tc>
      </w:tr>
      <w:tr>
        <w:trPr>
          <w:trHeight w:val="184"/>
        </w:trPr>
        <w:tc>
          <w:tcPr>
            <w:tcW w:w="29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10,704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11,369</w:t>
            </w:r>
          </w:p>
        </w:tc>
        <w:tc>
          <w:tcPr>
            <w:tcW w:w="0" w:type="dxa"/>
            <w:vAlign w:val="bottom"/>
          </w:tcPr>
          <w:p>
            <w:pPr>
              <w:spacing w:after="0"/>
              <w:rPr>
                <w:sz w:val="1"/>
                <w:szCs w:val="1"/>
                <w:color w:val="auto"/>
              </w:rPr>
            </w:pPr>
          </w:p>
        </w:tc>
      </w:tr>
      <w:tr>
        <w:trPr>
          <w:trHeight w:val="22"/>
        </w:trPr>
        <w:tc>
          <w:tcPr>
            <w:tcW w:w="2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9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4,128</w:t>
            </w:r>
          </w:p>
        </w:tc>
        <w:tc>
          <w:tcPr>
            <w:tcW w:w="0" w:type="dxa"/>
            <w:vAlign w:val="bottom"/>
          </w:tcPr>
          <w:p>
            <w:pPr>
              <w:spacing w:after="0"/>
              <w:rPr>
                <w:sz w:val="1"/>
                <w:szCs w:val="1"/>
                <w:color w:val="auto"/>
              </w:rPr>
            </w:pPr>
          </w:p>
        </w:tc>
      </w:tr>
      <w:tr>
        <w:trPr>
          <w:trHeight w:val="184"/>
        </w:trPr>
        <w:tc>
          <w:tcPr>
            <w:tcW w:w="29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5,148</w:t>
            </w:r>
          </w:p>
        </w:tc>
        <w:tc>
          <w:tcPr>
            <w:tcW w:w="0" w:type="dxa"/>
            <w:vAlign w:val="bottom"/>
          </w:tcPr>
          <w:p>
            <w:pPr>
              <w:spacing w:after="0"/>
              <w:rPr>
                <w:sz w:val="1"/>
                <w:szCs w:val="1"/>
                <w:color w:val="auto"/>
              </w:rPr>
            </w:pPr>
          </w:p>
        </w:tc>
      </w:tr>
      <w:tr>
        <w:trPr>
          <w:trHeight w:val="22"/>
        </w:trPr>
        <w:tc>
          <w:tcPr>
            <w:tcW w:w="2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9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w:t>
            </w:r>
          </w:p>
        </w:tc>
        <w:tc>
          <w:tcPr>
            <w:tcW w:w="0" w:type="dxa"/>
            <w:vAlign w:val="bottom"/>
          </w:tcPr>
          <w:p>
            <w:pPr>
              <w:spacing w:after="0"/>
              <w:rPr>
                <w:sz w:val="1"/>
                <w:szCs w:val="1"/>
                <w:color w:val="auto"/>
              </w:rPr>
            </w:pPr>
          </w:p>
        </w:tc>
      </w:tr>
      <w:tr>
        <w:trPr>
          <w:trHeight w:val="184"/>
        </w:trPr>
        <w:tc>
          <w:tcPr>
            <w:tcW w:w="29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
        </w:trPr>
        <w:tc>
          <w:tcPr>
            <w:tcW w:w="2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9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0" w:type="dxa"/>
            <w:vAlign w:val="bottom"/>
          </w:tcPr>
          <w:p>
            <w:pPr>
              <w:spacing w:after="0"/>
              <w:rPr>
                <w:sz w:val="1"/>
                <w:szCs w:val="1"/>
                <w:color w:val="auto"/>
              </w:rPr>
            </w:pPr>
          </w:p>
        </w:tc>
      </w:tr>
      <w:tr>
        <w:trPr>
          <w:trHeight w:val="184"/>
        </w:trPr>
        <w:tc>
          <w:tcPr>
            <w:tcW w:w="29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
        </w:trPr>
        <w:tc>
          <w:tcPr>
            <w:tcW w:w="2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9"/>
        </w:trPr>
        <w:tc>
          <w:tcPr>
            <w:tcW w:w="29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24,935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26,608</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Mortgage</w:t>
            </w: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9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20,619</w:t>
            </w:r>
          </w:p>
        </w:tc>
        <w:tc>
          <w:tcPr>
            <w:tcW w:w="8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8,735</w:t>
            </w:r>
          </w:p>
        </w:tc>
        <w:tc>
          <w:tcPr>
            <w:tcW w:w="8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21,018</w:t>
            </w:r>
          </w:p>
        </w:tc>
        <w:tc>
          <w:tcPr>
            <w:tcW w:w="10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58,066</w:t>
            </w:r>
          </w:p>
        </w:tc>
        <w:tc>
          <w:tcPr>
            <w:tcW w:w="80" w:type="dxa"/>
            <w:vAlign w:val="bottom"/>
          </w:tcPr>
          <w:p>
            <w:pPr>
              <w:spacing w:after="0"/>
              <w:rPr>
                <w:sz w:val="15"/>
                <w:szCs w:val="15"/>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76,861</w:t>
            </w:r>
          </w:p>
        </w:tc>
        <w:tc>
          <w:tcPr>
            <w:tcW w:w="10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66,192</w:t>
            </w:r>
          </w:p>
        </w:tc>
        <w:tc>
          <w:tcPr>
            <w:tcW w:w="10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24,021</w:t>
            </w:r>
          </w:p>
        </w:tc>
        <w:tc>
          <w:tcPr>
            <w:tcW w:w="80" w:type="dxa"/>
            <w:vAlign w:val="bottom"/>
          </w:tcPr>
          <w:p>
            <w:pPr>
              <w:spacing w:after="0"/>
              <w:rPr>
                <w:sz w:val="15"/>
                <w:szCs w:val="15"/>
                <w:color w:val="auto"/>
              </w:rPr>
            </w:pPr>
          </w:p>
        </w:tc>
        <w:tc>
          <w:tcPr>
            <w:tcW w:w="2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275,512</w:t>
            </w:r>
          </w:p>
        </w:tc>
        <w:tc>
          <w:tcPr>
            <w:tcW w:w="0" w:type="dxa"/>
            <w:vAlign w:val="bottom"/>
          </w:tcPr>
          <w:p>
            <w:pPr>
              <w:spacing w:after="0"/>
              <w:rPr>
                <w:sz w:val="1"/>
                <w:szCs w:val="1"/>
                <w:color w:val="auto"/>
              </w:rPr>
            </w:pPr>
          </w:p>
        </w:tc>
      </w:tr>
      <w:tr>
        <w:trPr>
          <w:trHeight w:val="22"/>
        </w:trPr>
        <w:tc>
          <w:tcPr>
            <w:tcW w:w="2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9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77,385</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52,753</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46,670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131,880</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218,762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139,245</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73,398</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740,093</w:t>
            </w:r>
          </w:p>
        </w:tc>
        <w:tc>
          <w:tcPr>
            <w:tcW w:w="0" w:type="dxa"/>
            <w:vAlign w:val="bottom"/>
          </w:tcPr>
          <w:p>
            <w:pPr>
              <w:spacing w:after="0"/>
              <w:rPr>
                <w:sz w:val="1"/>
                <w:szCs w:val="1"/>
                <w:color w:val="auto"/>
              </w:rPr>
            </w:pPr>
          </w:p>
        </w:tc>
      </w:tr>
      <w:tr>
        <w:trPr>
          <w:trHeight w:val="184"/>
        </w:trPr>
        <w:tc>
          <w:tcPr>
            <w:tcW w:w="29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26,653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20,486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18,222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45,671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82,088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68,692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37,423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299,235</w:t>
            </w:r>
          </w:p>
        </w:tc>
        <w:tc>
          <w:tcPr>
            <w:tcW w:w="0" w:type="dxa"/>
            <w:vAlign w:val="bottom"/>
          </w:tcPr>
          <w:p>
            <w:pPr>
              <w:spacing w:after="0"/>
              <w:rPr>
                <w:sz w:val="1"/>
                <w:szCs w:val="1"/>
                <w:color w:val="auto"/>
              </w:rPr>
            </w:pPr>
          </w:p>
        </w:tc>
      </w:tr>
      <w:tr>
        <w:trPr>
          <w:trHeight w:val="22"/>
        </w:trPr>
        <w:tc>
          <w:tcPr>
            <w:tcW w:w="2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9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12,117</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7,606</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10,319</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25,498</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21,693</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41,692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15,402</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134,327</w:t>
            </w:r>
          </w:p>
        </w:tc>
        <w:tc>
          <w:tcPr>
            <w:tcW w:w="0" w:type="dxa"/>
            <w:vAlign w:val="bottom"/>
          </w:tcPr>
          <w:p>
            <w:pPr>
              <w:spacing w:after="0"/>
              <w:rPr>
                <w:sz w:val="1"/>
                <w:szCs w:val="1"/>
                <w:color w:val="auto"/>
              </w:rPr>
            </w:pPr>
          </w:p>
        </w:tc>
      </w:tr>
      <w:tr>
        <w:trPr>
          <w:trHeight w:val="184"/>
        </w:trPr>
        <w:tc>
          <w:tcPr>
            <w:tcW w:w="29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15,538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32,817</w:t>
            </w:r>
          </w:p>
        </w:tc>
        <w:tc>
          <w:tcPr>
            <w:tcW w:w="0" w:type="dxa"/>
            <w:vAlign w:val="bottom"/>
          </w:tcPr>
          <w:p>
            <w:pPr>
              <w:spacing w:after="0"/>
              <w:rPr>
                <w:sz w:val="1"/>
                <w:szCs w:val="1"/>
                <w:color w:val="auto"/>
              </w:rPr>
            </w:pPr>
          </w:p>
        </w:tc>
      </w:tr>
      <w:tr>
        <w:trPr>
          <w:trHeight w:val="22"/>
        </w:trPr>
        <w:tc>
          <w:tcPr>
            <w:tcW w:w="2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9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7,170</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2,418</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1,811</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23,001</w:t>
            </w:r>
          </w:p>
        </w:tc>
        <w:tc>
          <w:tcPr>
            <w:tcW w:w="0" w:type="dxa"/>
            <w:vAlign w:val="bottom"/>
          </w:tcPr>
          <w:p>
            <w:pPr>
              <w:spacing w:after="0"/>
              <w:rPr>
                <w:sz w:val="1"/>
                <w:szCs w:val="1"/>
                <w:color w:val="auto"/>
              </w:rPr>
            </w:pPr>
          </w:p>
        </w:tc>
      </w:tr>
      <w:tr>
        <w:trPr>
          <w:trHeight w:val="184"/>
        </w:trPr>
        <w:tc>
          <w:tcPr>
            <w:tcW w:w="29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16,628</w:t>
            </w:r>
          </w:p>
        </w:tc>
        <w:tc>
          <w:tcPr>
            <w:tcW w:w="0" w:type="dxa"/>
            <w:vAlign w:val="bottom"/>
          </w:tcPr>
          <w:p>
            <w:pPr>
              <w:spacing w:after="0"/>
              <w:rPr>
                <w:sz w:val="1"/>
                <w:szCs w:val="1"/>
                <w:color w:val="auto"/>
              </w:rPr>
            </w:pPr>
          </w:p>
        </w:tc>
      </w:tr>
      <w:tr>
        <w:trPr>
          <w:trHeight w:val="22"/>
        </w:trPr>
        <w:tc>
          <w:tcPr>
            <w:tcW w:w="2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9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3,208</w:t>
            </w:r>
          </w:p>
        </w:tc>
        <w:tc>
          <w:tcPr>
            <w:tcW w:w="0" w:type="dxa"/>
            <w:vAlign w:val="bottom"/>
          </w:tcPr>
          <w:p>
            <w:pPr>
              <w:spacing w:after="0"/>
              <w:rPr>
                <w:sz w:val="1"/>
                <w:szCs w:val="1"/>
                <w:color w:val="auto"/>
              </w:rPr>
            </w:pPr>
          </w:p>
        </w:tc>
      </w:tr>
      <w:tr>
        <w:trPr>
          <w:trHeight w:val="199"/>
        </w:trPr>
        <w:tc>
          <w:tcPr>
            <w:tcW w:w="29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138,407</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91,739</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100,592</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277,297</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409,247</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352,682</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154,857</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1,524,821</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5,503</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5"/>
                <w:szCs w:val="15"/>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Credit scores have been updated within the last twelve months.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6"/>
              </w:rPr>
              <w:t>Installment (1)</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2"/>
        </w:trPr>
        <w:tc>
          <w:tcPr>
            <w:tcW w:w="2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60" w:type="dxa"/>
            <w:vAlign w:val="bottom"/>
            <w:tcBorders>
              <w:bottom w:val="single" w:sz="8" w:color="auto"/>
            </w:tcBorders>
            <w:gridSpan w:val="8"/>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7"/>
        </w:trPr>
        <w:tc>
          <w:tcPr>
            <w:tcW w:w="2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6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color w:val="auto"/>
                <w:w w:val="97"/>
              </w:rPr>
              <w:t>Term Loans Amortized Cost Basis by Origination Year</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2"/>
        </w:trPr>
        <w:tc>
          <w:tcPr>
            <w:tcW w:w="2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7"/>
        </w:trPr>
        <w:tc>
          <w:tcPr>
            <w:tcW w:w="2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51"/>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351"/>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ind w:right="351"/>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371"/>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71"/>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Prior</w:t>
            </w:r>
          </w:p>
        </w:tc>
        <w:tc>
          <w:tcPr>
            <w:tcW w:w="240" w:type="dxa"/>
            <w:vAlign w:val="bottom"/>
          </w:tcPr>
          <w:p>
            <w:pPr>
              <w:spacing w:after="0"/>
              <w:rPr>
                <w:sz w:val="15"/>
                <w:szCs w:val="15"/>
                <w:color w:val="auto"/>
              </w:rPr>
            </w:pPr>
          </w:p>
        </w:tc>
        <w:tc>
          <w:tcPr>
            <w:tcW w:w="880" w:type="dxa"/>
            <w:vAlign w:val="bottom"/>
          </w:tcPr>
          <w:p>
            <w:pPr>
              <w:jc w:val="right"/>
              <w:ind w:right="351"/>
              <w:spacing w:after="0"/>
              <w:rPr>
                <w:sz w:val="20"/>
                <w:szCs w:val="20"/>
                <w:color w:val="auto"/>
              </w:rPr>
            </w:pPr>
            <w:r>
              <w:rPr>
                <w:rFonts w:ascii="Times New Roman" w:cs="Times New Roman" w:eastAsia="Times New Roman" w:hAnsi="Times New Roman"/>
                <w:sz w:val="14"/>
                <w:szCs w:val="14"/>
                <w:color w:val="auto"/>
              </w:rPr>
              <w:t>Total</w:t>
            </w:r>
          </w:p>
        </w:tc>
      </w:tr>
      <w:tr>
        <w:trPr>
          <w:trHeight w:val="22"/>
        </w:trPr>
        <w:tc>
          <w:tcPr>
            <w:tcW w:w="2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7"/>
        </w:trPr>
        <w:tc>
          <w:tcPr>
            <w:tcW w:w="2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9"/>
              </w:rPr>
              <w:t>(In thousands)</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6"/>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September 30, 2026</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6"/>
        </w:trPr>
        <w:tc>
          <w:tcPr>
            <w:tcW w:w="2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Boat lending</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
        </w:trPr>
        <w:tc>
          <w:tcPr>
            <w:tcW w:w="2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6"/>
        </w:trPr>
        <w:tc>
          <w:tcPr>
            <w:tcW w:w="28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9,107</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4,222</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3,851</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4,700</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6,045</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14,444</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42,369</w:t>
            </w:r>
          </w:p>
        </w:tc>
      </w:tr>
      <w:tr>
        <w:trPr>
          <w:trHeight w:val="184"/>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31,165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25,616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16,179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19,018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19,699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38,432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150,109</w:t>
            </w:r>
          </w:p>
        </w:tc>
      </w:tr>
      <w:tr>
        <w:trPr>
          <w:trHeight w:val="22"/>
        </w:trPr>
        <w:tc>
          <w:tcPr>
            <w:tcW w:w="2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6"/>
        </w:trPr>
        <w:tc>
          <w:tcPr>
            <w:tcW w:w="28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11,728</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13,978</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8,127</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7,325</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7,773</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15,961</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64,892</w:t>
            </w:r>
          </w:p>
        </w:tc>
      </w:tr>
      <w:tr>
        <w:trPr>
          <w:trHeight w:val="184"/>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14,680</w:t>
            </w:r>
          </w:p>
        </w:tc>
      </w:tr>
      <w:tr>
        <w:trPr>
          <w:trHeight w:val="22"/>
        </w:trPr>
        <w:tc>
          <w:tcPr>
            <w:tcW w:w="2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6"/>
        </w:trPr>
        <w:tc>
          <w:tcPr>
            <w:tcW w:w="28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1,289</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3,734</w:t>
            </w:r>
          </w:p>
        </w:tc>
      </w:tr>
      <w:tr>
        <w:trPr>
          <w:trHeight w:val="184"/>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1,366</w:t>
            </w:r>
          </w:p>
        </w:tc>
      </w:tr>
      <w:tr>
        <w:trPr>
          <w:trHeight w:val="22"/>
        </w:trPr>
        <w:tc>
          <w:tcPr>
            <w:tcW w:w="2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6"/>
        </w:trPr>
        <w:tc>
          <w:tcPr>
            <w:tcW w:w="28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w:t>
            </w:r>
          </w:p>
        </w:tc>
      </w:tr>
      <w:tr>
        <w:trPr>
          <w:trHeight w:val="184"/>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r>
      <w:tr>
        <w:trPr>
          <w:trHeight w:val="22"/>
        </w:trPr>
        <w:tc>
          <w:tcPr>
            <w:tcW w:w="2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6"/>
        </w:trPr>
        <w:tc>
          <w:tcPr>
            <w:tcW w:w="28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9"/>
        </w:trPr>
        <w:tc>
          <w:tcPr>
            <w:tcW w:w="2800" w:type="dxa"/>
            <w:vAlign w:val="bottom"/>
          </w:tcPr>
          <w:p>
            <w:pPr>
              <w:jc w:val="center"/>
              <w:ind w:right="1491"/>
              <w:spacing w:after="0"/>
              <w:rPr>
                <w:sz w:val="20"/>
                <w:szCs w:val="20"/>
                <w:color w:val="auto"/>
              </w:rPr>
            </w:pPr>
            <w:r>
              <w:rPr>
                <w:rFonts w:ascii="Times New Roman" w:cs="Times New Roman" w:eastAsia="Times New Roman" w:hAnsi="Times New Roman"/>
                <w:sz w:val="14"/>
                <w:szCs w:val="14"/>
                <w:color w:val="auto"/>
                <w:w w:val="94"/>
              </w:rPr>
              <w:t>Total</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53,329</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46,694</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30,985</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33,778</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37,338</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75,989</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278,113</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3"/>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78"/>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tcPr>
          <w:p>
            <w:pPr>
              <w:spacing w:after="0"/>
              <w:rPr>
                <w:sz w:val="15"/>
                <w:szCs w:val="15"/>
                <w:color w:val="auto"/>
              </w:rPr>
            </w:pPr>
          </w:p>
        </w:tc>
        <w:tc>
          <w:tcPr>
            <w:tcW w:w="2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Pr>
          <w:p>
            <w:pPr>
              <w:spacing w:after="0"/>
              <w:rPr>
                <w:sz w:val="15"/>
                <w:szCs w:val="15"/>
                <w:color w:val="auto"/>
              </w:rPr>
            </w:pPr>
          </w:p>
        </w:tc>
        <w:tc>
          <w:tcPr>
            <w:tcW w:w="2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5"/>
                <w:szCs w:val="15"/>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159"/>
        </w:trPr>
        <w:tc>
          <w:tcPr>
            <w:tcW w:w="28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84"/>
        </w:trPr>
        <w:tc>
          <w:tcPr>
            <w:tcW w:w="2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Recreational vehicle lending</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2"/>
        </w:trPr>
        <w:tc>
          <w:tcPr>
            <w:tcW w:w="2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6"/>
        </w:trPr>
        <w:tc>
          <w:tcPr>
            <w:tcW w:w="28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1,583</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1,703</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2,672</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7,400</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12,556</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26,450</w:t>
            </w:r>
          </w:p>
        </w:tc>
      </w:tr>
      <w:tr>
        <w:trPr>
          <w:trHeight w:val="184"/>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25,968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37,306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83,658</w:t>
            </w:r>
          </w:p>
        </w:tc>
      </w:tr>
      <w:tr>
        <w:trPr>
          <w:trHeight w:val="22"/>
        </w:trPr>
        <w:tc>
          <w:tcPr>
            <w:tcW w:w="2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6"/>
        </w:trPr>
        <w:tc>
          <w:tcPr>
            <w:tcW w:w="28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1,048</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3,108</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3,153</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10,227</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16,648</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35,161</w:t>
            </w:r>
          </w:p>
        </w:tc>
      </w:tr>
      <w:tr>
        <w:trPr>
          <w:trHeight w:val="184"/>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11,950</w:t>
            </w:r>
          </w:p>
        </w:tc>
      </w:tr>
      <w:tr>
        <w:trPr>
          <w:trHeight w:val="22"/>
        </w:trPr>
        <w:tc>
          <w:tcPr>
            <w:tcW w:w="2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6"/>
        </w:trPr>
        <w:tc>
          <w:tcPr>
            <w:tcW w:w="28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2,327</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4,110</w:t>
            </w:r>
          </w:p>
        </w:tc>
      </w:tr>
      <w:tr>
        <w:trPr>
          <w:trHeight w:val="184"/>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2,852</w:t>
            </w:r>
          </w:p>
        </w:tc>
      </w:tr>
      <w:tr>
        <w:trPr>
          <w:trHeight w:val="22"/>
        </w:trPr>
        <w:tc>
          <w:tcPr>
            <w:tcW w:w="2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6"/>
        </w:trPr>
        <w:tc>
          <w:tcPr>
            <w:tcW w:w="28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1,084</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1,620</w:t>
            </w:r>
          </w:p>
        </w:tc>
      </w:tr>
      <w:tr>
        <w:trPr>
          <w:trHeight w:val="184"/>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w:t>
            </w:r>
          </w:p>
        </w:tc>
      </w:tr>
      <w:tr>
        <w:trPr>
          <w:trHeight w:val="22"/>
        </w:trPr>
        <w:tc>
          <w:tcPr>
            <w:tcW w:w="2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6"/>
        </w:trPr>
        <w:tc>
          <w:tcPr>
            <w:tcW w:w="28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9"/>
        </w:trPr>
        <w:tc>
          <w:tcPr>
            <w:tcW w:w="2800" w:type="dxa"/>
            <w:vAlign w:val="bottom"/>
          </w:tcPr>
          <w:p>
            <w:pPr>
              <w:jc w:val="center"/>
              <w:ind w:right="1491"/>
              <w:spacing w:after="0"/>
              <w:rPr>
                <w:sz w:val="20"/>
                <w:szCs w:val="20"/>
                <w:color w:val="auto"/>
              </w:rPr>
            </w:pPr>
            <w:r>
              <w:rPr>
                <w:rFonts w:ascii="Times New Roman" w:cs="Times New Roman" w:eastAsia="Times New Roman" w:hAnsi="Times New Roman"/>
                <w:sz w:val="14"/>
                <w:szCs w:val="14"/>
                <w:color w:val="auto"/>
                <w:w w:val="94"/>
              </w:rPr>
              <w:t>Total</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6,303</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5,092</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12,322</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16,383</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49,209</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77,295</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166,604</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3"/>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78"/>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5"/>
                <w:szCs w:val="15"/>
                <w:color w:val="auto"/>
              </w:rPr>
            </w:pPr>
          </w:p>
        </w:tc>
        <w:tc>
          <w:tcPr>
            <w:tcW w:w="2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80" w:type="dxa"/>
            <w:vAlign w:val="bottom"/>
          </w:tcPr>
          <w:p>
            <w:pPr>
              <w:spacing w:after="0"/>
              <w:rPr>
                <w:sz w:val="15"/>
                <w:szCs w:val="15"/>
                <w:color w:val="auto"/>
              </w:rPr>
            </w:pPr>
          </w:p>
        </w:tc>
        <w:tc>
          <w:tcPr>
            <w:tcW w:w="2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100" w:type="dxa"/>
            <w:vAlign w:val="bottom"/>
          </w:tcPr>
          <w:p>
            <w:pPr>
              <w:spacing w:after="0"/>
              <w:rPr>
                <w:sz w:val="15"/>
                <w:szCs w:val="15"/>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159"/>
        </w:trPr>
        <w:tc>
          <w:tcPr>
            <w:tcW w:w="28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84"/>
        </w:trPr>
        <w:tc>
          <w:tcPr>
            <w:tcW w:w="2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2"/>
        </w:trPr>
        <w:tc>
          <w:tcPr>
            <w:tcW w:w="2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6"/>
        </w:trPr>
        <w:tc>
          <w:tcPr>
            <w:tcW w:w="28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2,716</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995</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1,421</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8,027</w:t>
            </w:r>
          </w:p>
        </w:tc>
      </w:tr>
      <w:tr>
        <w:trPr>
          <w:trHeight w:val="184"/>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9,205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33,599</w:t>
            </w:r>
          </w:p>
        </w:tc>
      </w:tr>
      <w:tr>
        <w:trPr>
          <w:trHeight w:val="22"/>
        </w:trPr>
        <w:tc>
          <w:tcPr>
            <w:tcW w:w="2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6"/>
        </w:trPr>
        <w:tc>
          <w:tcPr>
            <w:tcW w:w="28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5,886</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4,825</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3,306</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1,552</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3,853</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21,322</w:t>
            </w:r>
          </w:p>
        </w:tc>
      </w:tr>
      <w:tr>
        <w:trPr>
          <w:trHeight w:val="184"/>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8,940</w:t>
            </w:r>
          </w:p>
        </w:tc>
      </w:tr>
      <w:tr>
        <w:trPr>
          <w:trHeight w:val="22"/>
        </w:trPr>
        <w:tc>
          <w:tcPr>
            <w:tcW w:w="2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6"/>
        </w:trPr>
        <w:tc>
          <w:tcPr>
            <w:tcW w:w="28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2,012</w:t>
            </w:r>
          </w:p>
        </w:tc>
      </w:tr>
      <w:tr>
        <w:trPr>
          <w:trHeight w:val="184"/>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w:t>
            </w:r>
          </w:p>
        </w:tc>
      </w:tr>
      <w:tr>
        <w:trPr>
          <w:trHeight w:val="22"/>
        </w:trPr>
        <w:tc>
          <w:tcPr>
            <w:tcW w:w="2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6"/>
        </w:trPr>
        <w:tc>
          <w:tcPr>
            <w:tcW w:w="28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w:t>
            </w:r>
          </w:p>
        </w:tc>
      </w:tr>
      <w:tr>
        <w:trPr>
          <w:trHeight w:val="184"/>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r>
      <w:tr>
        <w:trPr>
          <w:trHeight w:val="22"/>
        </w:trPr>
        <w:tc>
          <w:tcPr>
            <w:tcW w:w="2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6"/>
        </w:trPr>
        <w:tc>
          <w:tcPr>
            <w:tcW w:w="28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w:t>
            </w:r>
          </w:p>
        </w:tc>
      </w:tr>
      <w:tr>
        <w:trPr>
          <w:trHeight w:val="199"/>
        </w:trPr>
        <w:tc>
          <w:tcPr>
            <w:tcW w:w="2800" w:type="dxa"/>
            <w:vAlign w:val="bottom"/>
          </w:tcPr>
          <w:p>
            <w:pPr>
              <w:jc w:val="center"/>
              <w:ind w:right="1491"/>
              <w:spacing w:after="0"/>
              <w:rPr>
                <w:sz w:val="20"/>
                <w:szCs w:val="20"/>
                <w:color w:val="auto"/>
              </w:rPr>
            </w:pPr>
            <w:r>
              <w:rPr>
                <w:rFonts w:ascii="Times New Roman" w:cs="Times New Roman" w:eastAsia="Times New Roman" w:hAnsi="Times New Roman"/>
                <w:sz w:val="14"/>
                <w:szCs w:val="14"/>
                <w:color w:val="auto"/>
                <w:w w:val="94"/>
              </w:rPr>
              <w:t>Total</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22,003</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16,207</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10,347</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7,666</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7,416</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13,328</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76,967</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3"/>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78"/>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1,098</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5"/>
                <w:szCs w:val="15"/>
                <w:color w:val="auto"/>
              </w:rPr>
            </w:pPr>
          </w:p>
        </w:tc>
        <w:tc>
          <w:tcPr>
            <w:tcW w:w="2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5"/>
                <w:szCs w:val="15"/>
                <w:color w:val="auto"/>
              </w:rPr>
            </w:pPr>
          </w:p>
        </w:tc>
        <w:tc>
          <w:tcPr>
            <w:tcW w:w="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1,303</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59"/>
        </w:trPr>
        <w:tc>
          <w:tcPr>
            <w:tcW w:w="28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84"/>
        </w:trPr>
        <w:tc>
          <w:tcPr>
            <w:tcW w:w="2800" w:type="dxa"/>
            <w:vAlign w:val="bottom"/>
          </w:tcPr>
          <w:p>
            <w:pPr>
              <w:jc w:val="center"/>
              <w:ind w:right="1451"/>
              <w:spacing w:after="0"/>
              <w:rPr>
                <w:sz w:val="20"/>
                <w:szCs w:val="20"/>
                <w:color w:val="auto"/>
              </w:rPr>
            </w:pPr>
            <w:r>
              <w:rPr>
                <w:rFonts w:ascii="Times New Roman" w:cs="Times New Roman" w:eastAsia="Times New Roman" w:hAnsi="Times New Roman"/>
                <w:sz w:val="14"/>
                <w:szCs w:val="14"/>
                <w:color w:val="auto"/>
                <w:w w:val="96"/>
              </w:rPr>
              <w:t>Total installment</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2"/>
        </w:trPr>
        <w:tc>
          <w:tcPr>
            <w:tcW w:w="2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6"/>
        </w:trPr>
        <w:tc>
          <w:tcPr>
            <w:tcW w:w="28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13,406</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5,595</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6,549</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8,223</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14,866</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28,207</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76,846</w:t>
            </w:r>
          </w:p>
        </w:tc>
      </w:tr>
      <w:tr>
        <w:trPr>
          <w:trHeight w:val="184"/>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43,856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36,959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26,229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30,336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48,749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81,237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267,366</w:t>
            </w:r>
          </w:p>
        </w:tc>
      </w:tr>
      <w:tr>
        <w:trPr>
          <w:trHeight w:val="22"/>
        </w:trPr>
        <w:tc>
          <w:tcPr>
            <w:tcW w:w="2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6"/>
        </w:trPr>
        <w:tc>
          <w:tcPr>
            <w:tcW w:w="28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18,591</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19,851</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14,541</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12,378</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19,552</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36,462</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121,375</w:t>
            </w:r>
          </w:p>
        </w:tc>
      </w:tr>
      <w:tr>
        <w:trPr>
          <w:trHeight w:val="184"/>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11,992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35,570</w:t>
            </w:r>
          </w:p>
        </w:tc>
      </w:tr>
      <w:tr>
        <w:trPr>
          <w:trHeight w:val="22"/>
        </w:trPr>
        <w:tc>
          <w:tcPr>
            <w:tcW w:w="2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6"/>
        </w:trPr>
        <w:tc>
          <w:tcPr>
            <w:tcW w:w="28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1,148</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1,132</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1,970</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4,115</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9,856</w:t>
            </w:r>
          </w:p>
        </w:tc>
      </w:tr>
      <w:tr>
        <w:trPr>
          <w:trHeight w:val="184"/>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5,252</w:t>
            </w:r>
          </w:p>
        </w:tc>
      </w:tr>
      <w:tr>
        <w:trPr>
          <w:trHeight w:val="22"/>
        </w:trPr>
        <w:tc>
          <w:tcPr>
            <w:tcW w:w="2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6"/>
        </w:trPr>
        <w:tc>
          <w:tcPr>
            <w:tcW w:w="28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1,743</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3,246</w:t>
            </w:r>
          </w:p>
        </w:tc>
      </w:tr>
      <w:tr>
        <w:trPr>
          <w:trHeight w:val="184"/>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1,093</w:t>
            </w:r>
          </w:p>
        </w:tc>
      </w:tr>
      <w:tr>
        <w:trPr>
          <w:trHeight w:val="22"/>
        </w:trPr>
        <w:tc>
          <w:tcPr>
            <w:tcW w:w="2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6"/>
        </w:trPr>
        <w:tc>
          <w:tcPr>
            <w:tcW w:w="28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w:t>
            </w:r>
          </w:p>
        </w:tc>
      </w:tr>
      <w:tr>
        <w:trPr>
          <w:trHeight w:val="199"/>
        </w:trPr>
        <w:tc>
          <w:tcPr>
            <w:tcW w:w="2800" w:type="dxa"/>
            <w:vAlign w:val="bottom"/>
          </w:tcPr>
          <w:p>
            <w:pPr>
              <w:jc w:val="center"/>
              <w:ind w:right="1491"/>
              <w:spacing w:after="0"/>
              <w:rPr>
                <w:sz w:val="20"/>
                <w:szCs w:val="20"/>
                <w:color w:val="auto"/>
              </w:rPr>
            </w:pPr>
            <w:r>
              <w:rPr>
                <w:rFonts w:ascii="Times New Roman" w:cs="Times New Roman" w:eastAsia="Times New Roman" w:hAnsi="Times New Roman"/>
                <w:sz w:val="14"/>
                <w:szCs w:val="14"/>
                <w:color w:val="auto"/>
                <w:w w:val="94"/>
              </w:rPr>
              <w:t>Total</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81,635</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67,993</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53,654</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57,827</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93,963</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166,612</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521,684</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3"/>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1,594</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78"/>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1,098</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tcPr>
          <w:p>
            <w:pPr>
              <w:spacing w:after="0"/>
              <w:rPr>
                <w:sz w:val="15"/>
                <w:szCs w:val="15"/>
                <w:color w:val="auto"/>
              </w:rPr>
            </w:pPr>
          </w:p>
        </w:tc>
        <w:tc>
          <w:tcPr>
            <w:tcW w:w="2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80" w:type="dxa"/>
            <w:vAlign w:val="bottom"/>
          </w:tcPr>
          <w:p>
            <w:pPr>
              <w:spacing w:after="0"/>
              <w:rPr>
                <w:sz w:val="15"/>
                <w:szCs w:val="15"/>
                <w:color w:val="auto"/>
              </w:rPr>
            </w:pPr>
          </w:p>
        </w:tc>
        <w:tc>
          <w:tcPr>
            <w:tcW w:w="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2,390</w:t>
            </w:r>
          </w:p>
        </w:tc>
      </w:tr>
      <w:tr>
        <w:trPr>
          <w:trHeight w:val="20"/>
        </w:trPr>
        <w:tc>
          <w:tcPr>
            <w:tcW w:w="2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2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40" w:type="dxa"/>
            <w:vAlign w:val="bottom"/>
            <w:gridSpan w:val="6"/>
          </w:tcPr>
          <w:p>
            <w:pPr>
              <w:jc w:val="center"/>
              <w:ind w:right="91"/>
              <w:spacing w:after="0"/>
              <w:rPr>
                <w:sz w:val="20"/>
                <w:szCs w:val="20"/>
                <w:color w:val="auto"/>
              </w:rPr>
            </w:pPr>
            <w:r>
              <w:rPr>
                <w:rFonts w:ascii="Times New Roman" w:cs="Times New Roman" w:eastAsia="Times New Roman" w:hAnsi="Times New Roman"/>
                <w:sz w:val="14"/>
                <w:szCs w:val="14"/>
                <w:color w:val="auto"/>
                <w:w w:val="98"/>
              </w:rPr>
              <w:t>Installment - continued (1)</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2"/>
        </w:trPr>
        <w:tc>
          <w:tcPr>
            <w:tcW w:w="2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60" w:type="dxa"/>
            <w:vAlign w:val="bottom"/>
            <w:tcBorders>
              <w:bottom w:val="single" w:sz="8" w:color="auto"/>
            </w:tcBorders>
            <w:gridSpan w:val="9"/>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7"/>
        </w:trPr>
        <w:tc>
          <w:tcPr>
            <w:tcW w:w="2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60" w:type="dxa"/>
            <w:vAlign w:val="bottom"/>
            <w:gridSpan w:val="9"/>
          </w:tcPr>
          <w:p>
            <w:pPr>
              <w:jc w:val="center"/>
              <w:ind w:right="240"/>
              <w:spacing w:after="0"/>
              <w:rPr>
                <w:sz w:val="20"/>
                <w:szCs w:val="20"/>
                <w:color w:val="auto"/>
              </w:rPr>
            </w:pPr>
            <w:r>
              <w:rPr>
                <w:rFonts w:ascii="Times New Roman" w:cs="Times New Roman" w:eastAsia="Times New Roman" w:hAnsi="Times New Roman"/>
                <w:sz w:val="14"/>
                <w:szCs w:val="14"/>
                <w:color w:val="auto"/>
                <w:w w:val="97"/>
              </w:rPr>
              <w:t>Term Loans Amortized Cost Basis by Origination Year</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2"/>
        </w:trPr>
        <w:tc>
          <w:tcPr>
            <w:tcW w:w="2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7"/>
        </w:trPr>
        <w:tc>
          <w:tcPr>
            <w:tcW w:w="2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51"/>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351"/>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ind w:right="291"/>
              <w:spacing w:after="0"/>
              <w:rPr>
                <w:sz w:val="20"/>
                <w:szCs w:val="20"/>
                <w:color w:val="auto"/>
              </w:rPr>
            </w:pPr>
            <w:r>
              <w:rPr>
                <w:rFonts w:ascii="Times New Roman" w:cs="Times New Roman" w:eastAsia="Times New Roman" w:hAnsi="Times New Roman"/>
                <w:sz w:val="14"/>
                <w:szCs w:val="14"/>
                <w:color w:val="auto"/>
              </w:rPr>
              <w:t>2023</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371"/>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71"/>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Prior</w:t>
            </w:r>
          </w:p>
        </w:tc>
        <w:tc>
          <w:tcPr>
            <w:tcW w:w="240" w:type="dxa"/>
            <w:vAlign w:val="bottom"/>
          </w:tcPr>
          <w:p>
            <w:pPr>
              <w:spacing w:after="0"/>
              <w:rPr>
                <w:sz w:val="15"/>
                <w:szCs w:val="15"/>
                <w:color w:val="auto"/>
              </w:rPr>
            </w:pPr>
          </w:p>
        </w:tc>
        <w:tc>
          <w:tcPr>
            <w:tcW w:w="880" w:type="dxa"/>
            <w:vAlign w:val="bottom"/>
          </w:tcPr>
          <w:p>
            <w:pPr>
              <w:jc w:val="right"/>
              <w:ind w:right="351"/>
              <w:spacing w:after="0"/>
              <w:rPr>
                <w:sz w:val="20"/>
                <w:szCs w:val="20"/>
                <w:color w:val="auto"/>
              </w:rPr>
            </w:pPr>
            <w:r>
              <w:rPr>
                <w:rFonts w:ascii="Times New Roman" w:cs="Times New Roman" w:eastAsia="Times New Roman" w:hAnsi="Times New Roman"/>
                <w:sz w:val="14"/>
                <w:szCs w:val="14"/>
                <w:color w:val="auto"/>
              </w:rPr>
              <w:t>Total</w:t>
            </w:r>
          </w:p>
        </w:tc>
      </w:tr>
      <w:tr>
        <w:trPr>
          <w:trHeight w:val="22"/>
        </w:trPr>
        <w:tc>
          <w:tcPr>
            <w:tcW w:w="2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7"/>
        </w:trPr>
        <w:tc>
          <w:tcPr>
            <w:tcW w:w="2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9"/>
              </w:rPr>
              <w:t>(In thousands)</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6"/>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2025</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6"/>
        </w:trPr>
        <w:tc>
          <w:tcPr>
            <w:tcW w:w="2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Boat lending</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
        </w:trPr>
        <w:tc>
          <w:tcPr>
            <w:tcW w:w="2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6"/>
        </w:trPr>
        <w:tc>
          <w:tcPr>
            <w:tcW w:w="28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7,160</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4,306</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5,878</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7,190</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8,111</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11,036</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43,681</w:t>
            </w:r>
          </w:p>
        </w:tc>
      </w:tr>
      <w:tr>
        <w:trPr>
          <w:trHeight w:val="184"/>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32,694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21,095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23,561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23,385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19,814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27,759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148,308</w:t>
            </w:r>
          </w:p>
        </w:tc>
      </w:tr>
      <w:tr>
        <w:trPr>
          <w:trHeight w:val="22"/>
        </w:trPr>
        <w:tc>
          <w:tcPr>
            <w:tcW w:w="2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6"/>
        </w:trPr>
        <w:tc>
          <w:tcPr>
            <w:tcW w:w="28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11,208</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10,315</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8,793</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9,887</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7,279</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10,511</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57,993</w:t>
            </w:r>
          </w:p>
        </w:tc>
      </w:tr>
      <w:tr>
        <w:trPr>
          <w:trHeight w:val="184"/>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2,482</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16,133</w:t>
            </w:r>
          </w:p>
        </w:tc>
      </w:tr>
      <w:tr>
        <w:trPr>
          <w:trHeight w:val="22"/>
        </w:trPr>
        <w:tc>
          <w:tcPr>
            <w:tcW w:w="2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6"/>
        </w:trPr>
        <w:tc>
          <w:tcPr>
            <w:tcW w:w="28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4,099</w:t>
            </w:r>
          </w:p>
        </w:tc>
      </w:tr>
      <w:tr>
        <w:trPr>
          <w:trHeight w:val="184"/>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1,549</w:t>
            </w:r>
          </w:p>
        </w:tc>
      </w:tr>
      <w:tr>
        <w:trPr>
          <w:trHeight w:val="22"/>
        </w:trPr>
        <w:tc>
          <w:tcPr>
            <w:tcW w:w="2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6"/>
        </w:trPr>
        <w:tc>
          <w:tcPr>
            <w:tcW w:w="28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w:t>
            </w:r>
          </w:p>
        </w:tc>
      </w:tr>
      <w:tr>
        <w:trPr>
          <w:trHeight w:val="184"/>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22"/>
        </w:trPr>
        <w:tc>
          <w:tcPr>
            <w:tcW w:w="2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6"/>
        </w:trPr>
        <w:tc>
          <w:tcPr>
            <w:tcW w:w="28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9"/>
        </w:trPr>
        <w:tc>
          <w:tcPr>
            <w:tcW w:w="2800" w:type="dxa"/>
            <w:vAlign w:val="bottom"/>
          </w:tcPr>
          <w:p>
            <w:pPr>
              <w:jc w:val="center"/>
              <w:ind w:right="1491"/>
              <w:spacing w:after="0"/>
              <w:rPr>
                <w:sz w:val="20"/>
                <w:szCs w:val="20"/>
                <w:color w:val="auto"/>
              </w:rPr>
            </w:pPr>
            <w:r>
              <w:rPr>
                <w:rFonts w:ascii="Times New Roman" w:cs="Times New Roman" w:eastAsia="Times New Roman" w:hAnsi="Times New Roman"/>
                <w:sz w:val="14"/>
                <w:szCs w:val="14"/>
                <w:color w:val="auto"/>
                <w:w w:val="94"/>
              </w:rPr>
              <w:t>Total</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54,420</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39,011</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41,552</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43,954</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39,001</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54,574</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272,512</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8"/>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w:t>
            </w:r>
          </w:p>
        </w:tc>
      </w:tr>
      <w:tr>
        <w:trPr>
          <w:trHeight w:val="20"/>
        </w:trPr>
        <w:tc>
          <w:tcPr>
            <w:tcW w:w="2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8"/>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5"/>
                <w:szCs w:val="15"/>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80" w:type="dxa"/>
            <w:vAlign w:val="bottom"/>
          </w:tcPr>
          <w:p>
            <w:pPr>
              <w:spacing w:after="0"/>
              <w:rPr>
                <w:sz w:val="15"/>
                <w:szCs w:val="15"/>
                <w:color w:val="auto"/>
              </w:rPr>
            </w:pPr>
          </w:p>
        </w:tc>
        <w:tc>
          <w:tcPr>
            <w:tcW w:w="2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5"/>
                <w:szCs w:val="15"/>
                <w:color w:val="auto"/>
              </w:rPr>
            </w:pPr>
          </w:p>
        </w:tc>
        <w:tc>
          <w:tcPr>
            <w:tcW w:w="2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5"/>
                <w:szCs w:val="15"/>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159"/>
        </w:trPr>
        <w:tc>
          <w:tcPr>
            <w:tcW w:w="28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84"/>
        </w:trPr>
        <w:tc>
          <w:tcPr>
            <w:tcW w:w="2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Recreational vehicle lending</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2"/>
        </w:trPr>
        <w:tc>
          <w:tcPr>
            <w:tcW w:w="2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6"/>
        </w:trPr>
        <w:tc>
          <w:tcPr>
            <w:tcW w:w="28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1,690</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2,923</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8,205</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8,940</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7,788</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30,317</w:t>
            </w:r>
          </w:p>
        </w:tc>
      </w:tr>
      <w:tr>
        <w:trPr>
          <w:trHeight w:val="184"/>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10,133</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30,410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27,020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17,972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96,726</w:t>
            </w:r>
          </w:p>
        </w:tc>
      </w:tr>
      <w:tr>
        <w:trPr>
          <w:trHeight w:val="22"/>
        </w:trPr>
        <w:tc>
          <w:tcPr>
            <w:tcW w:w="2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6"/>
        </w:trPr>
        <w:tc>
          <w:tcPr>
            <w:tcW w:w="28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1,498</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3,830</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3,849</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11,937</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12,930</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7,192</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41,236</w:t>
            </w:r>
          </w:p>
        </w:tc>
      </w:tr>
      <w:tr>
        <w:trPr>
          <w:trHeight w:val="184"/>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1,862</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13,982</w:t>
            </w:r>
          </w:p>
        </w:tc>
      </w:tr>
      <w:tr>
        <w:trPr>
          <w:trHeight w:val="22"/>
        </w:trPr>
        <w:tc>
          <w:tcPr>
            <w:tcW w:w="2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6"/>
        </w:trPr>
        <w:tc>
          <w:tcPr>
            <w:tcW w:w="28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1,143</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1,858</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4,712</w:t>
            </w:r>
          </w:p>
        </w:tc>
      </w:tr>
      <w:tr>
        <w:trPr>
          <w:trHeight w:val="184"/>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2,555</w:t>
            </w:r>
          </w:p>
        </w:tc>
      </w:tr>
      <w:tr>
        <w:trPr>
          <w:trHeight w:val="22"/>
        </w:trPr>
        <w:tc>
          <w:tcPr>
            <w:tcW w:w="2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6"/>
        </w:trPr>
        <w:tc>
          <w:tcPr>
            <w:tcW w:w="28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1,533</w:t>
            </w:r>
          </w:p>
        </w:tc>
      </w:tr>
      <w:tr>
        <w:trPr>
          <w:trHeight w:val="184"/>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796</w:t>
            </w:r>
          </w:p>
        </w:tc>
      </w:tr>
      <w:tr>
        <w:trPr>
          <w:trHeight w:val="22"/>
        </w:trPr>
        <w:tc>
          <w:tcPr>
            <w:tcW w:w="2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6"/>
        </w:trPr>
        <w:tc>
          <w:tcPr>
            <w:tcW w:w="28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9"/>
        </w:trPr>
        <w:tc>
          <w:tcPr>
            <w:tcW w:w="2800" w:type="dxa"/>
            <w:vAlign w:val="bottom"/>
          </w:tcPr>
          <w:p>
            <w:pPr>
              <w:jc w:val="center"/>
              <w:ind w:right="1491"/>
              <w:spacing w:after="0"/>
              <w:rPr>
                <w:sz w:val="20"/>
                <w:szCs w:val="20"/>
                <w:color w:val="auto"/>
              </w:rPr>
            </w:pPr>
            <w:r>
              <w:rPr>
                <w:rFonts w:ascii="Times New Roman" w:cs="Times New Roman" w:eastAsia="Times New Roman" w:hAnsi="Times New Roman"/>
                <w:sz w:val="14"/>
                <w:szCs w:val="14"/>
                <w:color w:val="auto"/>
                <w:w w:val="94"/>
              </w:rPr>
              <w:t>Total</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6,288</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14,527</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19,740</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56,943</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57,377</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36,982</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191,857</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8"/>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w:t>
            </w:r>
          </w:p>
        </w:tc>
      </w:tr>
      <w:tr>
        <w:trPr>
          <w:trHeight w:val="20"/>
        </w:trPr>
        <w:tc>
          <w:tcPr>
            <w:tcW w:w="2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8"/>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5"/>
                <w:szCs w:val="15"/>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80" w:type="dxa"/>
            <w:vAlign w:val="bottom"/>
          </w:tcPr>
          <w:p>
            <w:pPr>
              <w:spacing w:after="0"/>
              <w:rPr>
                <w:sz w:val="15"/>
                <w:szCs w:val="15"/>
                <w:color w:val="auto"/>
              </w:rPr>
            </w:pPr>
          </w:p>
        </w:tc>
        <w:tc>
          <w:tcPr>
            <w:tcW w:w="2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80" w:type="dxa"/>
            <w:vAlign w:val="bottom"/>
          </w:tcPr>
          <w:p>
            <w:pPr>
              <w:spacing w:after="0"/>
              <w:rPr>
                <w:sz w:val="15"/>
                <w:szCs w:val="15"/>
                <w:color w:val="auto"/>
              </w:rPr>
            </w:pPr>
          </w:p>
        </w:tc>
        <w:tc>
          <w:tcPr>
            <w:tcW w:w="2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Pr>
          <w:p>
            <w:pPr>
              <w:spacing w:after="0"/>
              <w:rPr>
                <w:sz w:val="15"/>
                <w:szCs w:val="15"/>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159"/>
        </w:trPr>
        <w:tc>
          <w:tcPr>
            <w:tcW w:w="28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84"/>
        </w:trPr>
        <w:tc>
          <w:tcPr>
            <w:tcW w:w="2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2"/>
        </w:trPr>
        <w:tc>
          <w:tcPr>
            <w:tcW w:w="2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6"/>
        </w:trPr>
        <w:tc>
          <w:tcPr>
            <w:tcW w:w="28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1,460</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933</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6,510</w:t>
            </w:r>
          </w:p>
        </w:tc>
      </w:tr>
      <w:tr>
        <w:trPr>
          <w:trHeight w:val="184"/>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32,131</w:t>
            </w:r>
          </w:p>
        </w:tc>
      </w:tr>
      <w:tr>
        <w:trPr>
          <w:trHeight w:val="22"/>
        </w:trPr>
        <w:tc>
          <w:tcPr>
            <w:tcW w:w="2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6"/>
        </w:trPr>
        <w:tc>
          <w:tcPr>
            <w:tcW w:w="28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6,281</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4,067</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2,872</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2,569</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1,990</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3,251</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21,030</w:t>
            </w:r>
          </w:p>
        </w:tc>
      </w:tr>
      <w:tr>
        <w:trPr>
          <w:trHeight w:val="184"/>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989</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8,633</w:t>
            </w:r>
          </w:p>
        </w:tc>
      </w:tr>
      <w:tr>
        <w:trPr>
          <w:trHeight w:val="22"/>
        </w:trPr>
        <w:tc>
          <w:tcPr>
            <w:tcW w:w="2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6"/>
        </w:trPr>
        <w:tc>
          <w:tcPr>
            <w:tcW w:w="28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2,278</w:t>
            </w:r>
          </w:p>
        </w:tc>
      </w:tr>
      <w:tr>
        <w:trPr>
          <w:trHeight w:val="184"/>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w:t>
            </w:r>
          </w:p>
        </w:tc>
      </w:tr>
      <w:tr>
        <w:trPr>
          <w:trHeight w:val="22"/>
        </w:trPr>
        <w:tc>
          <w:tcPr>
            <w:tcW w:w="2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6"/>
        </w:trPr>
        <w:tc>
          <w:tcPr>
            <w:tcW w:w="28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w:t>
            </w:r>
          </w:p>
        </w:tc>
      </w:tr>
      <w:tr>
        <w:trPr>
          <w:trHeight w:val="184"/>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w:t>
            </w:r>
          </w:p>
        </w:tc>
      </w:tr>
      <w:tr>
        <w:trPr>
          <w:trHeight w:val="22"/>
        </w:trPr>
        <w:tc>
          <w:tcPr>
            <w:tcW w:w="2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6"/>
        </w:trPr>
        <w:tc>
          <w:tcPr>
            <w:tcW w:w="28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w:t>
            </w:r>
          </w:p>
        </w:tc>
      </w:tr>
      <w:tr>
        <w:trPr>
          <w:trHeight w:val="199"/>
        </w:trPr>
        <w:tc>
          <w:tcPr>
            <w:tcW w:w="2800" w:type="dxa"/>
            <w:vAlign w:val="bottom"/>
          </w:tcPr>
          <w:p>
            <w:pPr>
              <w:jc w:val="center"/>
              <w:ind w:right="1491"/>
              <w:spacing w:after="0"/>
              <w:rPr>
                <w:sz w:val="20"/>
                <w:szCs w:val="20"/>
                <w:color w:val="auto"/>
              </w:rPr>
            </w:pPr>
            <w:r>
              <w:rPr>
                <w:rFonts w:ascii="Times New Roman" w:cs="Times New Roman" w:eastAsia="Times New Roman" w:hAnsi="Times New Roman"/>
                <w:sz w:val="14"/>
                <w:szCs w:val="14"/>
                <w:color w:val="auto"/>
                <w:w w:val="94"/>
              </w:rPr>
              <w:t>Total</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21,750</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13,568</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11,057</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10,093</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6,250</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10,820</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73,538</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8"/>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r>
      <w:tr>
        <w:trPr>
          <w:trHeight w:val="20"/>
        </w:trPr>
        <w:tc>
          <w:tcPr>
            <w:tcW w:w="2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8"/>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1,092</w:t>
            </w:r>
          </w:p>
        </w:tc>
        <w:tc>
          <w:tcPr>
            <w:tcW w:w="100" w:type="dxa"/>
            <w:vAlign w:val="bottom"/>
          </w:tcPr>
          <w:p>
            <w:pPr>
              <w:spacing w:after="0"/>
              <w:rPr>
                <w:sz w:val="15"/>
                <w:szCs w:val="15"/>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Pr>
          <w:p>
            <w:pPr>
              <w:spacing w:after="0"/>
              <w:rPr>
                <w:sz w:val="15"/>
                <w:szCs w:val="15"/>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tcPr>
          <w:p>
            <w:pPr>
              <w:spacing w:after="0"/>
              <w:rPr>
                <w:sz w:val="15"/>
                <w:szCs w:val="15"/>
                <w:color w:val="auto"/>
              </w:rPr>
            </w:pPr>
          </w:p>
        </w:tc>
        <w:tc>
          <w:tcPr>
            <w:tcW w:w="2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5"/>
                <w:szCs w:val="15"/>
                <w:color w:val="auto"/>
              </w:rPr>
            </w:pPr>
          </w:p>
        </w:tc>
        <w:tc>
          <w:tcPr>
            <w:tcW w:w="2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5"/>
                <w:szCs w:val="15"/>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1,314</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159"/>
        </w:trPr>
        <w:tc>
          <w:tcPr>
            <w:tcW w:w="28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84"/>
        </w:trPr>
        <w:tc>
          <w:tcPr>
            <w:tcW w:w="2800" w:type="dxa"/>
            <w:vAlign w:val="bottom"/>
          </w:tcPr>
          <w:p>
            <w:pPr>
              <w:jc w:val="center"/>
              <w:ind w:right="1451"/>
              <w:spacing w:after="0"/>
              <w:rPr>
                <w:sz w:val="20"/>
                <w:szCs w:val="20"/>
                <w:color w:val="auto"/>
              </w:rPr>
            </w:pPr>
            <w:r>
              <w:rPr>
                <w:rFonts w:ascii="Times New Roman" w:cs="Times New Roman" w:eastAsia="Times New Roman" w:hAnsi="Times New Roman"/>
                <w:sz w:val="14"/>
                <w:szCs w:val="14"/>
                <w:color w:val="auto"/>
                <w:w w:val="96"/>
              </w:rPr>
              <w:t>Total installment</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2"/>
        </w:trPr>
        <w:tc>
          <w:tcPr>
            <w:tcW w:w="2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6"/>
        </w:trPr>
        <w:tc>
          <w:tcPr>
            <w:tcW w:w="28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9,391</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6,896</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9,969</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16,803</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17,692</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19,757</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80,508</w:t>
            </w:r>
          </w:p>
        </w:tc>
      </w:tr>
      <w:tr>
        <w:trPr>
          <w:trHeight w:val="184"/>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45,871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34,782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38,908</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58,070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49,380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50,154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277,165</w:t>
            </w:r>
          </w:p>
        </w:tc>
      </w:tr>
      <w:tr>
        <w:trPr>
          <w:trHeight w:val="22"/>
        </w:trPr>
        <w:tc>
          <w:tcPr>
            <w:tcW w:w="2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6"/>
        </w:trPr>
        <w:tc>
          <w:tcPr>
            <w:tcW w:w="28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18,987</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18,212</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15,514</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24,393</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22,199</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20,954</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120,259</w:t>
            </w:r>
          </w:p>
        </w:tc>
      </w:tr>
      <w:tr>
        <w:trPr>
          <w:trHeight w:val="184"/>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5,333</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38,748</w:t>
            </w:r>
          </w:p>
        </w:tc>
      </w:tr>
      <w:tr>
        <w:trPr>
          <w:trHeight w:val="22"/>
        </w:trPr>
        <w:tc>
          <w:tcPr>
            <w:tcW w:w="2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6"/>
        </w:trPr>
        <w:tc>
          <w:tcPr>
            <w:tcW w:w="28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1,117</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1,579</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2,421</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2,756</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2,091</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11,089</w:t>
            </w:r>
          </w:p>
        </w:tc>
      </w:tr>
      <w:tr>
        <w:trPr>
          <w:trHeight w:val="184"/>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5,129</w:t>
            </w:r>
          </w:p>
        </w:tc>
      </w:tr>
      <w:tr>
        <w:trPr>
          <w:trHeight w:val="22"/>
        </w:trPr>
        <w:tc>
          <w:tcPr>
            <w:tcW w:w="2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6"/>
        </w:trPr>
        <w:tc>
          <w:tcPr>
            <w:tcW w:w="28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3,063</w:t>
            </w:r>
          </w:p>
        </w:tc>
      </w:tr>
      <w:tr>
        <w:trPr>
          <w:trHeight w:val="184"/>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1,092</w:t>
            </w:r>
          </w:p>
        </w:tc>
      </w:tr>
      <w:tr>
        <w:trPr>
          <w:trHeight w:val="22"/>
        </w:trPr>
        <w:tc>
          <w:tcPr>
            <w:tcW w:w="2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6"/>
        </w:trPr>
        <w:tc>
          <w:tcPr>
            <w:tcW w:w="28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w:t>
            </w:r>
          </w:p>
        </w:tc>
      </w:tr>
      <w:tr>
        <w:trPr>
          <w:trHeight w:val="199"/>
        </w:trPr>
        <w:tc>
          <w:tcPr>
            <w:tcW w:w="2800" w:type="dxa"/>
            <w:vAlign w:val="bottom"/>
          </w:tcPr>
          <w:p>
            <w:pPr>
              <w:jc w:val="center"/>
              <w:ind w:right="1491"/>
              <w:spacing w:after="0"/>
              <w:rPr>
                <w:sz w:val="20"/>
                <w:szCs w:val="20"/>
                <w:color w:val="auto"/>
              </w:rPr>
            </w:pPr>
            <w:r>
              <w:rPr>
                <w:rFonts w:ascii="Times New Roman" w:cs="Times New Roman" w:eastAsia="Times New Roman" w:hAnsi="Times New Roman"/>
                <w:sz w:val="14"/>
                <w:szCs w:val="14"/>
                <w:color w:val="auto"/>
                <w:w w:val="94"/>
              </w:rPr>
              <w:t>Total</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82,458</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67,106</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72,349</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110,990</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102,628</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102,376</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537,907</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8"/>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1,548</w:t>
            </w:r>
          </w:p>
        </w:tc>
      </w:tr>
      <w:tr>
        <w:trPr>
          <w:trHeight w:val="20"/>
        </w:trPr>
        <w:tc>
          <w:tcPr>
            <w:tcW w:w="2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8"/>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1,092</w:t>
            </w:r>
          </w:p>
        </w:tc>
        <w:tc>
          <w:tcPr>
            <w:tcW w:w="100" w:type="dxa"/>
            <w:vAlign w:val="bottom"/>
          </w:tcPr>
          <w:p>
            <w:pPr>
              <w:spacing w:after="0"/>
              <w:rPr>
                <w:sz w:val="15"/>
                <w:szCs w:val="15"/>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Pr>
          <w:p>
            <w:pPr>
              <w:spacing w:after="0"/>
              <w:rPr>
                <w:sz w:val="15"/>
                <w:szCs w:val="15"/>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80" w:type="dxa"/>
            <w:vAlign w:val="bottom"/>
          </w:tcPr>
          <w:p>
            <w:pPr>
              <w:spacing w:after="0"/>
              <w:rPr>
                <w:sz w:val="15"/>
                <w:szCs w:val="15"/>
                <w:color w:val="auto"/>
              </w:rPr>
            </w:pPr>
          </w:p>
        </w:tc>
        <w:tc>
          <w:tcPr>
            <w:tcW w:w="2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80" w:type="dxa"/>
            <w:vAlign w:val="bottom"/>
          </w:tcPr>
          <w:p>
            <w:pPr>
              <w:spacing w:after="0"/>
              <w:rPr>
                <w:sz w:val="15"/>
                <w:szCs w:val="15"/>
                <w:color w:val="auto"/>
              </w:rPr>
            </w:pPr>
          </w:p>
        </w:tc>
        <w:tc>
          <w:tcPr>
            <w:tcW w:w="2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tcPr>
          <w:p>
            <w:pPr>
              <w:spacing w:after="0"/>
              <w:rPr>
                <w:sz w:val="15"/>
                <w:szCs w:val="15"/>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2,572</w:t>
            </w:r>
          </w:p>
        </w:tc>
      </w:tr>
      <w:tr>
        <w:trPr>
          <w:trHeight w:val="20"/>
        </w:trPr>
        <w:tc>
          <w:tcPr>
            <w:tcW w:w="2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Credit scores have been updated within the last twelve months.</w:t>
      </w:r>
    </w:p>
    <w:p>
      <w:pPr>
        <w:sectPr>
          <w:pgSz w:w="11900" w:h="16838" w:orient="portrait"/>
          <w:cols w:equalWidth="0" w:num="1">
            <w:col w:w="11240"/>
          </w:cols>
          <w:pgMar w:left="320" w:top="119" w:right="339" w:bottom="1089" w:gutter="0" w:footer="0" w:header="0"/>
        </w:sectPr>
      </w:pPr>
    </w:p>
    <w:p>
      <w:pPr>
        <w:spacing w:after="0" w:line="34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089"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Foreclosed residential real estate properties included in other real estate and repossessed assets, net on our interim Condensed Consolidated Statements of Financial Condition totaled $0.7 million and $0.8 million at September 30, 2026 and December 31, 2025, respectively. Retail mortgage loans secured by residential real estate properties for which formal foreclosure proceedings are in process according to local requirements totaled $2.0 million and $1.9 million at September 30, 2026 and December 31, 2025, respectively.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three and nine month periods ended September 30, 2026, we sold $2.2 million and $5.2 million, respectively, of portfolio residential mortgage loans</w:t>
      </w:r>
    </w:p>
    <w:p>
      <w:pPr>
        <w:spacing w:after="0" w:line="2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7"/>
          <w:szCs w:val="17"/>
          <w:color w:val="auto"/>
        </w:rPr>
        <w:t xml:space="preserve">servicing retained and recognized a gain on sale of $0.03 million </w:t>
      </w:r>
      <w:r>
        <w:rPr>
          <w:rFonts w:ascii="Times New Roman" w:cs="Times New Roman" w:eastAsia="Times New Roman" w:hAnsi="Times New Roman"/>
          <w:sz w:val="20"/>
          <w:szCs w:val="20"/>
          <w:color w:val="auto"/>
        </w:rPr>
        <w:t>and</w:t>
      </w:r>
      <w:r>
        <w:rPr>
          <w:rFonts w:ascii="Times New Roman" w:cs="Times New Roman" w:eastAsia="Times New Roman" w:hAnsi="Times New Roman"/>
          <w:sz w:val="17"/>
          <w:szCs w:val="17"/>
          <w:color w:val="auto"/>
        </w:rPr>
        <w:t xml:space="preserve"> $0.11 million, respectively. During the three and nine month periods ended September 30, 2025, we sold $4.5 million and $19.9 million, respectively, of portfolio residential mortgage loans servicing retained and recognized a gain on sale of $0.07 million and $0.37 million, respectively. These gains are included in net gains (losses) on assets - mortgage loans on our interim Condensed Consolidated Statements of Operations. These transactions were done primarily for asset/liability management purposes.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p>
      <w:pPr>
        <w:ind w:left="300" w:hanging="297"/>
        <w:spacing w:after="0"/>
        <w:tabs>
          <w:tab w:leader="none" w:pos="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Shareholders’ Equity and Earnings Per Common Share</w:t>
      </w:r>
    </w:p>
    <w:p>
      <w:pPr>
        <w:spacing w:after="0" w:line="1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December 16, 2025, our Board of Directors authorized a share repurchase plan (the “Repurchase Plan”) to buy back up to 1,100,000 shares of our outstanding common stock through December 31, 2026. Shares may be repurchased through open market transactions, or through other means, such as privately negotiated transactions. The timing and amount of any share repurchases will depend on a variety of factors, including, among others, securities law restrictions, the trading price of our common stock, regulatory requirements, potential alternative uses for capital, and our financial performance. During both the three and nine month periods ended September 30, 2026, we repurchased 119,425 shares of common stock, respectively for an aggregate purchase price of $4.16 million. During the three and nine month periods ended September 30, 2025 there were 13,732 and 266,008 shares of common stock repurchased, respectively, for an aggregate purchase price of $0.41 million and $7.77 million, respectively.</w:t>
      </w:r>
    </w:p>
    <w:p>
      <w:pPr>
        <w:sectPr>
          <w:pgSz w:w="11900" w:h="16838" w:orient="portrait"/>
          <w:cols w:equalWidth="0" w:num="1">
            <w:col w:w="11240"/>
          </w:cols>
          <w:pgMar w:left="320" w:top="119" w:right="339" w:bottom="1440" w:gutter="0" w:footer="0" w:header="0"/>
        </w:sectPr>
      </w:pP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reconciliation of basic and diluted net income per common share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249"/>
        </w:trPr>
        <w:tc>
          <w:tcPr>
            <w:tcW w:w="4820" w:type="dxa"/>
            <w:vAlign w:val="bottom"/>
          </w:tcPr>
          <w:p>
            <w:pPr>
              <w:spacing w:after="0"/>
              <w:rPr>
                <w:sz w:val="20"/>
                <w:szCs w:val="20"/>
                <w:color w:val="auto"/>
              </w:rPr>
            </w:pPr>
            <w:r>
              <w:rPr>
                <w:rFonts w:ascii="Times New Roman" w:cs="Times New Roman" w:eastAsia="Times New Roman" w:hAnsi="Times New Roman"/>
                <w:sz w:val="17"/>
                <w:szCs w:val="17"/>
                <w:color w:val="auto"/>
              </w:rPr>
              <w:t>Net income</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490"/>
        </w:trPr>
        <w:tc>
          <w:tcPr>
            <w:tcW w:w="4820" w:type="dxa"/>
            <w:vAlign w:val="bottom"/>
          </w:tcPr>
          <w:p>
            <w:pPr>
              <w:spacing w:after="0"/>
              <w:rPr>
                <w:sz w:val="20"/>
                <w:szCs w:val="20"/>
                <w:color w:val="auto"/>
              </w:rPr>
            </w:pPr>
            <w:r>
              <w:rPr>
                <w:rFonts w:ascii="Times New Roman" w:cs="Times New Roman" w:eastAsia="Times New Roman" w:hAnsi="Times New Roman"/>
                <w:sz w:val="17"/>
                <w:szCs w:val="17"/>
                <w:color w:val="auto"/>
              </w:rPr>
              <w:t>Weighted average shares outstanding (1)</w:t>
            </w:r>
          </w:p>
        </w:tc>
        <w:tc>
          <w:tcPr>
            <w:tcW w:w="300" w:type="dxa"/>
            <w:vAlign w:val="bottom"/>
          </w:tcPr>
          <w:p>
            <w:pPr>
              <w:spacing w:after="0"/>
              <w:rPr>
                <w:sz w:val="24"/>
                <w:szCs w:val="24"/>
                <w:color w:val="auto"/>
              </w:rPr>
            </w:pPr>
          </w:p>
        </w:tc>
      </w:tr>
      <w:tr>
        <w:trPr>
          <w:trHeight w:val="189"/>
        </w:trPr>
        <w:tc>
          <w:tcPr>
            <w:tcW w:w="482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Stock units for deferred compensation plan for non-employee</w:t>
            </w:r>
          </w:p>
        </w:tc>
        <w:tc>
          <w:tcPr>
            <w:tcW w:w="300" w:type="dxa"/>
            <w:vAlign w:val="bottom"/>
          </w:tcPr>
          <w:p>
            <w:pPr>
              <w:spacing w:after="0"/>
              <w:rPr>
                <w:sz w:val="16"/>
                <w:szCs w:val="16"/>
                <w:color w:val="auto"/>
              </w:rPr>
            </w:pPr>
          </w:p>
        </w:tc>
      </w:tr>
      <w:tr>
        <w:trPr>
          <w:trHeight w:val="223"/>
        </w:trPr>
        <w:tc>
          <w:tcPr>
            <w:tcW w:w="482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directors</w:t>
            </w:r>
          </w:p>
        </w:tc>
        <w:tc>
          <w:tcPr>
            <w:tcW w:w="300" w:type="dxa"/>
            <w:vAlign w:val="bottom"/>
          </w:tcPr>
          <w:p>
            <w:pPr>
              <w:spacing w:after="0"/>
              <w:rPr>
                <w:sz w:val="19"/>
                <w:szCs w:val="19"/>
                <w:color w:val="auto"/>
              </w:rPr>
            </w:pPr>
          </w:p>
        </w:tc>
      </w:tr>
      <w:tr>
        <w:trPr>
          <w:trHeight w:val="232"/>
        </w:trPr>
        <w:tc>
          <w:tcPr>
            <w:tcW w:w="48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Performance share units</w:t>
            </w:r>
          </w:p>
        </w:tc>
        <w:tc>
          <w:tcPr>
            <w:tcW w:w="300" w:type="dxa"/>
            <w:vAlign w:val="bottom"/>
          </w:tcPr>
          <w:p>
            <w:pPr>
              <w:spacing w:after="0"/>
              <w:rPr>
                <w:sz w:val="20"/>
                <w:szCs w:val="20"/>
                <w:color w:val="auto"/>
              </w:rPr>
            </w:pPr>
          </w:p>
        </w:tc>
      </w:tr>
      <w:tr>
        <w:trPr>
          <w:trHeight w:val="232"/>
        </w:trPr>
        <w:tc>
          <w:tcPr>
            <w:tcW w:w="48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Effect of stock options</w:t>
            </w:r>
          </w:p>
        </w:tc>
        <w:tc>
          <w:tcPr>
            <w:tcW w:w="300" w:type="dxa"/>
            <w:vAlign w:val="bottom"/>
          </w:tcPr>
          <w:p>
            <w:pPr>
              <w:spacing w:after="0"/>
              <w:rPr>
                <w:sz w:val="20"/>
                <w:szCs w:val="20"/>
                <w:color w:val="auto"/>
              </w:rPr>
            </w:pPr>
          </w:p>
        </w:tc>
      </w:tr>
      <w:tr>
        <w:trPr>
          <w:trHeight w:val="189"/>
        </w:trPr>
        <w:tc>
          <w:tcPr>
            <w:tcW w:w="4820" w:type="dxa"/>
            <w:vAlign w:val="bottom"/>
          </w:tcPr>
          <w:p>
            <w:pPr>
              <w:ind w:left="300"/>
              <w:spacing w:after="0" w:line="189" w:lineRule="exact"/>
              <w:rPr>
                <w:sz w:val="20"/>
                <w:szCs w:val="20"/>
                <w:color w:val="auto"/>
              </w:rPr>
            </w:pPr>
            <w:r>
              <w:rPr>
                <w:rFonts w:ascii="Times New Roman" w:cs="Times New Roman" w:eastAsia="Times New Roman" w:hAnsi="Times New Roman"/>
                <w:sz w:val="17"/>
                <w:szCs w:val="17"/>
                <w:color w:val="auto"/>
              </w:rPr>
              <w:t>Weighted average shares outstanding for calculation of diluted</w:t>
            </w:r>
          </w:p>
        </w:tc>
        <w:tc>
          <w:tcPr>
            <w:tcW w:w="300" w:type="dxa"/>
            <w:vAlign w:val="bottom"/>
          </w:tcPr>
          <w:p>
            <w:pPr>
              <w:spacing w:after="0"/>
              <w:rPr>
                <w:sz w:val="16"/>
                <w:szCs w:val="16"/>
                <w:color w:val="auto"/>
              </w:rPr>
            </w:pPr>
          </w:p>
        </w:tc>
      </w:tr>
      <w:tr>
        <w:trPr>
          <w:trHeight w:val="223"/>
        </w:trPr>
        <w:tc>
          <w:tcPr>
            <w:tcW w:w="4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earnings per share</w:t>
            </w:r>
          </w:p>
        </w:tc>
        <w:tc>
          <w:tcPr>
            <w:tcW w:w="300" w:type="dxa"/>
            <w:vAlign w:val="bottom"/>
          </w:tcPr>
          <w:p>
            <w:pPr>
              <w:spacing w:after="0"/>
              <w:rPr>
                <w:sz w:val="19"/>
                <w:szCs w:val="19"/>
                <w:color w:val="auto"/>
              </w:rPr>
            </w:pPr>
          </w:p>
        </w:tc>
      </w:tr>
      <w:tr>
        <w:trPr>
          <w:trHeight w:val="490"/>
        </w:trPr>
        <w:tc>
          <w:tcPr>
            <w:tcW w:w="4820" w:type="dxa"/>
            <w:vAlign w:val="bottom"/>
          </w:tcPr>
          <w:p>
            <w:pPr>
              <w:spacing w:after="0"/>
              <w:rPr>
                <w:sz w:val="20"/>
                <w:szCs w:val="20"/>
                <w:color w:val="auto"/>
              </w:rPr>
            </w:pPr>
            <w:r>
              <w:rPr>
                <w:rFonts w:ascii="Times New Roman" w:cs="Times New Roman" w:eastAsia="Times New Roman" w:hAnsi="Times New Roman"/>
                <w:sz w:val="17"/>
                <w:szCs w:val="17"/>
                <w:color w:val="auto"/>
              </w:rPr>
              <w:t>Net income per common share</w:t>
            </w:r>
          </w:p>
        </w:tc>
        <w:tc>
          <w:tcPr>
            <w:tcW w:w="300" w:type="dxa"/>
            <w:vAlign w:val="bottom"/>
          </w:tcPr>
          <w:p>
            <w:pPr>
              <w:spacing w:after="0"/>
              <w:rPr>
                <w:sz w:val="24"/>
                <w:szCs w:val="24"/>
                <w:color w:val="auto"/>
              </w:rPr>
            </w:pPr>
          </w:p>
        </w:tc>
      </w:tr>
      <w:tr>
        <w:trPr>
          <w:trHeight w:val="258"/>
        </w:trPr>
        <w:tc>
          <w:tcPr>
            <w:tcW w:w="48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Basic (1)</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84"/>
        </w:trPr>
        <w:tc>
          <w:tcPr>
            <w:tcW w:w="48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Diluted</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560" w:type="dxa"/>
            <w:vAlign w:val="bottom"/>
            <w:gridSpan w:val="4"/>
          </w:tcPr>
          <w:p>
            <w:pPr>
              <w:ind w:left="220"/>
              <w:spacing w:after="0"/>
              <w:rPr>
                <w:sz w:val="20"/>
                <w:szCs w:val="20"/>
                <w:color w:val="auto"/>
              </w:rPr>
            </w:pPr>
            <w:r>
              <w:rPr>
                <w:rFonts w:ascii="Times New Roman" w:cs="Times New Roman" w:eastAsia="Times New Roman" w:hAnsi="Times New Roman"/>
                <w:sz w:val="17"/>
                <w:szCs w:val="17"/>
                <w:color w:val="auto"/>
              </w:rPr>
              <w:t>Three Months Ended</w:t>
            </w:r>
          </w:p>
        </w:tc>
        <w:tc>
          <w:tcPr>
            <w:tcW w:w="520" w:type="dxa"/>
            <w:vAlign w:val="bottom"/>
          </w:tcPr>
          <w:p>
            <w:pPr>
              <w:spacing w:after="0"/>
              <w:rPr>
                <w:sz w:val="17"/>
                <w:szCs w:val="17"/>
                <w:color w:val="auto"/>
              </w:rPr>
            </w:pPr>
          </w:p>
        </w:tc>
        <w:tc>
          <w:tcPr>
            <w:tcW w:w="2540" w:type="dxa"/>
            <w:vAlign w:val="bottom"/>
            <w:gridSpan w:val="4"/>
          </w:tcPr>
          <w:p>
            <w:pPr>
              <w:jc w:val="right"/>
              <w:ind w:right="754"/>
              <w:spacing w:after="0"/>
              <w:rPr>
                <w:sz w:val="20"/>
                <w:szCs w:val="20"/>
                <w:color w:val="auto"/>
              </w:rPr>
            </w:pPr>
            <w:r>
              <w:rPr>
                <w:rFonts w:ascii="Times New Roman" w:cs="Times New Roman" w:eastAsia="Times New Roman" w:hAnsi="Times New Roman"/>
                <w:sz w:val="17"/>
                <w:szCs w:val="17"/>
                <w:color w:val="auto"/>
              </w:rPr>
              <w:t>Nine Months Ended</w:t>
            </w:r>
          </w:p>
        </w:tc>
      </w:tr>
      <w:tr>
        <w:trPr>
          <w:trHeight w:val="223"/>
        </w:trPr>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September 30,</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September 30,</w:t>
            </w:r>
          </w:p>
        </w:tc>
        <w:tc>
          <w:tcPr>
            <w:tcW w:w="960" w:type="dxa"/>
            <w:vAlign w:val="bottom"/>
          </w:tcPr>
          <w:p>
            <w:pPr>
              <w:spacing w:after="0"/>
              <w:rPr>
                <w:sz w:val="19"/>
                <w:szCs w:val="19"/>
                <w:color w:val="auto"/>
              </w:rPr>
            </w:pPr>
          </w:p>
        </w:tc>
      </w:tr>
      <w:tr>
        <w:trPr>
          <w:trHeight w:val="232"/>
        </w:trPr>
        <w:tc>
          <w:tcPr>
            <w:tcW w:w="100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w w:val="93"/>
              </w:rPr>
              <w:t>2026</w:t>
            </w:r>
          </w:p>
        </w:tc>
        <w:tc>
          <w:tcPr>
            <w:tcW w:w="500" w:type="dxa"/>
            <w:vAlign w:val="bottom"/>
          </w:tcPr>
          <w:p>
            <w:pPr>
              <w:spacing w:after="0"/>
              <w:rPr>
                <w:sz w:val="20"/>
                <w:szCs w:val="20"/>
                <w:color w:val="auto"/>
              </w:rPr>
            </w:pPr>
          </w:p>
        </w:tc>
        <w:tc>
          <w:tcPr>
            <w:tcW w:w="980" w:type="dxa"/>
            <w:vAlign w:val="bottom"/>
          </w:tcPr>
          <w:p>
            <w:pPr>
              <w:jc w:val="right"/>
              <w:ind w:right="494"/>
              <w:spacing w:after="0"/>
              <w:rPr>
                <w:sz w:val="20"/>
                <w:szCs w:val="20"/>
                <w:color w:val="auto"/>
              </w:rPr>
            </w:pPr>
            <w:r>
              <w:rPr>
                <w:rFonts w:ascii="Times New Roman" w:cs="Times New Roman" w:eastAsia="Times New Roman" w:hAnsi="Times New Roman"/>
                <w:sz w:val="17"/>
                <w:szCs w:val="17"/>
                <w:color w:val="auto"/>
              </w:rPr>
              <w:t>2025</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ind w:right="494"/>
              <w:spacing w:after="0"/>
              <w:rPr>
                <w:sz w:val="20"/>
                <w:szCs w:val="20"/>
                <w:color w:val="auto"/>
              </w:rPr>
            </w:pPr>
            <w:r>
              <w:rPr>
                <w:rFonts w:ascii="Times New Roman" w:cs="Times New Roman" w:eastAsia="Times New Roman" w:hAnsi="Times New Roman"/>
                <w:sz w:val="17"/>
                <w:szCs w:val="17"/>
                <w:color w:val="auto"/>
              </w:rPr>
              <w:t>2026</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2025</w:t>
            </w:r>
          </w:p>
        </w:tc>
      </w:tr>
      <w:tr>
        <w:trPr>
          <w:trHeight w:val="202"/>
        </w:trPr>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40" w:type="dxa"/>
            <w:vAlign w:val="bottom"/>
            <w:gridSpan w:val="5"/>
          </w:tcPr>
          <w:p>
            <w:pPr>
              <w:ind w:left="300"/>
              <w:spacing w:after="0"/>
              <w:rPr>
                <w:sz w:val="20"/>
                <w:szCs w:val="20"/>
                <w:color w:val="auto"/>
              </w:rPr>
            </w:pPr>
            <w:r>
              <w:rPr>
                <w:rFonts w:ascii="Times New Roman" w:cs="Times New Roman" w:eastAsia="Times New Roman" w:hAnsi="Times New Roman"/>
                <w:sz w:val="17"/>
                <w:szCs w:val="17"/>
                <w:color w:val="auto"/>
              </w:rPr>
              <w:t>(In thousands, except</w:t>
            </w: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23"/>
        </w:trPr>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per share data)</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2"/>
        </w:trPr>
        <w:tc>
          <w:tcPr>
            <w:tcW w:w="10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17,850</w:t>
            </w:r>
          </w:p>
        </w:tc>
        <w:tc>
          <w:tcPr>
            <w:tcW w:w="5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17,502</w:t>
            </w:r>
          </w:p>
        </w:tc>
        <w:tc>
          <w:tcPr>
            <w:tcW w:w="80" w:type="dxa"/>
            <w:vAlign w:val="bottom"/>
          </w:tcPr>
          <w:p>
            <w:pPr>
              <w:spacing w:after="0"/>
              <w:rPr>
                <w:sz w:val="20"/>
                <w:szCs w:val="20"/>
                <w:color w:val="auto"/>
              </w:rPr>
            </w:pPr>
          </w:p>
        </w:tc>
        <w:tc>
          <w:tcPr>
            <w:tcW w:w="5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53,530</w:t>
            </w:r>
          </w:p>
        </w:tc>
        <w:tc>
          <w:tcPr>
            <w:tcW w:w="80" w:type="dxa"/>
            <w:vAlign w:val="bottom"/>
          </w:tcPr>
          <w:p>
            <w:pPr>
              <w:spacing w:after="0"/>
              <w:rPr>
                <w:sz w:val="20"/>
                <w:szCs w:val="20"/>
                <w:color w:val="auto"/>
              </w:rPr>
            </w:pP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49,969</w:t>
            </w:r>
          </w:p>
        </w:tc>
      </w:tr>
      <w:tr>
        <w:trPr>
          <w:trHeight w:val="20"/>
        </w:trPr>
        <w:tc>
          <w:tcPr>
            <w:tcW w:w="10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56"/>
        </w:trPr>
        <w:tc>
          <w:tcPr>
            <w:tcW w:w="10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22,136</w:t>
            </w:r>
          </w:p>
        </w:tc>
        <w:tc>
          <w:tcPr>
            <w:tcW w:w="5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20,702</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21,111</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20,797</w:t>
            </w:r>
          </w:p>
        </w:tc>
      </w:tr>
      <w:tr>
        <w:trPr>
          <w:trHeight w:val="413"/>
        </w:trPr>
        <w:tc>
          <w:tcPr>
            <w:tcW w:w="10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185</w:t>
            </w:r>
          </w:p>
        </w:tc>
        <w:tc>
          <w:tcPr>
            <w:tcW w:w="5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w:t>
            </w:r>
          </w:p>
        </w:tc>
      </w:tr>
      <w:tr>
        <w:trPr>
          <w:trHeight w:val="232"/>
        </w:trPr>
        <w:tc>
          <w:tcPr>
            <w:tcW w:w="10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26</w:t>
            </w: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32"/>
        </w:trPr>
        <w:tc>
          <w:tcPr>
            <w:tcW w:w="10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367"/>
        </w:trPr>
        <w:tc>
          <w:tcPr>
            <w:tcW w:w="10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22,347</w:t>
            </w:r>
          </w:p>
        </w:tc>
        <w:tc>
          <w:tcPr>
            <w:tcW w:w="50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20,905</w:t>
            </w:r>
          </w:p>
        </w:tc>
        <w:tc>
          <w:tcPr>
            <w:tcW w:w="80" w:type="dxa"/>
            <w:vAlign w:val="bottom"/>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21,317</w:t>
            </w:r>
          </w:p>
        </w:tc>
        <w:tc>
          <w:tcPr>
            <w:tcW w:w="80" w:type="dxa"/>
            <w:vAlign w:val="bottom"/>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21,001</w:t>
            </w:r>
          </w:p>
        </w:tc>
      </w:tr>
      <w:tr>
        <w:trPr>
          <w:trHeight w:val="20"/>
        </w:trPr>
        <w:tc>
          <w:tcPr>
            <w:tcW w:w="10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688"/>
        </w:trPr>
        <w:tc>
          <w:tcPr>
            <w:tcW w:w="10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0.81</w:t>
            </w:r>
          </w:p>
        </w:tc>
        <w:tc>
          <w:tcPr>
            <w:tcW w:w="5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0.85</w:t>
            </w:r>
          </w:p>
        </w:tc>
        <w:tc>
          <w:tcPr>
            <w:tcW w:w="80" w:type="dxa"/>
            <w:vAlign w:val="bottom"/>
          </w:tcPr>
          <w:p>
            <w:pPr>
              <w:spacing w:after="0"/>
              <w:rPr>
                <w:sz w:val="24"/>
                <w:szCs w:val="24"/>
                <w:color w:val="auto"/>
              </w:rPr>
            </w:pPr>
          </w:p>
        </w:tc>
        <w:tc>
          <w:tcPr>
            <w:tcW w:w="5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80" w:type="dxa"/>
            <w:vAlign w:val="bottom"/>
          </w:tcPr>
          <w:p>
            <w:pPr>
              <w:spacing w:after="0"/>
              <w:rPr>
                <w:sz w:val="24"/>
                <w:szCs w:val="24"/>
                <w:color w:val="auto"/>
              </w:rPr>
            </w:pP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2.40</w:t>
            </w:r>
          </w:p>
        </w:tc>
      </w:tr>
      <w:tr>
        <w:trPr>
          <w:trHeight w:val="20"/>
        </w:trPr>
        <w:tc>
          <w:tcPr>
            <w:tcW w:w="10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4"/>
        </w:trPr>
        <w:tc>
          <w:tcPr>
            <w:tcW w:w="10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0.80</w:t>
            </w:r>
          </w:p>
        </w:tc>
        <w:tc>
          <w:tcPr>
            <w:tcW w:w="5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0.84</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2.51</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w:t>
            </w:r>
          </w:p>
        </w:tc>
      </w:tr>
      <w:tr>
        <w:trPr>
          <w:trHeight w:val="20"/>
        </w:trPr>
        <w:tc>
          <w:tcPr>
            <w:tcW w:w="10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-3566160</wp:posOffset>
            </wp:positionH>
            <wp:positionV relativeFrom="paragraph">
              <wp:posOffset>-1636395</wp:posOffset>
            </wp:positionV>
            <wp:extent cx="7138670" cy="1473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8670" cy="147320"/>
                    </a:xfrm>
                    <a:prstGeom prst="rect">
                      <a:avLst/>
                    </a:prstGeom>
                    <a:noFill/>
                  </pic:spPr>
                </pic:pic>
              </a:graphicData>
            </a:graphic>
          </wp:anchor>
        </w:drawing>
        <w:drawing>
          <wp:anchor simplePos="0" relativeHeight="251657728" behindDoc="1" locked="0" layoutInCell="0" allowOverlap="1">
            <wp:simplePos x="0" y="0"/>
            <wp:positionH relativeFrom="column">
              <wp:posOffset>-3566160</wp:posOffset>
            </wp:positionH>
            <wp:positionV relativeFrom="paragraph">
              <wp:posOffset>-1227455</wp:posOffset>
            </wp:positionV>
            <wp:extent cx="7138670" cy="1473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8670" cy="147320"/>
                    </a:xfrm>
                    <a:prstGeom prst="rect">
                      <a:avLst/>
                    </a:prstGeom>
                    <a:noFill/>
                  </pic:spPr>
                </pic:pic>
              </a:graphicData>
            </a:graphic>
          </wp:anchor>
        </w:drawing>
        <w:drawing>
          <wp:anchor simplePos="0" relativeHeight="251657728" behindDoc="1" locked="0" layoutInCell="0" allowOverlap="1">
            <wp:simplePos x="0" y="0"/>
            <wp:positionH relativeFrom="column">
              <wp:posOffset>-3566160</wp:posOffset>
            </wp:positionH>
            <wp:positionV relativeFrom="paragraph">
              <wp:posOffset>-506730</wp:posOffset>
            </wp:positionV>
            <wp:extent cx="7138670" cy="1473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8670" cy="147320"/>
                    </a:xfrm>
                    <a:prstGeom prst="rect">
                      <a:avLst/>
                    </a:prstGeom>
                    <a:noFill/>
                  </pic:spPr>
                </pic:pic>
              </a:graphicData>
            </a:graphic>
          </wp:anchor>
        </w:drawing>
        <w:drawing>
          <wp:anchor simplePos="0" relativeHeight="251657728" behindDoc="1" locked="0" layoutInCell="0" allowOverlap="1">
            <wp:simplePos x="0" y="0"/>
            <wp:positionH relativeFrom="column">
              <wp:posOffset>-3566160</wp:posOffset>
            </wp:positionH>
            <wp:positionV relativeFrom="paragraph">
              <wp:posOffset>-212090</wp:posOffset>
            </wp:positionV>
            <wp:extent cx="7138670" cy="2127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8670" cy="212725"/>
                    </a:xfrm>
                    <a:prstGeom prst="rect">
                      <a:avLst/>
                    </a:prstGeom>
                    <a:noFill/>
                  </pic:spPr>
                </pic:pic>
              </a:graphicData>
            </a:graphic>
          </wp:anchor>
        </w:drawing>
        <w:drawing>
          <wp:anchor simplePos="0" relativeHeight="251657728" behindDoc="1" locked="0" layoutInCell="0" allowOverlap="1">
            <wp:simplePos x="0" y="0"/>
            <wp:positionH relativeFrom="column">
              <wp:posOffset>-3566160</wp:posOffset>
            </wp:positionH>
            <wp:positionV relativeFrom="paragraph">
              <wp:posOffset>-932815</wp:posOffset>
            </wp:positionV>
            <wp:extent cx="7138670" cy="2781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8670" cy="278130"/>
                    </a:xfrm>
                    <a:prstGeom prst="rect">
                      <a:avLst/>
                    </a:prstGeom>
                    <a:noFill/>
                  </pic:spPr>
                </pic:pic>
              </a:graphicData>
            </a:graphic>
          </wp:anchor>
        </w:drawing>
        <w:drawing>
          <wp:anchor simplePos="0" relativeHeight="251657728" behindDoc="1" locked="0" layoutInCell="0" allowOverlap="1">
            <wp:simplePos x="0" y="0"/>
            <wp:positionH relativeFrom="column">
              <wp:posOffset>-3566160</wp:posOffset>
            </wp:positionH>
            <wp:positionV relativeFrom="paragraph">
              <wp:posOffset>-1964055</wp:posOffset>
            </wp:positionV>
            <wp:extent cx="7138670" cy="1803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8670" cy="18034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-2233930</wp:posOffset>
            </wp:positionV>
            <wp:extent cx="39376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93763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20" w:space="400"/>
            <w:col w:w="5620"/>
          </w:cols>
          <w:pgMar w:left="320" w:top="119"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Basic net income per common share includes weighted average common shares outstanding during the period.</w:t>
      </w:r>
    </w:p>
    <w:p>
      <w:pPr>
        <w:spacing w:after="0" w:line="19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Weighted average stock options outstanding that were not considered in computing diluted net income per common share because they were anti-dilutive were zero for the three and nine month periods ended September 30, 2026 and 2025, respectively.</w:t>
      </w:r>
    </w:p>
    <w:p>
      <w:pPr>
        <w:spacing w:after="0" w:line="35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ind w:left="300" w:hanging="297"/>
        <w:spacing w:after="0"/>
        <w:tabs>
          <w:tab w:leader="none" w:pos="3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Derivative Financial Instruments</w:t>
      </w:r>
    </w:p>
    <w:p>
      <w:pPr>
        <w:spacing w:after="0" w:line="19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7"/>
          <w:szCs w:val="17"/>
          <w:color w:val="auto"/>
        </w:rPr>
        <w:t>We are required to record derivatives on our interim Condensed Consolidated Statements of Financial Condition as assets and liabilities measured at their fair value. The accounting for increases and decreases in the value of derivatives depends upon the use of derivatives and whether the derivatives qualify for hedge accounting.</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derivative financial instruments according to the type of hedge in which they are designated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September 30, 2026</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5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vMerge w:val="restart"/>
          </w:tcPr>
          <w:p>
            <w:pPr>
              <w:jc w:val="right"/>
              <w:ind w:right="354"/>
              <w:spacing w:after="0"/>
              <w:rPr>
                <w:sz w:val="20"/>
                <w:szCs w:val="20"/>
                <w:color w:val="auto"/>
              </w:rPr>
            </w:pPr>
            <w:r>
              <w:rPr>
                <w:rFonts w:ascii="Times New Roman" w:cs="Times New Roman" w:eastAsia="Times New Roman" w:hAnsi="Times New Roman"/>
                <w:sz w:val="17"/>
                <w:szCs w:val="17"/>
                <w:color w:val="auto"/>
              </w:rPr>
              <w:t>Notional</w:t>
            </w:r>
          </w:p>
        </w:tc>
        <w:tc>
          <w:tcPr>
            <w:tcW w:w="1660" w:type="dxa"/>
            <w:vAlign w:val="bottom"/>
          </w:tcPr>
          <w:p>
            <w:pPr>
              <w:jc w:val="center"/>
              <w:spacing w:after="0" w:line="183" w:lineRule="exact"/>
              <w:rPr>
                <w:sz w:val="20"/>
                <w:szCs w:val="20"/>
                <w:color w:val="auto"/>
              </w:rPr>
            </w:pPr>
            <w:r>
              <w:rPr>
                <w:rFonts w:ascii="Times New Roman" w:cs="Times New Roman" w:eastAsia="Times New Roman" w:hAnsi="Times New Roman"/>
                <w:sz w:val="17"/>
                <w:szCs w:val="17"/>
                <w:color w:val="auto"/>
              </w:rPr>
              <w:t>Average</w:t>
            </w:r>
          </w:p>
        </w:tc>
        <w:tc>
          <w:tcPr>
            <w:tcW w:w="320" w:type="dxa"/>
            <w:vAlign w:val="bottom"/>
          </w:tcPr>
          <w:p>
            <w:pPr>
              <w:spacing w:after="0"/>
              <w:rPr>
                <w:sz w:val="15"/>
                <w:szCs w:val="15"/>
                <w:color w:val="auto"/>
              </w:rPr>
            </w:pPr>
          </w:p>
        </w:tc>
        <w:tc>
          <w:tcPr>
            <w:tcW w:w="1160" w:type="dxa"/>
            <w:vAlign w:val="bottom"/>
            <w:vMerge w:val="restart"/>
          </w:tcPr>
          <w:p>
            <w:pPr>
              <w:jc w:val="right"/>
              <w:ind w:right="514"/>
              <w:spacing w:after="0"/>
              <w:rPr>
                <w:sz w:val="20"/>
                <w:szCs w:val="20"/>
                <w:color w:val="auto"/>
              </w:rPr>
            </w:pPr>
            <w:r>
              <w:rPr>
                <w:rFonts w:ascii="Times New Roman" w:cs="Times New Roman" w:eastAsia="Times New Roman" w:hAnsi="Times New Roman"/>
                <w:sz w:val="17"/>
                <w:szCs w:val="17"/>
                <w:color w:val="auto"/>
              </w:rPr>
              <w:t>Fair</w:t>
            </w:r>
          </w:p>
        </w:tc>
        <w:tc>
          <w:tcPr>
            <w:tcW w:w="0" w:type="dxa"/>
            <w:vAlign w:val="bottom"/>
          </w:tcPr>
          <w:p>
            <w:pPr>
              <w:spacing w:after="0"/>
              <w:rPr>
                <w:sz w:val="1"/>
                <w:szCs w:val="1"/>
                <w:color w:val="auto"/>
              </w:rPr>
            </w:pPr>
          </w:p>
        </w:tc>
      </w:tr>
      <w:tr>
        <w:trPr>
          <w:trHeight w:val="171"/>
        </w:trPr>
        <w:tc>
          <w:tcPr>
            <w:tcW w:w="5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660" w:type="dxa"/>
            <w:vAlign w:val="bottom"/>
          </w:tcPr>
          <w:p>
            <w:pPr>
              <w:jc w:val="center"/>
              <w:spacing w:after="0" w:line="172" w:lineRule="exact"/>
              <w:rPr>
                <w:sz w:val="20"/>
                <w:szCs w:val="20"/>
                <w:color w:val="auto"/>
              </w:rPr>
            </w:pPr>
            <w:r>
              <w:rPr>
                <w:rFonts w:ascii="Times New Roman" w:cs="Times New Roman" w:eastAsia="Times New Roman" w:hAnsi="Times New Roman"/>
                <w:sz w:val="17"/>
                <w:szCs w:val="17"/>
                <w:color w:val="auto"/>
              </w:rPr>
              <w:t>Maturity</w:t>
            </w:r>
          </w:p>
        </w:tc>
        <w:tc>
          <w:tcPr>
            <w:tcW w:w="3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rPr>
              <w:t>Amount</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(years)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Value</w:t>
            </w:r>
          </w:p>
        </w:tc>
        <w:tc>
          <w:tcPr>
            <w:tcW w:w="0" w:type="dxa"/>
            <w:vAlign w:val="bottom"/>
          </w:tcPr>
          <w:p>
            <w:pPr>
              <w:spacing w:after="0"/>
              <w:rPr>
                <w:sz w:val="1"/>
                <w:szCs w:val="1"/>
                <w:color w:val="auto"/>
              </w:rPr>
            </w:pPr>
          </w:p>
        </w:tc>
      </w:tr>
      <w:tr>
        <w:trPr>
          <w:trHeight w:val="225"/>
        </w:trPr>
        <w:tc>
          <w:tcPr>
            <w:tcW w:w="5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(Dollars in thousands)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Fair value hedge designation</w:t>
            </w: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 - commercial</w:t>
            </w: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4,925</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2.6</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w:t>
            </w:r>
          </w:p>
        </w:tc>
        <w:tc>
          <w:tcPr>
            <w:tcW w:w="0" w:type="dxa"/>
            <w:vAlign w:val="bottom"/>
          </w:tcPr>
          <w:p>
            <w:pPr>
              <w:spacing w:after="0"/>
              <w:rPr>
                <w:sz w:val="1"/>
                <w:szCs w:val="1"/>
                <w:color w:val="auto"/>
              </w:rPr>
            </w:pPr>
          </w:p>
        </w:tc>
      </w:tr>
      <w:tr>
        <w:trPr>
          <w:trHeight w:val="232"/>
        </w:trPr>
        <w:tc>
          <w:tcPr>
            <w:tcW w:w="5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agreements - securities available for sale</w:t>
            </w: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148,895</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1.1</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6,087</w:t>
            </w:r>
          </w:p>
        </w:tc>
        <w:tc>
          <w:tcPr>
            <w:tcW w:w="0" w:type="dxa"/>
            <w:vAlign w:val="bottom"/>
          </w:tcPr>
          <w:p>
            <w:pPr>
              <w:spacing w:after="0"/>
              <w:rPr>
                <w:sz w:val="1"/>
                <w:szCs w:val="1"/>
                <w:color w:val="auto"/>
              </w:rPr>
            </w:pPr>
          </w:p>
        </w:tc>
      </w:tr>
      <w:tr>
        <w:trPr>
          <w:trHeight w:val="232"/>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rate cap agreements - securities available for sale</w:t>
            </w:r>
          </w:p>
        </w:tc>
        <w:tc>
          <w:tcPr>
            <w:tcW w:w="13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40,970</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1.6</w:t>
            </w: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0" w:type="dxa"/>
            <w:vAlign w:val="bottom"/>
          </w:tcPr>
          <w:p>
            <w:pPr>
              <w:spacing w:after="0"/>
              <w:rPr>
                <w:sz w:val="1"/>
                <w:szCs w:val="1"/>
                <w:color w:val="auto"/>
              </w:rPr>
            </w:pPr>
          </w:p>
        </w:tc>
      </w:tr>
      <w:tr>
        <w:trPr>
          <w:trHeight w:val="225"/>
        </w:trPr>
        <w:tc>
          <w:tcPr>
            <w:tcW w:w="5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194,790</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1.2</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6,578</w:t>
            </w:r>
          </w:p>
        </w:tc>
        <w:tc>
          <w:tcPr>
            <w:tcW w:w="0" w:type="dxa"/>
            <w:vAlign w:val="bottom"/>
          </w:tcPr>
          <w:p>
            <w:pPr>
              <w:spacing w:after="0"/>
              <w:rPr>
                <w:sz w:val="1"/>
                <w:szCs w:val="1"/>
                <w:color w:val="auto"/>
              </w:rPr>
            </w:pP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 hedge designation</w:t>
            </w: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rate floor agreements - commercial</w:t>
            </w: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525,000</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2.3</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2,205</w:t>
            </w:r>
          </w:p>
        </w:tc>
        <w:tc>
          <w:tcPr>
            <w:tcW w:w="0" w:type="dxa"/>
            <w:vAlign w:val="bottom"/>
          </w:tcPr>
          <w:p>
            <w:pPr>
              <w:spacing w:after="0"/>
              <w:rPr>
                <w:sz w:val="1"/>
                <w:szCs w:val="1"/>
                <w:color w:val="auto"/>
              </w:rPr>
            </w:pPr>
          </w:p>
        </w:tc>
      </w:tr>
      <w:tr>
        <w:trPr>
          <w:trHeight w:val="232"/>
        </w:trPr>
        <w:tc>
          <w:tcPr>
            <w:tcW w:w="53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Interest rate cap agreements - short-term funding liabilities</w:t>
            </w:r>
          </w:p>
        </w:tc>
        <w:tc>
          <w:tcPr>
            <w:tcW w:w="13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50,000</w:t>
            </w:r>
          </w:p>
        </w:tc>
        <w:tc>
          <w:tcPr>
            <w:tcW w:w="1660" w:type="dxa"/>
            <w:vAlign w:val="bottom"/>
            <w:tcBorders>
              <w:bottom w:val="single" w:sz="8" w:color="CCEEFF"/>
            </w:tcBorders>
          </w:tcPr>
          <w:p>
            <w:pPr>
              <w:jc w:val="right"/>
              <w:ind w:right="14"/>
              <w:spacing w:after="0"/>
              <w:rPr>
                <w:sz w:val="20"/>
                <w:szCs w:val="20"/>
                <w:color w:val="auto"/>
              </w:rPr>
            </w:pPr>
            <w:r>
              <w:rPr>
                <w:rFonts w:ascii="Times New Roman" w:cs="Times New Roman" w:eastAsia="Times New Roman" w:hAnsi="Times New Roman"/>
                <w:sz w:val="17"/>
                <w:szCs w:val="17"/>
                <w:color w:val="auto"/>
              </w:rPr>
              <w:t>1.4</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357</w:t>
            </w:r>
          </w:p>
        </w:tc>
        <w:tc>
          <w:tcPr>
            <w:tcW w:w="0" w:type="dxa"/>
            <w:vAlign w:val="bottom"/>
          </w:tcPr>
          <w:p>
            <w:pPr>
              <w:spacing w:after="0"/>
              <w:rPr>
                <w:sz w:val="1"/>
                <w:szCs w:val="1"/>
                <w:color w:val="auto"/>
              </w:rPr>
            </w:pPr>
          </w:p>
        </w:tc>
      </w:tr>
      <w:tr>
        <w:trPr>
          <w:trHeight w:val="250"/>
        </w:trPr>
        <w:tc>
          <w:tcPr>
            <w:tcW w:w="5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1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575,000</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2.2</w:t>
            </w: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2,562</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 hedge designation</w:t>
            </w:r>
          </w:p>
        </w:tc>
        <w:tc>
          <w:tcPr>
            <w:tcW w:w="1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Rate-lock mortgage loan commitments</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24,545</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0.1</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32"/>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Mandatory commitments to sell mortgage loans</w:t>
            </w:r>
          </w:p>
        </w:tc>
        <w:tc>
          <w:tcPr>
            <w:tcW w:w="1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34,536</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0.1</w:t>
            </w: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w:t>
            </w:r>
          </w:p>
        </w:tc>
        <w:tc>
          <w:tcPr>
            <w:tcW w:w="0" w:type="dxa"/>
            <w:vAlign w:val="bottom"/>
          </w:tcPr>
          <w:p>
            <w:pPr>
              <w:spacing w:after="0"/>
              <w:rPr>
                <w:sz w:val="1"/>
                <w:szCs w:val="1"/>
                <w:color w:val="auto"/>
              </w:rPr>
            </w:pPr>
          </w:p>
        </w:tc>
      </w:tr>
      <w:tr>
        <w:trPr>
          <w:trHeight w:val="232"/>
        </w:trPr>
        <w:tc>
          <w:tcPr>
            <w:tcW w:w="5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agreements - commercial</w:t>
            </w: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721,562</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4.1</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24,816</w:t>
            </w:r>
          </w:p>
        </w:tc>
        <w:tc>
          <w:tcPr>
            <w:tcW w:w="0" w:type="dxa"/>
            <w:vAlign w:val="bottom"/>
          </w:tcPr>
          <w:p>
            <w:pPr>
              <w:spacing w:after="0"/>
              <w:rPr>
                <w:sz w:val="1"/>
                <w:szCs w:val="1"/>
                <w:color w:val="auto"/>
              </w:rPr>
            </w:pPr>
          </w:p>
        </w:tc>
      </w:tr>
      <w:tr>
        <w:trPr>
          <w:trHeight w:val="232"/>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Pay-variable interest rate swap agreements - commercial</w:t>
            </w:r>
          </w:p>
        </w:tc>
        <w:tc>
          <w:tcPr>
            <w:tcW w:w="13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721,562</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4.1</w:t>
            </w: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(24,816)</w:t>
            </w:r>
          </w:p>
        </w:tc>
        <w:tc>
          <w:tcPr>
            <w:tcW w:w="0" w:type="dxa"/>
            <w:vAlign w:val="bottom"/>
          </w:tcPr>
          <w:p>
            <w:pPr>
              <w:spacing w:after="0"/>
              <w:rPr>
                <w:sz w:val="1"/>
                <w:szCs w:val="1"/>
                <w:color w:val="auto"/>
              </w:rPr>
            </w:pPr>
          </w:p>
        </w:tc>
      </w:tr>
      <w:tr>
        <w:trPr>
          <w:trHeight w:val="225"/>
        </w:trPr>
        <w:tc>
          <w:tcPr>
            <w:tcW w:w="5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1,502,205</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3.9</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507</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320" w:type="dxa"/>
            <w:vAlign w:val="bottom"/>
            <w:vMerge w:val="restart"/>
          </w:tcPr>
          <w:p>
            <w:pPr>
              <w:jc w:val="right"/>
              <w:ind w:right="674"/>
              <w:spacing w:after="0"/>
              <w:rPr>
                <w:sz w:val="20"/>
                <w:szCs w:val="20"/>
                <w:color w:val="auto"/>
              </w:rPr>
            </w:pPr>
            <w:r>
              <w:rPr>
                <w:rFonts w:ascii="Times New Roman" w:cs="Times New Roman" w:eastAsia="Times New Roman" w:hAnsi="Times New Roman"/>
                <w:sz w:val="17"/>
                <w:szCs w:val="17"/>
                <w:color w:val="auto"/>
              </w:rPr>
              <w:t>34</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6"/>
        </w:trPr>
        <w:tc>
          <w:tcPr>
            <w:tcW w:w="530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3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December 31, 2025</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6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vMerge w:val="restart"/>
          </w:tcPr>
          <w:p>
            <w:pPr>
              <w:jc w:val="right"/>
              <w:ind w:right="354"/>
              <w:spacing w:after="0"/>
              <w:rPr>
                <w:sz w:val="20"/>
                <w:szCs w:val="20"/>
                <w:color w:val="auto"/>
              </w:rPr>
            </w:pPr>
            <w:r>
              <w:rPr>
                <w:rFonts w:ascii="Times New Roman" w:cs="Times New Roman" w:eastAsia="Times New Roman" w:hAnsi="Times New Roman"/>
                <w:sz w:val="17"/>
                <w:szCs w:val="17"/>
                <w:color w:val="auto"/>
              </w:rPr>
              <w:t>Notional</w:t>
            </w:r>
          </w:p>
        </w:tc>
        <w:tc>
          <w:tcPr>
            <w:tcW w:w="1660" w:type="dxa"/>
            <w:vAlign w:val="bottom"/>
          </w:tcPr>
          <w:p>
            <w:pPr>
              <w:jc w:val="center"/>
              <w:spacing w:after="0" w:line="183" w:lineRule="exact"/>
              <w:rPr>
                <w:sz w:val="20"/>
                <w:szCs w:val="20"/>
                <w:color w:val="auto"/>
              </w:rPr>
            </w:pPr>
            <w:r>
              <w:rPr>
                <w:rFonts w:ascii="Times New Roman" w:cs="Times New Roman" w:eastAsia="Times New Roman" w:hAnsi="Times New Roman"/>
                <w:sz w:val="17"/>
                <w:szCs w:val="17"/>
                <w:color w:val="auto"/>
              </w:rPr>
              <w:t>Average</w:t>
            </w:r>
          </w:p>
        </w:tc>
        <w:tc>
          <w:tcPr>
            <w:tcW w:w="320" w:type="dxa"/>
            <w:vAlign w:val="bottom"/>
          </w:tcPr>
          <w:p>
            <w:pPr>
              <w:spacing w:after="0"/>
              <w:rPr>
                <w:sz w:val="15"/>
                <w:szCs w:val="15"/>
                <w:color w:val="auto"/>
              </w:rPr>
            </w:pPr>
          </w:p>
        </w:tc>
        <w:tc>
          <w:tcPr>
            <w:tcW w:w="1160" w:type="dxa"/>
            <w:vAlign w:val="bottom"/>
            <w:vMerge w:val="restart"/>
          </w:tcPr>
          <w:p>
            <w:pPr>
              <w:jc w:val="right"/>
              <w:ind w:right="514"/>
              <w:spacing w:after="0"/>
              <w:rPr>
                <w:sz w:val="20"/>
                <w:szCs w:val="20"/>
                <w:color w:val="auto"/>
              </w:rPr>
            </w:pPr>
            <w:r>
              <w:rPr>
                <w:rFonts w:ascii="Times New Roman" w:cs="Times New Roman" w:eastAsia="Times New Roman" w:hAnsi="Times New Roman"/>
                <w:sz w:val="17"/>
                <w:szCs w:val="17"/>
                <w:color w:val="auto"/>
              </w:rPr>
              <w:t>Fair</w:t>
            </w:r>
          </w:p>
        </w:tc>
        <w:tc>
          <w:tcPr>
            <w:tcW w:w="0" w:type="dxa"/>
            <w:vAlign w:val="bottom"/>
          </w:tcPr>
          <w:p>
            <w:pPr>
              <w:spacing w:after="0"/>
              <w:rPr>
                <w:sz w:val="1"/>
                <w:szCs w:val="1"/>
                <w:color w:val="auto"/>
              </w:rPr>
            </w:pPr>
          </w:p>
        </w:tc>
      </w:tr>
      <w:tr>
        <w:trPr>
          <w:trHeight w:val="171"/>
        </w:trPr>
        <w:tc>
          <w:tcPr>
            <w:tcW w:w="6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660" w:type="dxa"/>
            <w:vAlign w:val="bottom"/>
          </w:tcPr>
          <w:p>
            <w:pPr>
              <w:jc w:val="center"/>
              <w:spacing w:after="0" w:line="172" w:lineRule="exact"/>
              <w:rPr>
                <w:sz w:val="20"/>
                <w:szCs w:val="20"/>
                <w:color w:val="auto"/>
              </w:rPr>
            </w:pPr>
            <w:r>
              <w:rPr>
                <w:rFonts w:ascii="Times New Roman" w:cs="Times New Roman" w:eastAsia="Times New Roman" w:hAnsi="Times New Roman"/>
                <w:sz w:val="17"/>
                <w:szCs w:val="17"/>
                <w:color w:val="auto"/>
              </w:rPr>
              <w:t>Maturity</w:t>
            </w:r>
          </w:p>
        </w:tc>
        <w:tc>
          <w:tcPr>
            <w:tcW w:w="3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6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rPr>
              <w:t>Amount</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(years)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Value</w:t>
            </w:r>
          </w:p>
        </w:tc>
        <w:tc>
          <w:tcPr>
            <w:tcW w:w="0" w:type="dxa"/>
            <w:vAlign w:val="bottom"/>
          </w:tcPr>
          <w:p>
            <w:pPr>
              <w:spacing w:after="0"/>
              <w:rPr>
                <w:sz w:val="1"/>
                <w:szCs w:val="1"/>
                <w:color w:val="auto"/>
              </w:rPr>
            </w:pPr>
          </w:p>
        </w:tc>
      </w:tr>
      <w:tr>
        <w:trPr>
          <w:trHeight w:val="225"/>
        </w:trPr>
        <w:tc>
          <w:tcPr>
            <w:tcW w:w="6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(Dollars in thousands)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hedge designation</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 - commercial</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5,242</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3.4</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0" w:type="dxa"/>
            <w:vAlign w:val="bottom"/>
          </w:tcPr>
          <w:p>
            <w:pPr>
              <w:spacing w:after="0"/>
              <w:rPr>
                <w:sz w:val="1"/>
                <w:szCs w:val="1"/>
                <w:color w:val="auto"/>
              </w:rPr>
            </w:pPr>
          </w:p>
        </w:tc>
      </w:tr>
      <w:tr>
        <w:trPr>
          <w:trHeight w:val="232"/>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agreements - securities available for sale</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148,895</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1.8</w:t>
            </w: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6,923</w:t>
            </w:r>
          </w:p>
        </w:tc>
        <w:tc>
          <w:tcPr>
            <w:tcW w:w="0" w:type="dxa"/>
            <w:vAlign w:val="bottom"/>
          </w:tcPr>
          <w:p>
            <w:pPr>
              <w:spacing w:after="0"/>
              <w:rPr>
                <w:sz w:val="1"/>
                <w:szCs w:val="1"/>
                <w:color w:val="auto"/>
              </w:rPr>
            </w:pPr>
          </w:p>
        </w:tc>
      </w:tr>
      <w:tr>
        <w:trPr>
          <w:trHeight w:val="232"/>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agreements - installment</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100,000</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1.4</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(824)</w:t>
            </w:r>
          </w:p>
        </w:tc>
        <w:tc>
          <w:tcPr>
            <w:tcW w:w="0" w:type="dxa"/>
            <w:vAlign w:val="bottom"/>
          </w:tcPr>
          <w:p>
            <w:pPr>
              <w:spacing w:after="0"/>
              <w:rPr>
                <w:sz w:val="1"/>
                <w:szCs w:val="1"/>
                <w:color w:val="auto"/>
              </w:rPr>
            </w:pPr>
          </w:p>
        </w:tc>
      </w:tr>
      <w:tr>
        <w:trPr>
          <w:trHeight w:val="232"/>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agreements - mortgage</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117,000</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1.7</w:t>
            </w: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(1,186)</w:t>
            </w:r>
          </w:p>
        </w:tc>
        <w:tc>
          <w:tcPr>
            <w:tcW w:w="0" w:type="dxa"/>
            <w:vAlign w:val="bottom"/>
          </w:tcPr>
          <w:p>
            <w:pPr>
              <w:spacing w:after="0"/>
              <w:rPr>
                <w:sz w:val="1"/>
                <w:szCs w:val="1"/>
                <w:color w:val="auto"/>
              </w:rPr>
            </w:pPr>
          </w:p>
        </w:tc>
      </w:tr>
      <w:tr>
        <w:trPr>
          <w:trHeight w:val="232"/>
        </w:trPr>
        <w:tc>
          <w:tcPr>
            <w:tcW w:w="6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Interest rate cap agreements - securities available for sale</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40,970</w:t>
            </w:r>
          </w:p>
        </w:tc>
        <w:tc>
          <w:tcPr>
            <w:tcW w:w="1660" w:type="dxa"/>
            <w:vAlign w:val="bottom"/>
            <w:tcBorders>
              <w:bottom w:val="single" w:sz="8" w:color="CCEEFF"/>
            </w:tcBorders>
          </w:tcPr>
          <w:p>
            <w:pPr>
              <w:jc w:val="right"/>
              <w:ind w:right="14"/>
              <w:spacing w:after="0"/>
              <w:rPr>
                <w:sz w:val="20"/>
                <w:szCs w:val="20"/>
                <w:color w:val="auto"/>
              </w:rPr>
            </w:pPr>
            <w:r>
              <w:rPr>
                <w:rFonts w:ascii="Times New Roman" w:cs="Times New Roman" w:eastAsia="Times New Roman" w:hAnsi="Times New Roman"/>
                <w:sz w:val="17"/>
                <w:szCs w:val="17"/>
                <w:color w:val="auto"/>
              </w:rPr>
              <w:t>2.3</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50"/>
        </w:trPr>
        <w:tc>
          <w:tcPr>
            <w:tcW w:w="66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412,107</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1.8</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5,120</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 hedge designation</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6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rate floor agreements - commercial</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450,000</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1.8</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4,669</w:t>
            </w:r>
          </w:p>
        </w:tc>
        <w:tc>
          <w:tcPr>
            <w:tcW w:w="0" w:type="dxa"/>
            <w:vAlign w:val="bottom"/>
          </w:tcPr>
          <w:p>
            <w:pPr>
              <w:spacing w:after="0"/>
              <w:rPr>
                <w:sz w:val="1"/>
                <w:szCs w:val="1"/>
                <w:color w:val="auto"/>
              </w:rPr>
            </w:pPr>
          </w:p>
        </w:tc>
      </w:tr>
      <w:tr>
        <w:trPr>
          <w:trHeight w:val="232"/>
        </w:trPr>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rate cap agreements - short-term funding liabilities</w:t>
            </w:r>
          </w:p>
        </w:tc>
        <w:tc>
          <w:tcPr>
            <w:tcW w:w="2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2.1</w:t>
            </w: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225"/>
        </w:trPr>
        <w:tc>
          <w:tcPr>
            <w:tcW w:w="6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1.8</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4,715</w:t>
            </w:r>
          </w:p>
        </w:tc>
        <w:tc>
          <w:tcPr>
            <w:tcW w:w="0" w:type="dxa"/>
            <w:vAlign w:val="bottom"/>
          </w:tcPr>
          <w:p>
            <w:pPr>
              <w:spacing w:after="0"/>
              <w:rPr>
                <w:sz w:val="1"/>
                <w:szCs w:val="1"/>
                <w:color w:val="auto"/>
              </w:rPr>
            </w:pP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 hedge designation</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Rate-lock mortgage loan commitments</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17,180</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0.1</w:t>
            </w: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0" w:type="dxa"/>
            <w:vAlign w:val="bottom"/>
          </w:tcPr>
          <w:p>
            <w:pPr>
              <w:spacing w:after="0"/>
              <w:rPr>
                <w:sz w:val="1"/>
                <w:szCs w:val="1"/>
                <w:color w:val="auto"/>
              </w:rPr>
            </w:pPr>
          </w:p>
        </w:tc>
      </w:tr>
      <w:tr>
        <w:trPr>
          <w:trHeight w:val="232"/>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Mandatory commitments to sell mortgage loans</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24,909</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0.1</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32"/>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agreements - commercial</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683,715</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4.5</w:t>
            </w: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(3,345)</w:t>
            </w:r>
          </w:p>
        </w:tc>
        <w:tc>
          <w:tcPr>
            <w:tcW w:w="0" w:type="dxa"/>
            <w:vAlign w:val="bottom"/>
          </w:tcPr>
          <w:p>
            <w:pPr>
              <w:spacing w:after="0"/>
              <w:rPr>
                <w:sz w:val="1"/>
                <w:szCs w:val="1"/>
                <w:color w:val="auto"/>
              </w:rPr>
            </w:pPr>
          </w:p>
        </w:tc>
      </w:tr>
      <w:tr>
        <w:trPr>
          <w:trHeight w:val="232"/>
        </w:trPr>
        <w:tc>
          <w:tcPr>
            <w:tcW w:w="6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Pay-variable interest rate swap agreements - commercial</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683,715</w:t>
            </w:r>
          </w:p>
        </w:tc>
        <w:tc>
          <w:tcPr>
            <w:tcW w:w="1660" w:type="dxa"/>
            <w:vAlign w:val="bottom"/>
            <w:tcBorders>
              <w:bottom w:val="single" w:sz="8" w:color="CCEEFF"/>
            </w:tcBorders>
          </w:tcPr>
          <w:p>
            <w:pPr>
              <w:jc w:val="right"/>
              <w:ind w:right="14"/>
              <w:spacing w:after="0"/>
              <w:rPr>
                <w:sz w:val="20"/>
                <w:szCs w:val="20"/>
                <w:color w:val="auto"/>
              </w:rPr>
            </w:pPr>
            <w:r>
              <w:rPr>
                <w:rFonts w:ascii="Times New Roman" w:cs="Times New Roman" w:eastAsia="Times New Roman" w:hAnsi="Times New Roman"/>
                <w:sz w:val="17"/>
                <w:szCs w:val="17"/>
                <w:color w:val="auto"/>
              </w:rPr>
              <w:t>4.5</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3,345</w:t>
            </w:r>
          </w:p>
        </w:tc>
        <w:tc>
          <w:tcPr>
            <w:tcW w:w="0" w:type="dxa"/>
            <w:vAlign w:val="bottom"/>
          </w:tcPr>
          <w:p>
            <w:pPr>
              <w:spacing w:after="0"/>
              <w:rPr>
                <w:sz w:val="1"/>
                <w:szCs w:val="1"/>
                <w:color w:val="auto"/>
              </w:rPr>
            </w:pPr>
          </w:p>
        </w:tc>
      </w:tr>
      <w:tr>
        <w:trPr>
          <w:trHeight w:val="250"/>
        </w:trPr>
        <w:tc>
          <w:tcPr>
            <w:tcW w:w="66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1,409,519</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4.4</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have established management objectives and strategies that include interest-rate risk parameters for maximum fluctuations in net interest income and market value of portfolio equity. We monitor our interest rate risk position via simulation modeling reports. The goal of our asset/liability management efforts is to maintain profitable financial leverage within established risk parameters.</w:t>
      </w:r>
    </w:p>
    <w:p>
      <w:pPr>
        <w:spacing w:after="0" w:line="1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have entered into pay-fixed interest rate swaps and caps to protect a portion of the fair value of a certain fixed rate commercial loan and certain mortgage and installment loans (‘‘Fair Value Hedge – Portfolio Loans’’). As a result, changes in the fair values of the pay-fixed interest rate swaps and caps are expected to offset changes in the fair values of the fixed rate portfolio loans due to fluctuations in interest rates. We record the fair values of Fair Value Hedge – Portfolio Loans in accrued income and other assets and accrued expenses and other liabilities on our interim Condensed Consolidated Statements of Financial Condition. The hedged items (a fixed rate commercial loan and certain fixed rate mortgage and installment loans) are also recorded at fair value which offsets the adjustment to the Fair Value Hedge – Portfolio Loans. On an ongoing basis, we adjust our interim Condensed Consolidated Statements of Financial Condition to reflect the then current fair values of both the Fair Value Hedge – Portfolio Loans and the hedged items. The related gains or losses are reported in interest income – interest and fees on loans in our interim Condensed Consolidated Statements of Operations. During the third quarter of 2026 we terminated $25.0 million of Fair Value Hedges - Portfolio Loans. During the second quarter of 2026 we terminated $50.0 million of Fair Value Hedges - Portfolio Loans. During the first quarter of 2026 we terminated $87.0 million of Fair Value Hedges - Portfolio Loans. The remaining unrealized losses on these terminated fair value hedges of $0.24 million as of September 30, 2026 are being amortized into earnings over their original life ranging from November, 2026 to June, 2027. During the second quarter of 2023 we terminated an interest rate cap accounted for as a fair value hedge that was previously hedging certain installment loans. The remaining unrealized gain on this terminated interest rate cap of $0.08 million as of September 30, 2026 is being amortized into earnings over the original life of the interest rate cap which was February, 2030.</w:t>
      </w:r>
    </w:p>
    <w:p>
      <w:pPr>
        <w:spacing w:after="0" w:line="21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have entered into pay-fixed interest rate swap and interest rate cap agreements to protect a portion of the fair value of certain securities available for sale (‘‘Fair Value Hedge – AFS Securities’’). As a result, the change in the fair value of the</w:t>
      </w:r>
    </w:p>
    <w:p>
      <w:pPr>
        <w:spacing w:after="0" w:line="200" w:lineRule="exact"/>
        <w:rPr>
          <w:sz w:val="20"/>
          <w:szCs w:val="20"/>
          <w:color w:val="auto"/>
        </w:rPr>
      </w:pP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5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pay-fixed interest rate swap and interest rate cap agreements is expected to offset a portion of the change in the fair value of the fixed rate securities available for sale due to fluctuations in interest rates. We record the fair value of Fair Value Hedge – AFS Securities in accrued income and other assets and accrued expenses and other liabilities on our interim Condensed Consolidated Statements of Financial Condition. The hedged items (fixed rate securities available for sale) are also recorded at fair value which offsets the adjustment to the Fair Value Hedge – AFS Securities. On an ongoing basis, we adjust our interim Condensed Consolidated Statements of Financial Condition to reflect the then current fair value of both the Fair Value Hedge – AFS Securities and the hedged item. The related gains or losses are reported in interest income – interest on securities – tax-exempt in our interim Condensed Consolidated Statements of Operations.</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have entered into interest rate floor agreements to manage the variability in future expected cash flows of certain commercial loans (‘‘Cash Flow Hedge – Portfolio Loans’’). We record the fair value of Cash Flow Hedge – Portfolio Loans in accrued income and other assets and accrued expenses and other liabilities on our interim Condensed Consolidated Statements of Financial Condition. The changes in the fair value of Cash Flow Hedge - Portfolio Loans are recorded in accumulated other comprehensive loss and are reclassified into the line item in our interim Condensed Consolidated Statements of Operations in which the hedged items are recorded in the same period the hedged items affect earnings.</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have entered into an interest rate cap agreement to manage the variability in future expected cash flows of certain short-term funding liabilities (‘‘Cash Flow Hedge – Short-term Funding Liabilities’’). We record the fair value of Cash Flow Hedge – Short-term Funding Liabilities in accrued income and other assets and accrued expenses and other liabilities on our interim Condensed Consolidated Statements of Financial Condition. The changes in the fair value of Cash Flow Hedge - Short-term Funding Liabilities are recorded in accumulated other comprehensive loss and are reclassified into the line item in our interim Condensed Consolidated Statements of Operations in which the hedged items are recorded in the same period the hedged items affect earnings.</w:t>
      </w:r>
    </w:p>
    <w:p>
      <w:pPr>
        <w:spacing w:after="0" w:line="2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For Cash Flow Hedges, it is anticipated that as of September 30, 2026, $2.6 million will be reclassified from accumulated other comprehensive loss as a reduction to earnings over the next twelve months. The maximum term of any Cash Flow Hedge at September 30, 2026 is 4.6 years.</w:t>
      </w:r>
    </w:p>
    <w:p>
      <w:pPr>
        <w:spacing w:after="0" w:line="1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Certain derivative financial instruments have not been designated as hedges. The fair value of these derivative financial instruments has been recorded on our interim Condensed Consolidated Statements of Financial Condition and is adjusted on an ongoing basis to reflect their then current fair value. The changes in fair value of derivative financial instruments not designated as hedges are recognized in earnings.</w:t>
      </w:r>
    </w:p>
    <w:p>
      <w:pPr>
        <w:spacing w:after="0" w:line="1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the ordinary course of business, we enter into rate-lock mortgage loan commitments with customers (“Rate-Lock Commitments”). These commitments expose us to interest rate risk. We also enter into mandatory commitments to sell mortgage loans (“Mandatory Commitments”) to reduce the impact of price fluctuations of mortgage loans held for sale and Rate-Lock Commitments. Mandatory Commitments help protect our loan sale profit margin from fluctuations in interest rates. The changes in the fair value of Rate-Lock Commitments and Mandatory Commitments are recognized currently as part of net gains on mortgage loans in our interim Condensed Consolidated Statements of Operations. We obtain market prices on Mandatory Commitments and Rate-Lock Commitments. Net gains on mortgage loans, as well as net income may be more volatile as a result of these derivative instruments, which are not designated as hedges.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have a program that allows commercial loan customers to lock in a fixed rate for a longer period of time than we would normally offer for interest rate risk reasons. We will enter into a variable rate commercial loan and an interest rate swap agreement with a customer and then enter into an offsetting interest rate swap agreement with an unrelated party. The interest rate swap agreement fair values will generally move in opposite directions resulting in little or no net impact on our interim Condensed Consolidated Statements of Operations. All of the interest rate swap agreements - commercial with no hedge designation in the tables above relate to this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following tables illustrate the impact that the derivative financial instruments discussed above have on individual line items in the interim Condensed Consolidated Statements of Financial Condition for the periods presented: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Fair Values of Derivative Instruments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5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7"/>
                <w:szCs w:val="17"/>
                <w:color w:val="auto"/>
              </w:rPr>
              <w:t>Asset Derivatives</w:t>
            </w: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7"/>
                <w:szCs w:val="17"/>
                <w:color w:val="auto"/>
              </w:rPr>
              <w:t>Liability Derivatives</w:t>
            </w: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520" w:type="dxa"/>
            <w:vAlign w:val="bottom"/>
          </w:tcPr>
          <w:p>
            <w:pPr>
              <w:spacing w:after="0"/>
              <w:rPr>
                <w:sz w:val="15"/>
                <w:szCs w:val="15"/>
                <w:color w:val="auto"/>
              </w:rPr>
            </w:pPr>
          </w:p>
        </w:tc>
        <w:tc>
          <w:tcPr>
            <w:tcW w:w="2120" w:type="dxa"/>
            <w:vAlign w:val="bottom"/>
            <w:gridSpan w:val="4"/>
          </w:tcPr>
          <w:p>
            <w:pPr>
              <w:jc w:val="right"/>
              <w:ind w:right="474"/>
              <w:spacing w:after="0" w:line="173" w:lineRule="exact"/>
              <w:rPr>
                <w:sz w:val="20"/>
                <w:szCs w:val="20"/>
                <w:color w:val="auto"/>
              </w:rPr>
            </w:pPr>
            <w:r>
              <w:rPr>
                <w:rFonts w:ascii="Times New Roman" w:cs="Times New Roman" w:eastAsia="Times New Roman" w:hAnsi="Times New Roman"/>
                <w:sz w:val="17"/>
                <w:szCs w:val="17"/>
                <w:color w:val="auto"/>
              </w:rPr>
              <w:t>September 30,</w:t>
            </w:r>
          </w:p>
        </w:tc>
        <w:tc>
          <w:tcPr>
            <w:tcW w:w="80" w:type="dxa"/>
            <w:vAlign w:val="bottom"/>
          </w:tcPr>
          <w:p>
            <w:pPr>
              <w:spacing w:after="0"/>
              <w:rPr>
                <w:sz w:val="15"/>
                <w:szCs w:val="15"/>
                <w:color w:val="auto"/>
              </w:rPr>
            </w:pPr>
          </w:p>
        </w:tc>
        <w:tc>
          <w:tcPr>
            <w:tcW w:w="2100" w:type="dxa"/>
            <w:vAlign w:val="bottom"/>
            <w:gridSpan w:val="4"/>
          </w:tcPr>
          <w:p>
            <w:pPr>
              <w:jc w:val="right"/>
              <w:ind w:right="474"/>
              <w:spacing w:after="0" w:line="173" w:lineRule="exact"/>
              <w:rPr>
                <w:sz w:val="20"/>
                <w:szCs w:val="20"/>
                <w:color w:val="auto"/>
              </w:rPr>
            </w:pPr>
            <w:r>
              <w:rPr>
                <w:rFonts w:ascii="Times New Roman" w:cs="Times New Roman" w:eastAsia="Times New Roman" w:hAnsi="Times New Roman"/>
                <w:sz w:val="17"/>
                <w:szCs w:val="17"/>
                <w:color w:val="auto"/>
              </w:rPr>
              <w:t>December 31,</w:t>
            </w:r>
          </w:p>
        </w:tc>
        <w:tc>
          <w:tcPr>
            <w:tcW w:w="100" w:type="dxa"/>
            <w:vAlign w:val="bottom"/>
          </w:tcPr>
          <w:p>
            <w:pPr>
              <w:spacing w:after="0"/>
              <w:rPr>
                <w:sz w:val="15"/>
                <w:szCs w:val="15"/>
                <w:color w:val="auto"/>
              </w:rPr>
            </w:pPr>
          </w:p>
        </w:tc>
        <w:tc>
          <w:tcPr>
            <w:tcW w:w="2100" w:type="dxa"/>
            <w:vAlign w:val="bottom"/>
            <w:gridSpan w:val="4"/>
          </w:tcPr>
          <w:p>
            <w:pPr>
              <w:ind w:left="560"/>
              <w:spacing w:after="0" w:line="173" w:lineRule="exact"/>
              <w:rPr>
                <w:sz w:val="20"/>
                <w:szCs w:val="20"/>
                <w:color w:val="auto"/>
              </w:rPr>
            </w:pPr>
            <w:r>
              <w:rPr>
                <w:rFonts w:ascii="Times New Roman" w:cs="Times New Roman" w:eastAsia="Times New Roman" w:hAnsi="Times New Roman"/>
                <w:sz w:val="17"/>
                <w:szCs w:val="17"/>
                <w:color w:val="auto"/>
              </w:rPr>
              <w:t>September 30,</w:t>
            </w:r>
          </w:p>
        </w:tc>
        <w:tc>
          <w:tcPr>
            <w:tcW w:w="100" w:type="dxa"/>
            <w:vAlign w:val="bottom"/>
          </w:tcPr>
          <w:p>
            <w:pPr>
              <w:spacing w:after="0"/>
              <w:rPr>
                <w:sz w:val="15"/>
                <w:szCs w:val="15"/>
                <w:color w:val="auto"/>
              </w:rPr>
            </w:pPr>
          </w:p>
        </w:tc>
        <w:tc>
          <w:tcPr>
            <w:tcW w:w="2120" w:type="dxa"/>
            <w:vAlign w:val="bottom"/>
            <w:gridSpan w:val="4"/>
          </w:tcPr>
          <w:p>
            <w:pPr>
              <w:ind w:left="580"/>
              <w:spacing w:after="0" w:line="173" w:lineRule="exact"/>
              <w:rPr>
                <w:sz w:val="20"/>
                <w:szCs w:val="20"/>
                <w:color w:val="auto"/>
              </w:rPr>
            </w:pPr>
            <w:r>
              <w:rPr>
                <w:rFonts w:ascii="Times New Roman" w:cs="Times New Roman" w:eastAsia="Times New Roman" w:hAnsi="Times New Roman"/>
                <w:sz w:val="17"/>
                <w:szCs w:val="17"/>
                <w:color w:val="auto"/>
              </w:rPr>
              <w:t>December 31,</w:t>
            </w:r>
          </w:p>
        </w:tc>
        <w:tc>
          <w:tcPr>
            <w:tcW w:w="0" w:type="dxa"/>
            <w:vAlign w:val="bottom"/>
          </w:tcPr>
          <w:p>
            <w:pPr>
              <w:spacing w:after="0"/>
              <w:rPr>
                <w:sz w:val="1"/>
                <w:szCs w:val="1"/>
                <w:color w:val="auto"/>
              </w:rPr>
            </w:pPr>
          </w:p>
        </w:tc>
      </w:tr>
      <w:tr>
        <w:trPr>
          <w:trHeight w:val="228"/>
        </w:trPr>
        <w:tc>
          <w:tcPr>
            <w:tcW w:w="25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99"/>
              </w:rPr>
              <w:t>2026</w:t>
            </w:r>
          </w:p>
        </w:tc>
        <w:tc>
          <w:tcPr>
            <w:tcW w:w="8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w w:val="99"/>
              </w:rPr>
              <w:t>2025</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2026</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2025</w:t>
            </w: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520" w:type="dxa"/>
            <w:vAlign w:val="bottom"/>
          </w:tcPr>
          <w:p>
            <w:pPr>
              <w:spacing w:after="0"/>
              <w:rPr>
                <w:sz w:val="15"/>
                <w:szCs w:val="15"/>
                <w:color w:val="auto"/>
              </w:rPr>
            </w:pPr>
          </w:p>
        </w:tc>
        <w:tc>
          <w:tcPr>
            <w:tcW w:w="880" w:type="dxa"/>
            <w:vAlign w:val="bottom"/>
          </w:tcPr>
          <w:p>
            <w:pPr>
              <w:jc w:val="center"/>
              <w:ind w:left="54"/>
              <w:spacing w:after="0" w:line="178" w:lineRule="exact"/>
              <w:rPr>
                <w:sz w:val="20"/>
                <w:szCs w:val="20"/>
                <w:color w:val="auto"/>
              </w:rPr>
            </w:pPr>
            <w:r>
              <w:rPr>
                <w:rFonts w:ascii="Times New Roman" w:cs="Times New Roman" w:eastAsia="Times New Roman" w:hAnsi="Times New Roman"/>
                <w:sz w:val="17"/>
                <w:szCs w:val="17"/>
                <w:color w:val="auto"/>
                <w:w w:val="98"/>
              </w:rPr>
              <w:t>Balance</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restart"/>
          </w:tcPr>
          <w:p>
            <w:pPr>
              <w:jc w:val="right"/>
              <w:ind w:right="294"/>
              <w:spacing w:after="0"/>
              <w:rPr>
                <w:sz w:val="20"/>
                <w:szCs w:val="20"/>
                <w:color w:val="auto"/>
              </w:rPr>
            </w:pPr>
            <w:r>
              <w:rPr>
                <w:rFonts w:ascii="Times New Roman" w:cs="Times New Roman" w:eastAsia="Times New Roman" w:hAnsi="Times New Roman"/>
                <w:sz w:val="17"/>
                <w:szCs w:val="17"/>
                <w:color w:val="auto"/>
              </w:rPr>
              <w:t>Fair</w:t>
            </w:r>
          </w:p>
        </w:tc>
        <w:tc>
          <w:tcPr>
            <w:tcW w:w="80" w:type="dxa"/>
            <w:vAlign w:val="bottom"/>
          </w:tcPr>
          <w:p>
            <w:pPr>
              <w:spacing w:after="0"/>
              <w:rPr>
                <w:sz w:val="15"/>
                <w:szCs w:val="15"/>
                <w:color w:val="auto"/>
              </w:rPr>
            </w:pPr>
          </w:p>
        </w:tc>
        <w:tc>
          <w:tcPr>
            <w:tcW w:w="860" w:type="dxa"/>
            <w:vAlign w:val="bottom"/>
          </w:tcPr>
          <w:p>
            <w:pPr>
              <w:jc w:val="center"/>
              <w:ind w:left="54"/>
              <w:spacing w:after="0" w:line="178" w:lineRule="exact"/>
              <w:rPr>
                <w:sz w:val="20"/>
                <w:szCs w:val="20"/>
                <w:color w:val="auto"/>
              </w:rPr>
            </w:pPr>
            <w:r>
              <w:rPr>
                <w:rFonts w:ascii="Times New Roman" w:cs="Times New Roman" w:eastAsia="Times New Roman" w:hAnsi="Times New Roman"/>
                <w:sz w:val="17"/>
                <w:szCs w:val="17"/>
                <w:color w:val="auto"/>
              </w:rPr>
              <w:t>Balance</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jc w:val="right"/>
              <w:ind w:right="274"/>
              <w:spacing w:after="0"/>
              <w:rPr>
                <w:sz w:val="20"/>
                <w:szCs w:val="20"/>
                <w:color w:val="auto"/>
              </w:rPr>
            </w:pPr>
            <w:r>
              <w:rPr>
                <w:rFonts w:ascii="Times New Roman" w:cs="Times New Roman" w:eastAsia="Times New Roman" w:hAnsi="Times New Roman"/>
                <w:sz w:val="17"/>
                <w:szCs w:val="17"/>
                <w:color w:val="auto"/>
              </w:rPr>
              <w:t>Fair</w:t>
            </w:r>
          </w:p>
        </w:tc>
        <w:tc>
          <w:tcPr>
            <w:tcW w:w="100" w:type="dxa"/>
            <w:vAlign w:val="bottom"/>
          </w:tcPr>
          <w:p>
            <w:pPr>
              <w:spacing w:after="0"/>
              <w:rPr>
                <w:sz w:val="15"/>
                <w:szCs w:val="15"/>
                <w:color w:val="auto"/>
              </w:rPr>
            </w:pPr>
          </w:p>
        </w:tc>
        <w:tc>
          <w:tcPr>
            <w:tcW w:w="840" w:type="dxa"/>
            <w:vAlign w:val="bottom"/>
          </w:tcPr>
          <w:p>
            <w:pPr>
              <w:jc w:val="center"/>
              <w:ind w:left="74"/>
              <w:spacing w:after="0" w:line="178" w:lineRule="exact"/>
              <w:rPr>
                <w:sz w:val="20"/>
                <w:szCs w:val="20"/>
                <w:color w:val="auto"/>
              </w:rPr>
            </w:pPr>
            <w:r>
              <w:rPr>
                <w:rFonts w:ascii="Times New Roman" w:cs="Times New Roman" w:eastAsia="Times New Roman" w:hAnsi="Times New Roman"/>
                <w:sz w:val="17"/>
                <w:szCs w:val="17"/>
                <w:color w:val="auto"/>
              </w:rPr>
              <w:t>Balance</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jc w:val="right"/>
              <w:ind w:right="274"/>
              <w:spacing w:after="0"/>
              <w:rPr>
                <w:sz w:val="20"/>
                <w:szCs w:val="20"/>
                <w:color w:val="auto"/>
              </w:rPr>
            </w:pPr>
            <w:r>
              <w:rPr>
                <w:rFonts w:ascii="Times New Roman" w:cs="Times New Roman" w:eastAsia="Times New Roman" w:hAnsi="Times New Roman"/>
                <w:sz w:val="17"/>
                <w:szCs w:val="17"/>
                <w:color w:val="auto"/>
              </w:rPr>
              <w:t>Fair</w:t>
            </w:r>
          </w:p>
        </w:tc>
        <w:tc>
          <w:tcPr>
            <w:tcW w:w="100" w:type="dxa"/>
            <w:vAlign w:val="bottom"/>
          </w:tcPr>
          <w:p>
            <w:pPr>
              <w:spacing w:after="0"/>
              <w:rPr>
                <w:sz w:val="15"/>
                <w:szCs w:val="15"/>
                <w:color w:val="auto"/>
              </w:rPr>
            </w:pPr>
          </w:p>
        </w:tc>
        <w:tc>
          <w:tcPr>
            <w:tcW w:w="860" w:type="dxa"/>
            <w:vAlign w:val="bottom"/>
          </w:tcPr>
          <w:p>
            <w:pPr>
              <w:jc w:val="center"/>
              <w:ind w:left="74"/>
              <w:spacing w:after="0" w:line="178" w:lineRule="exact"/>
              <w:rPr>
                <w:sz w:val="20"/>
                <w:szCs w:val="20"/>
                <w:color w:val="auto"/>
              </w:rPr>
            </w:pPr>
            <w:r>
              <w:rPr>
                <w:rFonts w:ascii="Times New Roman" w:cs="Times New Roman" w:eastAsia="Times New Roman" w:hAnsi="Times New Roman"/>
                <w:sz w:val="17"/>
                <w:szCs w:val="17"/>
                <w:color w:val="auto"/>
                <w:w w:val="98"/>
              </w:rPr>
              <w:t>Balance</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restart"/>
          </w:tcPr>
          <w:p>
            <w:pPr>
              <w:jc w:val="right"/>
              <w:ind w:right="274"/>
              <w:spacing w:after="0"/>
              <w:rPr>
                <w:sz w:val="20"/>
                <w:szCs w:val="20"/>
                <w:color w:val="auto"/>
              </w:rPr>
            </w:pPr>
            <w:r>
              <w:rPr>
                <w:rFonts w:ascii="Times New Roman" w:cs="Times New Roman" w:eastAsia="Times New Roman" w:hAnsi="Times New Roman"/>
                <w:sz w:val="17"/>
                <w:szCs w:val="17"/>
                <w:color w:val="auto"/>
              </w:rPr>
              <w:t>Fair</w:t>
            </w:r>
          </w:p>
        </w:tc>
        <w:tc>
          <w:tcPr>
            <w:tcW w:w="0" w:type="dxa"/>
            <w:vAlign w:val="bottom"/>
          </w:tcPr>
          <w:p>
            <w:pPr>
              <w:spacing w:after="0"/>
              <w:rPr>
                <w:sz w:val="1"/>
                <w:szCs w:val="1"/>
                <w:color w:val="auto"/>
              </w:rPr>
            </w:pPr>
          </w:p>
        </w:tc>
      </w:tr>
      <w:tr>
        <w:trPr>
          <w:trHeight w:val="168"/>
        </w:trPr>
        <w:tc>
          <w:tcPr>
            <w:tcW w:w="2520" w:type="dxa"/>
            <w:vAlign w:val="bottom"/>
          </w:tcPr>
          <w:p>
            <w:pPr>
              <w:spacing w:after="0"/>
              <w:rPr>
                <w:sz w:val="14"/>
                <w:szCs w:val="14"/>
                <w:color w:val="auto"/>
              </w:rPr>
            </w:pPr>
          </w:p>
        </w:tc>
        <w:tc>
          <w:tcPr>
            <w:tcW w:w="880" w:type="dxa"/>
            <w:vAlign w:val="bottom"/>
          </w:tcPr>
          <w:p>
            <w:pPr>
              <w:jc w:val="center"/>
              <w:ind w:left="54"/>
              <w:spacing w:after="0" w:line="167" w:lineRule="exact"/>
              <w:rPr>
                <w:sz w:val="20"/>
                <w:szCs w:val="20"/>
                <w:color w:val="auto"/>
              </w:rPr>
            </w:pPr>
            <w:r>
              <w:rPr>
                <w:rFonts w:ascii="Times New Roman" w:cs="Times New Roman" w:eastAsia="Times New Roman" w:hAnsi="Times New Roman"/>
                <w:sz w:val="17"/>
                <w:szCs w:val="17"/>
                <w:color w:val="auto"/>
              </w:rPr>
              <w:t>Sheet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center"/>
              <w:ind w:left="74"/>
              <w:spacing w:after="0" w:line="167" w:lineRule="exact"/>
              <w:rPr>
                <w:sz w:val="20"/>
                <w:szCs w:val="20"/>
                <w:color w:val="auto"/>
              </w:rPr>
            </w:pPr>
            <w:r>
              <w:rPr>
                <w:rFonts w:ascii="Times New Roman" w:cs="Times New Roman" w:eastAsia="Times New Roman" w:hAnsi="Times New Roman"/>
                <w:sz w:val="17"/>
                <w:szCs w:val="17"/>
                <w:color w:val="auto"/>
              </w:rPr>
              <w:t>Sheet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left="94"/>
              <w:spacing w:after="0" w:line="167" w:lineRule="exact"/>
              <w:rPr>
                <w:sz w:val="20"/>
                <w:szCs w:val="20"/>
                <w:color w:val="auto"/>
              </w:rPr>
            </w:pPr>
            <w:r>
              <w:rPr>
                <w:rFonts w:ascii="Times New Roman" w:cs="Times New Roman" w:eastAsia="Times New Roman" w:hAnsi="Times New Roman"/>
                <w:sz w:val="17"/>
                <w:szCs w:val="17"/>
                <w:color w:val="auto"/>
              </w:rPr>
              <w:t>Sheet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left="74"/>
              <w:spacing w:after="0" w:line="167" w:lineRule="exact"/>
              <w:rPr>
                <w:sz w:val="20"/>
                <w:szCs w:val="20"/>
                <w:color w:val="auto"/>
              </w:rPr>
            </w:pPr>
            <w:r>
              <w:rPr>
                <w:rFonts w:ascii="Times New Roman" w:cs="Times New Roman" w:eastAsia="Times New Roman" w:hAnsi="Times New Roman"/>
                <w:sz w:val="17"/>
                <w:szCs w:val="17"/>
                <w:color w:val="auto"/>
              </w:rPr>
              <w:t>Sheet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20" w:type="dxa"/>
            <w:vAlign w:val="bottom"/>
          </w:tcPr>
          <w:p>
            <w:pPr>
              <w:spacing w:after="0"/>
              <w:rPr>
                <w:sz w:val="20"/>
                <w:szCs w:val="20"/>
                <w:color w:val="auto"/>
              </w:rPr>
            </w:pPr>
          </w:p>
        </w:tc>
        <w:tc>
          <w:tcPr>
            <w:tcW w:w="880" w:type="dxa"/>
            <w:vAlign w:val="bottom"/>
            <w:tcBorders>
              <w:bottom w:val="single" w:sz="8" w:color="auto"/>
            </w:tcBorders>
          </w:tcPr>
          <w:p>
            <w:pPr>
              <w:jc w:val="center"/>
              <w:ind w:left="54"/>
              <w:spacing w:after="0"/>
              <w:rPr>
                <w:sz w:val="20"/>
                <w:szCs w:val="20"/>
                <w:color w:val="auto"/>
              </w:rPr>
            </w:pPr>
            <w:r>
              <w:rPr>
                <w:rFonts w:ascii="Times New Roman" w:cs="Times New Roman" w:eastAsia="Times New Roman" w:hAnsi="Times New Roman"/>
                <w:sz w:val="17"/>
                <w:szCs w:val="17"/>
                <w:color w:val="auto"/>
              </w:rPr>
              <w:t>Location</w:t>
            </w: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Value</w:t>
            </w: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left="54"/>
              <w:spacing w:after="0"/>
              <w:rPr>
                <w:sz w:val="20"/>
                <w:szCs w:val="20"/>
                <w:color w:val="auto"/>
              </w:rPr>
            </w:pPr>
            <w:r>
              <w:rPr>
                <w:rFonts w:ascii="Times New Roman" w:cs="Times New Roman" w:eastAsia="Times New Roman" w:hAnsi="Times New Roman"/>
                <w:sz w:val="17"/>
                <w:szCs w:val="17"/>
                <w:color w:val="auto"/>
                <w:w w:val="99"/>
              </w:rPr>
              <w:t>Location</w:t>
            </w: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Value</w:t>
            </w: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left="74"/>
              <w:spacing w:after="0"/>
              <w:rPr>
                <w:sz w:val="20"/>
                <w:szCs w:val="20"/>
                <w:color w:val="auto"/>
              </w:rPr>
            </w:pPr>
            <w:r>
              <w:rPr>
                <w:rFonts w:ascii="Times New Roman" w:cs="Times New Roman" w:eastAsia="Times New Roman" w:hAnsi="Times New Roman"/>
                <w:sz w:val="17"/>
                <w:szCs w:val="17"/>
                <w:color w:val="auto"/>
                <w:w w:val="99"/>
              </w:rPr>
              <w:t>Location</w:t>
            </w: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Value</w:t>
            </w: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left="74"/>
              <w:spacing w:after="0"/>
              <w:rPr>
                <w:sz w:val="20"/>
                <w:szCs w:val="20"/>
                <w:color w:val="auto"/>
              </w:rPr>
            </w:pPr>
            <w:r>
              <w:rPr>
                <w:rFonts w:ascii="Times New Roman" w:cs="Times New Roman" w:eastAsia="Times New Roman" w:hAnsi="Times New Roman"/>
                <w:sz w:val="17"/>
                <w:szCs w:val="17"/>
                <w:color w:val="auto"/>
              </w:rPr>
              <w:t>Location</w:t>
            </w: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Value</w:t>
            </w:r>
          </w:p>
        </w:tc>
        <w:tc>
          <w:tcPr>
            <w:tcW w:w="0" w:type="dxa"/>
            <w:vAlign w:val="bottom"/>
          </w:tcPr>
          <w:p>
            <w:pPr>
              <w:spacing w:after="0"/>
              <w:rPr>
                <w:sz w:val="1"/>
                <w:szCs w:val="1"/>
                <w:color w:val="auto"/>
              </w:rPr>
            </w:pPr>
          </w:p>
        </w:tc>
      </w:tr>
      <w:tr>
        <w:trPr>
          <w:trHeight w:val="225"/>
        </w:trPr>
        <w:tc>
          <w:tcPr>
            <w:tcW w:w="2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auto"/>
              </w:rPr>
              <w:t>(In thousands)</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52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Derivatives designated as hedging</w:t>
            </w: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5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instruments</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520" w:type="dxa"/>
            <w:vAlign w:val="bottom"/>
            <w:shd w:val="clear" w:color="auto" w:fill="CCEEFF"/>
          </w:tcPr>
          <w:p>
            <w:pPr>
              <w:ind w:left="180"/>
              <w:spacing w:after="0" w:line="185" w:lineRule="exact"/>
              <w:rPr>
                <w:sz w:val="20"/>
                <w:szCs w:val="20"/>
                <w:color w:val="auto"/>
              </w:rPr>
            </w:pPr>
            <w:r>
              <w:rPr>
                <w:rFonts w:ascii="Times New Roman" w:cs="Times New Roman" w:eastAsia="Times New Roman" w:hAnsi="Times New Roman"/>
                <w:sz w:val="17"/>
                <w:szCs w:val="17"/>
                <w:color w:val="auto"/>
              </w:rPr>
              <w:t>Pay-fixed interest rate swap</w:t>
            </w: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Other</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Other</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agreements</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6,364</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9"/>
              </w:rPr>
              <w:t>Other assets</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7,114</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2,026</w:t>
            </w:r>
          </w:p>
        </w:tc>
        <w:tc>
          <w:tcPr>
            <w:tcW w:w="0" w:type="dxa"/>
            <w:vAlign w:val="bottom"/>
          </w:tcPr>
          <w:p>
            <w:pPr>
              <w:spacing w:after="0"/>
              <w:rPr>
                <w:sz w:val="1"/>
                <w:szCs w:val="1"/>
                <w:color w:val="auto"/>
              </w:rPr>
            </w:pPr>
          </w:p>
        </w:tc>
      </w:tr>
      <w:tr>
        <w:trPr>
          <w:trHeight w:val="180"/>
        </w:trPr>
        <w:tc>
          <w:tcPr>
            <w:tcW w:w="2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Other</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Other</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5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 rate cap agreements</w:t>
            </w: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571</w:t>
            </w:r>
          </w:p>
        </w:tc>
        <w:tc>
          <w:tcPr>
            <w:tcW w:w="80" w:type="dxa"/>
            <w:vAlign w:val="bottom"/>
          </w:tcPr>
          <w:p>
            <w:pPr>
              <w:spacing w:after="0"/>
              <w:rPr>
                <w:sz w:val="20"/>
                <w:szCs w:val="20"/>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9"/>
              </w:rPr>
              <w:t>Other assets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0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0"/>
        </w:trPr>
        <w:tc>
          <w:tcPr>
            <w:tcW w:w="2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Other</w:t>
            </w: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Other</w:t>
            </w: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rate floor agreements</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2,205</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9"/>
              </w:rPr>
              <w:t>Other assets</w:t>
            </w:r>
          </w:p>
        </w:tc>
        <w:tc>
          <w:tcPr>
            <w:tcW w:w="24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4,669</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6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5"/>
        </w:trPr>
        <w:tc>
          <w:tcPr>
            <w:tcW w:w="2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9,140</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11,861</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2,026</w:t>
            </w:r>
          </w:p>
        </w:tc>
        <w:tc>
          <w:tcPr>
            <w:tcW w:w="0" w:type="dxa"/>
            <w:vAlign w:val="bottom"/>
          </w:tcPr>
          <w:p>
            <w:pPr>
              <w:spacing w:after="0"/>
              <w:rPr>
                <w:sz w:val="1"/>
                <w:szCs w:val="1"/>
                <w:color w:val="auto"/>
              </w:rPr>
            </w:pPr>
          </w:p>
        </w:tc>
      </w:tr>
      <w:tr>
        <w:trPr>
          <w:trHeight w:val="180"/>
        </w:trPr>
        <w:tc>
          <w:tcPr>
            <w:tcW w:w="25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Derivatives not designated as</w:t>
            </w: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hedging instruments</w:t>
            </w: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520" w:type="dxa"/>
            <w:vAlign w:val="bottom"/>
          </w:tcPr>
          <w:p>
            <w:pPr>
              <w:ind w:left="180"/>
              <w:spacing w:after="0" w:line="181" w:lineRule="exact"/>
              <w:rPr>
                <w:sz w:val="20"/>
                <w:szCs w:val="20"/>
                <w:color w:val="auto"/>
              </w:rPr>
            </w:pPr>
            <w:r>
              <w:rPr>
                <w:rFonts w:ascii="Times New Roman" w:cs="Times New Roman" w:eastAsia="Times New Roman" w:hAnsi="Times New Roman"/>
                <w:sz w:val="17"/>
                <w:szCs w:val="17"/>
                <w:color w:val="auto"/>
              </w:rPr>
              <w:t>Rate-lock mortgage loan</w:t>
            </w: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Other</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Other</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commitments</w:t>
            </w: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9"/>
              </w:rPr>
              <w:t>Other assets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10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20"/>
                <w:szCs w:val="20"/>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0"/>
        </w:trPr>
        <w:tc>
          <w:tcPr>
            <w:tcW w:w="252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7"/>
                <w:szCs w:val="17"/>
                <w:color w:val="auto"/>
              </w:rPr>
              <w:t>Mandatory commitments to sell</w:t>
            </w: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Other</w:t>
            </w: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Other</w:t>
            </w: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mortgage loans</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9"/>
              </w:rPr>
              <w:t>Other assets</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180"/>
        </w:trPr>
        <w:tc>
          <w:tcPr>
            <w:tcW w:w="2520" w:type="dxa"/>
            <w:vAlign w:val="bottom"/>
          </w:tcPr>
          <w:p>
            <w:pPr>
              <w:ind w:left="180"/>
              <w:spacing w:after="0" w:line="181" w:lineRule="exact"/>
              <w:rPr>
                <w:sz w:val="20"/>
                <w:szCs w:val="20"/>
                <w:color w:val="auto"/>
              </w:rPr>
            </w:pPr>
            <w:r>
              <w:rPr>
                <w:rFonts w:ascii="Times New Roman" w:cs="Times New Roman" w:eastAsia="Times New Roman" w:hAnsi="Times New Roman"/>
                <w:sz w:val="17"/>
                <w:szCs w:val="17"/>
                <w:color w:val="auto"/>
              </w:rPr>
              <w:t>Pay-fixed interest rate swap</w:t>
            </w: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Other</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Other</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agreements - commercial</w:t>
            </w: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24,876</w:t>
            </w:r>
          </w:p>
        </w:tc>
        <w:tc>
          <w:tcPr>
            <w:tcW w:w="80" w:type="dxa"/>
            <w:vAlign w:val="bottom"/>
          </w:tcPr>
          <w:p>
            <w:pPr>
              <w:spacing w:after="0"/>
              <w:rPr>
                <w:sz w:val="20"/>
                <w:szCs w:val="20"/>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9"/>
              </w:rPr>
              <w:t>Other assets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7,074</w:t>
            </w:r>
          </w:p>
        </w:tc>
        <w:tc>
          <w:tcPr>
            <w:tcW w:w="10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tcPr>
          <w:p>
            <w:pPr>
              <w:spacing w:after="0"/>
              <w:rPr>
                <w:sz w:val="20"/>
                <w:szCs w:val="20"/>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10,419</w:t>
            </w:r>
          </w:p>
        </w:tc>
        <w:tc>
          <w:tcPr>
            <w:tcW w:w="0" w:type="dxa"/>
            <w:vAlign w:val="bottom"/>
          </w:tcPr>
          <w:p>
            <w:pPr>
              <w:spacing w:after="0"/>
              <w:rPr>
                <w:sz w:val="1"/>
                <w:szCs w:val="1"/>
                <w:color w:val="auto"/>
              </w:rPr>
            </w:pPr>
          </w:p>
        </w:tc>
      </w:tr>
      <w:tr>
        <w:trPr>
          <w:trHeight w:val="180"/>
        </w:trPr>
        <w:tc>
          <w:tcPr>
            <w:tcW w:w="252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7"/>
                <w:szCs w:val="17"/>
                <w:color w:val="auto"/>
              </w:rPr>
              <w:t>Pay-variable interest rate swap</w:t>
            </w: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Other</w:t>
            </w: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Other</w:t>
            </w: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agreements - commercial</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9"/>
              </w:rPr>
              <w:t>Other assets</w:t>
            </w:r>
          </w:p>
        </w:tc>
        <w:tc>
          <w:tcPr>
            <w:tcW w:w="24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10,419</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6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24,876</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7,074</w:t>
            </w:r>
          </w:p>
        </w:tc>
        <w:tc>
          <w:tcPr>
            <w:tcW w:w="0" w:type="dxa"/>
            <w:vAlign w:val="bottom"/>
          </w:tcPr>
          <w:p>
            <w:pPr>
              <w:spacing w:after="0"/>
              <w:rPr>
                <w:sz w:val="1"/>
                <w:szCs w:val="1"/>
                <w:color w:val="auto"/>
              </w:rPr>
            </w:pPr>
          </w:p>
        </w:tc>
      </w:tr>
      <w:tr>
        <w:trPr>
          <w:trHeight w:val="225"/>
        </w:trPr>
        <w:tc>
          <w:tcPr>
            <w:tcW w:w="252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25,450</w:t>
            </w:r>
          </w:p>
        </w:tc>
        <w:tc>
          <w:tcPr>
            <w:tcW w:w="8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17,723</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24,943</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17,525</w:t>
            </w:r>
          </w:p>
        </w:tc>
        <w:tc>
          <w:tcPr>
            <w:tcW w:w="0" w:type="dxa"/>
            <w:vAlign w:val="bottom"/>
          </w:tcPr>
          <w:p>
            <w:pPr>
              <w:spacing w:after="0"/>
              <w:rPr>
                <w:sz w:val="1"/>
                <w:szCs w:val="1"/>
                <w:color w:val="auto"/>
              </w:rPr>
            </w:pPr>
          </w:p>
        </w:tc>
      </w:tr>
      <w:tr>
        <w:trPr>
          <w:trHeight w:val="245"/>
        </w:trPr>
        <w:tc>
          <w:tcPr>
            <w:tcW w:w="2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derivatives</w:t>
            </w:r>
          </w:p>
        </w:tc>
        <w:tc>
          <w:tcPr>
            <w:tcW w:w="88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34,590</w:t>
            </w: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29,584</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24,943</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19,551</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effect of derivative financial instruments on the interim Condensed Consolidated Statements of Operations follows:</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500" w:type="dxa"/>
            <w:vAlign w:val="bottom"/>
          </w:tcPr>
          <w:p>
            <w:pPr>
              <w:spacing w:after="0"/>
              <w:rPr>
                <w:sz w:val="15"/>
                <w:szCs w:val="15"/>
                <w:color w:val="auto"/>
              </w:rPr>
            </w:pPr>
          </w:p>
        </w:tc>
        <w:tc>
          <w:tcPr>
            <w:tcW w:w="1780" w:type="dxa"/>
            <w:vAlign w:val="bottom"/>
            <w:gridSpan w:val="5"/>
          </w:tcPr>
          <w:p>
            <w:pPr>
              <w:jc w:val="center"/>
              <w:spacing w:after="0"/>
              <w:rPr>
                <w:sz w:val="20"/>
                <w:szCs w:val="20"/>
                <w:color w:val="auto"/>
              </w:rPr>
            </w:pPr>
            <w:r>
              <w:rPr>
                <w:rFonts w:ascii="Times New Roman" w:cs="Times New Roman" w:eastAsia="Times New Roman" w:hAnsi="Times New Roman"/>
                <w:sz w:val="15"/>
                <w:szCs w:val="15"/>
                <w:color w:val="auto"/>
              </w:rPr>
              <w:t>Gain (Loss) Recognized in</w:t>
            </w: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4"/>
          </w:tcPr>
          <w:p>
            <w:pPr>
              <w:jc w:val="center"/>
              <w:ind w:right="43"/>
              <w:spacing w:after="0"/>
              <w:rPr>
                <w:sz w:val="20"/>
                <w:szCs w:val="20"/>
                <w:color w:val="auto"/>
              </w:rPr>
            </w:pPr>
            <w:r>
              <w:rPr>
                <w:rFonts w:ascii="Times New Roman" w:cs="Times New Roman" w:eastAsia="Times New Roman" w:hAnsi="Times New Roman"/>
                <w:sz w:val="15"/>
                <w:szCs w:val="15"/>
                <w:color w:val="auto"/>
              </w:rPr>
              <w:t>Loss Reclassified from</w:t>
            </w: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4"/>
            <w:vMerge w:val="restart"/>
          </w:tcPr>
          <w:p>
            <w:pPr>
              <w:jc w:val="center"/>
              <w:ind w:right="103"/>
              <w:spacing w:after="0"/>
              <w:rPr>
                <w:sz w:val="20"/>
                <w:szCs w:val="20"/>
                <w:color w:val="auto"/>
              </w:rPr>
            </w:pPr>
            <w:r>
              <w:rPr>
                <w:rFonts w:ascii="Times New Roman" w:cs="Times New Roman" w:eastAsia="Times New Roman" w:hAnsi="Times New Roman"/>
                <w:sz w:val="15"/>
                <w:szCs w:val="15"/>
                <w:color w:val="auto"/>
              </w:rPr>
              <w:t>Gain (Loss)</w:t>
            </w:r>
          </w:p>
        </w:tc>
        <w:tc>
          <w:tcPr>
            <w:tcW w:w="0" w:type="dxa"/>
            <w:vAlign w:val="bottom"/>
          </w:tcPr>
          <w:p>
            <w:pPr>
              <w:spacing w:after="0"/>
              <w:rPr>
                <w:sz w:val="1"/>
                <w:szCs w:val="1"/>
                <w:color w:val="auto"/>
              </w:rPr>
            </w:pPr>
          </w:p>
        </w:tc>
      </w:tr>
      <w:tr>
        <w:trPr>
          <w:trHeight w:val="155"/>
        </w:trPr>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3"/>
          </w:tcPr>
          <w:p>
            <w:pPr>
              <w:jc w:val="center"/>
              <w:ind w:left="463"/>
              <w:spacing w:after="0" w:line="155" w:lineRule="exact"/>
              <w:rPr>
                <w:sz w:val="20"/>
                <w:szCs w:val="20"/>
                <w:color w:val="auto"/>
              </w:rPr>
            </w:pPr>
            <w:r>
              <w:rPr>
                <w:rFonts w:ascii="Times New Roman" w:cs="Times New Roman" w:eastAsia="Times New Roman" w:hAnsi="Times New Roman"/>
                <w:sz w:val="15"/>
                <w:szCs w:val="15"/>
                <w:color w:val="auto"/>
              </w:rPr>
              <w:t>Other</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4"/>
          </w:tcPr>
          <w:p>
            <w:pPr>
              <w:jc w:val="center"/>
              <w:ind w:right="43"/>
              <w:spacing w:after="0" w:line="155" w:lineRule="exact"/>
              <w:rPr>
                <w:sz w:val="20"/>
                <w:szCs w:val="20"/>
                <w:color w:val="auto"/>
              </w:rPr>
            </w:pPr>
            <w:r>
              <w:rPr>
                <w:rFonts w:ascii="Times New Roman" w:cs="Times New Roman" w:eastAsia="Times New Roman" w:hAnsi="Times New Roman"/>
                <w:sz w:val="15"/>
                <w:szCs w:val="15"/>
                <w:color w:val="auto"/>
              </w:rPr>
              <w:t>Accumulated Other</w:t>
            </w: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4"/>
          </w:tcPr>
          <w:p>
            <w:pPr>
              <w:jc w:val="center"/>
              <w:ind w:right="23"/>
              <w:spacing w:after="0" w:line="155" w:lineRule="exact"/>
              <w:rPr>
                <w:sz w:val="20"/>
                <w:szCs w:val="20"/>
                <w:color w:val="auto"/>
              </w:rPr>
            </w:pPr>
            <w:r>
              <w:rPr>
                <w:rFonts w:ascii="Times New Roman" w:cs="Times New Roman" w:eastAsia="Times New Roman" w:hAnsi="Times New Roman"/>
                <w:sz w:val="15"/>
                <w:szCs w:val="15"/>
                <w:color w:val="auto"/>
              </w:rPr>
              <w:t>Comprehensive Income</w:t>
            </w: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gridSpan w:val="5"/>
          </w:tcPr>
          <w:p>
            <w:pPr>
              <w:jc w:val="center"/>
              <w:spacing w:after="0" w:line="155" w:lineRule="exact"/>
              <w:rPr>
                <w:sz w:val="20"/>
                <w:szCs w:val="20"/>
                <w:color w:val="auto"/>
              </w:rPr>
            </w:pPr>
            <w:r>
              <w:rPr>
                <w:rFonts w:ascii="Times New Roman" w:cs="Times New Roman" w:eastAsia="Times New Roman" w:hAnsi="Times New Roman"/>
                <w:sz w:val="15"/>
                <w:szCs w:val="15"/>
                <w:color w:val="auto"/>
              </w:rPr>
              <w:t>Comprehensive Loss into</w:t>
            </w: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gridSpan w:val="4"/>
          </w:tcPr>
          <w:p>
            <w:pPr>
              <w:jc w:val="center"/>
              <w:ind w:right="83"/>
              <w:spacing w:after="0" w:line="155" w:lineRule="exact"/>
              <w:rPr>
                <w:sz w:val="20"/>
                <w:szCs w:val="20"/>
                <w:color w:val="auto"/>
              </w:rPr>
            </w:pPr>
            <w:r>
              <w:rPr>
                <w:rFonts w:ascii="Times New Roman" w:cs="Times New Roman" w:eastAsia="Times New Roman" w:hAnsi="Times New Roman"/>
                <w:sz w:val="15"/>
                <w:szCs w:val="15"/>
                <w:color w:val="auto"/>
              </w:rPr>
              <w:t>Recognized</w:t>
            </w:r>
          </w:p>
        </w:tc>
        <w:tc>
          <w:tcPr>
            <w:tcW w:w="0" w:type="dxa"/>
            <w:vAlign w:val="bottom"/>
          </w:tcPr>
          <w:p>
            <w:pPr>
              <w:spacing w:after="0"/>
              <w:rPr>
                <w:sz w:val="1"/>
                <w:szCs w:val="1"/>
                <w:color w:val="auto"/>
              </w:rPr>
            </w:pPr>
          </w:p>
        </w:tc>
      </w:tr>
      <w:tr>
        <w:trPr>
          <w:trHeight w:val="200"/>
        </w:trPr>
        <w:tc>
          <w:tcPr>
            <w:tcW w:w="2500" w:type="dxa"/>
            <w:vAlign w:val="bottom"/>
          </w:tcPr>
          <w:p>
            <w:pPr>
              <w:spacing w:after="0"/>
              <w:rPr>
                <w:sz w:val="17"/>
                <w:szCs w:val="17"/>
                <w:color w:val="auto"/>
              </w:rPr>
            </w:pPr>
          </w:p>
        </w:tc>
        <w:tc>
          <w:tcPr>
            <w:tcW w:w="17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5"/>
                <w:szCs w:val="15"/>
                <w:color w:val="auto"/>
              </w:rPr>
              <w:t>(Loss) (Effective Portion)</w:t>
            </w:r>
          </w:p>
        </w:tc>
        <w:tc>
          <w:tcPr>
            <w:tcW w:w="80" w:type="dxa"/>
            <w:vAlign w:val="bottom"/>
          </w:tcPr>
          <w:p>
            <w:pPr>
              <w:spacing w:after="0"/>
              <w:rPr>
                <w:sz w:val="17"/>
                <w:szCs w:val="17"/>
                <w:color w:val="auto"/>
              </w:rPr>
            </w:pPr>
          </w:p>
        </w:tc>
        <w:tc>
          <w:tcPr>
            <w:tcW w:w="16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color w:val="auto"/>
              </w:rPr>
              <w:t>Location of Loss</w:t>
            </w:r>
          </w:p>
        </w:tc>
        <w:tc>
          <w:tcPr>
            <w:tcW w:w="17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5"/>
                <w:szCs w:val="15"/>
                <w:color w:val="auto"/>
              </w:rPr>
              <w:t>Income (Effective Portion)</w:t>
            </w: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4"/>
          </w:tcPr>
          <w:p>
            <w:pPr>
              <w:jc w:val="center"/>
              <w:ind w:right="103"/>
              <w:spacing w:after="0"/>
              <w:rPr>
                <w:sz w:val="20"/>
                <w:szCs w:val="20"/>
                <w:color w:val="auto"/>
              </w:rPr>
            </w:pPr>
            <w:r>
              <w:rPr>
                <w:rFonts w:ascii="Times New Roman" w:cs="Times New Roman" w:eastAsia="Times New Roman" w:hAnsi="Times New Roman"/>
                <w:sz w:val="15"/>
                <w:szCs w:val="15"/>
                <w:color w:val="auto"/>
              </w:rPr>
              <w:t>in Income</w:t>
            </w:r>
          </w:p>
        </w:tc>
        <w:tc>
          <w:tcPr>
            <w:tcW w:w="0" w:type="dxa"/>
            <w:vAlign w:val="bottom"/>
          </w:tcPr>
          <w:p>
            <w:pPr>
              <w:spacing w:after="0"/>
              <w:rPr>
                <w:sz w:val="1"/>
                <w:szCs w:val="1"/>
                <w:color w:val="auto"/>
              </w:rPr>
            </w:pPr>
          </w:p>
        </w:tc>
      </w:tr>
      <w:tr>
        <w:trPr>
          <w:trHeight w:val="25"/>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4"/>
            <w:vMerge w:val="restart"/>
          </w:tcPr>
          <w:p>
            <w:pPr>
              <w:jc w:val="center"/>
              <w:ind w:right="43"/>
              <w:spacing w:after="0"/>
              <w:rPr>
                <w:sz w:val="20"/>
                <w:szCs w:val="20"/>
                <w:color w:val="auto"/>
              </w:rPr>
            </w:pPr>
            <w:r>
              <w:rPr>
                <w:rFonts w:ascii="Times New Roman" w:cs="Times New Roman" w:eastAsia="Times New Roman" w:hAnsi="Times New Roman"/>
                <w:sz w:val="15"/>
                <w:szCs w:val="15"/>
                <w:color w:val="auto"/>
              </w:rPr>
              <w:t>Three Month</w:t>
            </w:r>
          </w:p>
        </w:tc>
        <w:tc>
          <w:tcPr>
            <w:tcW w:w="80" w:type="dxa"/>
            <w:vAlign w:val="bottom"/>
          </w:tcPr>
          <w:p>
            <w:pPr>
              <w:spacing w:after="0"/>
              <w:rPr>
                <w:sz w:val="13"/>
                <w:szCs w:val="13"/>
                <w:color w:val="auto"/>
              </w:rPr>
            </w:pPr>
          </w:p>
        </w:tc>
        <w:tc>
          <w:tcPr>
            <w:tcW w:w="162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5"/>
                <w:szCs w:val="15"/>
                <w:color w:val="auto"/>
              </w:rPr>
              <w:t>Reclassified from</w:t>
            </w:r>
          </w:p>
        </w:tc>
        <w:tc>
          <w:tcPr>
            <w:tcW w:w="120" w:type="dxa"/>
            <w:vAlign w:val="bottom"/>
          </w:tcPr>
          <w:p>
            <w:pPr>
              <w:spacing w:after="0"/>
              <w:rPr>
                <w:sz w:val="13"/>
                <w:szCs w:val="13"/>
                <w:color w:val="auto"/>
              </w:rPr>
            </w:pPr>
          </w:p>
        </w:tc>
        <w:tc>
          <w:tcPr>
            <w:tcW w:w="1620" w:type="dxa"/>
            <w:vAlign w:val="bottom"/>
            <w:gridSpan w:val="4"/>
            <w:vMerge w:val="restart"/>
          </w:tcPr>
          <w:p>
            <w:pPr>
              <w:jc w:val="center"/>
              <w:ind w:right="43"/>
              <w:spacing w:after="0"/>
              <w:rPr>
                <w:sz w:val="20"/>
                <w:szCs w:val="20"/>
                <w:color w:val="auto"/>
              </w:rPr>
            </w:pPr>
            <w:r>
              <w:rPr>
                <w:rFonts w:ascii="Times New Roman" w:cs="Times New Roman" w:eastAsia="Times New Roman" w:hAnsi="Times New Roman"/>
                <w:sz w:val="15"/>
                <w:szCs w:val="15"/>
                <w:color w:val="auto"/>
              </w:rPr>
              <w:t>Three Month</w:t>
            </w: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gridSpan w:val="4"/>
            <w:vMerge w:val="restart"/>
          </w:tcPr>
          <w:p>
            <w:pPr>
              <w:jc w:val="center"/>
              <w:ind w:right="103"/>
              <w:spacing w:after="0"/>
              <w:rPr>
                <w:sz w:val="20"/>
                <w:szCs w:val="20"/>
                <w:color w:val="auto"/>
              </w:rPr>
            </w:pPr>
            <w:r>
              <w:rPr>
                <w:rFonts w:ascii="Times New Roman" w:cs="Times New Roman" w:eastAsia="Times New Roman" w:hAnsi="Times New Roman"/>
                <w:sz w:val="15"/>
                <w:szCs w:val="15"/>
                <w:color w:val="auto"/>
              </w:rPr>
              <w:t>Three Month</w:t>
            </w:r>
          </w:p>
        </w:tc>
        <w:tc>
          <w:tcPr>
            <w:tcW w:w="0" w:type="dxa"/>
            <w:vAlign w:val="bottom"/>
          </w:tcPr>
          <w:p>
            <w:pPr>
              <w:spacing w:after="0"/>
              <w:rPr>
                <w:sz w:val="1"/>
                <w:szCs w:val="1"/>
                <w:color w:val="auto"/>
              </w:rPr>
            </w:pPr>
          </w:p>
        </w:tc>
      </w:tr>
      <w:tr>
        <w:trPr>
          <w:trHeight w:val="52"/>
        </w:trPr>
        <w:tc>
          <w:tcPr>
            <w:tcW w:w="2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gridSpan w:val="2"/>
            <w:vMerge w:val="restart"/>
          </w:tcPr>
          <w:p>
            <w:pPr>
              <w:jc w:val="center"/>
              <w:ind w:right="80"/>
              <w:spacing w:after="0" w:line="155" w:lineRule="exact"/>
              <w:rPr>
                <w:sz w:val="20"/>
                <w:szCs w:val="20"/>
                <w:color w:val="auto"/>
              </w:rPr>
            </w:pPr>
            <w:r>
              <w:rPr>
                <w:rFonts w:ascii="Times New Roman" w:cs="Times New Roman" w:eastAsia="Times New Roman" w:hAnsi="Times New Roman"/>
                <w:sz w:val="15"/>
                <w:szCs w:val="15"/>
                <w:color w:val="auto"/>
              </w:rPr>
              <w:t>Accumulated Other</w:t>
            </w:r>
          </w:p>
        </w:tc>
        <w:tc>
          <w:tcPr>
            <w:tcW w:w="120" w:type="dxa"/>
            <w:vAlign w:val="bottom"/>
          </w:tcPr>
          <w:p>
            <w:pPr>
              <w:spacing w:after="0"/>
              <w:rPr>
                <w:sz w:val="4"/>
                <w:szCs w:val="4"/>
                <w:color w:val="auto"/>
              </w:rPr>
            </w:pPr>
          </w:p>
        </w:tc>
        <w:tc>
          <w:tcPr>
            <w:tcW w:w="1620" w:type="dxa"/>
            <w:vAlign w:val="bottom"/>
            <w:gridSpan w:val="4"/>
            <w:vMerge w:val="continue"/>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2"/>
            <w:vMerge w:val="restart"/>
          </w:tcPr>
          <w:p>
            <w:pPr>
              <w:jc w:val="center"/>
              <w:ind w:right="60"/>
              <w:spacing w:after="0" w:line="155" w:lineRule="exact"/>
              <w:rPr>
                <w:sz w:val="20"/>
                <w:szCs w:val="20"/>
                <w:color w:val="auto"/>
              </w:rPr>
            </w:pPr>
            <w:r>
              <w:rPr>
                <w:rFonts w:ascii="Times New Roman" w:cs="Times New Roman" w:eastAsia="Times New Roman" w:hAnsi="Times New Roman"/>
                <w:sz w:val="15"/>
                <w:szCs w:val="15"/>
                <w:color w:val="auto"/>
              </w:rPr>
              <w:t>Location of</w:t>
            </w:r>
          </w:p>
        </w:tc>
        <w:tc>
          <w:tcPr>
            <w:tcW w:w="180" w:type="dxa"/>
            <w:vAlign w:val="bottom"/>
          </w:tcPr>
          <w:p>
            <w:pPr>
              <w:spacing w:after="0"/>
              <w:rPr>
                <w:sz w:val="4"/>
                <w:szCs w:val="4"/>
                <w:color w:val="auto"/>
              </w:rPr>
            </w:pPr>
          </w:p>
        </w:tc>
        <w:tc>
          <w:tcPr>
            <w:tcW w:w="16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60" w:type="dxa"/>
            <w:vAlign w:val="bottom"/>
            <w:gridSpan w:val="4"/>
            <w:vMerge w:val="restart"/>
          </w:tcPr>
          <w:p>
            <w:pPr>
              <w:jc w:val="center"/>
              <w:ind w:right="43"/>
              <w:spacing w:after="0" w:line="155" w:lineRule="exact"/>
              <w:rPr>
                <w:sz w:val="20"/>
                <w:szCs w:val="20"/>
                <w:color w:val="auto"/>
              </w:rPr>
            </w:pPr>
            <w:r>
              <w:rPr>
                <w:rFonts w:ascii="Times New Roman" w:cs="Times New Roman" w:eastAsia="Times New Roman" w:hAnsi="Times New Roman"/>
                <w:sz w:val="15"/>
                <w:szCs w:val="15"/>
                <w:color w:val="auto"/>
              </w:rPr>
              <w:t>Periods Ended</w:t>
            </w:r>
          </w:p>
        </w:tc>
        <w:tc>
          <w:tcPr>
            <w:tcW w:w="80" w:type="dxa"/>
            <w:vAlign w:val="bottom"/>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620" w:type="dxa"/>
            <w:vAlign w:val="bottom"/>
            <w:gridSpan w:val="4"/>
            <w:vMerge w:val="restart"/>
          </w:tcPr>
          <w:p>
            <w:pPr>
              <w:jc w:val="center"/>
              <w:ind w:right="43"/>
              <w:spacing w:after="0" w:line="155" w:lineRule="exact"/>
              <w:rPr>
                <w:sz w:val="20"/>
                <w:szCs w:val="20"/>
                <w:color w:val="auto"/>
              </w:rPr>
            </w:pPr>
            <w:r>
              <w:rPr>
                <w:rFonts w:ascii="Times New Roman" w:cs="Times New Roman" w:eastAsia="Times New Roman" w:hAnsi="Times New Roman"/>
                <w:sz w:val="15"/>
                <w:szCs w:val="15"/>
                <w:color w:val="auto"/>
              </w:rPr>
              <w:t>Periods Ended</w:t>
            </w:r>
          </w:p>
        </w:tc>
        <w:tc>
          <w:tcPr>
            <w:tcW w:w="80" w:type="dxa"/>
            <w:vAlign w:val="bottom"/>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600" w:type="dxa"/>
            <w:vAlign w:val="bottom"/>
            <w:gridSpan w:val="4"/>
            <w:vMerge w:val="restart"/>
          </w:tcPr>
          <w:p>
            <w:pPr>
              <w:jc w:val="center"/>
              <w:ind w:right="103"/>
              <w:spacing w:after="0" w:line="155" w:lineRule="exact"/>
              <w:rPr>
                <w:sz w:val="20"/>
                <w:szCs w:val="20"/>
                <w:color w:val="auto"/>
              </w:rPr>
            </w:pPr>
            <w:r>
              <w:rPr>
                <w:rFonts w:ascii="Times New Roman" w:cs="Times New Roman" w:eastAsia="Times New Roman" w:hAnsi="Times New Roman"/>
                <w:sz w:val="15"/>
                <w:szCs w:val="15"/>
                <w:color w:val="auto"/>
              </w:rPr>
              <w:t>Periods Ended</w:t>
            </w:r>
          </w:p>
        </w:tc>
        <w:tc>
          <w:tcPr>
            <w:tcW w:w="0" w:type="dxa"/>
            <w:vAlign w:val="bottom"/>
          </w:tcPr>
          <w:p>
            <w:pPr>
              <w:spacing w:after="0"/>
              <w:rPr>
                <w:sz w:val="1"/>
                <w:szCs w:val="1"/>
                <w:color w:val="auto"/>
              </w:rPr>
            </w:pPr>
          </w:p>
        </w:tc>
      </w:tr>
      <w:tr>
        <w:trPr>
          <w:trHeight w:val="52"/>
        </w:trPr>
        <w:tc>
          <w:tcPr>
            <w:tcW w:w="2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gridSpan w:val="2"/>
            <w:vMerge w:val="restart"/>
          </w:tcPr>
          <w:p>
            <w:pPr>
              <w:jc w:val="center"/>
              <w:ind w:right="80"/>
              <w:spacing w:after="0" w:line="155" w:lineRule="exact"/>
              <w:rPr>
                <w:sz w:val="20"/>
                <w:szCs w:val="20"/>
                <w:color w:val="auto"/>
              </w:rPr>
            </w:pPr>
            <w:r>
              <w:rPr>
                <w:rFonts w:ascii="Times New Roman" w:cs="Times New Roman" w:eastAsia="Times New Roman" w:hAnsi="Times New Roman"/>
                <w:sz w:val="15"/>
                <w:szCs w:val="15"/>
                <w:color w:val="auto"/>
              </w:rPr>
              <w:t>Comprehensive Loss</w:t>
            </w:r>
          </w:p>
        </w:tc>
        <w:tc>
          <w:tcPr>
            <w:tcW w:w="120" w:type="dxa"/>
            <w:vAlign w:val="bottom"/>
          </w:tcPr>
          <w:p>
            <w:pPr>
              <w:spacing w:after="0"/>
              <w:rPr>
                <w:sz w:val="4"/>
                <w:szCs w:val="4"/>
                <w:color w:val="auto"/>
              </w:rPr>
            </w:pPr>
          </w:p>
        </w:tc>
        <w:tc>
          <w:tcPr>
            <w:tcW w:w="1620" w:type="dxa"/>
            <w:vAlign w:val="bottom"/>
            <w:gridSpan w:val="4"/>
            <w:vMerge w:val="continue"/>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2"/>
            <w:vMerge w:val="restart"/>
          </w:tcPr>
          <w:p>
            <w:pPr>
              <w:jc w:val="center"/>
              <w:ind w:right="80"/>
              <w:spacing w:after="0" w:line="155" w:lineRule="exact"/>
              <w:rPr>
                <w:sz w:val="20"/>
                <w:szCs w:val="20"/>
                <w:color w:val="auto"/>
              </w:rPr>
            </w:pPr>
            <w:r>
              <w:rPr>
                <w:rFonts w:ascii="Times New Roman" w:cs="Times New Roman" w:eastAsia="Times New Roman" w:hAnsi="Times New Roman"/>
                <w:sz w:val="15"/>
                <w:szCs w:val="15"/>
                <w:color w:val="auto"/>
              </w:rPr>
              <w:t>Gain (Loss)</w:t>
            </w:r>
          </w:p>
        </w:tc>
        <w:tc>
          <w:tcPr>
            <w:tcW w:w="180" w:type="dxa"/>
            <w:vAlign w:val="bottom"/>
          </w:tcPr>
          <w:p>
            <w:pPr>
              <w:spacing w:after="0"/>
              <w:rPr>
                <w:sz w:val="4"/>
                <w:szCs w:val="4"/>
                <w:color w:val="auto"/>
              </w:rPr>
            </w:pPr>
          </w:p>
        </w:tc>
        <w:tc>
          <w:tcPr>
            <w:tcW w:w="16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60" w:type="dxa"/>
            <w:vAlign w:val="bottom"/>
            <w:gridSpan w:val="4"/>
            <w:vMerge w:val="restart"/>
          </w:tcPr>
          <w:p>
            <w:pPr>
              <w:jc w:val="center"/>
              <w:ind w:right="43"/>
              <w:spacing w:after="0"/>
              <w:rPr>
                <w:sz w:val="20"/>
                <w:szCs w:val="20"/>
                <w:color w:val="auto"/>
              </w:rPr>
            </w:pPr>
            <w:r>
              <w:rPr>
                <w:rFonts w:ascii="Times New Roman" w:cs="Times New Roman" w:eastAsia="Times New Roman" w:hAnsi="Times New Roman"/>
                <w:sz w:val="15"/>
                <w:szCs w:val="15"/>
                <w:color w:val="auto"/>
              </w:rPr>
              <w:t>September 30,</w:t>
            </w:r>
          </w:p>
        </w:tc>
        <w:tc>
          <w:tcPr>
            <w:tcW w:w="80" w:type="dxa"/>
            <w:vAlign w:val="bottom"/>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620" w:type="dxa"/>
            <w:vAlign w:val="bottom"/>
            <w:gridSpan w:val="4"/>
            <w:vMerge w:val="restart"/>
          </w:tcPr>
          <w:p>
            <w:pPr>
              <w:jc w:val="center"/>
              <w:ind w:right="43"/>
              <w:spacing w:after="0"/>
              <w:rPr>
                <w:sz w:val="20"/>
                <w:szCs w:val="20"/>
                <w:color w:val="auto"/>
              </w:rPr>
            </w:pPr>
            <w:r>
              <w:rPr>
                <w:rFonts w:ascii="Times New Roman" w:cs="Times New Roman" w:eastAsia="Times New Roman" w:hAnsi="Times New Roman"/>
                <w:sz w:val="15"/>
                <w:szCs w:val="15"/>
                <w:color w:val="auto"/>
              </w:rPr>
              <w:t>September 30,</w:t>
            </w:r>
          </w:p>
        </w:tc>
        <w:tc>
          <w:tcPr>
            <w:tcW w:w="80" w:type="dxa"/>
            <w:vAlign w:val="bottom"/>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600" w:type="dxa"/>
            <w:vAlign w:val="bottom"/>
            <w:gridSpan w:val="4"/>
            <w:vMerge w:val="restart"/>
          </w:tcPr>
          <w:p>
            <w:pPr>
              <w:jc w:val="center"/>
              <w:ind w:right="103"/>
              <w:spacing w:after="0"/>
              <w:rPr>
                <w:sz w:val="20"/>
                <w:szCs w:val="20"/>
                <w:color w:val="auto"/>
              </w:rPr>
            </w:pPr>
            <w:r>
              <w:rPr>
                <w:rFonts w:ascii="Times New Roman" w:cs="Times New Roman" w:eastAsia="Times New Roman" w:hAnsi="Times New Roman"/>
                <w:sz w:val="15"/>
                <w:szCs w:val="15"/>
                <w:color w:val="auto"/>
              </w:rPr>
              <w:t>September 30,</w:t>
            </w:r>
          </w:p>
        </w:tc>
        <w:tc>
          <w:tcPr>
            <w:tcW w:w="0" w:type="dxa"/>
            <w:vAlign w:val="bottom"/>
          </w:tcPr>
          <w:p>
            <w:pPr>
              <w:spacing w:after="0"/>
              <w:rPr>
                <w:sz w:val="1"/>
                <w:szCs w:val="1"/>
                <w:color w:val="auto"/>
              </w:rPr>
            </w:pPr>
          </w:p>
        </w:tc>
      </w:tr>
      <w:tr>
        <w:trPr>
          <w:trHeight w:val="97"/>
        </w:trPr>
        <w:tc>
          <w:tcPr>
            <w:tcW w:w="2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1620" w:type="dxa"/>
            <w:vAlign w:val="bottom"/>
            <w:gridSpan w:val="2"/>
            <w:vMerge w:val="restart"/>
          </w:tcPr>
          <w:p>
            <w:pPr>
              <w:jc w:val="center"/>
              <w:ind w:right="100"/>
              <w:spacing w:after="0" w:line="155" w:lineRule="exact"/>
              <w:rPr>
                <w:sz w:val="20"/>
                <w:szCs w:val="20"/>
                <w:color w:val="auto"/>
              </w:rPr>
            </w:pPr>
            <w:r>
              <w:rPr>
                <w:rFonts w:ascii="Times New Roman" w:cs="Times New Roman" w:eastAsia="Times New Roman" w:hAnsi="Times New Roman"/>
                <w:sz w:val="15"/>
                <w:szCs w:val="15"/>
                <w:color w:val="auto"/>
              </w:rPr>
              <w:t>into Income (Effective</w:t>
            </w:r>
          </w:p>
        </w:tc>
        <w:tc>
          <w:tcPr>
            <w:tcW w:w="12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1660" w:type="dxa"/>
            <w:vAlign w:val="bottom"/>
            <w:gridSpan w:val="2"/>
            <w:vMerge w:val="restart"/>
          </w:tcPr>
          <w:p>
            <w:pPr>
              <w:jc w:val="center"/>
              <w:ind w:right="60"/>
              <w:spacing w:after="0" w:line="155" w:lineRule="exact"/>
              <w:rPr>
                <w:sz w:val="20"/>
                <w:szCs w:val="20"/>
                <w:color w:val="auto"/>
              </w:rPr>
            </w:pPr>
            <w:r>
              <w:rPr>
                <w:rFonts w:ascii="Times New Roman" w:cs="Times New Roman" w:eastAsia="Times New Roman" w:hAnsi="Times New Roman"/>
                <w:sz w:val="15"/>
                <w:szCs w:val="15"/>
                <w:color w:val="auto"/>
              </w:rPr>
              <w:t>Recognized</w:t>
            </w:r>
          </w:p>
        </w:tc>
        <w:tc>
          <w:tcPr>
            <w:tcW w:w="18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2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vMerge w:val="restart"/>
          </w:tcPr>
          <w:p>
            <w:pPr>
              <w:jc w:val="right"/>
              <w:ind w:right="203"/>
              <w:spacing w:after="0"/>
              <w:rPr>
                <w:sz w:val="20"/>
                <w:szCs w:val="20"/>
                <w:color w:val="auto"/>
              </w:rPr>
            </w:pPr>
            <w:r>
              <w:rPr>
                <w:rFonts w:ascii="Times New Roman" w:cs="Times New Roman" w:eastAsia="Times New Roman" w:hAnsi="Times New Roman"/>
                <w:sz w:val="15"/>
                <w:szCs w:val="15"/>
                <w:color w:val="auto"/>
              </w:rPr>
              <w:t>2026</w:t>
            </w: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vMerge w:val="restart"/>
          </w:tcPr>
          <w:p>
            <w:pPr>
              <w:jc w:val="right"/>
              <w:ind w:right="183"/>
              <w:spacing w:after="0"/>
              <w:rPr>
                <w:sz w:val="20"/>
                <w:szCs w:val="20"/>
                <w:color w:val="auto"/>
              </w:rPr>
            </w:pPr>
            <w:r>
              <w:rPr>
                <w:rFonts w:ascii="Times New Roman" w:cs="Times New Roman" w:eastAsia="Times New Roman" w:hAnsi="Times New Roman"/>
                <w:sz w:val="15"/>
                <w:szCs w:val="15"/>
                <w:color w:val="auto"/>
              </w:rPr>
              <w:t>2025</w:t>
            </w:r>
          </w:p>
        </w:tc>
        <w:tc>
          <w:tcPr>
            <w:tcW w:w="80" w:type="dxa"/>
            <w:vAlign w:val="bottom"/>
          </w:tcPr>
          <w:p>
            <w:pPr>
              <w:spacing w:after="0"/>
              <w:rPr>
                <w:sz w:val="3"/>
                <w:szCs w:val="3"/>
                <w:color w:val="auto"/>
              </w:rPr>
            </w:pPr>
          </w:p>
        </w:tc>
        <w:tc>
          <w:tcPr>
            <w:tcW w:w="162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vMerge w:val="restart"/>
          </w:tcPr>
          <w:p>
            <w:pPr>
              <w:jc w:val="right"/>
              <w:ind w:right="203"/>
              <w:spacing w:after="0"/>
              <w:rPr>
                <w:sz w:val="20"/>
                <w:szCs w:val="20"/>
                <w:color w:val="auto"/>
              </w:rPr>
            </w:pPr>
            <w:r>
              <w:rPr>
                <w:rFonts w:ascii="Times New Roman" w:cs="Times New Roman" w:eastAsia="Times New Roman" w:hAnsi="Times New Roman"/>
                <w:sz w:val="15"/>
                <w:szCs w:val="15"/>
                <w:color w:val="auto"/>
              </w:rPr>
              <w:t>2026</w:t>
            </w: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vMerge w:val="restart"/>
          </w:tcPr>
          <w:p>
            <w:pPr>
              <w:jc w:val="right"/>
              <w:ind w:right="183"/>
              <w:spacing w:after="0"/>
              <w:rPr>
                <w:sz w:val="20"/>
                <w:szCs w:val="20"/>
                <w:color w:val="auto"/>
              </w:rPr>
            </w:pPr>
            <w:r>
              <w:rPr>
                <w:rFonts w:ascii="Times New Roman" w:cs="Times New Roman" w:eastAsia="Times New Roman" w:hAnsi="Times New Roman"/>
                <w:sz w:val="15"/>
                <w:szCs w:val="15"/>
                <w:color w:val="auto"/>
              </w:rPr>
              <w:t>2025</w:t>
            </w:r>
          </w:p>
        </w:tc>
        <w:tc>
          <w:tcPr>
            <w:tcW w:w="80" w:type="dxa"/>
            <w:vAlign w:val="bottom"/>
          </w:tcPr>
          <w:p>
            <w:pPr>
              <w:spacing w:after="0"/>
              <w:rPr>
                <w:sz w:val="3"/>
                <w:szCs w:val="3"/>
                <w:color w:val="auto"/>
              </w:rPr>
            </w:pPr>
          </w:p>
        </w:tc>
        <w:tc>
          <w:tcPr>
            <w:tcW w:w="166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vMerge w:val="restart"/>
          </w:tcPr>
          <w:p>
            <w:pPr>
              <w:jc w:val="right"/>
              <w:ind w:right="203"/>
              <w:spacing w:after="0"/>
              <w:rPr>
                <w:sz w:val="20"/>
                <w:szCs w:val="20"/>
                <w:color w:val="auto"/>
              </w:rPr>
            </w:pPr>
            <w:r>
              <w:rPr>
                <w:rFonts w:ascii="Times New Roman" w:cs="Times New Roman" w:eastAsia="Times New Roman" w:hAnsi="Times New Roman"/>
                <w:sz w:val="15"/>
                <w:szCs w:val="15"/>
                <w:color w:val="auto"/>
              </w:rPr>
              <w:t>2026</w:t>
            </w: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vMerge w:val="restart"/>
          </w:tcPr>
          <w:p>
            <w:pPr>
              <w:jc w:val="right"/>
              <w:ind w:right="183"/>
              <w:spacing w:after="0"/>
              <w:rPr>
                <w:sz w:val="20"/>
                <w:szCs w:val="20"/>
                <w:color w:val="auto"/>
              </w:rPr>
            </w:pPr>
            <w:r>
              <w:rPr>
                <w:rFonts w:ascii="Times New Roman" w:cs="Times New Roman" w:eastAsia="Times New Roman" w:hAnsi="Times New Roman"/>
                <w:sz w:val="15"/>
                <w:szCs w:val="15"/>
                <w:color w:val="auto"/>
              </w:rPr>
              <w:t>2025</w:t>
            </w:r>
          </w:p>
        </w:tc>
        <w:tc>
          <w:tcPr>
            <w:tcW w:w="0" w:type="dxa"/>
            <w:vAlign w:val="bottom"/>
          </w:tcPr>
          <w:p>
            <w:pPr>
              <w:spacing w:after="0" w:line="20" w:lineRule="exact"/>
              <w:rPr>
                <w:sz w:val="1"/>
                <w:szCs w:val="1"/>
                <w:color w:val="auto"/>
              </w:rPr>
            </w:pPr>
          </w:p>
        </w:tc>
      </w:tr>
      <w:tr>
        <w:trPr>
          <w:trHeight w:val="203"/>
        </w:trPr>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Portion)</w:t>
            </w: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in Income</w:t>
            </w: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5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gridSpan w:val="4"/>
          </w:tcPr>
          <w:p>
            <w:pPr>
              <w:jc w:val="center"/>
              <w:ind w:right="83"/>
              <w:spacing w:after="0"/>
              <w:rPr>
                <w:sz w:val="20"/>
                <w:szCs w:val="20"/>
                <w:color w:val="auto"/>
              </w:rPr>
            </w:pPr>
            <w:r>
              <w:rPr>
                <w:rFonts w:ascii="Times New Roman" w:cs="Times New Roman" w:eastAsia="Times New Roman" w:hAnsi="Times New Roman"/>
                <w:sz w:val="15"/>
                <w:szCs w:val="15"/>
                <w:color w:val="auto"/>
              </w:rPr>
              <w:t>(In thousands)</w:t>
            </w:r>
          </w:p>
        </w:tc>
        <w:tc>
          <w:tcPr>
            <w:tcW w:w="0" w:type="dxa"/>
            <w:vAlign w:val="bottom"/>
          </w:tcPr>
          <w:p>
            <w:pPr>
              <w:spacing w:after="0"/>
              <w:rPr>
                <w:sz w:val="1"/>
                <w:szCs w:val="1"/>
                <w:color w:val="auto"/>
              </w:rPr>
            </w:pPr>
          </w:p>
        </w:tc>
      </w:tr>
      <w:tr>
        <w:trPr>
          <w:trHeight w:val="222"/>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Fair Value Hedges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500" w:type="dxa"/>
            <w:vAlign w:val="bottom"/>
          </w:tcPr>
          <w:p>
            <w:pPr>
              <w:ind w:left="180"/>
              <w:spacing w:after="0" w:line="169" w:lineRule="exact"/>
              <w:rPr>
                <w:sz w:val="20"/>
                <w:szCs w:val="20"/>
                <w:color w:val="auto"/>
              </w:rPr>
            </w:pPr>
            <w:r>
              <w:rPr>
                <w:rFonts w:ascii="Times New Roman" w:cs="Times New Roman" w:eastAsia="Times New Roman" w:hAnsi="Times New Roman"/>
                <w:sz w:val="15"/>
                <w:szCs w:val="15"/>
                <w:color w:val="auto"/>
              </w:rPr>
              <w:t>Pay-fixed interest rate swap</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5"/>
                <w:szCs w:val="15"/>
                <w:color w:val="auto"/>
              </w:rPr>
              <w:t>Interest and fees on</w:t>
            </w:r>
          </w:p>
        </w:tc>
        <w:tc>
          <w:tcPr>
            <w:tcW w:w="18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63</w:t>
            </w:r>
          </w:p>
        </w:tc>
        <w:tc>
          <w:tcPr>
            <w:tcW w:w="80" w:type="dxa"/>
            <w:vAlign w:val="bottom"/>
          </w:tcPr>
          <w:p>
            <w:pPr>
              <w:spacing w:after="0"/>
              <w:rPr>
                <w:sz w:val="14"/>
                <w:szCs w:val="14"/>
                <w:color w:val="auto"/>
              </w:rPr>
            </w:pPr>
          </w:p>
        </w:tc>
        <w:tc>
          <w:tcPr>
            <w:tcW w:w="180" w:type="dxa"/>
            <w:vAlign w:val="bottom"/>
            <w:vMerge w:val="restart"/>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0" w:type="dxa"/>
            <w:vAlign w:val="bottom"/>
          </w:tcPr>
          <w:p>
            <w:pPr>
              <w:spacing w:after="0"/>
              <w:rPr>
                <w:sz w:val="1"/>
                <w:szCs w:val="1"/>
                <w:color w:val="auto"/>
              </w:rPr>
            </w:pPr>
          </w:p>
        </w:tc>
      </w:tr>
      <w:tr>
        <w:trPr>
          <w:trHeight w:val="203"/>
        </w:trPr>
        <w:tc>
          <w:tcPr>
            <w:tcW w:w="25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agreement - commercial</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loans</w:t>
            </w:r>
          </w:p>
        </w:tc>
        <w:tc>
          <w:tcPr>
            <w:tcW w:w="18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500" w:type="dxa"/>
            <w:vAlign w:val="bottom"/>
            <w:shd w:val="clear" w:color="auto" w:fill="CCEEFF"/>
          </w:tcPr>
          <w:p>
            <w:pPr>
              <w:ind w:left="180"/>
              <w:spacing w:after="0" w:line="172" w:lineRule="exact"/>
              <w:rPr>
                <w:sz w:val="20"/>
                <w:szCs w:val="20"/>
                <w:color w:val="auto"/>
              </w:rPr>
            </w:pPr>
            <w:r>
              <w:rPr>
                <w:rFonts w:ascii="Times New Roman" w:cs="Times New Roman" w:eastAsia="Times New Roman" w:hAnsi="Times New Roman"/>
                <w:sz w:val="15"/>
                <w:szCs w:val="15"/>
                <w:color w:val="auto"/>
              </w:rPr>
              <w:t>Pay-fixed interest rate swap</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60" w:type="dxa"/>
            <w:vAlign w:val="bottom"/>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5"/>
                <w:szCs w:val="15"/>
                <w:color w:val="auto"/>
              </w:rPr>
              <w:t>Interest on securities</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500" w:type="dxa"/>
            <w:vAlign w:val="bottom"/>
            <w:shd w:val="clear" w:color="auto" w:fill="CCEEFF"/>
          </w:tcPr>
          <w:p>
            <w:pPr>
              <w:ind w:left="320"/>
              <w:spacing w:after="0" w:line="155" w:lineRule="exact"/>
              <w:rPr>
                <w:sz w:val="20"/>
                <w:szCs w:val="20"/>
                <w:color w:val="auto"/>
              </w:rPr>
            </w:pPr>
            <w:r>
              <w:rPr>
                <w:rFonts w:ascii="Times New Roman" w:cs="Times New Roman" w:eastAsia="Times New Roman" w:hAnsi="Times New Roman"/>
                <w:sz w:val="15"/>
                <w:szCs w:val="15"/>
                <w:color w:val="auto"/>
              </w:rPr>
              <w:t>agreements - securities available</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(308)</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(1,162)</w:t>
            </w:r>
          </w:p>
        </w:tc>
        <w:tc>
          <w:tcPr>
            <w:tcW w:w="0" w:type="dxa"/>
            <w:vAlign w:val="bottom"/>
          </w:tcPr>
          <w:p>
            <w:pPr>
              <w:spacing w:after="0"/>
              <w:rPr>
                <w:sz w:val="1"/>
                <w:szCs w:val="1"/>
                <w:color w:val="auto"/>
              </w:rPr>
            </w:pPr>
          </w:p>
        </w:tc>
      </w:tr>
      <w:tr>
        <w:trPr>
          <w:trHeight w:val="205"/>
        </w:trPr>
        <w:tc>
          <w:tcPr>
            <w:tcW w:w="2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for sale</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500" w:type="dxa"/>
            <w:vAlign w:val="bottom"/>
          </w:tcPr>
          <w:p>
            <w:pPr>
              <w:ind w:left="180"/>
              <w:spacing w:after="0" w:line="169" w:lineRule="exact"/>
              <w:rPr>
                <w:sz w:val="20"/>
                <w:szCs w:val="20"/>
                <w:color w:val="auto"/>
              </w:rPr>
            </w:pPr>
            <w:r>
              <w:rPr>
                <w:rFonts w:ascii="Times New Roman" w:cs="Times New Roman" w:eastAsia="Times New Roman" w:hAnsi="Times New Roman"/>
                <w:sz w:val="15"/>
                <w:szCs w:val="15"/>
                <w:color w:val="auto"/>
              </w:rPr>
              <w:t>Pay-fixed interest rate swap</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5"/>
                <w:szCs w:val="15"/>
                <w:color w:val="auto"/>
              </w:rPr>
              <w:t>Interest and fees on</w:t>
            </w:r>
          </w:p>
        </w:tc>
        <w:tc>
          <w:tcPr>
            <w:tcW w:w="1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0" w:type="dxa"/>
            <w:vAlign w:val="bottom"/>
          </w:tcPr>
          <w:p>
            <w:pPr>
              <w:spacing w:after="0"/>
              <w:rPr>
                <w:sz w:val="1"/>
                <w:szCs w:val="1"/>
                <w:color w:val="auto"/>
              </w:rPr>
            </w:pPr>
          </w:p>
        </w:tc>
      </w:tr>
      <w:tr>
        <w:trPr>
          <w:trHeight w:val="203"/>
        </w:trPr>
        <w:tc>
          <w:tcPr>
            <w:tcW w:w="25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agreements - Installment</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loans</w:t>
            </w: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500" w:type="dxa"/>
            <w:vAlign w:val="bottom"/>
            <w:shd w:val="clear" w:color="auto" w:fill="CCEEFF"/>
          </w:tcPr>
          <w:p>
            <w:pPr>
              <w:ind w:left="180"/>
              <w:spacing w:after="0" w:line="172" w:lineRule="exact"/>
              <w:rPr>
                <w:sz w:val="20"/>
                <w:szCs w:val="20"/>
                <w:color w:val="auto"/>
              </w:rPr>
            </w:pPr>
            <w:r>
              <w:rPr>
                <w:rFonts w:ascii="Times New Roman" w:cs="Times New Roman" w:eastAsia="Times New Roman" w:hAnsi="Times New Roman"/>
                <w:sz w:val="15"/>
                <w:szCs w:val="15"/>
                <w:color w:val="auto"/>
              </w:rPr>
              <w:t>Pay-fixed interest rate swap</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60" w:type="dxa"/>
            <w:vAlign w:val="bottom"/>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5"/>
                <w:szCs w:val="15"/>
                <w:color w:val="auto"/>
              </w:rPr>
              <w:t>Interest and fees on</w:t>
            </w:r>
          </w:p>
        </w:tc>
        <w:tc>
          <w:tcPr>
            <w:tcW w:w="1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w:t>
            </w:r>
          </w:p>
        </w:tc>
        <w:tc>
          <w:tcPr>
            <w:tcW w:w="0" w:type="dxa"/>
            <w:vAlign w:val="bottom"/>
          </w:tcPr>
          <w:p>
            <w:pPr>
              <w:spacing w:after="0"/>
              <w:rPr>
                <w:sz w:val="1"/>
                <w:szCs w:val="1"/>
                <w:color w:val="auto"/>
              </w:rPr>
            </w:pPr>
          </w:p>
        </w:tc>
      </w:tr>
      <w:tr>
        <w:trPr>
          <w:trHeight w:val="205"/>
        </w:trPr>
        <w:tc>
          <w:tcPr>
            <w:tcW w:w="2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agreements - Mortgage</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loans</w:t>
            </w: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500" w:type="dxa"/>
            <w:vAlign w:val="bottom"/>
          </w:tcPr>
          <w:p>
            <w:pPr>
              <w:ind w:left="180"/>
              <w:spacing w:after="0" w:line="169" w:lineRule="exact"/>
              <w:rPr>
                <w:sz w:val="20"/>
                <w:szCs w:val="20"/>
                <w:color w:val="auto"/>
              </w:rPr>
            </w:pPr>
            <w:r>
              <w:rPr>
                <w:rFonts w:ascii="Times New Roman" w:cs="Times New Roman" w:eastAsia="Times New Roman" w:hAnsi="Times New Roman"/>
                <w:sz w:val="15"/>
                <w:szCs w:val="15"/>
                <w:color w:val="auto"/>
              </w:rPr>
              <w:t>Interest rate cap agreements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95</w:t>
            </w:r>
          </w:p>
        </w:tc>
        <w:tc>
          <w:tcPr>
            <w:tcW w:w="80" w:type="dxa"/>
            <w:vAlign w:val="bottom"/>
          </w:tcPr>
          <w:p>
            <w:pPr>
              <w:spacing w:after="0"/>
              <w:rPr>
                <w:sz w:val="14"/>
                <w:szCs w:val="14"/>
                <w:color w:val="auto"/>
              </w:rPr>
            </w:pPr>
          </w:p>
        </w:tc>
        <w:tc>
          <w:tcPr>
            <w:tcW w:w="200" w:type="dxa"/>
            <w:vAlign w:val="bottom"/>
            <w:vMerge w:val="restart"/>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80" w:type="dxa"/>
            <w:vAlign w:val="bottom"/>
          </w:tcPr>
          <w:p>
            <w:pPr>
              <w:spacing w:after="0"/>
              <w:rPr>
                <w:sz w:val="14"/>
                <w:szCs w:val="14"/>
                <w:color w:val="auto"/>
              </w:rPr>
            </w:pPr>
          </w:p>
        </w:tc>
        <w:tc>
          <w:tcPr>
            <w:tcW w:w="162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5"/>
                <w:szCs w:val="15"/>
                <w:color w:val="auto"/>
              </w:rPr>
              <w:t>Interest on securities</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(55)</w:t>
            </w:r>
          </w:p>
        </w:tc>
        <w:tc>
          <w:tcPr>
            <w:tcW w:w="60" w:type="dxa"/>
            <w:vAlign w:val="bottom"/>
          </w:tcPr>
          <w:p>
            <w:pPr>
              <w:spacing w:after="0"/>
              <w:rPr>
                <w:sz w:val="14"/>
                <w:szCs w:val="14"/>
                <w:color w:val="auto"/>
              </w:rPr>
            </w:pPr>
          </w:p>
        </w:tc>
        <w:tc>
          <w:tcPr>
            <w:tcW w:w="18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(55)</w:t>
            </w:r>
          </w:p>
        </w:tc>
        <w:tc>
          <w:tcPr>
            <w:tcW w:w="80" w:type="dxa"/>
            <w:vAlign w:val="bottom"/>
          </w:tcPr>
          <w:p>
            <w:pPr>
              <w:spacing w:after="0"/>
              <w:rPr>
                <w:sz w:val="14"/>
                <w:szCs w:val="14"/>
                <w:color w:val="auto"/>
              </w:rPr>
            </w:pPr>
          </w:p>
        </w:tc>
        <w:tc>
          <w:tcPr>
            <w:tcW w:w="166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5"/>
                <w:szCs w:val="15"/>
                <w:color w:val="auto"/>
              </w:rPr>
              <w:t>Interest on securities</w:t>
            </w:r>
          </w:p>
        </w:tc>
        <w:tc>
          <w:tcPr>
            <w:tcW w:w="180" w:type="dxa"/>
            <w:vAlign w:val="bottom"/>
          </w:tcPr>
          <w:p>
            <w:pPr>
              <w:spacing w:after="0"/>
              <w:rPr>
                <w:sz w:val="14"/>
                <w:szCs w:val="14"/>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25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securities available for sale</w:t>
            </w:r>
          </w:p>
        </w:tc>
        <w:tc>
          <w:tcPr>
            <w:tcW w:w="12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50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w:t>
            </w:r>
          </w:p>
        </w:tc>
        <w:tc>
          <w:tcPr>
            <w:tcW w:w="80" w:type="dxa"/>
            <w:vAlign w:val="bottom"/>
            <w:tcBorders>
              <w:top w:val="single" w:sz="8" w:color="CCEEFF"/>
              <w:bottom w:val="single" w:sz="8" w:color="auto"/>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5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w:t>
            </w:r>
          </w:p>
        </w:tc>
        <w:tc>
          <w:tcPr>
            <w:tcW w:w="60" w:type="dxa"/>
            <w:vAlign w:val="bottom"/>
            <w:tcBorders>
              <w:top w:val="single" w:sz="8" w:color="CCEEFF"/>
              <w:bottom w:val="single" w:sz="8" w:color="auto"/>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58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w:t>
            </w:r>
          </w:p>
        </w:tc>
        <w:tc>
          <w:tcPr>
            <w:tcW w:w="80" w:type="dxa"/>
            <w:vAlign w:val="bottom"/>
            <w:tcBorders>
              <w:top w:val="single" w:sz="8" w:color="CCEEFF"/>
              <w:bottom w:val="single" w:sz="8" w:color="auto"/>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(1,293)</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Flow Hedges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500" w:type="dxa"/>
            <w:vAlign w:val="bottom"/>
          </w:tcPr>
          <w:p>
            <w:pPr>
              <w:ind w:left="180"/>
              <w:spacing w:after="0" w:line="169" w:lineRule="exact"/>
              <w:rPr>
                <w:sz w:val="20"/>
                <w:szCs w:val="20"/>
                <w:color w:val="auto"/>
              </w:rPr>
            </w:pPr>
            <w:r>
              <w:rPr>
                <w:rFonts w:ascii="Times New Roman" w:cs="Times New Roman" w:eastAsia="Times New Roman" w:hAnsi="Times New Roman"/>
                <w:sz w:val="15"/>
                <w:szCs w:val="15"/>
                <w:color w:val="auto"/>
              </w:rPr>
              <w:t>Interest rate floor agreements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(1,666)</w:t>
            </w:r>
          </w:p>
        </w:tc>
        <w:tc>
          <w:tcPr>
            <w:tcW w:w="80" w:type="dxa"/>
            <w:vAlign w:val="bottom"/>
          </w:tcPr>
          <w:p>
            <w:pPr>
              <w:spacing w:after="0"/>
              <w:rPr>
                <w:sz w:val="14"/>
                <w:szCs w:val="14"/>
                <w:color w:val="auto"/>
              </w:rPr>
            </w:pPr>
          </w:p>
        </w:tc>
        <w:tc>
          <w:tcPr>
            <w:tcW w:w="200" w:type="dxa"/>
            <w:vAlign w:val="bottom"/>
            <w:vMerge w:val="restart"/>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(1,046)</w:t>
            </w:r>
          </w:p>
        </w:tc>
        <w:tc>
          <w:tcPr>
            <w:tcW w:w="80" w:type="dxa"/>
            <w:vAlign w:val="bottom"/>
          </w:tcPr>
          <w:p>
            <w:pPr>
              <w:spacing w:after="0"/>
              <w:rPr>
                <w:sz w:val="14"/>
                <w:szCs w:val="14"/>
                <w:color w:val="auto"/>
              </w:rPr>
            </w:pPr>
          </w:p>
        </w:tc>
        <w:tc>
          <w:tcPr>
            <w:tcW w:w="162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5"/>
                <w:szCs w:val="15"/>
                <w:color w:val="auto"/>
              </w:rPr>
              <w:t>Interest and fees on</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(481)</w:t>
            </w:r>
          </w:p>
        </w:tc>
        <w:tc>
          <w:tcPr>
            <w:tcW w:w="60" w:type="dxa"/>
            <w:vAlign w:val="bottom"/>
          </w:tcPr>
          <w:p>
            <w:pPr>
              <w:spacing w:after="0"/>
              <w:rPr>
                <w:sz w:val="14"/>
                <w:szCs w:val="14"/>
                <w:color w:val="auto"/>
              </w:rPr>
            </w:pPr>
          </w:p>
        </w:tc>
        <w:tc>
          <w:tcPr>
            <w:tcW w:w="18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(551)</w:t>
            </w:r>
          </w:p>
        </w:tc>
        <w:tc>
          <w:tcPr>
            <w:tcW w:w="80" w:type="dxa"/>
            <w:vAlign w:val="bottom"/>
          </w:tcPr>
          <w:p>
            <w:pPr>
              <w:spacing w:after="0"/>
              <w:rPr>
                <w:sz w:val="14"/>
                <w:szCs w:val="14"/>
                <w:color w:val="auto"/>
              </w:rPr>
            </w:pPr>
          </w:p>
        </w:tc>
        <w:tc>
          <w:tcPr>
            <w:tcW w:w="166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5"/>
                <w:szCs w:val="15"/>
                <w:color w:val="auto"/>
              </w:rPr>
              <w:t>Interest and fees on</w:t>
            </w:r>
          </w:p>
        </w:tc>
        <w:tc>
          <w:tcPr>
            <w:tcW w:w="18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(481)</w:t>
            </w:r>
          </w:p>
        </w:tc>
        <w:tc>
          <w:tcPr>
            <w:tcW w:w="80" w:type="dxa"/>
            <w:vAlign w:val="bottom"/>
          </w:tcPr>
          <w:p>
            <w:pPr>
              <w:spacing w:after="0"/>
              <w:rPr>
                <w:sz w:val="14"/>
                <w:szCs w:val="14"/>
                <w:color w:val="auto"/>
              </w:rPr>
            </w:pPr>
          </w:p>
        </w:tc>
        <w:tc>
          <w:tcPr>
            <w:tcW w:w="180" w:type="dxa"/>
            <w:vAlign w:val="bottom"/>
            <w:vMerge w:val="restart"/>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(551)</w:t>
            </w:r>
          </w:p>
        </w:tc>
        <w:tc>
          <w:tcPr>
            <w:tcW w:w="0" w:type="dxa"/>
            <w:vAlign w:val="bottom"/>
          </w:tcPr>
          <w:p>
            <w:pPr>
              <w:spacing w:after="0"/>
              <w:rPr>
                <w:sz w:val="1"/>
                <w:szCs w:val="1"/>
                <w:color w:val="auto"/>
              </w:rPr>
            </w:pPr>
          </w:p>
        </w:tc>
      </w:tr>
      <w:tr>
        <w:trPr>
          <w:trHeight w:val="203"/>
        </w:trPr>
        <w:tc>
          <w:tcPr>
            <w:tcW w:w="25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commercial</w:t>
            </w:r>
          </w:p>
        </w:tc>
        <w:tc>
          <w:tcPr>
            <w:tcW w:w="12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loans</w:t>
            </w:r>
          </w:p>
        </w:tc>
        <w:tc>
          <w:tcPr>
            <w:tcW w:w="12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loans</w:t>
            </w:r>
          </w:p>
        </w:tc>
        <w:tc>
          <w:tcPr>
            <w:tcW w:w="18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500" w:type="dxa"/>
            <w:vAlign w:val="bottom"/>
            <w:shd w:val="clear" w:color="auto" w:fill="CCEEFF"/>
          </w:tcPr>
          <w:p>
            <w:pPr>
              <w:ind w:left="180"/>
              <w:spacing w:after="0" w:line="172" w:lineRule="exact"/>
              <w:rPr>
                <w:sz w:val="20"/>
                <w:szCs w:val="20"/>
                <w:color w:val="auto"/>
              </w:rPr>
            </w:pPr>
            <w:r>
              <w:rPr>
                <w:rFonts w:ascii="Times New Roman" w:cs="Times New Roman" w:eastAsia="Times New Roman" w:hAnsi="Times New Roman"/>
                <w:sz w:val="15"/>
                <w:szCs w:val="15"/>
                <w:color w:val="auto"/>
              </w:rPr>
              <w:t>Interest rate cap agreements - short-</w:t>
            </w:r>
          </w:p>
        </w:tc>
        <w:tc>
          <w:tcPr>
            <w:tcW w:w="1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w:t>
            </w:r>
          </w:p>
        </w:tc>
        <w:tc>
          <w:tcPr>
            <w:tcW w:w="80" w:type="dxa"/>
            <w:vAlign w:val="bottom"/>
            <w:shd w:val="clear" w:color="auto" w:fill="CCEEFF"/>
          </w:tcPr>
          <w:p>
            <w:pPr>
              <w:spacing w:after="0"/>
              <w:rPr>
                <w:sz w:val="14"/>
                <w:szCs w:val="14"/>
                <w:color w:val="auto"/>
              </w:rPr>
            </w:pPr>
          </w:p>
        </w:tc>
        <w:tc>
          <w:tcPr>
            <w:tcW w:w="16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expense</w:t>
            </w: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80" w:type="dxa"/>
            <w:vAlign w:val="bottom"/>
            <w:shd w:val="clear" w:color="auto" w:fill="CCEEFF"/>
          </w:tcPr>
          <w:p>
            <w:pPr>
              <w:spacing w:after="0"/>
              <w:rPr>
                <w:sz w:val="14"/>
                <w:szCs w:val="14"/>
                <w:color w:val="auto"/>
              </w:rPr>
            </w:pPr>
          </w:p>
        </w:tc>
        <w:tc>
          <w:tcPr>
            <w:tcW w:w="16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expense</w:t>
            </w:r>
          </w:p>
        </w:tc>
        <w:tc>
          <w:tcPr>
            <w:tcW w:w="1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205"/>
        </w:trPr>
        <w:tc>
          <w:tcPr>
            <w:tcW w:w="2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term funding liabilities</w:t>
            </w: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20" w:type="dxa"/>
            <w:vAlign w:val="bottom"/>
            <w:gridSpan w:val="2"/>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60" w:type="dxa"/>
            <w:vAlign w:val="bottom"/>
            <w:gridSpan w:val="2"/>
            <w:vMerge w:val="continue"/>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(1,466)</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(1,139)</w:t>
            </w: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(514)</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(555)</w:t>
            </w: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(514)</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(555)</w:t>
            </w:r>
          </w:p>
        </w:tc>
        <w:tc>
          <w:tcPr>
            <w:tcW w:w="0" w:type="dxa"/>
            <w:vAlign w:val="bottom"/>
          </w:tcPr>
          <w:p>
            <w:pPr>
              <w:spacing w:after="0"/>
              <w:rPr>
                <w:sz w:val="1"/>
                <w:szCs w:val="1"/>
                <w:color w:val="auto"/>
              </w:rPr>
            </w:pPr>
          </w:p>
        </w:tc>
      </w:tr>
      <w:tr>
        <w:trPr>
          <w:trHeight w:val="20"/>
        </w:trPr>
        <w:tc>
          <w:tcPr>
            <w:tcW w:w="2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 hedge designation</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500" w:type="dxa"/>
            <w:vAlign w:val="bottom"/>
            <w:shd w:val="clear" w:color="auto" w:fill="CCEEFF"/>
          </w:tcPr>
          <w:p>
            <w:pPr>
              <w:ind w:left="180"/>
              <w:spacing w:after="0" w:line="172" w:lineRule="exact"/>
              <w:rPr>
                <w:sz w:val="20"/>
                <w:szCs w:val="20"/>
                <w:color w:val="auto"/>
              </w:rPr>
            </w:pPr>
            <w:r>
              <w:rPr>
                <w:rFonts w:ascii="Times New Roman" w:cs="Times New Roman" w:eastAsia="Times New Roman" w:hAnsi="Times New Roman"/>
                <w:sz w:val="15"/>
                <w:szCs w:val="15"/>
                <w:color w:val="auto"/>
              </w:rPr>
              <w:t>Rate-lock mortgage loan</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60" w:type="dxa"/>
            <w:vAlign w:val="bottom"/>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5"/>
                <w:szCs w:val="15"/>
                <w:color w:val="auto"/>
              </w:rPr>
              <w:t>Net gains on mortgage</w:t>
            </w:r>
          </w:p>
        </w:tc>
        <w:tc>
          <w:tcPr>
            <w:tcW w:w="1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(309)</w:t>
            </w:r>
          </w:p>
        </w:tc>
        <w:tc>
          <w:tcPr>
            <w:tcW w:w="8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w:t>
            </w:r>
          </w:p>
        </w:tc>
        <w:tc>
          <w:tcPr>
            <w:tcW w:w="0" w:type="dxa"/>
            <w:vAlign w:val="bottom"/>
          </w:tcPr>
          <w:p>
            <w:pPr>
              <w:spacing w:after="0"/>
              <w:rPr>
                <w:sz w:val="1"/>
                <w:szCs w:val="1"/>
                <w:color w:val="auto"/>
              </w:rPr>
            </w:pPr>
          </w:p>
        </w:tc>
      </w:tr>
      <w:tr>
        <w:trPr>
          <w:trHeight w:val="205"/>
        </w:trPr>
        <w:tc>
          <w:tcPr>
            <w:tcW w:w="2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commitments</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loans</w:t>
            </w:r>
          </w:p>
        </w:tc>
        <w:tc>
          <w:tcPr>
            <w:tcW w:w="18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500" w:type="dxa"/>
            <w:vAlign w:val="bottom"/>
          </w:tcPr>
          <w:p>
            <w:pPr>
              <w:ind w:left="180"/>
              <w:spacing w:after="0" w:line="169" w:lineRule="exact"/>
              <w:rPr>
                <w:sz w:val="20"/>
                <w:szCs w:val="20"/>
                <w:color w:val="auto"/>
              </w:rPr>
            </w:pPr>
            <w:r>
              <w:rPr>
                <w:rFonts w:ascii="Times New Roman" w:cs="Times New Roman" w:eastAsia="Times New Roman" w:hAnsi="Times New Roman"/>
                <w:sz w:val="15"/>
                <w:szCs w:val="15"/>
                <w:color w:val="auto"/>
              </w:rPr>
              <w:t>Mandatory commitments to sell</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5"/>
                <w:szCs w:val="15"/>
                <w:color w:val="auto"/>
              </w:rPr>
              <w:t>Net gains on mortgage</w:t>
            </w:r>
          </w:p>
        </w:tc>
        <w:tc>
          <w:tcPr>
            <w:tcW w:w="1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520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171</w:t>
            </w:r>
          </w:p>
        </w:tc>
        <w:tc>
          <w:tcPr>
            <w:tcW w:w="0" w:type="dxa"/>
            <w:vAlign w:val="bottom"/>
          </w:tcPr>
          <w:p>
            <w:pPr>
              <w:spacing w:after="0"/>
              <w:rPr>
                <w:sz w:val="1"/>
                <w:szCs w:val="1"/>
                <w:color w:val="auto"/>
              </w:rPr>
            </w:pPr>
          </w:p>
        </w:tc>
      </w:tr>
      <w:tr>
        <w:trPr>
          <w:trHeight w:val="203"/>
        </w:trPr>
        <w:tc>
          <w:tcPr>
            <w:tcW w:w="25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mortgage loans</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loans</w:t>
            </w: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500" w:type="dxa"/>
            <w:vAlign w:val="bottom"/>
            <w:shd w:val="clear" w:color="auto" w:fill="CCEEFF"/>
          </w:tcPr>
          <w:p>
            <w:pPr>
              <w:ind w:left="180"/>
              <w:spacing w:after="0" w:line="172" w:lineRule="exact"/>
              <w:rPr>
                <w:sz w:val="20"/>
                <w:szCs w:val="20"/>
                <w:color w:val="auto"/>
              </w:rPr>
            </w:pPr>
            <w:r>
              <w:rPr>
                <w:rFonts w:ascii="Times New Roman" w:cs="Times New Roman" w:eastAsia="Times New Roman" w:hAnsi="Times New Roman"/>
                <w:sz w:val="15"/>
                <w:szCs w:val="15"/>
                <w:color w:val="auto"/>
              </w:rPr>
              <w:t>Pay-fixed interest rate swap</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60" w:type="dxa"/>
            <w:vAlign w:val="bottom"/>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5"/>
                <w:szCs w:val="15"/>
                <w:color w:val="auto"/>
              </w:rPr>
              <w:t>Interest and fees on</w:t>
            </w:r>
          </w:p>
        </w:tc>
        <w:tc>
          <w:tcPr>
            <w:tcW w:w="1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18,822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(1,879)</w:t>
            </w:r>
          </w:p>
        </w:tc>
        <w:tc>
          <w:tcPr>
            <w:tcW w:w="0" w:type="dxa"/>
            <w:vAlign w:val="bottom"/>
          </w:tcPr>
          <w:p>
            <w:pPr>
              <w:spacing w:after="0"/>
              <w:rPr>
                <w:sz w:val="1"/>
                <w:szCs w:val="1"/>
                <w:color w:val="auto"/>
              </w:rPr>
            </w:pPr>
          </w:p>
        </w:tc>
      </w:tr>
      <w:tr>
        <w:trPr>
          <w:trHeight w:val="205"/>
        </w:trPr>
        <w:tc>
          <w:tcPr>
            <w:tcW w:w="2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agreements - commercial</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loans</w:t>
            </w: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500" w:type="dxa"/>
            <w:vAlign w:val="bottom"/>
          </w:tcPr>
          <w:p>
            <w:pPr>
              <w:ind w:left="180"/>
              <w:spacing w:after="0" w:line="169" w:lineRule="exact"/>
              <w:rPr>
                <w:sz w:val="20"/>
                <w:szCs w:val="20"/>
                <w:color w:val="auto"/>
              </w:rPr>
            </w:pPr>
            <w:r>
              <w:rPr>
                <w:rFonts w:ascii="Times New Roman" w:cs="Times New Roman" w:eastAsia="Times New Roman" w:hAnsi="Times New Roman"/>
                <w:sz w:val="15"/>
                <w:szCs w:val="15"/>
                <w:color w:val="auto"/>
              </w:rPr>
              <w:t>Pay-variable interest rate swap</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5"/>
                <w:szCs w:val="15"/>
                <w:color w:val="auto"/>
              </w:rPr>
              <w:t>Interest and fees on</w:t>
            </w:r>
          </w:p>
        </w:tc>
        <w:tc>
          <w:tcPr>
            <w:tcW w:w="1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(18,822)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1,879</w:t>
            </w:r>
          </w:p>
        </w:tc>
        <w:tc>
          <w:tcPr>
            <w:tcW w:w="0" w:type="dxa"/>
            <w:vAlign w:val="bottom"/>
          </w:tcPr>
          <w:p>
            <w:pPr>
              <w:spacing w:after="0"/>
              <w:rPr>
                <w:sz w:val="1"/>
                <w:szCs w:val="1"/>
                <w:color w:val="auto"/>
              </w:rPr>
            </w:pPr>
          </w:p>
        </w:tc>
      </w:tr>
      <w:tr>
        <w:trPr>
          <w:trHeight w:val="203"/>
        </w:trPr>
        <w:tc>
          <w:tcPr>
            <w:tcW w:w="25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agreements - commercial</w:t>
            </w:r>
          </w:p>
        </w:tc>
        <w:tc>
          <w:tcPr>
            <w:tcW w:w="12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5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5"/>
                <w:szCs w:val="15"/>
                <w:color w:val="auto"/>
              </w:rPr>
              <w:t>loans</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5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211</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420" w:type="dxa"/>
            <w:vAlign w:val="bottom"/>
          </w:tcPr>
          <w:p>
            <w:pPr>
              <w:spacing w:after="0"/>
              <w:rPr>
                <w:sz w:val="15"/>
                <w:szCs w:val="15"/>
                <w:color w:val="auto"/>
              </w:rPr>
            </w:pPr>
          </w:p>
        </w:tc>
        <w:tc>
          <w:tcPr>
            <w:tcW w:w="1720" w:type="dxa"/>
            <w:vAlign w:val="bottom"/>
            <w:gridSpan w:val="5"/>
          </w:tcPr>
          <w:p>
            <w:pPr>
              <w:ind w:left="40"/>
              <w:spacing w:after="0"/>
              <w:rPr>
                <w:sz w:val="20"/>
                <w:szCs w:val="20"/>
                <w:color w:val="auto"/>
              </w:rPr>
            </w:pPr>
            <w:r>
              <w:rPr>
                <w:rFonts w:ascii="Times New Roman" w:cs="Times New Roman" w:eastAsia="Times New Roman" w:hAnsi="Times New Roman"/>
                <w:sz w:val="15"/>
                <w:szCs w:val="15"/>
                <w:color w:val="auto"/>
              </w:rPr>
              <w:t>Gain (Loss) Recognized in</w:t>
            </w:r>
          </w:p>
        </w:tc>
        <w:tc>
          <w:tcPr>
            <w:tcW w:w="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4"/>
          </w:tcPr>
          <w:p>
            <w:pPr>
              <w:jc w:val="center"/>
              <w:ind w:right="43"/>
              <w:spacing w:after="0"/>
              <w:rPr>
                <w:sz w:val="20"/>
                <w:szCs w:val="20"/>
                <w:color w:val="auto"/>
              </w:rPr>
            </w:pPr>
            <w:r>
              <w:rPr>
                <w:rFonts w:ascii="Times New Roman" w:cs="Times New Roman" w:eastAsia="Times New Roman" w:hAnsi="Times New Roman"/>
                <w:sz w:val="15"/>
                <w:szCs w:val="15"/>
                <w:color w:val="auto"/>
              </w:rPr>
              <w:t>Loss Reclassified from</w:t>
            </w: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4"/>
            <w:vMerge w:val="restart"/>
          </w:tcPr>
          <w:p>
            <w:pPr>
              <w:jc w:val="center"/>
              <w:ind w:right="103"/>
              <w:spacing w:after="0"/>
              <w:rPr>
                <w:sz w:val="20"/>
                <w:szCs w:val="20"/>
                <w:color w:val="auto"/>
              </w:rPr>
            </w:pPr>
            <w:r>
              <w:rPr>
                <w:rFonts w:ascii="Times New Roman" w:cs="Times New Roman" w:eastAsia="Times New Roman" w:hAnsi="Times New Roman"/>
                <w:sz w:val="15"/>
                <w:szCs w:val="15"/>
                <w:color w:val="auto"/>
              </w:rPr>
              <w:t>Gain (Loss)</w:t>
            </w:r>
          </w:p>
        </w:tc>
        <w:tc>
          <w:tcPr>
            <w:tcW w:w="0" w:type="dxa"/>
            <w:vAlign w:val="bottom"/>
          </w:tcPr>
          <w:p>
            <w:pPr>
              <w:spacing w:after="0"/>
              <w:rPr>
                <w:sz w:val="1"/>
                <w:szCs w:val="1"/>
                <w:color w:val="auto"/>
              </w:rPr>
            </w:pPr>
          </w:p>
        </w:tc>
      </w:tr>
      <w:tr>
        <w:trPr>
          <w:trHeight w:val="155"/>
        </w:trPr>
        <w:tc>
          <w:tcPr>
            <w:tcW w:w="2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3"/>
          </w:tcPr>
          <w:p>
            <w:pPr>
              <w:jc w:val="center"/>
              <w:ind w:left="423"/>
              <w:spacing w:after="0" w:line="155" w:lineRule="exact"/>
              <w:rPr>
                <w:sz w:val="20"/>
                <w:szCs w:val="20"/>
                <w:color w:val="auto"/>
              </w:rPr>
            </w:pPr>
            <w:r>
              <w:rPr>
                <w:rFonts w:ascii="Times New Roman" w:cs="Times New Roman" w:eastAsia="Times New Roman" w:hAnsi="Times New Roman"/>
                <w:sz w:val="15"/>
                <w:szCs w:val="15"/>
                <w:color w:val="auto"/>
              </w:rPr>
              <w:t>Other</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4"/>
          </w:tcPr>
          <w:p>
            <w:pPr>
              <w:jc w:val="center"/>
              <w:ind w:right="43"/>
              <w:spacing w:after="0" w:line="155" w:lineRule="exact"/>
              <w:rPr>
                <w:sz w:val="20"/>
                <w:szCs w:val="20"/>
                <w:color w:val="auto"/>
              </w:rPr>
            </w:pPr>
            <w:r>
              <w:rPr>
                <w:rFonts w:ascii="Times New Roman" w:cs="Times New Roman" w:eastAsia="Times New Roman" w:hAnsi="Times New Roman"/>
                <w:sz w:val="15"/>
                <w:szCs w:val="15"/>
                <w:color w:val="auto"/>
              </w:rPr>
              <w:t>Accumulated Other</w:t>
            </w:r>
          </w:p>
        </w:tc>
        <w:tc>
          <w:tcPr>
            <w:tcW w:w="1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4"/>
          </w:tcPr>
          <w:p>
            <w:pPr>
              <w:jc w:val="center"/>
              <w:ind w:right="43"/>
              <w:spacing w:after="0" w:line="155" w:lineRule="exact"/>
              <w:rPr>
                <w:sz w:val="20"/>
                <w:szCs w:val="20"/>
                <w:color w:val="auto"/>
              </w:rPr>
            </w:pPr>
            <w:r>
              <w:rPr>
                <w:rFonts w:ascii="Times New Roman" w:cs="Times New Roman" w:eastAsia="Times New Roman" w:hAnsi="Times New Roman"/>
                <w:sz w:val="15"/>
                <w:szCs w:val="15"/>
                <w:color w:val="auto"/>
              </w:rPr>
              <w:t>Comprehensive Income</w:t>
            </w:r>
          </w:p>
        </w:tc>
        <w:tc>
          <w:tcPr>
            <w:tcW w:w="1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gridSpan w:val="5"/>
          </w:tcPr>
          <w:p>
            <w:pPr>
              <w:jc w:val="center"/>
              <w:spacing w:after="0" w:line="155" w:lineRule="exact"/>
              <w:rPr>
                <w:sz w:val="20"/>
                <w:szCs w:val="20"/>
                <w:color w:val="auto"/>
              </w:rPr>
            </w:pPr>
            <w:r>
              <w:rPr>
                <w:rFonts w:ascii="Times New Roman" w:cs="Times New Roman" w:eastAsia="Times New Roman" w:hAnsi="Times New Roman"/>
                <w:sz w:val="15"/>
                <w:szCs w:val="15"/>
                <w:color w:val="auto"/>
              </w:rPr>
              <w:t>Comprehensive Loss into</w:t>
            </w:r>
          </w:p>
        </w:tc>
        <w:tc>
          <w:tcPr>
            <w:tcW w:w="1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gridSpan w:val="4"/>
          </w:tcPr>
          <w:p>
            <w:pPr>
              <w:jc w:val="center"/>
              <w:ind w:right="103"/>
              <w:spacing w:after="0" w:line="155" w:lineRule="exact"/>
              <w:rPr>
                <w:sz w:val="20"/>
                <w:szCs w:val="20"/>
                <w:color w:val="auto"/>
              </w:rPr>
            </w:pPr>
            <w:r>
              <w:rPr>
                <w:rFonts w:ascii="Times New Roman" w:cs="Times New Roman" w:eastAsia="Times New Roman" w:hAnsi="Times New Roman"/>
                <w:sz w:val="15"/>
                <w:szCs w:val="15"/>
                <w:color w:val="auto"/>
              </w:rPr>
              <w:t>Recognized</w:t>
            </w:r>
          </w:p>
        </w:tc>
        <w:tc>
          <w:tcPr>
            <w:tcW w:w="0" w:type="dxa"/>
            <w:vAlign w:val="bottom"/>
          </w:tcPr>
          <w:p>
            <w:pPr>
              <w:spacing w:after="0"/>
              <w:rPr>
                <w:sz w:val="1"/>
                <w:szCs w:val="1"/>
                <w:color w:val="auto"/>
              </w:rPr>
            </w:pPr>
          </w:p>
        </w:tc>
      </w:tr>
      <w:tr>
        <w:trPr>
          <w:trHeight w:val="200"/>
        </w:trPr>
        <w:tc>
          <w:tcPr>
            <w:tcW w:w="2420" w:type="dxa"/>
            <w:vAlign w:val="bottom"/>
          </w:tcPr>
          <w:p>
            <w:pPr>
              <w:spacing w:after="0"/>
              <w:rPr>
                <w:sz w:val="17"/>
                <w:szCs w:val="17"/>
                <w:color w:val="auto"/>
              </w:rPr>
            </w:pPr>
          </w:p>
        </w:tc>
        <w:tc>
          <w:tcPr>
            <w:tcW w:w="17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5"/>
                <w:szCs w:val="15"/>
                <w:color w:val="auto"/>
              </w:rPr>
              <w:t>(Loss) (Effective Portion)</w:t>
            </w:r>
          </w:p>
        </w:tc>
        <w:tc>
          <w:tcPr>
            <w:tcW w:w="160" w:type="dxa"/>
            <w:vAlign w:val="bottom"/>
          </w:tcPr>
          <w:p>
            <w:pPr>
              <w:spacing w:after="0"/>
              <w:rPr>
                <w:sz w:val="17"/>
                <w:szCs w:val="17"/>
                <w:color w:val="auto"/>
              </w:rPr>
            </w:pPr>
          </w:p>
        </w:tc>
        <w:tc>
          <w:tcPr>
            <w:tcW w:w="16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5"/>
                <w:szCs w:val="15"/>
                <w:color w:val="auto"/>
              </w:rPr>
              <w:t>Location of Loss</w:t>
            </w:r>
          </w:p>
        </w:tc>
        <w:tc>
          <w:tcPr>
            <w:tcW w:w="17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5"/>
                <w:szCs w:val="15"/>
                <w:color w:val="auto"/>
              </w:rPr>
              <w:t>Income (Effective Portion)</w:t>
            </w: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4"/>
          </w:tcPr>
          <w:p>
            <w:pPr>
              <w:jc w:val="center"/>
              <w:ind w:right="103"/>
              <w:spacing w:after="0"/>
              <w:rPr>
                <w:sz w:val="20"/>
                <w:szCs w:val="20"/>
                <w:color w:val="auto"/>
              </w:rPr>
            </w:pPr>
            <w:r>
              <w:rPr>
                <w:rFonts w:ascii="Times New Roman" w:cs="Times New Roman" w:eastAsia="Times New Roman" w:hAnsi="Times New Roman"/>
                <w:sz w:val="15"/>
                <w:szCs w:val="15"/>
                <w:color w:val="auto"/>
              </w:rPr>
              <w:t>in Income</w:t>
            </w:r>
          </w:p>
        </w:tc>
        <w:tc>
          <w:tcPr>
            <w:tcW w:w="0" w:type="dxa"/>
            <w:vAlign w:val="bottom"/>
          </w:tcPr>
          <w:p>
            <w:pPr>
              <w:spacing w:after="0"/>
              <w:rPr>
                <w:sz w:val="1"/>
                <w:szCs w:val="1"/>
                <w:color w:val="auto"/>
              </w:rPr>
            </w:pPr>
          </w:p>
        </w:tc>
      </w:tr>
      <w:tr>
        <w:trPr>
          <w:trHeight w:val="25"/>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2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4"/>
            <w:vMerge w:val="restart"/>
          </w:tcPr>
          <w:p>
            <w:pPr>
              <w:jc w:val="center"/>
              <w:ind w:right="43"/>
              <w:spacing w:after="0"/>
              <w:rPr>
                <w:sz w:val="20"/>
                <w:szCs w:val="20"/>
                <w:color w:val="auto"/>
              </w:rPr>
            </w:pPr>
            <w:r>
              <w:rPr>
                <w:rFonts w:ascii="Times New Roman" w:cs="Times New Roman" w:eastAsia="Times New Roman" w:hAnsi="Times New Roman"/>
                <w:sz w:val="15"/>
                <w:szCs w:val="15"/>
                <w:color w:val="auto"/>
              </w:rPr>
              <w:t>Nine Month</w:t>
            </w:r>
          </w:p>
        </w:tc>
        <w:tc>
          <w:tcPr>
            <w:tcW w:w="160" w:type="dxa"/>
            <w:vAlign w:val="bottom"/>
          </w:tcPr>
          <w:p>
            <w:pPr>
              <w:spacing w:after="0"/>
              <w:rPr>
                <w:sz w:val="13"/>
                <w:szCs w:val="13"/>
                <w:color w:val="auto"/>
              </w:rPr>
            </w:pPr>
          </w:p>
        </w:tc>
        <w:tc>
          <w:tcPr>
            <w:tcW w:w="1680" w:type="dxa"/>
            <w:vAlign w:val="bottom"/>
            <w:gridSpan w:val="2"/>
          </w:tcPr>
          <w:p>
            <w:pPr>
              <w:jc w:val="center"/>
              <w:ind w:right="140"/>
              <w:spacing w:after="0" w:line="155" w:lineRule="exact"/>
              <w:rPr>
                <w:sz w:val="20"/>
                <w:szCs w:val="20"/>
                <w:color w:val="auto"/>
              </w:rPr>
            </w:pPr>
            <w:r>
              <w:rPr>
                <w:rFonts w:ascii="Times New Roman" w:cs="Times New Roman" w:eastAsia="Times New Roman" w:hAnsi="Times New Roman"/>
                <w:sz w:val="15"/>
                <w:szCs w:val="15"/>
                <w:color w:val="auto"/>
              </w:rPr>
              <w:t>Reclassified from</w:t>
            </w:r>
          </w:p>
        </w:tc>
        <w:tc>
          <w:tcPr>
            <w:tcW w:w="120" w:type="dxa"/>
            <w:vAlign w:val="bottom"/>
          </w:tcPr>
          <w:p>
            <w:pPr>
              <w:spacing w:after="0"/>
              <w:rPr>
                <w:sz w:val="13"/>
                <w:szCs w:val="13"/>
                <w:color w:val="auto"/>
              </w:rPr>
            </w:pPr>
          </w:p>
        </w:tc>
        <w:tc>
          <w:tcPr>
            <w:tcW w:w="1620" w:type="dxa"/>
            <w:vAlign w:val="bottom"/>
            <w:gridSpan w:val="4"/>
            <w:vMerge w:val="restart"/>
          </w:tcPr>
          <w:p>
            <w:pPr>
              <w:jc w:val="center"/>
              <w:ind w:right="43"/>
              <w:spacing w:after="0"/>
              <w:rPr>
                <w:sz w:val="20"/>
                <w:szCs w:val="20"/>
                <w:color w:val="auto"/>
              </w:rPr>
            </w:pPr>
            <w:r>
              <w:rPr>
                <w:rFonts w:ascii="Times New Roman" w:cs="Times New Roman" w:eastAsia="Times New Roman" w:hAnsi="Times New Roman"/>
                <w:sz w:val="15"/>
                <w:szCs w:val="15"/>
                <w:color w:val="auto"/>
              </w:rPr>
              <w:t>Nine Month</w:t>
            </w:r>
          </w:p>
        </w:tc>
        <w:tc>
          <w:tcPr>
            <w:tcW w:w="1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gridSpan w:val="4"/>
            <w:vMerge w:val="restart"/>
          </w:tcPr>
          <w:p>
            <w:pPr>
              <w:jc w:val="center"/>
              <w:ind w:right="103"/>
              <w:spacing w:after="0"/>
              <w:rPr>
                <w:sz w:val="20"/>
                <w:szCs w:val="20"/>
                <w:color w:val="auto"/>
              </w:rPr>
            </w:pPr>
            <w:r>
              <w:rPr>
                <w:rFonts w:ascii="Times New Roman" w:cs="Times New Roman" w:eastAsia="Times New Roman" w:hAnsi="Times New Roman"/>
                <w:sz w:val="15"/>
                <w:szCs w:val="15"/>
                <w:color w:val="auto"/>
              </w:rPr>
              <w:t>Nine Month</w:t>
            </w:r>
          </w:p>
        </w:tc>
        <w:tc>
          <w:tcPr>
            <w:tcW w:w="0" w:type="dxa"/>
            <w:vAlign w:val="bottom"/>
          </w:tcPr>
          <w:p>
            <w:pPr>
              <w:spacing w:after="0"/>
              <w:rPr>
                <w:sz w:val="1"/>
                <w:szCs w:val="1"/>
                <w:color w:val="auto"/>
              </w:rPr>
            </w:pPr>
          </w:p>
        </w:tc>
      </w:tr>
      <w:tr>
        <w:trPr>
          <w:trHeight w:val="52"/>
        </w:trPr>
        <w:tc>
          <w:tcPr>
            <w:tcW w:w="2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gridSpan w:val="4"/>
            <w:vMerge w:val="continue"/>
          </w:tcPr>
          <w:p>
            <w:pPr>
              <w:spacing w:after="0"/>
              <w:rPr>
                <w:sz w:val="4"/>
                <w:szCs w:val="4"/>
                <w:color w:val="auto"/>
              </w:rPr>
            </w:pPr>
          </w:p>
        </w:tc>
        <w:tc>
          <w:tcPr>
            <w:tcW w:w="160" w:type="dxa"/>
            <w:vAlign w:val="bottom"/>
          </w:tcPr>
          <w:p>
            <w:pPr>
              <w:spacing w:after="0"/>
              <w:rPr>
                <w:sz w:val="4"/>
                <w:szCs w:val="4"/>
                <w:color w:val="auto"/>
              </w:rPr>
            </w:pPr>
          </w:p>
        </w:tc>
        <w:tc>
          <w:tcPr>
            <w:tcW w:w="1680" w:type="dxa"/>
            <w:vAlign w:val="bottom"/>
            <w:gridSpan w:val="2"/>
            <w:vMerge w:val="restart"/>
          </w:tcPr>
          <w:p>
            <w:pPr>
              <w:jc w:val="center"/>
              <w:ind w:right="140"/>
              <w:spacing w:after="0" w:line="155" w:lineRule="exact"/>
              <w:rPr>
                <w:sz w:val="20"/>
                <w:szCs w:val="20"/>
                <w:color w:val="auto"/>
              </w:rPr>
            </w:pPr>
            <w:r>
              <w:rPr>
                <w:rFonts w:ascii="Times New Roman" w:cs="Times New Roman" w:eastAsia="Times New Roman" w:hAnsi="Times New Roman"/>
                <w:sz w:val="15"/>
                <w:szCs w:val="15"/>
                <w:color w:val="auto"/>
              </w:rPr>
              <w:t>Accumulated Other</w:t>
            </w:r>
          </w:p>
        </w:tc>
        <w:tc>
          <w:tcPr>
            <w:tcW w:w="120" w:type="dxa"/>
            <w:vAlign w:val="bottom"/>
          </w:tcPr>
          <w:p>
            <w:pPr>
              <w:spacing w:after="0"/>
              <w:rPr>
                <w:sz w:val="4"/>
                <w:szCs w:val="4"/>
                <w:color w:val="auto"/>
              </w:rPr>
            </w:pPr>
          </w:p>
        </w:tc>
        <w:tc>
          <w:tcPr>
            <w:tcW w:w="1620" w:type="dxa"/>
            <w:vAlign w:val="bottom"/>
            <w:gridSpan w:val="4"/>
            <w:vMerge w:val="continue"/>
          </w:tcPr>
          <w:p>
            <w:pPr>
              <w:spacing w:after="0"/>
              <w:rPr>
                <w:sz w:val="4"/>
                <w:szCs w:val="4"/>
                <w:color w:val="auto"/>
              </w:rPr>
            </w:pPr>
          </w:p>
        </w:tc>
        <w:tc>
          <w:tcPr>
            <w:tcW w:w="160" w:type="dxa"/>
            <w:vAlign w:val="bottom"/>
          </w:tcPr>
          <w:p>
            <w:pPr>
              <w:spacing w:after="0"/>
              <w:rPr>
                <w:sz w:val="4"/>
                <w:szCs w:val="4"/>
                <w:color w:val="auto"/>
              </w:rPr>
            </w:pPr>
          </w:p>
        </w:tc>
        <w:tc>
          <w:tcPr>
            <w:tcW w:w="1620" w:type="dxa"/>
            <w:vAlign w:val="bottom"/>
            <w:gridSpan w:val="2"/>
            <w:vMerge w:val="restart"/>
          </w:tcPr>
          <w:p>
            <w:pPr>
              <w:jc w:val="center"/>
              <w:ind w:right="100"/>
              <w:spacing w:after="0" w:line="155" w:lineRule="exact"/>
              <w:rPr>
                <w:sz w:val="20"/>
                <w:szCs w:val="20"/>
                <w:color w:val="auto"/>
              </w:rPr>
            </w:pPr>
            <w:r>
              <w:rPr>
                <w:rFonts w:ascii="Times New Roman" w:cs="Times New Roman" w:eastAsia="Times New Roman" w:hAnsi="Times New Roman"/>
                <w:sz w:val="15"/>
                <w:szCs w:val="15"/>
                <w:color w:val="auto"/>
              </w:rPr>
              <w:t>Location of</w:t>
            </w:r>
          </w:p>
        </w:tc>
        <w:tc>
          <w:tcPr>
            <w:tcW w:w="180" w:type="dxa"/>
            <w:vAlign w:val="bottom"/>
          </w:tcPr>
          <w:p>
            <w:pPr>
              <w:spacing w:after="0"/>
              <w:rPr>
                <w:sz w:val="4"/>
                <w:szCs w:val="4"/>
                <w:color w:val="auto"/>
              </w:rPr>
            </w:pPr>
          </w:p>
        </w:tc>
        <w:tc>
          <w:tcPr>
            <w:tcW w:w="15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0" w:type="dxa"/>
            <w:vAlign w:val="bottom"/>
            <w:gridSpan w:val="4"/>
            <w:vMerge w:val="restart"/>
          </w:tcPr>
          <w:p>
            <w:pPr>
              <w:jc w:val="center"/>
              <w:ind w:right="23"/>
              <w:spacing w:after="0" w:line="155" w:lineRule="exact"/>
              <w:rPr>
                <w:sz w:val="20"/>
                <w:szCs w:val="20"/>
                <w:color w:val="auto"/>
              </w:rPr>
            </w:pPr>
            <w:r>
              <w:rPr>
                <w:rFonts w:ascii="Times New Roman" w:cs="Times New Roman" w:eastAsia="Times New Roman" w:hAnsi="Times New Roman"/>
                <w:sz w:val="15"/>
                <w:szCs w:val="15"/>
                <w:color w:val="auto"/>
              </w:rPr>
              <w:t>Periods Ended</w:t>
            </w:r>
          </w:p>
        </w:tc>
        <w:tc>
          <w:tcPr>
            <w:tcW w:w="160" w:type="dxa"/>
            <w:vAlign w:val="bottom"/>
          </w:tcPr>
          <w:p>
            <w:pPr>
              <w:spacing w:after="0"/>
              <w:rPr>
                <w:sz w:val="8"/>
                <w:szCs w:val="8"/>
                <w:color w:val="auto"/>
              </w:rPr>
            </w:pPr>
          </w:p>
        </w:tc>
        <w:tc>
          <w:tcPr>
            <w:tcW w:w="16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620" w:type="dxa"/>
            <w:vAlign w:val="bottom"/>
            <w:gridSpan w:val="4"/>
            <w:vMerge w:val="restart"/>
          </w:tcPr>
          <w:p>
            <w:pPr>
              <w:jc w:val="center"/>
              <w:ind w:right="43"/>
              <w:spacing w:after="0" w:line="155" w:lineRule="exact"/>
              <w:rPr>
                <w:sz w:val="20"/>
                <w:szCs w:val="20"/>
                <w:color w:val="auto"/>
              </w:rPr>
            </w:pPr>
            <w:r>
              <w:rPr>
                <w:rFonts w:ascii="Times New Roman" w:cs="Times New Roman" w:eastAsia="Times New Roman" w:hAnsi="Times New Roman"/>
                <w:sz w:val="15"/>
                <w:szCs w:val="15"/>
                <w:color w:val="auto"/>
              </w:rPr>
              <w:t>Periods Ended</w:t>
            </w:r>
          </w:p>
        </w:tc>
        <w:tc>
          <w:tcPr>
            <w:tcW w:w="160" w:type="dxa"/>
            <w:vAlign w:val="bottom"/>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560" w:type="dxa"/>
            <w:vAlign w:val="bottom"/>
            <w:gridSpan w:val="4"/>
            <w:vMerge w:val="restart"/>
          </w:tcPr>
          <w:p>
            <w:pPr>
              <w:jc w:val="center"/>
              <w:ind w:right="103"/>
              <w:spacing w:after="0" w:line="155" w:lineRule="exact"/>
              <w:rPr>
                <w:sz w:val="20"/>
                <w:szCs w:val="20"/>
                <w:color w:val="auto"/>
              </w:rPr>
            </w:pPr>
            <w:r>
              <w:rPr>
                <w:rFonts w:ascii="Times New Roman" w:cs="Times New Roman" w:eastAsia="Times New Roman" w:hAnsi="Times New Roman"/>
                <w:sz w:val="15"/>
                <w:szCs w:val="15"/>
                <w:color w:val="auto"/>
              </w:rPr>
              <w:t>Periods Ended</w:t>
            </w:r>
          </w:p>
        </w:tc>
        <w:tc>
          <w:tcPr>
            <w:tcW w:w="0" w:type="dxa"/>
            <w:vAlign w:val="bottom"/>
          </w:tcPr>
          <w:p>
            <w:pPr>
              <w:spacing w:after="0"/>
              <w:rPr>
                <w:sz w:val="1"/>
                <w:szCs w:val="1"/>
                <w:color w:val="auto"/>
              </w:rPr>
            </w:pPr>
          </w:p>
        </w:tc>
      </w:tr>
      <w:tr>
        <w:trPr>
          <w:trHeight w:val="52"/>
        </w:trPr>
        <w:tc>
          <w:tcPr>
            <w:tcW w:w="2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gridSpan w:val="4"/>
            <w:vMerge w:val="continue"/>
          </w:tcPr>
          <w:p>
            <w:pPr>
              <w:spacing w:after="0"/>
              <w:rPr>
                <w:sz w:val="4"/>
                <w:szCs w:val="4"/>
                <w:color w:val="auto"/>
              </w:rPr>
            </w:pPr>
          </w:p>
        </w:tc>
        <w:tc>
          <w:tcPr>
            <w:tcW w:w="160" w:type="dxa"/>
            <w:vAlign w:val="bottom"/>
          </w:tcPr>
          <w:p>
            <w:pPr>
              <w:spacing w:after="0"/>
              <w:rPr>
                <w:sz w:val="4"/>
                <w:szCs w:val="4"/>
                <w:color w:val="auto"/>
              </w:rPr>
            </w:pPr>
          </w:p>
        </w:tc>
        <w:tc>
          <w:tcPr>
            <w:tcW w:w="1680" w:type="dxa"/>
            <w:vAlign w:val="bottom"/>
            <w:gridSpan w:val="2"/>
            <w:vMerge w:val="restart"/>
          </w:tcPr>
          <w:p>
            <w:pPr>
              <w:jc w:val="center"/>
              <w:ind w:right="140"/>
              <w:spacing w:after="0" w:line="155" w:lineRule="exact"/>
              <w:rPr>
                <w:sz w:val="20"/>
                <w:szCs w:val="20"/>
                <w:color w:val="auto"/>
              </w:rPr>
            </w:pPr>
            <w:r>
              <w:rPr>
                <w:rFonts w:ascii="Times New Roman" w:cs="Times New Roman" w:eastAsia="Times New Roman" w:hAnsi="Times New Roman"/>
                <w:sz w:val="15"/>
                <w:szCs w:val="15"/>
                <w:color w:val="auto"/>
              </w:rPr>
              <w:t>Comprehensive Loss</w:t>
            </w:r>
          </w:p>
        </w:tc>
        <w:tc>
          <w:tcPr>
            <w:tcW w:w="120" w:type="dxa"/>
            <w:vAlign w:val="bottom"/>
          </w:tcPr>
          <w:p>
            <w:pPr>
              <w:spacing w:after="0"/>
              <w:rPr>
                <w:sz w:val="4"/>
                <w:szCs w:val="4"/>
                <w:color w:val="auto"/>
              </w:rPr>
            </w:pPr>
          </w:p>
        </w:tc>
        <w:tc>
          <w:tcPr>
            <w:tcW w:w="1620" w:type="dxa"/>
            <w:vAlign w:val="bottom"/>
            <w:gridSpan w:val="4"/>
            <w:vMerge w:val="continue"/>
          </w:tcPr>
          <w:p>
            <w:pPr>
              <w:spacing w:after="0"/>
              <w:rPr>
                <w:sz w:val="4"/>
                <w:szCs w:val="4"/>
                <w:color w:val="auto"/>
              </w:rPr>
            </w:pPr>
          </w:p>
        </w:tc>
        <w:tc>
          <w:tcPr>
            <w:tcW w:w="160" w:type="dxa"/>
            <w:vAlign w:val="bottom"/>
          </w:tcPr>
          <w:p>
            <w:pPr>
              <w:spacing w:after="0"/>
              <w:rPr>
                <w:sz w:val="4"/>
                <w:szCs w:val="4"/>
                <w:color w:val="auto"/>
              </w:rPr>
            </w:pPr>
          </w:p>
        </w:tc>
        <w:tc>
          <w:tcPr>
            <w:tcW w:w="1620" w:type="dxa"/>
            <w:vAlign w:val="bottom"/>
            <w:gridSpan w:val="2"/>
            <w:vMerge w:val="restart"/>
          </w:tcPr>
          <w:p>
            <w:pPr>
              <w:jc w:val="center"/>
              <w:ind w:right="80"/>
              <w:spacing w:after="0" w:line="155" w:lineRule="exact"/>
              <w:rPr>
                <w:sz w:val="20"/>
                <w:szCs w:val="20"/>
                <w:color w:val="auto"/>
              </w:rPr>
            </w:pPr>
            <w:r>
              <w:rPr>
                <w:rFonts w:ascii="Times New Roman" w:cs="Times New Roman" w:eastAsia="Times New Roman" w:hAnsi="Times New Roman"/>
                <w:sz w:val="15"/>
                <w:szCs w:val="15"/>
                <w:color w:val="auto"/>
              </w:rPr>
              <w:t>Gain (Loss)</w:t>
            </w:r>
          </w:p>
        </w:tc>
        <w:tc>
          <w:tcPr>
            <w:tcW w:w="180" w:type="dxa"/>
            <w:vAlign w:val="bottom"/>
          </w:tcPr>
          <w:p>
            <w:pPr>
              <w:spacing w:after="0"/>
              <w:rPr>
                <w:sz w:val="4"/>
                <w:szCs w:val="4"/>
                <w:color w:val="auto"/>
              </w:rPr>
            </w:pPr>
          </w:p>
        </w:tc>
        <w:tc>
          <w:tcPr>
            <w:tcW w:w="15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0" w:type="dxa"/>
            <w:vAlign w:val="bottom"/>
            <w:gridSpan w:val="4"/>
            <w:vMerge w:val="restart"/>
          </w:tcPr>
          <w:p>
            <w:pPr>
              <w:jc w:val="center"/>
              <w:ind w:right="23"/>
              <w:spacing w:after="0"/>
              <w:rPr>
                <w:sz w:val="20"/>
                <w:szCs w:val="20"/>
                <w:color w:val="auto"/>
              </w:rPr>
            </w:pPr>
            <w:r>
              <w:rPr>
                <w:rFonts w:ascii="Times New Roman" w:cs="Times New Roman" w:eastAsia="Times New Roman" w:hAnsi="Times New Roman"/>
                <w:sz w:val="15"/>
                <w:szCs w:val="15"/>
                <w:color w:val="auto"/>
              </w:rPr>
              <w:t>September 30,</w:t>
            </w:r>
          </w:p>
        </w:tc>
        <w:tc>
          <w:tcPr>
            <w:tcW w:w="160" w:type="dxa"/>
            <w:vAlign w:val="bottom"/>
          </w:tcPr>
          <w:p>
            <w:pPr>
              <w:spacing w:after="0"/>
              <w:rPr>
                <w:sz w:val="8"/>
                <w:szCs w:val="8"/>
                <w:color w:val="auto"/>
              </w:rPr>
            </w:pPr>
          </w:p>
        </w:tc>
        <w:tc>
          <w:tcPr>
            <w:tcW w:w="16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620" w:type="dxa"/>
            <w:vAlign w:val="bottom"/>
            <w:gridSpan w:val="4"/>
            <w:vMerge w:val="restart"/>
          </w:tcPr>
          <w:p>
            <w:pPr>
              <w:jc w:val="center"/>
              <w:ind w:right="43"/>
              <w:spacing w:after="0"/>
              <w:rPr>
                <w:sz w:val="20"/>
                <w:szCs w:val="20"/>
                <w:color w:val="auto"/>
              </w:rPr>
            </w:pPr>
            <w:r>
              <w:rPr>
                <w:rFonts w:ascii="Times New Roman" w:cs="Times New Roman" w:eastAsia="Times New Roman" w:hAnsi="Times New Roman"/>
                <w:sz w:val="15"/>
                <w:szCs w:val="15"/>
                <w:color w:val="auto"/>
              </w:rPr>
              <w:t>September 30,</w:t>
            </w:r>
          </w:p>
        </w:tc>
        <w:tc>
          <w:tcPr>
            <w:tcW w:w="160" w:type="dxa"/>
            <w:vAlign w:val="bottom"/>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560" w:type="dxa"/>
            <w:vAlign w:val="bottom"/>
            <w:gridSpan w:val="4"/>
            <w:vMerge w:val="restart"/>
          </w:tcPr>
          <w:p>
            <w:pPr>
              <w:jc w:val="center"/>
              <w:ind w:right="103"/>
              <w:spacing w:after="0"/>
              <w:rPr>
                <w:sz w:val="20"/>
                <w:szCs w:val="20"/>
                <w:color w:val="auto"/>
              </w:rPr>
            </w:pPr>
            <w:r>
              <w:rPr>
                <w:rFonts w:ascii="Times New Roman" w:cs="Times New Roman" w:eastAsia="Times New Roman" w:hAnsi="Times New Roman"/>
                <w:sz w:val="15"/>
                <w:szCs w:val="15"/>
                <w:color w:val="auto"/>
              </w:rPr>
              <w:t>September 30,</w:t>
            </w:r>
          </w:p>
        </w:tc>
        <w:tc>
          <w:tcPr>
            <w:tcW w:w="0" w:type="dxa"/>
            <w:vAlign w:val="bottom"/>
          </w:tcPr>
          <w:p>
            <w:pPr>
              <w:spacing w:after="0"/>
              <w:rPr>
                <w:sz w:val="1"/>
                <w:szCs w:val="1"/>
                <w:color w:val="auto"/>
              </w:rPr>
            </w:pPr>
          </w:p>
        </w:tc>
      </w:tr>
      <w:tr>
        <w:trPr>
          <w:trHeight w:val="97"/>
        </w:trPr>
        <w:tc>
          <w:tcPr>
            <w:tcW w:w="2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gridSpan w:val="4"/>
            <w:vMerge w:val="continue"/>
          </w:tcPr>
          <w:p>
            <w:pPr>
              <w:spacing w:after="0"/>
              <w:rPr>
                <w:sz w:val="8"/>
                <w:szCs w:val="8"/>
                <w:color w:val="auto"/>
              </w:rPr>
            </w:pPr>
          </w:p>
        </w:tc>
        <w:tc>
          <w:tcPr>
            <w:tcW w:w="160" w:type="dxa"/>
            <w:vAlign w:val="bottom"/>
          </w:tcPr>
          <w:p>
            <w:pPr>
              <w:spacing w:after="0"/>
              <w:rPr>
                <w:sz w:val="8"/>
                <w:szCs w:val="8"/>
                <w:color w:val="auto"/>
              </w:rPr>
            </w:pPr>
          </w:p>
        </w:tc>
        <w:tc>
          <w:tcPr>
            <w:tcW w:w="1680" w:type="dxa"/>
            <w:vAlign w:val="bottom"/>
            <w:gridSpan w:val="2"/>
            <w:vMerge w:val="restart"/>
          </w:tcPr>
          <w:p>
            <w:pPr>
              <w:jc w:val="center"/>
              <w:ind w:right="160"/>
              <w:spacing w:after="0" w:line="155" w:lineRule="exact"/>
              <w:rPr>
                <w:sz w:val="20"/>
                <w:szCs w:val="20"/>
                <w:color w:val="auto"/>
              </w:rPr>
            </w:pPr>
            <w:r>
              <w:rPr>
                <w:rFonts w:ascii="Times New Roman" w:cs="Times New Roman" w:eastAsia="Times New Roman" w:hAnsi="Times New Roman"/>
                <w:sz w:val="15"/>
                <w:szCs w:val="15"/>
                <w:color w:val="auto"/>
              </w:rPr>
              <w:t>into Income (Effective</w:t>
            </w:r>
          </w:p>
        </w:tc>
        <w:tc>
          <w:tcPr>
            <w:tcW w:w="12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gridSpan w:val="4"/>
            <w:vMerge w:val="continue"/>
          </w:tcPr>
          <w:p>
            <w:pPr>
              <w:spacing w:after="0"/>
              <w:rPr>
                <w:sz w:val="8"/>
                <w:szCs w:val="8"/>
                <w:color w:val="auto"/>
              </w:rPr>
            </w:pPr>
          </w:p>
        </w:tc>
        <w:tc>
          <w:tcPr>
            <w:tcW w:w="160" w:type="dxa"/>
            <w:vAlign w:val="bottom"/>
          </w:tcPr>
          <w:p>
            <w:pPr>
              <w:spacing w:after="0"/>
              <w:rPr>
                <w:sz w:val="8"/>
                <w:szCs w:val="8"/>
                <w:color w:val="auto"/>
              </w:rPr>
            </w:pPr>
          </w:p>
        </w:tc>
        <w:tc>
          <w:tcPr>
            <w:tcW w:w="1620" w:type="dxa"/>
            <w:vAlign w:val="bottom"/>
            <w:gridSpan w:val="2"/>
            <w:vMerge w:val="restart"/>
          </w:tcPr>
          <w:p>
            <w:pPr>
              <w:jc w:val="center"/>
              <w:ind w:right="80"/>
              <w:spacing w:after="0" w:line="155" w:lineRule="exact"/>
              <w:rPr>
                <w:sz w:val="20"/>
                <w:szCs w:val="20"/>
                <w:color w:val="auto"/>
              </w:rPr>
            </w:pPr>
            <w:r>
              <w:rPr>
                <w:rFonts w:ascii="Times New Roman" w:cs="Times New Roman" w:eastAsia="Times New Roman" w:hAnsi="Times New Roman"/>
                <w:sz w:val="15"/>
                <w:szCs w:val="15"/>
                <w:color w:val="auto"/>
              </w:rPr>
              <w:t>Recognized</w:t>
            </w:r>
          </w:p>
        </w:tc>
        <w:tc>
          <w:tcPr>
            <w:tcW w:w="18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2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vMerge w:val="restart"/>
          </w:tcPr>
          <w:p>
            <w:pPr>
              <w:jc w:val="right"/>
              <w:ind w:right="183"/>
              <w:spacing w:after="0"/>
              <w:rPr>
                <w:sz w:val="20"/>
                <w:szCs w:val="20"/>
                <w:color w:val="auto"/>
              </w:rPr>
            </w:pPr>
            <w:r>
              <w:rPr>
                <w:rFonts w:ascii="Times New Roman" w:cs="Times New Roman" w:eastAsia="Times New Roman" w:hAnsi="Times New Roman"/>
                <w:sz w:val="15"/>
                <w:szCs w:val="15"/>
                <w:color w:val="auto"/>
              </w:rPr>
              <w:t>2026</w:t>
            </w: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vMerge w:val="restart"/>
          </w:tcPr>
          <w:p>
            <w:pPr>
              <w:jc w:val="right"/>
              <w:ind w:right="163"/>
              <w:spacing w:after="0"/>
              <w:rPr>
                <w:sz w:val="20"/>
                <w:szCs w:val="20"/>
                <w:color w:val="auto"/>
              </w:rPr>
            </w:pPr>
            <w:r>
              <w:rPr>
                <w:rFonts w:ascii="Times New Roman" w:cs="Times New Roman" w:eastAsia="Times New Roman" w:hAnsi="Times New Roman"/>
                <w:sz w:val="15"/>
                <w:szCs w:val="15"/>
                <w:color w:val="auto"/>
              </w:rPr>
              <w:t>2025</w:t>
            </w:r>
          </w:p>
        </w:tc>
        <w:tc>
          <w:tcPr>
            <w:tcW w:w="160" w:type="dxa"/>
            <w:vAlign w:val="bottom"/>
          </w:tcPr>
          <w:p>
            <w:pPr>
              <w:spacing w:after="0"/>
              <w:rPr>
                <w:sz w:val="3"/>
                <w:szCs w:val="3"/>
                <w:color w:val="auto"/>
              </w:rPr>
            </w:pPr>
          </w:p>
        </w:tc>
        <w:tc>
          <w:tcPr>
            <w:tcW w:w="168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vMerge w:val="restart"/>
          </w:tcPr>
          <w:p>
            <w:pPr>
              <w:jc w:val="right"/>
              <w:ind w:right="183"/>
              <w:spacing w:after="0"/>
              <w:rPr>
                <w:sz w:val="20"/>
                <w:szCs w:val="20"/>
                <w:color w:val="auto"/>
              </w:rPr>
            </w:pPr>
            <w:r>
              <w:rPr>
                <w:rFonts w:ascii="Times New Roman" w:cs="Times New Roman" w:eastAsia="Times New Roman" w:hAnsi="Times New Roman"/>
                <w:sz w:val="15"/>
                <w:szCs w:val="15"/>
                <w:color w:val="auto"/>
              </w:rPr>
              <w:t>2026</w:t>
            </w: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vMerge w:val="restart"/>
          </w:tcPr>
          <w:p>
            <w:pPr>
              <w:jc w:val="right"/>
              <w:ind w:right="183"/>
              <w:spacing w:after="0"/>
              <w:rPr>
                <w:sz w:val="20"/>
                <w:szCs w:val="20"/>
                <w:color w:val="auto"/>
              </w:rPr>
            </w:pPr>
            <w:r>
              <w:rPr>
                <w:rFonts w:ascii="Times New Roman" w:cs="Times New Roman" w:eastAsia="Times New Roman" w:hAnsi="Times New Roman"/>
                <w:sz w:val="15"/>
                <w:szCs w:val="15"/>
                <w:color w:val="auto"/>
              </w:rPr>
              <w:t>2025</w:t>
            </w:r>
          </w:p>
        </w:tc>
        <w:tc>
          <w:tcPr>
            <w:tcW w:w="160" w:type="dxa"/>
            <w:vAlign w:val="bottom"/>
          </w:tcPr>
          <w:p>
            <w:pPr>
              <w:spacing w:after="0"/>
              <w:rPr>
                <w:sz w:val="3"/>
                <w:szCs w:val="3"/>
                <w:color w:val="auto"/>
              </w:rPr>
            </w:pPr>
          </w:p>
        </w:tc>
        <w:tc>
          <w:tcPr>
            <w:tcW w:w="162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vMerge w:val="restart"/>
          </w:tcPr>
          <w:p>
            <w:pPr>
              <w:jc w:val="right"/>
              <w:ind w:right="183"/>
              <w:spacing w:after="0"/>
              <w:rPr>
                <w:sz w:val="20"/>
                <w:szCs w:val="20"/>
                <w:color w:val="auto"/>
              </w:rPr>
            </w:pPr>
            <w:r>
              <w:rPr>
                <w:rFonts w:ascii="Times New Roman" w:cs="Times New Roman" w:eastAsia="Times New Roman" w:hAnsi="Times New Roman"/>
                <w:sz w:val="15"/>
                <w:szCs w:val="15"/>
                <w:color w:val="auto"/>
              </w:rPr>
              <w:t>2026</w:t>
            </w: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vMerge w:val="restart"/>
          </w:tcPr>
          <w:p>
            <w:pPr>
              <w:jc w:val="right"/>
              <w:ind w:right="183"/>
              <w:spacing w:after="0"/>
              <w:rPr>
                <w:sz w:val="20"/>
                <w:szCs w:val="20"/>
                <w:color w:val="auto"/>
              </w:rPr>
            </w:pPr>
            <w:r>
              <w:rPr>
                <w:rFonts w:ascii="Times New Roman" w:cs="Times New Roman" w:eastAsia="Times New Roman" w:hAnsi="Times New Roman"/>
                <w:sz w:val="15"/>
                <w:szCs w:val="15"/>
                <w:color w:val="auto"/>
              </w:rPr>
              <w:t>2025</w:t>
            </w:r>
          </w:p>
        </w:tc>
        <w:tc>
          <w:tcPr>
            <w:tcW w:w="0" w:type="dxa"/>
            <w:vAlign w:val="bottom"/>
          </w:tcPr>
          <w:p>
            <w:pPr>
              <w:spacing w:after="0" w:line="20" w:lineRule="exact"/>
              <w:rPr>
                <w:sz w:val="1"/>
                <w:szCs w:val="1"/>
                <w:color w:val="auto"/>
              </w:rPr>
            </w:pPr>
          </w:p>
        </w:tc>
      </w:tr>
      <w:tr>
        <w:trPr>
          <w:trHeight w:val="203"/>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Portion)</w:t>
            </w: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in Income</w:t>
            </w:r>
          </w:p>
        </w:tc>
        <w:tc>
          <w:tcPr>
            <w:tcW w:w="18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gridSpan w:val="4"/>
          </w:tcPr>
          <w:p>
            <w:pPr>
              <w:jc w:val="center"/>
              <w:ind w:right="103"/>
              <w:spacing w:after="0"/>
              <w:rPr>
                <w:sz w:val="20"/>
                <w:szCs w:val="20"/>
                <w:color w:val="auto"/>
              </w:rPr>
            </w:pPr>
            <w:r>
              <w:rPr>
                <w:rFonts w:ascii="Times New Roman" w:cs="Times New Roman" w:eastAsia="Times New Roman" w:hAnsi="Times New Roman"/>
                <w:sz w:val="15"/>
                <w:szCs w:val="15"/>
                <w:color w:val="auto"/>
              </w:rPr>
              <w:t>(In thousands)</w:t>
            </w:r>
          </w:p>
        </w:tc>
        <w:tc>
          <w:tcPr>
            <w:tcW w:w="0" w:type="dxa"/>
            <w:vAlign w:val="bottom"/>
          </w:tcPr>
          <w:p>
            <w:pPr>
              <w:spacing w:after="0"/>
              <w:rPr>
                <w:sz w:val="1"/>
                <w:szCs w:val="1"/>
                <w:color w:val="auto"/>
              </w:rPr>
            </w:pPr>
          </w:p>
        </w:tc>
      </w:tr>
      <w:tr>
        <w:trPr>
          <w:trHeight w:val="222"/>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Fair Value Hedges</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420" w:type="dxa"/>
            <w:vAlign w:val="bottom"/>
          </w:tcPr>
          <w:p>
            <w:pPr>
              <w:ind w:left="180"/>
              <w:spacing w:after="0" w:line="169" w:lineRule="exact"/>
              <w:rPr>
                <w:sz w:val="20"/>
                <w:szCs w:val="20"/>
                <w:color w:val="auto"/>
              </w:rPr>
            </w:pPr>
            <w:r>
              <w:rPr>
                <w:rFonts w:ascii="Times New Roman" w:cs="Times New Roman" w:eastAsia="Times New Roman" w:hAnsi="Times New Roman"/>
                <w:sz w:val="15"/>
                <w:szCs w:val="15"/>
                <w:color w:val="auto"/>
              </w:rPr>
              <w:t>Pay-fixed interest rate swap</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5"/>
                <w:szCs w:val="15"/>
                <w:color w:val="auto"/>
              </w:rPr>
              <w:t>Interest and fees on</w:t>
            </w:r>
          </w:p>
        </w:tc>
        <w:tc>
          <w:tcPr>
            <w:tcW w:w="180" w:type="dxa"/>
            <w:vAlign w:val="bottom"/>
            <w:vMerge w:val="restart"/>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102</w:t>
            </w:r>
          </w:p>
        </w:tc>
        <w:tc>
          <w:tcPr>
            <w:tcW w:w="80" w:type="dxa"/>
            <w:vAlign w:val="bottom"/>
          </w:tcPr>
          <w:p>
            <w:pPr>
              <w:spacing w:after="0"/>
              <w:rPr>
                <w:sz w:val="14"/>
                <w:szCs w:val="14"/>
                <w:color w:val="auto"/>
              </w:rPr>
            </w:pPr>
          </w:p>
        </w:tc>
        <w:tc>
          <w:tcPr>
            <w:tcW w:w="18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(172)</w:t>
            </w:r>
          </w:p>
        </w:tc>
        <w:tc>
          <w:tcPr>
            <w:tcW w:w="0" w:type="dxa"/>
            <w:vAlign w:val="bottom"/>
          </w:tcPr>
          <w:p>
            <w:pPr>
              <w:spacing w:after="0"/>
              <w:rPr>
                <w:sz w:val="1"/>
                <w:szCs w:val="1"/>
                <w:color w:val="auto"/>
              </w:rPr>
            </w:pPr>
          </w:p>
        </w:tc>
      </w:tr>
      <w:tr>
        <w:trPr>
          <w:trHeight w:val="203"/>
        </w:trPr>
        <w:tc>
          <w:tcPr>
            <w:tcW w:w="24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agreement - commercial</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loans</w:t>
            </w:r>
          </w:p>
        </w:tc>
        <w:tc>
          <w:tcPr>
            <w:tcW w:w="18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420" w:type="dxa"/>
            <w:vAlign w:val="bottom"/>
            <w:shd w:val="clear" w:color="auto" w:fill="CCEEFF"/>
          </w:tcPr>
          <w:p>
            <w:pPr>
              <w:ind w:left="180"/>
              <w:spacing w:after="0" w:line="172" w:lineRule="exact"/>
              <w:rPr>
                <w:sz w:val="20"/>
                <w:szCs w:val="20"/>
                <w:color w:val="auto"/>
              </w:rPr>
            </w:pPr>
            <w:r>
              <w:rPr>
                <w:rFonts w:ascii="Times New Roman" w:cs="Times New Roman" w:eastAsia="Times New Roman" w:hAnsi="Times New Roman"/>
                <w:sz w:val="15"/>
                <w:szCs w:val="15"/>
                <w:color w:val="auto"/>
              </w:rPr>
              <w:t>Pay-fixed interest rate swap</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5"/>
                <w:szCs w:val="15"/>
                <w:color w:val="auto"/>
              </w:rPr>
              <w:t>Interest on securities</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420" w:type="dxa"/>
            <w:vAlign w:val="bottom"/>
            <w:shd w:val="clear" w:color="auto" w:fill="CCEEFF"/>
          </w:tcPr>
          <w:p>
            <w:pPr>
              <w:ind w:left="320"/>
              <w:spacing w:after="0" w:line="155" w:lineRule="exact"/>
              <w:rPr>
                <w:sz w:val="20"/>
                <w:szCs w:val="20"/>
                <w:color w:val="auto"/>
              </w:rPr>
            </w:pPr>
            <w:r>
              <w:rPr>
                <w:rFonts w:ascii="Times New Roman" w:cs="Times New Roman" w:eastAsia="Times New Roman" w:hAnsi="Times New Roman"/>
                <w:sz w:val="15"/>
                <w:szCs w:val="15"/>
                <w:color w:val="auto"/>
              </w:rPr>
              <w:t>agreements - securities available</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(836)</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(5,334)</w:t>
            </w:r>
          </w:p>
        </w:tc>
        <w:tc>
          <w:tcPr>
            <w:tcW w:w="0" w:type="dxa"/>
            <w:vAlign w:val="bottom"/>
          </w:tcPr>
          <w:p>
            <w:pPr>
              <w:spacing w:after="0"/>
              <w:rPr>
                <w:sz w:val="1"/>
                <w:szCs w:val="1"/>
                <w:color w:val="auto"/>
              </w:rPr>
            </w:pPr>
          </w:p>
        </w:tc>
      </w:tr>
      <w:tr>
        <w:trPr>
          <w:trHeight w:val="205"/>
        </w:trPr>
        <w:tc>
          <w:tcPr>
            <w:tcW w:w="2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for sale</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420" w:type="dxa"/>
            <w:vAlign w:val="bottom"/>
          </w:tcPr>
          <w:p>
            <w:pPr>
              <w:ind w:left="180"/>
              <w:spacing w:after="0" w:line="169" w:lineRule="exact"/>
              <w:rPr>
                <w:sz w:val="20"/>
                <w:szCs w:val="20"/>
                <w:color w:val="auto"/>
              </w:rPr>
            </w:pPr>
            <w:r>
              <w:rPr>
                <w:rFonts w:ascii="Times New Roman" w:cs="Times New Roman" w:eastAsia="Times New Roman" w:hAnsi="Times New Roman"/>
                <w:sz w:val="15"/>
                <w:szCs w:val="15"/>
                <w:color w:val="auto"/>
              </w:rPr>
              <w:t>Pay-fixed interest rate swap</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5"/>
                <w:szCs w:val="15"/>
                <w:color w:val="auto"/>
              </w:rPr>
              <w:t>Interest and fees on</w:t>
            </w:r>
          </w:p>
        </w:tc>
        <w:tc>
          <w:tcPr>
            <w:tcW w:w="18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824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(994)</w:t>
            </w:r>
          </w:p>
        </w:tc>
        <w:tc>
          <w:tcPr>
            <w:tcW w:w="0" w:type="dxa"/>
            <w:vAlign w:val="bottom"/>
          </w:tcPr>
          <w:p>
            <w:pPr>
              <w:spacing w:after="0"/>
              <w:rPr>
                <w:sz w:val="1"/>
                <w:szCs w:val="1"/>
                <w:color w:val="auto"/>
              </w:rPr>
            </w:pPr>
          </w:p>
        </w:tc>
      </w:tr>
      <w:tr>
        <w:trPr>
          <w:trHeight w:val="203"/>
        </w:trPr>
        <w:tc>
          <w:tcPr>
            <w:tcW w:w="24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agreements - installment</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loans</w:t>
            </w:r>
          </w:p>
        </w:tc>
        <w:tc>
          <w:tcPr>
            <w:tcW w:w="18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420" w:type="dxa"/>
            <w:vAlign w:val="bottom"/>
            <w:shd w:val="clear" w:color="auto" w:fill="CCEEFF"/>
          </w:tcPr>
          <w:p>
            <w:pPr>
              <w:ind w:left="180"/>
              <w:spacing w:after="0" w:line="172" w:lineRule="exact"/>
              <w:rPr>
                <w:sz w:val="20"/>
                <w:szCs w:val="20"/>
                <w:color w:val="auto"/>
              </w:rPr>
            </w:pPr>
            <w:r>
              <w:rPr>
                <w:rFonts w:ascii="Times New Roman" w:cs="Times New Roman" w:eastAsia="Times New Roman" w:hAnsi="Times New Roman"/>
                <w:sz w:val="15"/>
                <w:szCs w:val="15"/>
                <w:color w:val="auto"/>
              </w:rPr>
              <w:t>Pay-fixed interest rate swap</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5"/>
                <w:szCs w:val="15"/>
                <w:color w:val="auto"/>
              </w:rPr>
              <w:t>Interest and fees on</w:t>
            </w:r>
          </w:p>
        </w:tc>
        <w:tc>
          <w:tcPr>
            <w:tcW w:w="18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(1,555)</w:t>
            </w:r>
          </w:p>
        </w:tc>
        <w:tc>
          <w:tcPr>
            <w:tcW w:w="0" w:type="dxa"/>
            <w:vAlign w:val="bottom"/>
          </w:tcPr>
          <w:p>
            <w:pPr>
              <w:spacing w:after="0"/>
              <w:rPr>
                <w:sz w:val="1"/>
                <w:szCs w:val="1"/>
                <w:color w:val="auto"/>
              </w:rPr>
            </w:pPr>
          </w:p>
        </w:tc>
      </w:tr>
      <w:tr>
        <w:trPr>
          <w:trHeight w:val="205"/>
        </w:trPr>
        <w:tc>
          <w:tcPr>
            <w:tcW w:w="2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agreements - mortgage</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loans</w:t>
            </w:r>
          </w:p>
        </w:tc>
        <w:tc>
          <w:tcPr>
            <w:tcW w:w="18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420" w:type="dxa"/>
            <w:vAlign w:val="bottom"/>
          </w:tcPr>
          <w:p>
            <w:pPr>
              <w:ind w:left="180"/>
              <w:spacing w:after="0" w:line="169" w:lineRule="exact"/>
              <w:rPr>
                <w:sz w:val="20"/>
                <w:szCs w:val="20"/>
                <w:color w:val="auto"/>
              </w:rPr>
            </w:pPr>
            <w:r>
              <w:rPr>
                <w:rFonts w:ascii="Times New Roman" w:cs="Times New Roman" w:eastAsia="Times New Roman" w:hAnsi="Times New Roman"/>
                <w:sz w:val="15"/>
                <w:szCs w:val="15"/>
                <w:color w:val="auto"/>
              </w:rPr>
              <w:t>Interest rate cap agreements -</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149</w:t>
            </w:r>
          </w:p>
        </w:tc>
        <w:tc>
          <w:tcPr>
            <w:tcW w:w="60" w:type="dxa"/>
            <w:vAlign w:val="bottom"/>
          </w:tcPr>
          <w:p>
            <w:pPr>
              <w:spacing w:after="0"/>
              <w:rPr>
                <w:sz w:val="14"/>
                <w:szCs w:val="14"/>
                <w:color w:val="auto"/>
              </w:rPr>
            </w:pPr>
          </w:p>
        </w:tc>
        <w:tc>
          <w:tcPr>
            <w:tcW w:w="200" w:type="dxa"/>
            <w:vAlign w:val="bottom"/>
            <w:vMerge w:val="restart"/>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(283)</w:t>
            </w:r>
          </w:p>
        </w:tc>
        <w:tc>
          <w:tcPr>
            <w:tcW w:w="160" w:type="dxa"/>
            <w:vAlign w:val="bottom"/>
          </w:tcPr>
          <w:p>
            <w:pPr>
              <w:spacing w:after="0"/>
              <w:rPr>
                <w:sz w:val="14"/>
                <w:szCs w:val="14"/>
                <w:color w:val="auto"/>
              </w:rPr>
            </w:pPr>
          </w:p>
        </w:tc>
        <w:tc>
          <w:tcPr>
            <w:tcW w:w="168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5"/>
                <w:szCs w:val="15"/>
                <w:color w:val="auto"/>
              </w:rPr>
              <w:t>Interest on securities</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(163)</w:t>
            </w:r>
          </w:p>
        </w:tc>
        <w:tc>
          <w:tcPr>
            <w:tcW w:w="60" w:type="dxa"/>
            <w:vAlign w:val="bottom"/>
          </w:tcPr>
          <w:p>
            <w:pPr>
              <w:spacing w:after="0"/>
              <w:rPr>
                <w:sz w:val="14"/>
                <w:szCs w:val="14"/>
                <w:color w:val="auto"/>
              </w:rPr>
            </w:pPr>
          </w:p>
        </w:tc>
        <w:tc>
          <w:tcPr>
            <w:tcW w:w="18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(172)</w:t>
            </w:r>
          </w:p>
        </w:tc>
        <w:tc>
          <w:tcPr>
            <w:tcW w:w="160" w:type="dxa"/>
            <w:vAlign w:val="bottom"/>
          </w:tcPr>
          <w:p>
            <w:pPr>
              <w:spacing w:after="0"/>
              <w:rPr>
                <w:sz w:val="14"/>
                <w:szCs w:val="14"/>
                <w:color w:val="auto"/>
              </w:rPr>
            </w:pPr>
          </w:p>
        </w:tc>
        <w:tc>
          <w:tcPr>
            <w:tcW w:w="162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5"/>
                <w:szCs w:val="15"/>
                <w:color w:val="auto"/>
              </w:rPr>
              <w:t>Interest on securities</w:t>
            </w:r>
          </w:p>
        </w:tc>
        <w:tc>
          <w:tcPr>
            <w:tcW w:w="18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24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securities available for sale</w:t>
            </w:r>
          </w:p>
        </w:tc>
        <w:tc>
          <w:tcPr>
            <w:tcW w:w="12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42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w:t>
            </w: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149</w:t>
            </w:r>
          </w:p>
        </w:tc>
        <w:tc>
          <w:tcPr>
            <w:tcW w:w="60" w:type="dxa"/>
            <w:vAlign w:val="bottom"/>
            <w:tcBorders>
              <w:top w:val="single" w:sz="8" w:color="CCEEFF"/>
              <w:bottom w:val="single" w:sz="8" w:color="auto"/>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(283)</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5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w:t>
            </w:r>
          </w:p>
        </w:tc>
        <w:tc>
          <w:tcPr>
            <w:tcW w:w="60" w:type="dxa"/>
            <w:vAlign w:val="bottom"/>
            <w:tcBorders>
              <w:top w:val="single" w:sz="8" w:color="CCEEFF"/>
              <w:bottom w:val="single" w:sz="8" w:color="auto"/>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(172)</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5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1,276</w:t>
            </w:r>
          </w:p>
        </w:tc>
        <w:tc>
          <w:tcPr>
            <w:tcW w:w="80" w:type="dxa"/>
            <w:vAlign w:val="bottom"/>
            <w:tcBorders>
              <w:top w:val="single" w:sz="8" w:color="CCEEFF"/>
              <w:bottom w:val="single" w:sz="8" w:color="auto"/>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(8,055)</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Flow Hedges</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420" w:type="dxa"/>
            <w:vAlign w:val="bottom"/>
          </w:tcPr>
          <w:p>
            <w:pPr>
              <w:ind w:left="180"/>
              <w:spacing w:after="0" w:line="169" w:lineRule="exact"/>
              <w:rPr>
                <w:sz w:val="20"/>
                <w:szCs w:val="20"/>
                <w:color w:val="auto"/>
              </w:rPr>
            </w:pPr>
            <w:r>
              <w:rPr>
                <w:rFonts w:ascii="Times New Roman" w:cs="Times New Roman" w:eastAsia="Times New Roman" w:hAnsi="Times New Roman"/>
                <w:sz w:val="15"/>
                <w:szCs w:val="15"/>
                <w:color w:val="auto"/>
              </w:rPr>
              <w:t>Interest rate floor agreements -</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(4,614)</w:t>
            </w:r>
          </w:p>
        </w:tc>
        <w:tc>
          <w:tcPr>
            <w:tcW w:w="60" w:type="dxa"/>
            <w:vAlign w:val="bottom"/>
          </w:tcPr>
          <w:p>
            <w:pPr>
              <w:spacing w:after="0"/>
              <w:rPr>
                <w:sz w:val="14"/>
                <w:szCs w:val="14"/>
                <w:color w:val="auto"/>
              </w:rPr>
            </w:pPr>
          </w:p>
        </w:tc>
        <w:tc>
          <w:tcPr>
            <w:tcW w:w="200" w:type="dxa"/>
            <w:vAlign w:val="bottom"/>
            <w:vMerge w:val="restart"/>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91</w:t>
            </w:r>
          </w:p>
        </w:tc>
        <w:tc>
          <w:tcPr>
            <w:tcW w:w="160" w:type="dxa"/>
            <w:vAlign w:val="bottom"/>
          </w:tcPr>
          <w:p>
            <w:pPr>
              <w:spacing w:after="0"/>
              <w:rPr>
                <w:sz w:val="14"/>
                <w:szCs w:val="14"/>
                <w:color w:val="auto"/>
              </w:rPr>
            </w:pPr>
          </w:p>
        </w:tc>
        <w:tc>
          <w:tcPr>
            <w:tcW w:w="168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5"/>
                <w:szCs w:val="15"/>
                <w:color w:val="auto"/>
              </w:rPr>
              <w:t>Interest and fees on</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(1,044)</w:t>
            </w:r>
          </w:p>
        </w:tc>
        <w:tc>
          <w:tcPr>
            <w:tcW w:w="60" w:type="dxa"/>
            <w:vAlign w:val="bottom"/>
          </w:tcPr>
          <w:p>
            <w:pPr>
              <w:spacing w:after="0"/>
              <w:rPr>
                <w:sz w:val="14"/>
                <w:szCs w:val="14"/>
                <w:color w:val="auto"/>
              </w:rPr>
            </w:pPr>
          </w:p>
        </w:tc>
        <w:tc>
          <w:tcPr>
            <w:tcW w:w="18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(1,363)</w:t>
            </w:r>
          </w:p>
        </w:tc>
        <w:tc>
          <w:tcPr>
            <w:tcW w:w="160" w:type="dxa"/>
            <w:vAlign w:val="bottom"/>
          </w:tcPr>
          <w:p>
            <w:pPr>
              <w:spacing w:after="0"/>
              <w:rPr>
                <w:sz w:val="14"/>
                <w:szCs w:val="14"/>
                <w:color w:val="auto"/>
              </w:rPr>
            </w:pPr>
          </w:p>
        </w:tc>
        <w:tc>
          <w:tcPr>
            <w:tcW w:w="162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5"/>
                <w:szCs w:val="15"/>
                <w:color w:val="auto"/>
              </w:rPr>
              <w:t>Interest and fees on</w:t>
            </w:r>
          </w:p>
        </w:tc>
        <w:tc>
          <w:tcPr>
            <w:tcW w:w="180" w:type="dxa"/>
            <w:vAlign w:val="bottom"/>
            <w:vMerge w:val="restart"/>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(1,044)</w:t>
            </w:r>
          </w:p>
        </w:tc>
        <w:tc>
          <w:tcPr>
            <w:tcW w:w="80" w:type="dxa"/>
            <w:vAlign w:val="bottom"/>
          </w:tcPr>
          <w:p>
            <w:pPr>
              <w:spacing w:after="0"/>
              <w:rPr>
                <w:sz w:val="14"/>
                <w:szCs w:val="14"/>
                <w:color w:val="auto"/>
              </w:rPr>
            </w:pPr>
          </w:p>
        </w:tc>
        <w:tc>
          <w:tcPr>
            <w:tcW w:w="18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(1,363)</w:t>
            </w:r>
          </w:p>
        </w:tc>
        <w:tc>
          <w:tcPr>
            <w:tcW w:w="0" w:type="dxa"/>
            <w:vAlign w:val="bottom"/>
          </w:tcPr>
          <w:p>
            <w:pPr>
              <w:spacing w:after="0"/>
              <w:rPr>
                <w:sz w:val="1"/>
                <w:szCs w:val="1"/>
                <w:color w:val="auto"/>
              </w:rPr>
            </w:pPr>
          </w:p>
        </w:tc>
      </w:tr>
      <w:tr>
        <w:trPr>
          <w:trHeight w:val="203"/>
        </w:trPr>
        <w:tc>
          <w:tcPr>
            <w:tcW w:w="24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commercial</w:t>
            </w:r>
          </w:p>
        </w:tc>
        <w:tc>
          <w:tcPr>
            <w:tcW w:w="12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loans</w:t>
            </w:r>
          </w:p>
        </w:tc>
        <w:tc>
          <w:tcPr>
            <w:tcW w:w="12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loans</w:t>
            </w:r>
          </w:p>
        </w:tc>
        <w:tc>
          <w:tcPr>
            <w:tcW w:w="18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420" w:type="dxa"/>
            <w:vAlign w:val="bottom"/>
            <w:shd w:val="clear" w:color="auto" w:fill="CCEEFF"/>
          </w:tcPr>
          <w:p>
            <w:pPr>
              <w:ind w:left="180"/>
              <w:spacing w:after="0" w:line="172" w:lineRule="exact"/>
              <w:rPr>
                <w:sz w:val="20"/>
                <w:szCs w:val="20"/>
                <w:color w:val="auto"/>
              </w:rPr>
            </w:pPr>
            <w:r>
              <w:rPr>
                <w:rFonts w:ascii="Times New Roman" w:cs="Times New Roman" w:eastAsia="Times New Roman" w:hAnsi="Times New Roman"/>
                <w:sz w:val="15"/>
                <w:szCs w:val="15"/>
                <w:color w:val="auto"/>
              </w:rPr>
              <w:t>Interest rate cap agreements - short-</w:t>
            </w: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311</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(293)</w:t>
            </w:r>
          </w:p>
        </w:tc>
        <w:tc>
          <w:tcPr>
            <w:tcW w:w="160" w:type="dxa"/>
            <w:vAlign w:val="bottom"/>
            <w:shd w:val="clear" w:color="auto" w:fill="CCEEFF"/>
          </w:tcPr>
          <w:p>
            <w:pPr>
              <w:spacing w:after="0"/>
              <w:rPr>
                <w:sz w:val="14"/>
                <w:szCs w:val="14"/>
                <w:color w:val="auto"/>
              </w:rPr>
            </w:pPr>
          </w:p>
        </w:tc>
        <w:tc>
          <w:tcPr>
            <w:tcW w:w="16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expense</w:t>
            </w: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160" w:type="dxa"/>
            <w:vAlign w:val="bottom"/>
            <w:shd w:val="clear" w:color="auto" w:fill="CCEEFF"/>
          </w:tcPr>
          <w:p>
            <w:pPr>
              <w:spacing w:after="0"/>
              <w:rPr>
                <w:sz w:val="14"/>
                <w:szCs w:val="14"/>
                <w:color w:val="auto"/>
              </w:rPr>
            </w:pPr>
          </w:p>
        </w:tc>
        <w:tc>
          <w:tcPr>
            <w:tcW w:w="16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expense</w:t>
            </w:r>
          </w:p>
        </w:tc>
        <w:tc>
          <w:tcPr>
            <w:tcW w:w="18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0" w:type="dxa"/>
            <w:vAlign w:val="bottom"/>
          </w:tcPr>
          <w:p>
            <w:pPr>
              <w:spacing w:after="0"/>
              <w:rPr>
                <w:sz w:val="1"/>
                <w:szCs w:val="1"/>
                <w:color w:val="auto"/>
              </w:rPr>
            </w:pPr>
          </w:p>
        </w:tc>
      </w:tr>
      <w:tr>
        <w:trPr>
          <w:trHeight w:val="205"/>
        </w:trPr>
        <w:tc>
          <w:tcPr>
            <w:tcW w:w="2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term funding liabilities</w:t>
            </w: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80" w:type="dxa"/>
            <w:vAlign w:val="bottom"/>
            <w:gridSpan w:val="2"/>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20" w:type="dxa"/>
            <w:vAlign w:val="bottom"/>
            <w:gridSpan w:val="2"/>
            <w:vMerge w:val="continue"/>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4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Total</w:t>
            </w: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(4,303)</w:t>
            </w: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(202)</w:t>
            </w: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(1,123)</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(1,371)</w:t>
            </w: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(1,123)</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(1,371)</w:t>
            </w:r>
          </w:p>
        </w:tc>
        <w:tc>
          <w:tcPr>
            <w:tcW w:w="0" w:type="dxa"/>
            <w:vAlign w:val="bottom"/>
          </w:tcPr>
          <w:p>
            <w:pPr>
              <w:spacing w:after="0"/>
              <w:rPr>
                <w:sz w:val="1"/>
                <w:szCs w:val="1"/>
                <w:color w:val="auto"/>
              </w:rPr>
            </w:pPr>
          </w:p>
        </w:tc>
      </w:tr>
      <w:tr>
        <w:trPr>
          <w:trHeight w:val="20"/>
        </w:trPr>
        <w:tc>
          <w:tcPr>
            <w:tcW w:w="2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 hedge designation</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420" w:type="dxa"/>
            <w:vAlign w:val="bottom"/>
            <w:shd w:val="clear" w:color="auto" w:fill="CCEEFF"/>
          </w:tcPr>
          <w:p>
            <w:pPr>
              <w:ind w:left="180"/>
              <w:spacing w:after="0" w:line="172" w:lineRule="exact"/>
              <w:rPr>
                <w:sz w:val="20"/>
                <w:szCs w:val="20"/>
                <w:color w:val="auto"/>
              </w:rPr>
            </w:pPr>
            <w:r>
              <w:rPr>
                <w:rFonts w:ascii="Times New Roman" w:cs="Times New Roman" w:eastAsia="Times New Roman" w:hAnsi="Times New Roman"/>
                <w:sz w:val="15"/>
                <w:szCs w:val="15"/>
                <w:color w:val="auto"/>
              </w:rPr>
              <w:t>Rate-lock mortgage loan</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5"/>
                <w:szCs w:val="15"/>
                <w:color w:val="auto"/>
              </w:rPr>
              <w:t>Net gains on mortgage</w:t>
            </w:r>
          </w:p>
        </w:tc>
        <w:tc>
          <w:tcPr>
            <w:tcW w:w="18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(237)</w:t>
            </w:r>
          </w:p>
        </w:tc>
        <w:tc>
          <w:tcPr>
            <w:tcW w:w="8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w:t>
            </w:r>
          </w:p>
        </w:tc>
        <w:tc>
          <w:tcPr>
            <w:tcW w:w="0" w:type="dxa"/>
            <w:vAlign w:val="bottom"/>
          </w:tcPr>
          <w:p>
            <w:pPr>
              <w:spacing w:after="0"/>
              <w:rPr>
                <w:sz w:val="1"/>
                <w:szCs w:val="1"/>
                <w:color w:val="auto"/>
              </w:rPr>
            </w:pPr>
          </w:p>
        </w:tc>
      </w:tr>
      <w:tr>
        <w:trPr>
          <w:trHeight w:val="205"/>
        </w:trPr>
        <w:tc>
          <w:tcPr>
            <w:tcW w:w="2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commitments</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loans</w:t>
            </w:r>
          </w:p>
        </w:tc>
        <w:tc>
          <w:tcPr>
            <w:tcW w:w="180" w:type="dxa"/>
            <w:vAlign w:val="bottom"/>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420" w:type="dxa"/>
            <w:vAlign w:val="bottom"/>
          </w:tcPr>
          <w:p>
            <w:pPr>
              <w:ind w:left="180"/>
              <w:spacing w:after="0" w:line="169" w:lineRule="exact"/>
              <w:rPr>
                <w:sz w:val="20"/>
                <w:szCs w:val="20"/>
                <w:color w:val="auto"/>
              </w:rPr>
            </w:pPr>
            <w:r>
              <w:rPr>
                <w:rFonts w:ascii="Times New Roman" w:cs="Times New Roman" w:eastAsia="Times New Roman" w:hAnsi="Times New Roman"/>
                <w:sz w:val="15"/>
                <w:szCs w:val="15"/>
                <w:color w:val="auto"/>
              </w:rPr>
              <w:t>Mandatory commitments to sell</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5"/>
                <w:szCs w:val="15"/>
                <w:color w:val="auto"/>
              </w:rPr>
              <w:t>Net gains on mortgage</w:t>
            </w:r>
          </w:p>
        </w:tc>
        <w:tc>
          <w:tcPr>
            <w:tcW w:w="18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546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0" w:type="dxa"/>
            <w:vAlign w:val="bottom"/>
          </w:tcPr>
          <w:p>
            <w:pPr>
              <w:spacing w:after="0"/>
              <w:rPr>
                <w:sz w:val="1"/>
                <w:szCs w:val="1"/>
                <w:color w:val="auto"/>
              </w:rPr>
            </w:pPr>
          </w:p>
        </w:tc>
      </w:tr>
      <w:tr>
        <w:trPr>
          <w:trHeight w:val="203"/>
        </w:trPr>
        <w:tc>
          <w:tcPr>
            <w:tcW w:w="24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mortgage loans</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loans</w:t>
            </w:r>
          </w:p>
        </w:tc>
        <w:tc>
          <w:tcPr>
            <w:tcW w:w="18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420" w:type="dxa"/>
            <w:vAlign w:val="bottom"/>
            <w:shd w:val="clear" w:color="auto" w:fill="CCEEFF"/>
          </w:tcPr>
          <w:p>
            <w:pPr>
              <w:ind w:left="180"/>
              <w:spacing w:after="0" w:line="172" w:lineRule="exact"/>
              <w:rPr>
                <w:sz w:val="20"/>
                <w:szCs w:val="20"/>
                <w:color w:val="auto"/>
              </w:rPr>
            </w:pPr>
            <w:r>
              <w:rPr>
                <w:rFonts w:ascii="Times New Roman" w:cs="Times New Roman" w:eastAsia="Times New Roman" w:hAnsi="Times New Roman"/>
                <w:sz w:val="15"/>
                <w:szCs w:val="15"/>
                <w:color w:val="auto"/>
              </w:rPr>
              <w:t>Pay-fixed interest rate swap</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5"/>
                <w:szCs w:val="15"/>
                <w:color w:val="auto"/>
              </w:rPr>
              <w:t>Interest and fees on</w:t>
            </w:r>
          </w:p>
        </w:tc>
        <w:tc>
          <w:tcPr>
            <w:tcW w:w="18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28,161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(16,747)</w:t>
            </w:r>
          </w:p>
        </w:tc>
        <w:tc>
          <w:tcPr>
            <w:tcW w:w="0" w:type="dxa"/>
            <w:vAlign w:val="bottom"/>
          </w:tcPr>
          <w:p>
            <w:pPr>
              <w:spacing w:after="0"/>
              <w:rPr>
                <w:sz w:val="1"/>
                <w:szCs w:val="1"/>
                <w:color w:val="auto"/>
              </w:rPr>
            </w:pPr>
          </w:p>
        </w:tc>
      </w:tr>
      <w:tr>
        <w:trPr>
          <w:trHeight w:val="205"/>
        </w:trPr>
        <w:tc>
          <w:tcPr>
            <w:tcW w:w="2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agreements - commercial</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loans</w:t>
            </w:r>
          </w:p>
        </w:tc>
        <w:tc>
          <w:tcPr>
            <w:tcW w:w="18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420" w:type="dxa"/>
            <w:vAlign w:val="bottom"/>
          </w:tcPr>
          <w:p>
            <w:pPr>
              <w:ind w:left="180"/>
              <w:spacing w:after="0" w:line="169" w:lineRule="exact"/>
              <w:rPr>
                <w:sz w:val="20"/>
                <w:szCs w:val="20"/>
                <w:color w:val="auto"/>
              </w:rPr>
            </w:pPr>
            <w:r>
              <w:rPr>
                <w:rFonts w:ascii="Times New Roman" w:cs="Times New Roman" w:eastAsia="Times New Roman" w:hAnsi="Times New Roman"/>
                <w:sz w:val="15"/>
                <w:szCs w:val="15"/>
                <w:color w:val="auto"/>
              </w:rPr>
              <w:t>Pay-variable interest rate swap</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5"/>
                <w:szCs w:val="15"/>
                <w:color w:val="auto"/>
              </w:rPr>
              <w:t>Interest and fees on</w:t>
            </w:r>
          </w:p>
        </w:tc>
        <w:tc>
          <w:tcPr>
            <w:tcW w:w="18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(28,161)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16,747</w:t>
            </w:r>
          </w:p>
        </w:tc>
        <w:tc>
          <w:tcPr>
            <w:tcW w:w="0" w:type="dxa"/>
            <w:vAlign w:val="bottom"/>
          </w:tcPr>
          <w:p>
            <w:pPr>
              <w:spacing w:after="0"/>
              <w:rPr>
                <w:sz w:val="1"/>
                <w:szCs w:val="1"/>
                <w:color w:val="auto"/>
              </w:rPr>
            </w:pPr>
          </w:p>
        </w:tc>
      </w:tr>
      <w:tr>
        <w:trPr>
          <w:trHeight w:val="203"/>
        </w:trPr>
        <w:tc>
          <w:tcPr>
            <w:tcW w:w="24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agreements - commercial</w:t>
            </w: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5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6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5"/>
                <w:szCs w:val="15"/>
                <w:color w:val="auto"/>
              </w:rPr>
              <w:t>loans</w:t>
            </w: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4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309</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ind w:left="300" w:hanging="297"/>
        <w:spacing w:after="0"/>
        <w:tabs>
          <w:tab w:leader="none" w:pos="3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Goodwill and Other Intangibles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gross carrying amount and accumulated amortization of other intangible assets: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754"/>
              <w:spacing w:after="0"/>
              <w:rPr>
                <w:sz w:val="20"/>
                <w:szCs w:val="20"/>
                <w:color w:val="auto"/>
              </w:rPr>
            </w:pPr>
            <w:r>
              <w:rPr>
                <w:rFonts w:ascii="Times New Roman" w:cs="Times New Roman" w:eastAsia="Times New Roman" w:hAnsi="Times New Roman"/>
                <w:sz w:val="17"/>
                <w:szCs w:val="17"/>
                <w:color w:val="auto"/>
              </w:rPr>
              <w:t>September 30, 2026</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754"/>
              <w:spacing w:after="0"/>
              <w:rPr>
                <w:sz w:val="20"/>
                <w:szCs w:val="20"/>
                <w:color w:val="auto"/>
              </w:rPr>
            </w:pPr>
            <w:r>
              <w:rPr>
                <w:rFonts w:ascii="Times New Roman" w:cs="Times New Roman" w:eastAsia="Times New Roman" w:hAnsi="Times New Roman"/>
                <w:sz w:val="17"/>
                <w:szCs w:val="17"/>
                <w:color w:val="auto"/>
              </w:rPr>
              <w:t>December 31, 2025</w:t>
            </w:r>
          </w:p>
        </w:tc>
        <w:tc>
          <w:tcPr>
            <w:tcW w:w="0" w:type="dxa"/>
            <w:vAlign w:val="bottom"/>
          </w:tcPr>
          <w:p>
            <w:pPr>
              <w:spacing w:after="0"/>
              <w:rPr>
                <w:sz w:val="1"/>
                <w:szCs w:val="1"/>
                <w:color w:val="auto"/>
              </w:rPr>
            </w:pPr>
          </w:p>
        </w:tc>
      </w:tr>
      <w:tr>
        <w:trPr>
          <w:trHeight w:val="173"/>
        </w:trPr>
        <w:tc>
          <w:tcPr>
            <w:tcW w:w="5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center"/>
              <w:ind w:right="194"/>
              <w:spacing w:after="0" w:line="173" w:lineRule="exact"/>
              <w:rPr>
                <w:sz w:val="20"/>
                <w:szCs w:val="20"/>
                <w:color w:val="auto"/>
              </w:rPr>
            </w:pPr>
            <w:r>
              <w:rPr>
                <w:rFonts w:ascii="Times New Roman" w:cs="Times New Roman" w:eastAsia="Times New Roman" w:hAnsi="Times New Roman"/>
                <w:sz w:val="17"/>
                <w:szCs w:val="17"/>
                <w:color w:val="auto"/>
              </w:rPr>
              <w:t>Gross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auto"/>
              </w:rPr>
              <w:t>Accumulated</w:t>
            </w:r>
          </w:p>
        </w:tc>
        <w:tc>
          <w:tcPr>
            <w:tcW w:w="280" w:type="dxa"/>
            <w:vAlign w:val="bottom"/>
          </w:tcPr>
          <w:p>
            <w:pPr>
              <w:spacing w:after="0"/>
              <w:rPr>
                <w:sz w:val="15"/>
                <w:szCs w:val="15"/>
                <w:color w:val="auto"/>
              </w:rPr>
            </w:pPr>
          </w:p>
        </w:tc>
        <w:tc>
          <w:tcPr>
            <w:tcW w:w="1220" w:type="dxa"/>
            <w:vAlign w:val="bottom"/>
          </w:tcPr>
          <w:p>
            <w:pPr>
              <w:jc w:val="center"/>
              <w:ind w:right="174"/>
              <w:spacing w:after="0" w:line="173" w:lineRule="exact"/>
              <w:rPr>
                <w:sz w:val="20"/>
                <w:szCs w:val="20"/>
                <w:color w:val="auto"/>
              </w:rPr>
            </w:pPr>
            <w:r>
              <w:rPr>
                <w:rFonts w:ascii="Times New Roman" w:cs="Times New Roman" w:eastAsia="Times New Roman" w:hAnsi="Times New Roman"/>
                <w:sz w:val="17"/>
                <w:szCs w:val="17"/>
                <w:color w:val="auto"/>
              </w:rPr>
              <w:t>Gross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vMerge w:val="restart"/>
          </w:tcPr>
          <w:p>
            <w:pPr>
              <w:jc w:val="right"/>
              <w:ind w:right="194"/>
              <w:spacing w:after="0"/>
              <w:rPr>
                <w:sz w:val="20"/>
                <w:szCs w:val="20"/>
                <w:color w:val="auto"/>
              </w:rPr>
            </w:pPr>
            <w:r>
              <w:rPr>
                <w:rFonts w:ascii="Times New Roman" w:cs="Times New Roman" w:eastAsia="Times New Roman" w:hAnsi="Times New Roman"/>
                <w:sz w:val="17"/>
                <w:szCs w:val="17"/>
                <w:color w:val="auto"/>
              </w:rPr>
              <w:t>Accumulated</w:t>
            </w:r>
          </w:p>
        </w:tc>
        <w:tc>
          <w:tcPr>
            <w:tcW w:w="0" w:type="dxa"/>
            <w:vAlign w:val="bottom"/>
          </w:tcPr>
          <w:p>
            <w:pPr>
              <w:spacing w:after="0"/>
              <w:rPr>
                <w:sz w:val="1"/>
                <w:szCs w:val="1"/>
                <w:color w:val="auto"/>
              </w:rPr>
            </w:pPr>
          </w:p>
        </w:tc>
      </w:tr>
      <w:tr>
        <w:trPr>
          <w:trHeight w:val="168"/>
        </w:trPr>
        <w:tc>
          <w:tcPr>
            <w:tcW w:w="5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right="174"/>
              <w:spacing w:after="0" w:line="167" w:lineRule="exact"/>
              <w:rPr>
                <w:sz w:val="20"/>
                <w:szCs w:val="20"/>
                <w:color w:val="auto"/>
              </w:rPr>
            </w:pPr>
            <w:r>
              <w:rPr>
                <w:rFonts w:ascii="Times New Roman" w:cs="Times New Roman" w:eastAsia="Times New Roman" w:hAnsi="Times New Roman"/>
                <w:sz w:val="17"/>
                <w:szCs w:val="17"/>
                <w:color w:val="auto"/>
              </w:rPr>
              <w:t>Carrying</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center"/>
              <w:ind w:right="194"/>
              <w:spacing w:after="0" w:line="167" w:lineRule="exact"/>
              <w:rPr>
                <w:sz w:val="20"/>
                <w:szCs w:val="20"/>
                <w:color w:val="auto"/>
              </w:rPr>
            </w:pPr>
            <w:r>
              <w:rPr>
                <w:rFonts w:ascii="Times New Roman" w:cs="Times New Roman" w:eastAsia="Times New Roman" w:hAnsi="Times New Roman"/>
                <w:sz w:val="17"/>
                <w:szCs w:val="17"/>
                <w:color w:val="auto"/>
              </w:rPr>
              <w:t>Carrying</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50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7"/>
                <w:szCs w:val="17"/>
                <w:color w:val="auto"/>
              </w:rPr>
              <w:t>Amount</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7"/>
                <w:szCs w:val="17"/>
                <w:color w:val="auto"/>
              </w:rPr>
              <w:t>Amortization</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7"/>
                <w:szCs w:val="17"/>
                <w:color w:val="auto"/>
              </w:rPr>
              <w:t>Amount</w:t>
            </w: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Amortization</w:t>
            </w:r>
          </w:p>
        </w:tc>
        <w:tc>
          <w:tcPr>
            <w:tcW w:w="0" w:type="dxa"/>
            <w:vAlign w:val="bottom"/>
          </w:tcPr>
          <w:p>
            <w:pPr>
              <w:spacing w:after="0"/>
              <w:rPr>
                <w:sz w:val="1"/>
                <w:szCs w:val="1"/>
                <w:color w:val="auto"/>
              </w:rPr>
            </w:pPr>
          </w:p>
        </w:tc>
      </w:tr>
      <w:tr>
        <w:trPr>
          <w:trHeight w:val="225"/>
        </w:trPr>
        <w:tc>
          <w:tcPr>
            <w:tcW w:w="5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80" w:type="dxa"/>
            <w:vAlign w:val="bottom"/>
            <w:gridSpan w:val="4"/>
          </w:tcPr>
          <w:p>
            <w:pPr>
              <w:jc w:val="right"/>
              <w:ind w:right="954"/>
              <w:spacing w:after="0"/>
              <w:rPr>
                <w:sz w:val="20"/>
                <w:szCs w:val="20"/>
                <w:color w:val="auto"/>
              </w:rPr>
            </w:pPr>
            <w:r>
              <w:rPr>
                <w:rFonts w:ascii="Times New Roman" w:cs="Times New Roman" w:eastAsia="Times New Roman" w:hAnsi="Times New Roman"/>
                <w:sz w:val="17"/>
                <w:szCs w:val="17"/>
                <w:color w:val="auto"/>
              </w:rPr>
              <w:t>(In thousands)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0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Amortized intangible assets - core deposits</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12,018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11,916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10,915</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Amortized intangible assets - non-compete agreement</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80" w:type="dxa"/>
            <w:vAlign w:val="bottom"/>
          </w:tcPr>
          <w:p>
            <w:pPr>
              <w:spacing w:after="0"/>
              <w:rPr>
                <w:sz w:val="17"/>
                <w:szCs w:val="17"/>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Unamortized intangible assets - goodwill</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28,300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$16.7 million and $21.9 million increases in gross carrying amount of core deposit intangibles and goodwill, respectively, reflect our acquisition of HCB Financial Corp. (see note #18). In connection with the acquisition, we also recognized a $0.5 million non-compete agreement intangible asset.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full amount of the non-compete intangible asset is being amortized over the 3 year term of the non-compete agreement.</w:t>
      </w:r>
    </w:p>
    <w:p>
      <w:pPr>
        <w:spacing w:after="0" w:line="19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Goodwill is assessed for impairment on an annual basis as of December 31, or more frequently if events occur or circumstances change that indicate an impairment may exist. When assessing goodwill for impairment, first, a qualitative assessment is made to determine whether it is more likely than not that the estimated fair value of a reporting unit is less than its estimated carrying value. If the results of the qualitative assessment are not conclusive, a quantitative goodwill test is performed. For the nine months ended September 30, 2026 and 2025 no event occurred that indicated an impairment of goodwill may exist.</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760" w:type="dxa"/>
            <w:vAlign w:val="bottom"/>
          </w:tcPr>
          <w:p>
            <w:pPr>
              <w:spacing w:after="0"/>
              <w:rPr>
                <w:sz w:val="20"/>
                <w:szCs w:val="20"/>
                <w:color w:val="auto"/>
              </w:rPr>
            </w:pPr>
            <w:r>
              <w:rPr>
                <w:rFonts w:ascii="Times New Roman" w:cs="Times New Roman" w:eastAsia="Times New Roman" w:hAnsi="Times New Roman"/>
                <w:sz w:val="17"/>
                <w:szCs w:val="17"/>
                <w:color w:val="auto"/>
              </w:rPr>
              <w:t>A summary of estimated core deposits and non-compete agreement intangible amortization at September 30, 2026 follows:</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25"/>
        </w:trPr>
        <w:tc>
          <w:tcPr>
            <w:tcW w:w="9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(In thousands)</w:t>
            </w:r>
          </w:p>
        </w:tc>
      </w:tr>
      <w:tr>
        <w:trPr>
          <w:trHeight w:val="257"/>
        </w:trPr>
        <w:tc>
          <w:tcPr>
            <w:tcW w:w="9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32"/>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Three months ending December 31, 2026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916</w:t>
            </w:r>
          </w:p>
        </w:tc>
      </w:tr>
      <w:tr>
        <w:trPr>
          <w:trHeight w:val="232"/>
        </w:trPr>
        <w:tc>
          <w:tcPr>
            <w:tcW w:w="9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3,488</w:t>
            </w:r>
          </w:p>
        </w:tc>
      </w:tr>
      <w:tr>
        <w:trPr>
          <w:trHeight w:val="232"/>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2,857</w:t>
            </w:r>
          </w:p>
        </w:tc>
      </w:tr>
      <w:tr>
        <w:trPr>
          <w:trHeight w:val="232"/>
        </w:trPr>
        <w:tc>
          <w:tcPr>
            <w:tcW w:w="9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2,360</w:t>
            </w:r>
          </w:p>
        </w:tc>
      </w:tr>
      <w:tr>
        <w:trPr>
          <w:trHeight w:val="232"/>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1,970</w:t>
            </w:r>
          </w:p>
        </w:tc>
      </w:tr>
      <w:tr>
        <w:trPr>
          <w:trHeight w:val="232"/>
        </w:trPr>
        <w:tc>
          <w:tcPr>
            <w:tcW w:w="9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2031</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1,667</w:t>
            </w:r>
          </w:p>
        </w:tc>
      </w:tr>
      <w:tr>
        <w:trPr>
          <w:trHeight w:val="232"/>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2032 and thereafter</w:t>
            </w: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3,787</w:t>
            </w:r>
          </w:p>
        </w:tc>
      </w:tr>
      <w:tr>
        <w:trPr>
          <w:trHeight w:val="225"/>
        </w:trPr>
        <w:tc>
          <w:tcPr>
            <w:tcW w:w="9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17,045</w:t>
            </w:r>
          </w:p>
        </w:tc>
      </w:tr>
      <w:tr>
        <w:trPr>
          <w:trHeight w:val="20"/>
        </w:trPr>
        <w:tc>
          <w:tcPr>
            <w:tcW w:w="9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ind w:left="300" w:hanging="297"/>
        <w:spacing w:after="0"/>
        <w:tabs>
          <w:tab w:leader="none" w:pos="3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Share Based Compensation</w:t>
      </w:r>
    </w:p>
    <w:p>
      <w:pPr>
        <w:spacing w:after="0" w:line="19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maintain share based payment plans that include a non-employee director stock purchase plan and a long-term incentive plan that permits the issuance of share based compensation, including stock options and non-vested share awards. The long-term incentive plan, which is shareholder approved, permits the grant of additional share based awards for up to 0.2 million shares of common stock as of September 30, 2026. The non-employee director stock purchase plan permits the issuance of additional share based payments for up to 0.04 million shares of common stock as of September 30, 2026. Share based awards and payments are measured at fair value at the date of grant and are expensed over the requisite service period. Common shares issued upon exercise of stock options come from currently authorized but unissued shares.</w:t>
      </w:r>
    </w:p>
    <w:p>
      <w:pPr>
        <w:spacing w:after="0" w:line="200" w:lineRule="exact"/>
        <w:rPr>
          <w:sz w:val="20"/>
          <w:szCs w:val="20"/>
          <w:color w:val="auto"/>
        </w:rPr>
      </w:pPr>
    </w:p>
    <w:p>
      <w:pPr>
        <w:spacing w:after="0" w:line="3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restricted stock and performance stock units (“PSU”) granted pursuant to our long-term incentive plan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Pr>
          <w:p>
            <w:pPr>
              <w:spacing w:after="0"/>
              <w:rPr>
                <w:sz w:val="17"/>
                <w:szCs w:val="17"/>
                <w:color w:val="auto"/>
              </w:rPr>
            </w:pPr>
          </w:p>
        </w:tc>
        <w:tc>
          <w:tcPr>
            <w:tcW w:w="2680" w:type="dxa"/>
            <w:vAlign w:val="bottom"/>
            <w:gridSpan w:val="4"/>
          </w:tcPr>
          <w:p>
            <w:pPr>
              <w:jc w:val="center"/>
              <w:ind w:left="294"/>
              <w:spacing w:after="0"/>
              <w:rPr>
                <w:sz w:val="20"/>
                <w:szCs w:val="20"/>
                <w:color w:val="auto"/>
              </w:rPr>
            </w:pPr>
            <w:r>
              <w:rPr>
                <w:rFonts w:ascii="Times New Roman" w:cs="Times New Roman" w:eastAsia="Times New Roman" w:hAnsi="Times New Roman"/>
                <w:sz w:val="17"/>
                <w:szCs w:val="17"/>
                <w:color w:val="auto"/>
              </w:rPr>
              <w:t>Three Months Ended</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6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auto"/>
              </w:rPr>
              <w:t>Nine Months Ended</w:t>
            </w:r>
          </w:p>
        </w:tc>
      </w:tr>
      <w:tr>
        <w:trPr>
          <w:trHeight w:val="228"/>
        </w:trPr>
        <w:tc>
          <w:tcPr>
            <w:tcW w:w="504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center"/>
              <w:ind w:right="580"/>
              <w:spacing w:after="0"/>
              <w:rPr>
                <w:sz w:val="20"/>
                <w:szCs w:val="20"/>
                <w:color w:val="auto"/>
              </w:rPr>
            </w:pPr>
            <w:r>
              <w:rPr>
                <w:rFonts w:ascii="Times New Roman" w:cs="Times New Roman" w:eastAsia="Times New Roman" w:hAnsi="Times New Roman"/>
                <w:sz w:val="17"/>
                <w:szCs w:val="17"/>
                <w:color w:val="auto"/>
                <w:w w:val="99"/>
              </w:rPr>
              <w:t>September 30,</w:t>
            </w:r>
          </w:p>
        </w:tc>
        <w:tc>
          <w:tcPr>
            <w:tcW w:w="3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100" w:type="dxa"/>
            <w:vAlign w:val="bottom"/>
            <w:tcBorders>
              <w:bottom w:val="single" w:sz="8" w:color="auto"/>
            </w:tcBorders>
            <w:gridSpan w:val="3"/>
          </w:tcPr>
          <w:p>
            <w:pPr>
              <w:jc w:val="center"/>
              <w:ind w:left="894"/>
              <w:spacing w:after="0"/>
              <w:rPr>
                <w:sz w:val="20"/>
                <w:szCs w:val="20"/>
                <w:color w:val="auto"/>
              </w:rPr>
            </w:pPr>
            <w:r>
              <w:rPr>
                <w:rFonts w:ascii="Times New Roman" w:cs="Times New Roman" w:eastAsia="Times New Roman" w:hAnsi="Times New Roman"/>
                <w:sz w:val="17"/>
                <w:szCs w:val="17"/>
                <w:color w:val="auto"/>
              </w:rPr>
              <w:t>September 30,</w:t>
            </w:r>
          </w:p>
        </w:tc>
        <w:tc>
          <w:tcPr>
            <w:tcW w:w="960" w:type="dxa"/>
            <w:vAlign w:val="bottom"/>
            <w:tcBorders>
              <w:bottom w:val="single" w:sz="8" w:color="auto"/>
            </w:tcBorders>
          </w:tcPr>
          <w:p>
            <w:pPr>
              <w:spacing w:after="0"/>
              <w:rPr>
                <w:sz w:val="19"/>
                <w:szCs w:val="19"/>
                <w:color w:val="auto"/>
              </w:rPr>
            </w:pPr>
          </w:p>
        </w:tc>
      </w:tr>
      <w:tr>
        <w:trPr>
          <w:trHeight w:val="229"/>
        </w:trPr>
        <w:tc>
          <w:tcPr>
            <w:tcW w:w="6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2026</w:t>
            </w:r>
          </w:p>
        </w:tc>
        <w:tc>
          <w:tcPr>
            <w:tcW w:w="172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2025</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jc w:val="right"/>
              <w:ind w:right="494"/>
              <w:spacing w:after="0"/>
              <w:rPr>
                <w:sz w:val="20"/>
                <w:szCs w:val="20"/>
                <w:color w:val="auto"/>
              </w:rPr>
            </w:pPr>
            <w:r>
              <w:rPr>
                <w:rFonts w:ascii="Times New Roman" w:cs="Times New Roman" w:eastAsia="Times New Roman" w:hAnsi="Times New Roman"/>
                <w:sz w:val="17"/>
                <w:szCs w:val="17"/>
                <w:color w:val="auto"/>
              </w:rPr>
              <w:t>2026</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2025</w:t>
            </w:r>
          </w:p>
        </w:tc>
      </w:tr>
      <w:tr>
        <w:trPr>
          <w:trHeight w:val="238"/>
        </w:trPr>
        <w:tc>
          <w:tcPr>
            <w:tcW w:w="504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52"/>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stock</w:t>
            </w:r>
          </w:p>
        </w:tc>
        <w:tc>
          <w:tcPr>
            <w:tcW w:w="9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13,042</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79,847</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53,019</w:t>
            </w:r>
          </w:p>
        </w:tc>
      </w:tr>
      <w:tr>
        <w:trPr>
          <w:trHeight w:val="20"/>
        </w:trPr>
        <w:tc>
          <w:tcPr>
            <w:tcW w:w="50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4"/>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PSU</w:t>
            </w:r>
          </w:p>
        </w:tc>
        <w:tc>
          <w:tcPr>
            <w:tcW w:w="1720" w:type="dxa"/>
            <w:vAlign w:val="bottom"/>
            <w:gridSpan w:val="3"/>
          </w:tcPr>
          <w:p>
            <w:pPr>
              <w:jc w:val="right"/>
              <w:ind w:right="122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16,859</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16,364</w:t>
            </w:r>
          </w:p>
        </w:tc>
      </w:tr>
      <w:tr>
        <w:trPr>
          <w:trHeight w:val="20"/>
        </w:trPr>
        <w:tc>
          <w:tcPr>
            <w:tcW w:w="50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shares of restricted stock and PSUs shown in the above table cliff vest after a period of three years. The performance criteria of the PSUs is split evenly between a comparison of (i) our total shareholder return and (ii) our return on average assets each over the three year period starting on the grant date to these same criteria over that period to an index of our banking peers.</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directors may elect to receive all or a portion of their cash retainer fees in the form of common stock (either on a current basis or on a deferred basis) pursuant to the non-employee director stock purchase plan referenced above. Shares equal in value to that portion of each director’s fees that he or she has elected to receive in stock on a current basis are issued each quarter and vest immediately. Shares issued on a deferred basis are credited at the rate of 90% of the current fair value of our common stock and vest immediately. During the nine month periods ended September 30, 2026 and 2025 we issued 0.005 million and 0.006 million shares, respectively and expensed their value during those same periods.</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Total compensation expense recognized for grants pursuant to our long-term incentive plan was $0.6 million and $1.9 million during the three and nine month periods ended September 30, 2026, respectively, and was $0.5 million and $1.8 million during the same periods in 2025, respectively. The corresponding tax benefit relating to this expense was $0.1 million and $0.4 million for the three and nine month periods ended September 30, 2026, respectively and $0.1 million and $0.4 million for the same periods in 2025. Total expense recognized for non-employee director share based payments was $0.07 million and $0.18 million during the three and nine month periods ended September 30, 2026, respectively, and was $0.07 million and $0.19 million during the same periods in 2025, respectively. The corresponding tax benefit relating to this expense was $0.02 million and $0.04 million for the three and nine month periods ended September 30, 2026, respectively and $0.02 million and $0.04 million during the same periods in 2025.</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80" w:type="dxa"/>
            <w:vAlign w:val="bottom"/>
          </w:tcPr>
          <w:p>
            <w:pPr>
              <w:spacing w:after="0"/>
              <w:rPr>
                <w:sz w:val="20"/>
                <w:szCs w:val="20"/>
                <w:color w:val="auto"/>
              </w:rPr>
            </w:pPr>
            <w:r>
              <w:rPr>
                <w:rFonts w:ascii="Times New Roman" w:cs="Times New Roman" w:eastAsia="Times New Roman" w:hAnsi="Times New Roman"/>
                <w:sz w:val="17"/>
                <w:szCs w:val="17"/>
                <w:color w:val="auto"/>
              </w:rPr>
              <w:t>A summary of outstanding non-vested stock and related transactions follows:</w:t>
            </w: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3"/>
        </w:trPr>
        <w:tc>
          <w:tcPr>
            <w:tcW w:w="8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center"/>
              <w:ind w:right="154"/>
              <w:spacing w:after="0"/>
              <w:rPr>
                <w:sz w:val="20"/>
                <w:szCs w:val="20"/>
                <w:color w:val="auto"/>
              </w:rPr>
            </w:pPr>
            <w:r>
              <w:rPr>
                <w:rFonts w:ascii="Times New Roman" w:cs="Times New Roman" w:eastAsia="Times New Roman" w:hAnsi="Times New Roman"/>
                <w:sz w:val="17"/>
                <w:szCs w:val="17"/>
                <w:color w:val="auto"/>
              </w:rPr>
              <w:t>Weighted-</w:t>
            </w:r>
          </w:p>
        </w:tc>
        <w:tc>
          <w:tcPr>
            <w:tcW w:w="0" w:type="dxa"/>
            <w:vAlign w:val="bottom"/>
          </w:tcPr>
          <w:p>
            <w:pPr>
              <w:spacing w:after="0"/>
              <w:rPr>
                <w:sz w:val="1"/>
                <w:szCs w:val="1"/>
                <w:color w:val="auto"/>
              </w:rPr>
            </w:pPr>
          </w:p>
        </w:tc>
      </w:tr>
      <w:tr>
        <w:trPr>
          <w:trHeight w:val="177"/>
        </w:trPr>
        <w:tc>
          <w:tcPr>
            <w:tcW w:w="8180" w:type="dxa"/>
            <w:vAlign w:val="bottom"/>
          </w:tcPr>
          <w:p>
            <w:pPr>
              <w:spacing w:after="0"/>
              <w:rPr>
                <w:sz w:val="15"/>
                <w:szCs w:val="15"/>
                <w:color w:val="auto"/>
              </w:rPr>
            </w:pPr>
          </w:p>
        </w:tc>
        <w:tc>
          <w:tcPr>
            <w:tcW w:w="15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auto"/>
              </w:rPr>
              <w:t>Number</w:t>
            </w:r>
          </w:p>
        </w:tc>
        <w:tc>
          <w:tcPr>
            <w:tcW w:w="240" w:type="dxa"/>
            <w:vAlign w:val="bottom"/>
          </w:tcPr>
          <w:p>
            <w:pPr>
              <w:spacing w:after="0"/>
              <w:rPr>
                <w:sz w:val="15"/>
                <w:szCs w:val="15"/>
                <w:color w:val="auto"/>
              </w:rPr>
            </w:pPr>
          </w:p>
        </w:tc>
        <w:tc>
          <w:tcPr>
            <w:tcW w:w="1240" w:type="dxa"/>
            <w:vAlign w:val="bottom"/>
          </w:tcPr>
          <w:p>
            <w:pPr>
              <w:jc w:val="center"/>
              <w:ind w:right="154"/>
              <w:spacing w:after="0" w:line="177" w:lineRule="exact"/>
              <w:rPr>
                <w:sz w:val="20"/>
                <w:szCs w:val="20"/>
                <w:color w:val="auto"/>
              </w:rPr>
            </w:pPr>
            <w:r>
              <w:rPr>
                <w:rFonts w:ascii="Times New Roman" w:cs="Times New Roman" w:eastAsia="Times New Roman" w:hAnsi="Times New Roman"/>
                <w:sz w:val="17"/>
                <w:szCs w:val="17"/>
                <w:color w:val="auto"/>
                <w:w w:val="97"/>
              </w:rPr>
              <w:t>Average</w:t>
            </w:r>
          </w:p>
        </w:tc>
        <w:tc>
          <w:tcPr>
            <w:tcW w:w="0" w:type="dxa"/>
            <w:vAlign w:val="bottom"/>
          </w:tcPr>
          <w:p>
            <w:pPr>
              <w:spacing w:after="0"/>
              <w:rPr>
                <w:sz w:val="1"/>
                <w:szCs w:val="1"/>
                <w:color w:val="auto"/>
              </w:rPr>
            </w:pPr>
          </w:p>
        </w:tc>
      </w:tr>
      <w:tr>
        <w:trPr>
          <w:trHeight w:val="171"/>
        </w:trPr>
        <w:tc>
          <w:tcPr>
            <w:tcW w:w="818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center"/>
              <w:ind w:right="154"/>
              <w:spacing w:after="0" w:line="172" w:lineRule="exact"/>
              <w:rPr>
                <w:sz w:val="20"/>
                <w:szCs w:val="20"/>
                <w:color w:val="auto"/>
              </w:rPr>
            </w:pPr>
            <w:r>
              <w:rPr>
                <w:rFonts w:ascii="Times New Roman" w:cs="Times New Roman" w:eastAsia="Times New Roman" w:hAnsi="Times New Roman"/>
                <w:sz w:val="17"/>
                <w:szCs w:val="17"/>
                <w:color w:val="auto"/>
              </w:rPr>
              <w:t>Grant Date</w:t>
            </w:r>
          </w:p>
        </w:tc>
        <w:tc>
          <w:tcPr>
            <w:tcW w:w="0" w:type="dxa"/>
            <w:vAlign w:val="bottom"/>
          </w:tcPr>
          <w:p>
            <w:pPr>
              <w:spacing w:after="0"/>
              <w:rPr>
                <w:sz w:val="1"/>
                <w:szCs w:val="1"/>
                <w:color w:val="auto"/>
              </w:rPr>
            </w:pPr>
          </w:p>
        </w:tc>
      </w:tr>
      <w:tr>
        <w:trPr>
          <w:trHeight w:val="219"/>
        </w:trPr>
        <w:tc>
          <w:tcPr>
            <w:tcW w:w="8180" w:type="dxa"/>
            <w:vAlign w:val="bottom"/>
          </w:tcPr>
          <w:p>
            <w:pPr>
              <w:spacing w:after="0"/>
              <w:rPr>
                <w:sz w:val="19"/>
                <w:szCs w:val="19"/>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of Shares</w:t>
            </w:r>
          </w:p>
        </w:tc>
        <w:tc>
          <w:tcPr>
            <w:tcW w:w="240" w:type="dxa"/>
            <w:vAlign w:val="bottom"/>
          </w:tcPr>
          <w:p>
            <w:pPr>
              <w:spacing w:after="0"/>
              <w:rPr>
                <w:sz w:val="19"/>
                <w:szCs w:val="19"/>
                <w:color w:val="auto"/>
              </w:rPr>
            </w:pPr>
          </w:p>
        </w:tc>
        <w:tc>
          <w:tcPr>
            <w:tcW w:w="1240" w:type="dxa"/>
            <w:vAlign w:val="bottom"/>
          </w:tcPr>
          <w:p>
            <w:pPr>
              <w:jc w:val="center"/>
              <w:ind w:right="154"/>
              <w:spacing w:after="0"/>
              <w:rPr>
                <w:sz w:val="20"/>
                <w:szCs w:val="20"/>
                <w:color w:val="auto"/>
              </w:rPr>
            </w:pPr>
            <w:r>
              <w:rPr>
                <w:rFonts w:ascii="Times New Roman" w:cs="Times New Roman" w:eastAsia="Times New Roman" w:hAnsi="Times New Roman"/>
                <w:sz w:val="17"/>
                <w:szCs w:val="17"/>
                <w:color w:val="auto"/>
                <w:w w:val="99"/>
              </w:rPr>
              <w:t>Fair Value</w:t>
            </w:r>
          </w:p>
        </w:tc>
        <w:tc>
          <w:tcPr>
            <w:tcW w:w="0" w:type="dxa"/>
            <w:vAlign w:val="bottom"/>
          </w:tcPr>
          <w:p>
            <w:pPr>
              <w:spacing w:after="0"/>
              <w:rPr>
                <w:sz w:val="1"/>
                <w:szCs w:val="1"/>
                <w:color w:val="auto"/>
              </w:rPr>
            </w:pPr>
          </w:p>
        </w:tc>
      </w:tr>
      <w:tr>
        <w:trPr>
          <w:trHeight w:val="225"/>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January 1, 2026</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250,213</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27.70</w:t>
            </w:r>
          </w:p>
        </w:tc>
        <w:tc>
          <w:tcPr>
            <w:tcW w:w="0" w:type="dxa"/>
            <w:vAlign w:val="bottom"/>
          </w:tcPr>
          <w:p>
            <w:pPr>
              <w:spacing w:after="0"/>
              <w:rPr>
                <w:sz w:val="1"/>
                <w:szCs w:val="1"/>
                <w:color w:val="auto"/>
              </w:rPr>
            </w:pPr>
          </w:p>
        </w:tc>
      </w:tr>
      <w:tr>
        <w:trPr>
          <w:trHeight w:val="232"/>
        </w:trPr>
        <w:tc>
          <w:tcPr>
            <w:tcW w:w="8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96,706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37.10</w:t>
            </w:r>
          </w:p>
        </w:tc>
        <w:tc>
          <w:tcPr>
            <w:tcW w:w="0" w:type="dxa"/>
            <w:vAlign w:val="bottom"/>
          </w:tcPr>
          <w:p>
            <w:pPr>
              <w:spacing w:after="0"/>
              <w:rPr>
                <w:sz w:val="1"/>
                <w:szCs w:val="1"/>
                <w:color w:val="auto"/>
              </w:rPr>
            </w:pPr>
          </w:p>
        </w:tc>
      </w:tr>
      <w:tr>
        <w:trPr>
          <w:trHeight w:val="232"/>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Vested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(90,492)</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23.81</w:t>
            </w:r>
          </w:p>
        </w:tc>
        <w:tc>
          <w:tcPr>
            <w:tcW w:w="0" w:type="dxa"/>
            <w:vAlign w:val="bottom"/>
          </w:tcPr>
          <w:p>
            <w:pPr>
              <w:spacing w:after="0"/>
              <w:rPr>
                <w:sz w:val="1"/>
                <w:szCs w:val="1"/>
                <w:color w:val="auto"/>
              </w:rPr>
            </w:pPr>
          </w:p>
        </w:tc>
      </w:tr>
      <w:tr>
        <w:trPr>
          <w:trHeight w:val="232"/>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Forfeited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(9,714)</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32.80</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September 30, 2026</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246,713</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At September 30, 2026, the total expected compensation cost related to non-vested restricted stock and PSUs not yet recognized was $4.2 million. The weighted-average period over which this amount will be recognized is 2.1 years.</w:t>
      </w:r>
    </w:p>
    <w:p>
      <w:pPr>
        <w:spacing w:after="0" w:line="200" w:lineRule="exact"/>
        <w:rPr>
          <w:sz w:val="20"/>
          <w:szCs w:val="20"/>
          <w:color w:val="auto"/>
        </w:rPr>
      </w:pP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outstanding stock option grants and related transactions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7"/>
              </w:rPr>
              <w:t>Weighted-</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5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tcPr>
          <w:p>
            <w:pPr>
              <w:jc w:val="center"/>
              <w:ind w:right="80"/>
              <w:spacing w:after="0" w:line="167" w:lineRule="exact"/>
              <w:rPr>
                <w:sz w:val="20"/>
                <w:szCs w:val="20"/>
                <w:color w:val="auto"/>
              </w:rPr>
            </w:pPr>
            <w:r>
              <w:rPr>
                <w:rFonts w:ascii="Times New Roman" w:cs="Times New Roman" w:eastAsia="Times New Roman" w:hAnsi="Times New Roman"/>
                <w:sz w:val="17"/>
                <w:szCs w:val="17"/>
                <w:color w:val="auto"/>
              </w:rPr>
              <w:t>Average</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040" w:type="dxa"/>
            <w:vAlign w:val="bottom"/>
          </w:tcPr>
          <w:p>
            <w:pPr>
              <w:spacing w:after="0"/>
              <w:rPr>
                <w:sz w:val="15"/>
                <w:szCs w:val="15"/>
                <w:color w:val="auto"/>
              </w:rPr>
            </w:pPr>
          </w:p>
        </w:tc>
        <w:tc>
          <w:tcPr>
            <w:tcW w:w="15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auto"/>
                <w:w w:val="99"/>
              </w:rPr>
              <w:t>Number of</w:t>
            </w:r>
          </w:p>
        </w:tc>
        <w:tc>
          <w:tcPr>
            <w:tcW w:w="280" w:type="dxa"/>
            <w:vAlign w:val="bottom"/>
          </w:tcPr>
          <w:p>
            <w:pPr>
              <w:spacing w:after="0"/>
              <w:rPr>
                <w:sz w:val="15"/>
                <w:szCs w:val="15"/>
                <w:color w:val="auto"/>
              </w:rPr>
            </w:pPr>
          </w:p>
        </w:tc>
        <w:tc>
          <w:tcPr>
            <w:tcW w:w="1280" w:type="dxa"/>
            <w:vAlign w:val="bottom"/>
            <w:gridSpan w:val="2"/>
          </w:tcPr>
          <w:p>
            <w:pPr>
              <w:jc w:val="center"/>
              <w:ind w:right="360"/>
              <w:spacing w:after="0" w:line="181" w:lineRule="exact"/>
              <w:rPr>
                <w:sz w:val="20"/>
                <w:szCs w:val="20"/>
                <w:color w:val="auto"/>
              </w:rPr>
            </w:pPr>
            <w:r>
              <w:rPr>
                <w:rFonts w:ascii="Times New Roman" w:cs="Times New Roman" w:eastAsia="Times New Roman" w:hAnsi="Times New Roman"/>
                <w:sz w:val="17"/>
                <w:szCs w:val="17"/>
                <w:color w:val="auto"/>
                <w:w w:val="97"/>
              </w:rPr>
              <w:t>Average</w:t>
            </w:r>
          </w:p>
        </w:tc>
        <w:tc>
          <w:tcPr>
            <w:tcW w:w="1580" w:type="dxa"/>
            <w:vAlign w:val="bottom"/>
            <w:gridSpan w:val="2"/>
          </w:tcPr>
          <w:p>
            <w:pPr>
              <w:jc w:val="center"/>
              <w:ind w:right="80"/>
              <w:spacing w:after="0" w:line="181" w:lineRule="exact"/>
              <w:rPr>
                <w:sz w:val="20"/>
                <w:szCs w:val="20"/>
                <w:color w:val="auto"/>
              </w:rPr>
            </w:pPr>
            <w:r>
              <w:rPr>
                <w:rFonts w:ascii="Times New Roman" w:cs="Times New Roman" w:eastAsia="Times New Roman" w:hAnsi="Times New Roman"/>
                <w:sz w:val="17"/>
                <w:szCs w:val="17"/>
                <w:color w:val="auto"/>
                <w:w w:val="99"/>
              </w:rPr>
              <w:t>Remaining</w:t>
            </w:r>
          </w:p>
        </w:tc>
        <w:tc>
          <w:tcPr>
            <w:tcW w:w="180" w:type="dxa"/>
            <w:vAlign w:val="bottom"/>
          </w:tcPr>
          <w:p>
            <w:pPr>
              <w:spacing w:after="0"/>
              <w:rPr>
                <w:sz w:val="15"/>
                <w:szCs w:val="15"/>
                <w:color w:val="auto"/>
              </w:rPr>
            </w:pPr>
          </w:p>
        </w:tc>
        <w:tc>
          <w:tcPr>
            <w:tcW w:w="1300" w:type="dxa"/>
            <w:vAlign w:val="bottom"/>
          </w:tcPr>
          <w:p>
            <w:pPr>
              <w:jc w:val="center"/>
              <w:ind w:right="94"/>
              <w:spacing w:after="0" w:line="181" w:lineRule="exact"/>
              <w:rPr>
                <w:sz w:val="20"/>
                <w:szCs w:val="20"/>
                <w:color w:val="auto"/>
              </w:rPr>
            </w:pPr>
            <w:r>
              <w:rPr>
                <w:rFonts w:ascii="Times New Roman" w:cs="Times New Roman" w:eastAsia="Times New Roman" w:hAnsi="Times New Roman"/>
                <w:sz w:val="17"/>
                <w:szCs w:val="17"/>
                <w:color w:val="auto"/>
              </w:rPr>
              <w:t>Aggregated</w:t>
            </w:r>
          </w:p>
        </w:tc>
        <w:tc>
          <w:tcPr>
            <w:tcW w:w="0" w:type="dxa"/>
            <w:vAlign w:val="bottom"/>
          </w:tcPr>
          <w:p>
            <w:pPr>
              <w:spacing w:after="0"/>
              <w:rPr>
                <w:sz w:val="1"/>
                <w:szCs w:val="1"/>
                <w:color w:val="auto"/>
              </w:rPr>
            </w:pPr>
          </w:p>
        </w:tc>
      </w:tr>
      <w:tr>
        <w:trPr>
          <w:trHeight w:val="168"/>
        </w:trPr>
        <w:tc>
          <w:tcPr>
            <w:tcW w:w="504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jc w:val="center"/>
              <w:ind w:right="360"/>
              <w:spacing w:after="0" w:line="167" w:lineRule="exact"/>
              <w:rPr>
                <w:sz w:val="20"/>
                <w:szCs w:val="20"/>
                <w:color w:val="auto"/>
              </w:rPr>
            </w:pPr>
            <w:r>
              <w:rPr>
                <w:rFonts w:ascii="Times New Roman" w:cs="Times New Roman" w:eastAsia="Times New Roman" w:hAnsi="Times New Roman"/>
                <w:sz w:val="17"/>
                <w:szCs w:val="17"/>
                <w:color w:val="auto"/>
              </w:rPr>
              <w:t>Exercise</w:t>
            </w:r>
          </w:p>
        </w:tc>
        <w:tc>
          <w:tcPr>
            <w:tcW w:w="1580" w:type="dxa"/>
            <w:vAlign w:val="bottom"/>
            <w:gridSpan w:val="2"/>
          </w:tcPr>
          <w:p>
            <w:pPr>
              <w:jc w:val="center"/>
              <w:ind w:right="60"/>
              <w:spacing w:after="0" w:line="167" w:lineRule="exact"/>
              <w:rPr>
                <w:sz w:val="20"/>
                <w:szCs w:val="20"/>
                <w:color w:val="auto"/>
              </w:rPr>
            </w:pPr>
            <w:r>
              <w:rPr>
                <w:rFonts w:ascii="Times New Roman" w:cs="Times New Roman" w:eastAsia="Times New Roman" w:hAnsi="Times New Roman"/>
                <w:sz w:val="17"/>
                <w:szCs w:val="17"/>
                <w:color w:val="auto"/>
              </w:rPr>
              <w:t>Contractual</w:t>
            </w:r>
          </w:p>
        </w:tc>
        <w:tc>
          <w:tcPr>
            <w:tcW w:w="180" w:type="dxa"/>
            <w:vAlign w:val="bottom"/>
          </w:tcPr>
          <w:p>
            <w:pPr>
              <w:spacing w:after="0"/>
              <w:rPr>
                <w:sz w:val="14"/>
                <w:szCs w:val="14"/>
                <w:color w:val="auto"/>
              </w:rPr>
            </w:pPr>
          </w:p>
        </w:tc>
        <w:tc>
          <w:tcPr>
            <w:tcW w:w="1300" w:type="dxa"/>
            <w:vAlign w:val="bottom"/>
          </w:tcPr>
          <w:p>
            <w:pPr>
              <w:jc w:val="center"/>
              <w:ind w:right="74"/>
              <w:spacing w:after="0" w:line="167" w:lineRule="exact"/>
              <w:rPr>
                <w:sz w:val="20"/>
                <w:szCs w:val="20"/>
                <w:color w:val="auto"/>
              </w:rPr>
            </w:pPr>
            <w:r>
              <w:rPr>
                <w:rFonts w:ascii="Times New Roman" w:cs="Times New Roman" w:eastAsia="Times New Roman" w:hAnsi="Times New Roman"/>
                <w:sz w:val="17"/>
                <w:szCs w:val="17"/>
                <w:color w:val="auto"/>
              </w:rPr>
              <w:t>Intrinsic</w:t>
            </w:r>
          </w:p>
        </w:tc>
        <w:tc>
          <w:tcPr>
            <w:tcW w:w="0" w:type="dxa"/>
            <w:vAlign w:val="bottom"/>
          </w:tcPr>
          <w:p>
            <w:pPr>
              <w:spacing w:after="0"/>
              <w:rPr>
                <w:sz w:val="1"/>
                <w:szCs w:val="1"/>
                <w:color w:val="auto"/>
              </w:rPr>
            </w:pPr>
          </w:p>
        </w:tc>
      </w:tr>
      <w:tr>
        <w:trPr>
          <w:trHeight w:val="228"/>
        </w:trPr>
        <w:tc>
          <w:tcPr>
            <w:tcW w:w="5040" w:type="dxa"/>
            <w:vAlign w:val="bottom"/>
          </w:tcPr>
          <w:p>
            <w:pPr>
              <w:spacing w:after="0"/>
              <w:rPr>
                <w:sz w:val="19"/>
                <w:szCs w:val="19"/>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Shares</w:t>
            </w:r>
          </w:p>
        </w:tc>
        <w:tc>
          <w:tcPr>
            <w:tcW w:w="280" w:type="dxa"/>
            <w:vAlign w:val="bottom"/>
          </w:tcPr>
          <w:p>
            <w:pPr>
              <w:spacing w:after="0"/>
              <w:rPr>
                <w:sz w:val="19"/>
                <w:szCs w:val="19"/>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color w:val="auto"/>
              </w:rPr>
              <w:t>Price</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7"/>
              </w:rPr>
              <w:t>Term (Years)</w:t>
            </w:r>
          </w:p>
        </w:tc>
        <w:tc>
          <w:tcPr>
            <w:tcW w:w="180" w:type="dxa"/>
            <w:vAlign w:val="bottom"/>
          </w:tcPr>
          <w:p>
            <w:pPr>
              <w:spacing w:after="0"/>
              <w:rPr>
                <w:sz w:val="19"/>
                <w:szCs w:val="19"/>
                <w:color w:val="auto"/>
              </w:rPr>
            </w:pPr>
          </w:p>
        </w:tc>
        <w:tc>
          <w:tcPr>
            <w:tcW w:w="1300" w:type="dxa"/>
            <w:vAlign w:val="bottom"/>
          </w:tcPr>
          <w:p>
            <w:pPr>
              <w:jc w:val="center"/>
              <w:ind w:right="94"/>
              <w:spacing w:after="0"/>
              <w:rPr>
                <w:sz w:val="20"/>
                <w:szCs w:val="20"/>
                <w:color w:val="auto"/>
              </w:rPr>
            </w:pPr>
            <w:r>
              <w:rPr>
                <w:rFonts w:ascii="Times New Roman" w:cs="Times New Roman" w:eastAsia="Times New Roman" w:hAnsi="Times New Roman"/>
                <w:sz w:val="17"/>
                <w:szCs w:val="17"/>
                <w:color w:val="auto"/>
                <w:w w:val="98"/>
              </w:rPr>
              <w:t>Value</w:t>
            </w:r>
          </w:p>
        </w:tc>
        <w:tc>
          <w:tcPr>
            <w:tcW w:w="0" w:type="dxa"/>
            <w:vAlign w:val="bottom"/>
          </w:tcPr>
          <w:p>
            <w:pPr>
              <w:spacing w:after="0"/>
              <w:rPr>
                <w:sz w:val="1"/>
                <w:szCs w:val="1"/>
                <w:color w:val="auto"/>
              </w:rPr>
            </w:pPr>
          </w:p>
        </w:tc>
      </w:tr>
      <w:tr>
        <w:trPr>
          <w:trHeight w:val="229"/>
        </w:trPr>
        <w:tc>
          <w:tcPr>
            <w:tcW w:w="5040" w:type="dxa"/>
            <w:vAlign w:val="bottom"/>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center"/>
              <w:ind w:right="94"/>
              <w:spacing w:after="0"/>
              <w:rPr>
                <w:sz w:val="20"/>
                <w:szCs w:val="20"/>
                <w:color w:val="auto"/>
              </w:rPr>
            </w:pPr>
            <w:r>
              <w:rPr>
                <w:rFonts w:ascii="Times New Roman" w:cs="Times New Roman" w:eastAsia="Times New Roman" w:hAnsi="Times New Roman"/>
                <w:sz w:val="17"/>
                <w:szCs w:val="17"/>
                <w:color w:val="auto"/>
              </w:rPr>
              <w:t>(In thousands)</w:t>
            </w:r>
          </w:p>
        </w:tc>
        <w:tc>
          <w:tcPr>
            <w:tcW w:w="0" w:type="dxa"/>
            <w:vAlign w:val="bottom"/>
          </w:tcPr>
          <w:p>
            <w:pPr>
              <w:spacing w:after="0"/>
              <w:rPr>
                <w:sz w:val="1"/>
                <w:szCs w:val="1"/>
                <w:color w:val="auto"/>
              </w:rPr>
            </w:pPr>
          </w:p>
        </w:tc>
      </w:tr>
      <w:tr>
        <w:trPr>
          <w:trHeight w:val="232"/>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January 1, 2026</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13.43</w:t>
            </w:r>
          </w:p>
        </w:tc>
        <w:tc>
          <w:tcPr>
            <w:tcW w:w="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Granted</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Exercised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13.43</w:t>
            </w:r>
          </w:p>
        </w:tc>
        <w:tc>
          <w:tcPr>
            <w:tcW w:w="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Forfeited</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Expired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Outstanding at September 30, 2026</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Vested and expected to vest at September 30, 2026</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Exercisable at September 30, 2026</w:t>
            </w: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Certain information regarding options exercised during the periods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Pr>
          <w:p>
            <w:pPr>
              <w:spacing w:after="0"/>
              <w:rPr>
                <w:sz w:val="17"/>
                <w:szCs w:val="17"/>
                <w:color w:val="auto"/>
              </w:rPr>
            </w:pPr>
          </w:p>
        </w:tc>
        <w:tc>
          <w:tcPr>
            <w:tcW w:w="2660" w:type="dxa"/>
            <w:vAlign w:val="bottom"/>
            <w:gridSpan w:val="4"/>
          </w:tcPr>
          <w:p>
            <w:pPr>
              <w:jc w:val="center"/>
              <w:ind w:left="314"/>
              <w:spacing w:after="0"/>
              <w:rPr>
                <w:sz w:val="20"/>
                <w:szCs w:val="20"/>
                <w:color w:val="auto"/>
              </w:rPr>
            </w:pPr>
            <w:r>
              <w:rPr>
                <w:rFonts w:ascii="Times New Roman" w:cs="Times New Roman" w:eastAsia="Times New Roman" w:hAnsi="Times New Roman"/>
                <w:sz w:val="17"/>
                <w:szCs w:val="17"/>
                <w:color w:val="auto"/>
              </w:rPr>
              <w:t>Three Months Ended</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60" w:type="dxa"/>
            <w:vAlign w:val="bottom"/>
            <w:gridSpan w:val="4"/>
          </w:tcPr>
          <w:p>
            <w:pPr>
              <w:jc w:val="right"/>
              <w:ind w:right="354"/>
              <w:spacing w:after="0"/>
              <w:rPr>
                <w:sz w:val="20"/>
                <w:szCs w:val="20"/>
                <w:color w:val="auto"/>
              </w:rPr>
            </w:pPr>
            <w:r>
              <w:rPr>
                <w:rFonts w:ascii="Times New Roman" w:cs="Times New Roman" w:eastAsia="Times New Roman" w:hAnsi="Times New Roman"/>
                <w:sz w:val="17"/>
                <w:szCs w:val="17"/>
                <w:color w:val="auto"/>
              </w:rPr>
              <w:t>Nine Months Ended</w:t>
            </w:r>
          </w:p>
        </w:tc>
        <w:tc>
          <w:tcPr>
            <w:tcW w:w="400" w:type="dxa"/>
            <w:vAlign w:val="bottom"/>
          </w:tcPr>
          <w:p>
            <w:pPr>
              <w:spacing w:after="0"/>
              <w:rPr>
                <w:sz w:val="17"/>
                <w:szCs w:val="17"/>
                <w:color w:val="auto"/>
              </w:rPr>
            </w:pPr>
          </w:p>
        </w:tc>
      </w:tr>
      <w:tr>
        <w:trPr>
          <w:trHeight w:val="223"/>
        </w:trPr>
        <w:tc>
          <w:tcPr>
            <w:tcW w:w="504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center"/>
              <w:ind w:right="494"/>
              <w:spacing w:after="0"/>
              <w:rPr>
                <w:sz w:val="20"/>
                <w:szCs w:val="20"/>
                <w:color w:val="auto"/>
              </w:rPr>
            </w:pPr>
            <w:r>
              <w:rPr>
                <w:rFonts w:ascii="Times New Roman" w:cs="Times New Roman" w:eastAsia="Times New Roman" w:hAnsi="Times New Roman"/>
                <w:sz w:val="17"/>
                <w:szCs w:val="17"/>
                <w:color w:val="auto"/>
                <w:w w:val="99"/>
              </w:rPr>
              <w:t>September 30,</w:t>
            </w:r>
          </w:p>
        </w:tc>
        <w:tc>
          <w:tcPr>
            <w:tcW w:w="4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534"/>
              <w:spacing w:after="0"/>
              <w:rPr>
                <w:sz w:val="20"/>
                <w:szCs w:val="20"/>
                <w:color w:val="auto"/>
              </w:rPr>
            </w:pPr>
            <w:r>
              <w:rPr>
                <w:rFonts w:ascii="Times New Roman" w:cs="Times New Roman" w:eastAsia="Times New Roman" w:hAnsi="Times New Roman"/>
                <w:sz w:val="17"/>
                <w:szCs w:val="17"/>
                <w:color w:val="auto"/>
              </w:rPr>
              <w:t>September 30,</w:t>
            </w:r>
          </w:p>
        </w:tc>
        <w:tc>
          <w:tcPr>
            <w:tcW w:w="400" w:type="dxa"/>
            <w:vAlign w:val="bottom"/>
            <w:tcBorders>
              <w:bottom w:val="single" w:sz="8" w:color="auto"/>
            </w:tcBorders>
          </w:tcPr>
          <w:p>
            <w:pPr>
              <w:spacing w:after="0"/>
              <w:rPr>
                <w:sz w:val="19"/>
                <w:szCs w:val="19"/>
                <w:color w:val="auto"/>
              </w:rPr>
            </w:pPr>
          </w:p>
        </w:tc>
      </w:tr>
      <w:tr>
        <w:trPr>
          <w:trHeight w:val="225"/>
        </w:trPr>
        <w:tc>
          <w:tcPr>
            <w:tcW w:w="504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2026</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2025</w:t>
            </w:r>
          </w:p>
        </w:tc>
        <w:tc>
          <w:tcPr>
            <w:tcW w:w="4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2026</w:t>
            </w: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2025</w:t>
            </w:r>
          </w:p>
        </w:tc>
        <w:tc>
          <w:tcPr>
            <w:tcW w:w="400" w:type="dxa"/>
            <w:vAlign w:val="bottom"/>
            <w:tcBorders>
              <w:bottom w:val="single" w:sz="8" w:color="auto"/>
            </w:tcBorders>
          </w:tcPr>
          <w:p>
            <w:pPr>
              <w:spacing w:after="0"/>
              <w:rPr>
                <w:sz w:val="19"/>
                <w:szCs w:val="19"/>
                <w:color w:val="auto"/>
              </w:rPr>
            </w:pPr>
          </w:p>
        </w:tc>
      </w:tr>
      <w:tr>
        <w:trPr>
          <w:trHeight w:val="225"/>
        </w:trPr>
        <w:tc>
          <w:tcPr>
            <w:tcW w:w="5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80" w:type="dxa"/>
            <w:vAlign w:val="bottom"/>
            <w:gridSpan w:val="3"/>
          </w:tcPr>
          <w:p>
            <w:pPr>
              <w:jc w:val="center"/>
              <w:ind w:right="494"/>
              <w:spacing w:after="0"/>
              <w:rPr>
                <w:sz w:val="20"/>
                <w:szCs w:val="20"/>
                <w:color w:val="auto"/>
              </w:rPr>
            </w:pPr>
            <w:r>
              <w:rPr>
                <w:rFonts w:ascii="Times New Roman" w:cs="Times New Roman" w:eastAsia="Times New Roman" w:hAnsi="Times New Roman"/>
                <w:sz w:val="17"/>
                <w:szCs w:val="17"/>
                <w:color w:val="auto"/>
              </w:rPr>
              <w:t>(In thousands)</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80" w:type="dxa"/>
            <w:vAlign w:val="bottom"/>
            <w:gridSpan w:val="3"/>
          </w:tcPr>
          <w:p>
            <w:pPr>
              <w:jc w:val="right"/>
              <w:ind w:right="534"/>
              <w:spacing w:after="0"/>
              <w:rPr>
                <w:sz w:val="20"/>
                <w:szCs w:val="20"/>
                <w:color w:val="auto"/>
              </w:rPr>
            </w:pPr>
            <w:r>
              <w:rPr>
                <w:rFonts w:ascii="Times New Roman" w:cs="Times New Roman" w:eastAsia="Times New Roman" w:hAnsi="Times New Roman"/>
                <w:sz w:val="17"/>
                <w:szCs w:val="17"/>
                <w:color w:val="auto"/>
              </w:rPr>
              <w:t>(In thousands)</w:t>
            </w:r>
          </w:p>
        </w:tc>
        <w:tc>
          <w:tcPr>
            <w:tcW w:w="400" w:type="dxa"/>
            <w:vAlign w:val="bottom"/>
          </w:tcPr>
          <w:p>
            <w:pPr>
              <w:spacing w:after="0"/>
              <w:rPr>
                <w:sz w:val="19"/>
                <w:szCs w:val="19"/>
                <w:color w:val="auto"/>
              </w:rPr>
            </w:pPr>
          </w:p>
        </w:tc>
      </w:tr>
      <w:tr>
        <w:trPr>
          <w:trHeight w:val="252"/>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Intrinsic value</w:t>
            </w:r>
          </w:p>
        </w:tc>
        <w:tc>
          <w:tcPr>
            <w:tcW w:w="980" w:type="dxa"/>
            <w:vAlign w:val="bottom"/>
            <w:tcBorders>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r>
      <w:tr>
        <w:trPr>
          <w:trHeight w:val="20"/>
        </w:trPr>
        <w:tc>
          <w:tcPr>
            <w:tcW w:w="50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204"/>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proceeds received</w:t>
            </w:r>
          </w:p>
        </w:tc>
        <w:tc>
          <w:tcPr>
            <w:tcW w:w="980" w:type="dxa"/>
            <w:vAlign w:val="bottom"/>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89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774"/>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894"/>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benefit realized</w:t>
            </w:r>
          </w:p>
        </w:tc>
        <w:tc>
          <w:tcPr>
            <w:tcW w:w="98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color w:val="auto"/>
        </w:rPr>
        <w:t>9.</w:t>
      </w:r>
      <w:r>
        <w:rPr>
          <w:sz w:val="20"/>
          <w:szCs w:val="20"/>
          <w:color w:val="auto"/>
        </w:rPr>
        <w:tab/>
      </w:r>
      <w:r>
        <w:rPr>
          <w:rFonts w:ascii="Times New Roman" w:cs="Times New Roman" w:eastAsia="Times New Roman" w:hAnsi="Times New Roman"/>
          <w:sz w:val="17"/>
          <w:szCs w:val="17"/>
          <w:u w:val="single" w:color="auto"/>
          <w:color w:val="auto"/>
        </w:rPr>
        <w:t>Income Tax</w:t>
      </w:r>
    </w:p>
    <w:p>
      <w:pPr>
        <w:spacing w:after="0" w:line="1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Income tax expense was $3.6 million and $3.7 million during the three month periods ended September 30, 2026 and 2025, respectively and $10.9 million and $11.0 million during the nine months ended September 30, 2026 and 2025, respectively. Our actual federal income tax expense is different than the amount computed by applying our statutory income tax rate to our income before income tax primarily due to tax-exempt interest income and tax-exempt income from the increase in the cash surrender value on life insurance. In addition, income tax expense for the three month periods ending September 30, 2026 and 2025 included reductions of zero and $0.01 million, respectively, and income tax expense for the nine months ended September 30, 2026 and 2025 included reductions of $0.31 million and $0.31 million, respectively, related to the impact of the excess value of stock awards that vested and stock options that were exercised as compared to the initial fair values that were expensed.</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assess whether a valuation allowance should be established against our deferred tax assets based on the consideration of all available evidence using a “more likely than not” standard. The ultimate realization of this asset is primarily based on generating future income. We concluded at September 30, 2026, December 31, 2025 and September 30, 2025, that the realization of substantially all of our deferred tax assets continues to be more likely than not.</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At both September 30, 2026 and December 31, 2025, we had approximately $0.2 million, respectively, of gross unrecognized tax benefits. We do not expect the total amount of unrecognized tax benefits to significantly increase or decrease during the remainder of 2026.</w:t>
      </w:r>
    </w:p>
    <w:p>
      <w:pPr>
        <w:spacing w:after="0" w:line="125" w:lineRule="exact"/>
        <w:rPr>
          <w:sz w:val="20"/>
          <w:szCs w:val="20"/>
          <w:color w:val="auto"/>
        </w:rPr>
      </w:pPr>
    </w:p>
    <w:p>
      <w:pPr>
        <w:ind w:left="380" w:hanging="377"/>
        <w:spacing w:after="0"/>
        <w:tabs>
          <w:tab w:leader="none" w:pos="3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Regulatory Matters</w:t>
      </w:r>
    </w:p>
    <w:p>
      <w:pPr>
        <w:spacing w:after="0" w:line="17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Capital guidelines adopted by federal and state regulatory agencies and restrictions imposed by law limit the amount of cash dividends our Banks can pay to us. Under these guidelines, the amount of dividends that may be paid in any calendar</w:t>
      </w:r>
    </w:p>
    <w:p>
      <w:pPr>
        <w:spacing w:after="0" w:line="200" w:lineRule="exact"/>
        <w:rPr>
          <w:sz w:val="20"/>
          <w:szCs w:val="20"/>
          <w:color w:val="auto"/>
        </w:rPr>
      </w:pP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year is limited to the Banks' current year net profits, combined with the retained net profits of the preceding two years. Further, the Banks cannot pay a dividend at any time that they have negative undivided profits. As of September 30, 2026, the Banks had positive undivided profits of $250.7 million. It is not our intent to have dividends paid in amounts that would reduce the capital of our Banks to levels below those which we consider prudent or that would not be in accordance with guidelines of regulatory authorities.</w:t>
      </w:r>
    </w:p>
    <w:p>
      <w:pPr>
        <w:spacing w:after="0" w:line="14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are also subject to various regulatory capital requirements. The prompt corrective action regulations establish quantitative measures to ensure capital adequacy and require minimum amounts and ratios of total, Tier 1, and common equity Tier 1 capital to risk-weighted assets and Tier 1 capital to average assets. Failure to meet minimum capital requirements can result in certain mandatory, and possibly discretionary, actions by regulators that could have a material effect on our interim condensed consolidated financial statements. In addition, capital adequacy rules include a common equity Tier 1 capital conservation buffer of 2.5% of risk-weighted assets that applies to all supervised financial institutions. To avoid limits on capital distributions and certain discretionary bonus payments we must meet the minimum ratio for adequately capitalized institutions plus the buffer. Under capital adequacy guidelines, we must meet specific capital requirements that involve quantitative measures as well as qualitative judgments by the regulators. The most recent regulatory filings as of September 30, 2026 and December 31, 2025, categorized our Banks as well capitalized and exceeding the minimum ratio for adequately capitalized institutions plus the capital conservation buffer. Management is not aware of any conditions or events that would have changed the most recent Federal Deposit Insurance Corporation (“FDIC”) categorization.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actual capital amounts and ratios follow (1):</w:t>
      </w:r>
    </w:p>
    <w:p>
      <w:pPr>
        <w:spacing w:after="0" w:line="200" w:lineRule="exact"/>
        <w:rPr>
          <w:sz w:val="20"/>
          <w:szCs w:val="20"/>
          <w:color w:val="auto"/>
        </w:rPr>
      </w:pPr>
    </w:p>
    <w:p>
      <w:pPr>
        <w:spacing w:after="0" w:line="37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jc w:val="center"/>
              <w:ind w:left="554"/>
              <w:spacing w:after="0"/>
              <w:rPr>
                <w:sz w:val="20"/>
                <w:szCs w:val="20"/>
                <w:color w:val="auto"/>
              </w:rPr>
            </w:pPr>
            <w:r>
              <w:rPr>
                <w:rFonts w:ascii="Times New Roman" w:cs="Times New Roman" w:eastAsia="Times New Roman" w:hAnsi="Times New Roman"/>
                <w:sz w:val="17"/>
                <w:szCs w:val="17"/>
                <w:color w:val="auto"/>
                <w:w w:val="99"/>
              </w:rPr>
              <w:t>Minimum for</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jc w:val="center"/>
              <w:ind w:left="594"/>
              <w:spacing w:after="0"/>
              <w:rPr>
                <w:sz w:val="20"/>
                <w:szCs w:val="20"/>
                <w:color w:val="auto"/>
              </w:rPr>
            </w:pPr>
            <w:r>
              <w:rPr>
                <w:rFonts w:ascii="Times New Roman" w:cs="Times New Roman" w:eastAsia="Times New Roman" w:hAnsi="Times New Roman"/>
                <w:sz w:val="17"/>
                <w:szCs w:val="17"/>
                <w:color w:val="auto"/>
              </w:rPr>
              <w:t>Minimum for</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vMerge w:val="restart"/>
          </w:tcPr>
          <w:p>
            <w:pPr>
              <w:jc w:val="right"/>
              <w:ind w:right="34"/>
              <w:spacing w:after="0"/>
              <w:rPr>
                <w:sz w:val="20"/>
                <w:szCs w:val="20"/>
                <w:color w:val="auto"/>
              </w:rPr>
            </w:pPr>
            <w:r>
              <w:rPr>
                <w:rFonts w:ascii="Times New Roman" w:cs="Times New Roman" w:eastAsia="Times New Roman" w:hAnsi="Times New Roman"/>
                <w:sz w:val="17"/>
                <w:szCs w:val="17"/>
                <w:color w:val="auto"/>
              </w:rPr>
              <w:t>Actual</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60" w:type="dxa"/>
            <w:vAlign w:val="bottom"/>
            <w:gridSpan w:val="3"/>
          </w:tcPr>
          <w:p>
            <w:pPr>
              <w:jc w:val="center"/>
              <w:ind w:right="320"/>
              <w:spacing w:after="0" w:line="172" w:lineRule="exact"/>
              <w:rPr>
                <w:sz w:val="20"/>
                <w:szCs w:val="20"/>
                <w:color w:val="auto"/>
              </w:rPr>
            </w:pPr>
            <w:r>
              <w:rPr>
                <w:rFonts w:ascii="Times New Roman" w:cs="Times New Roman" w:eastAsia="Times New Roman" w:hAnsi="Times New Roman"/>
                <w:sz w:val="17"/>
                <w:szCs w:val="17"/>
                <w:color w:val="auto"/>
                <w:w w:val="99"/>
              </w:rPr>
              <w:t>Adequately Capitalized</w:t>
            </w:r>
          </w:p>
        </w:tc>
        <w:tc>
          <w:tcPr>
            <w:tcW w:w="220" w:type="dxa"/>
            <w:vAlign w:val="bottom"/>
          </w:tcPr>
          <w:p>
            <w:pPr>
              <w:spacing w:after="0"/>
              <w:rPr>
                <w:sz w:val="14"/>
                <w:szCs w:val="14"/>
                <w:color w:val="auto"/>
              </w:rPr>
            </w:pPr>
          </w:p>
        </w:tc>
        <w:tc>
          <w:tcPr>
            <w:tcW w:w="2500" w:type="dxa"/>
            <w:vAlign w:val="bottom"/>
            <w:gridSpan w:val="2"/>
          </w:tcPr>
          <w:p>
            <w:pPr>
              <w:jc w:val="center"/>
              <w:ind w:right="134"/>
              <w:spacing w:after="0" w:line="172" w:lineRule="exact"/>
              <w:rPr>
                <w:sz w:val="20"/>
                <w:szCs w:val="20"/>
                <w:color w:val="auto"/>
              </w:rPr>
            </w:pPr>
            <w:r>
              <w:rPr>
                <w:rFonts w:ascii="Times New Roman" w:cs="Times New Roman" w:eastAsia="Times New Roman" w:hAnsi="Times New Roman"/>
                <w:sz w:val="17"/>
                <w:szCs w:val="17"/>
                <w:color w:val="auto"/>
                <w:w w:val="99"/>
              </w:rPr>
              <w:t>Well-Capitalized</w:t>
            </w:r>
          </w:p>
        </w:tc>
        <w:tc>
          <w:tcPr>
            <w:tcW w:w="0" w:type="dxa"/>
            <w:vAlign w:val="bottom"/>
          </w:tcPr>
          <w:p>
            <w:pPr>
              <w:spacing w:after="0"/>
              <w:rPr>
                <w:sz w:val="1"/>
                <w:szCs w:val="1"/>
                <w:color w:val="auto"/>
              </w:rPr>
            </w:pPr>
          </w:p>
        </w:tc>
      </w:tr>
      <w:tr>
        <w:trPr>
          <w:trHeight w:val="219"/>
        </w:trPr>
        <w:tc>
          <w:tcPr>
            <w:tcW w:w="29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center"/>
              <w:ind w:left="554"/>
              <w:spacing w:after="0"/>
              <w:rPr>
                <w:sz w:val="20"/>
                <w:szCs w:val="20"/>
                <w:color w:val="auto"/>
              </w:rPr>
            </w:pPr>
            <w:r>
              <w:rPr>
                <w:rFonts w:ascii="Times New Roman" w:cs="Times New Roman" w:eastAsia="Times New Roman" w:hAnsi="Times New Roman"/>
                <w:sz w:val="17"/>
                <w:szCs w:val="17"/>
                <w:color w:val="auto"/>
                <w:w w:val="99"/>
              </w:rPr>
              <w:t>Institutions</w:t>
            </w:r>
          </w:p>
        </w:tc>
        <w:tc>
          <w:tcPr>
            <w:tcW w:w="8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ind w:left="594"/>
              <w:spacing w:after="0"/>
              <w:rPr>
                <w:sz w:val="20"/>
                <w:szCs w:val="20"/>
                <w:color w:val="auto"/>
              </w:rPr>
            </w:pPr>
            <w:r>
              <w:rPr>
                <w:rFonts w:ascii="Times New Roman" w:cs="Times New Roman" w:eastAsia="Times New Roman" w:hAnsi="Times New Roman"/>
                <w:sz w:val="17"/>
                <w:szCs w:val="17"/>
                <w:color w:val="auto"/>
              </w:rPr>
              <w:t>Institutions</w:t>
            </w: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9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7"/>
                <w:szCs w:val="17"/>
                <w:color w:val="auto"/>
              </w:rPr>
              <w:t>Amount</w:t>
            </w:r>
          </w:p>
        </w:tc>
        <w:tc>
          <w:tcPr>
            <w:tcW w:w="1320" w:type="dxa"/>
            <w:vAlign w:val="bottom"/>
            <w:tcBorders>
              <w:bottom w:val="single" w:sz="8" w:color="auto"/>
            </w:tcBorders>
            <w:gridSpan w:val="3"/>
          </w:tcPr>
          <w:p>
            <w:pPr>
              <w:jc w:val="right"/>
              <w:ind w:right="820"/>
              <w:spacing w:after="0"/>
              <w:rPr>
                <w:sz w:val="20"/>
                <w:szCs w:val="20"/>
                <w:color w:val="auto"/>
              </w:rPr>
            </w:pPr>
            <w:r>
              <w:rPr>
                <w:rFonts w:ascii="Times New Roman" w:cs="Times New Roman" w:eastAsia="Times New Roman" w:hAnsi="Times New Roman"/>
                <w:sz w:val="17"/>
                <w:szCs w:val="17"/>
                <w:color w:val="auto"/>
              </w:rPr>
              <w:t>Ratio</w:t>
            </w:r>
          </w:p>
        </w:tc>
        <w:tc>
          <w:tcPr>
            <w:tcW w:w="160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7"/>
                <w:szCs w:val="17"/>
                <w:color w:val="auto"/>
              </w:rPr>
              <w:t>Amount</w:t>
            </w:r>
          </w:p>
        </w:tc>
        <w:tc>
          <w:tcPr>
            <w:tcW w:w="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Ratio</w:t>
            </w: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7"/>
                <w:szCs w:val="17"/>
                <w:color w:val="auto"/>
              </w:rPr>
              <w:t>Amount</w:t>
            </w:r>
          </w:p>
        </w:tc>
        <w:tc>
          <w:tcPr>
            <w:tcW w:w="8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w w:val="97"/>
              </w:rPr>
              <w:t>Ratio</w:t>
            </w:r>
          </w:p>
        </w:tc>
        <w:tc>
          <w:tcPr>
            <w:tcW w:w="0" w:type="dxa"/>
            <w:vAlign w:val="bottom"/>
          </w:tcPr>
          <w:p>
            <w:pPr>
              <w:spacing w:after="0"/>
              <w:rPr>
                <w:sz w:val="1"/>
                <w:szCs w:val="1"/>
                <w:color w:val="auto"/>
              </w:rPr>
            </w:pPr>
          </w:p>
        </w:tc>
      </w:tr>
      <w:tr>
        <w:trPr>
          <w:trHeight w:val="225"/>
        </w:trPr>
        <w:tc>
          <w:tcPr>
            <w:tcW w:w="2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3"/>
          </w:tcPr>
          <w:p>
            <w:pPr>
              <w:jc w:val="center"/>
              <w:ind w:right="280"/>
              <w:spacing w:after="0"/>
              <w:rPr>
                <w:sz w:val="20"/>
                <w:szCs w:val="20"/>
                <w:color w:val="auto"/>
              </w:rPr>
            </w:pPr>
            <w:r>
              <w:rPr>
                <w:rFonts w:ascii="Times New Roman" w:cs="Times New Roman" w:eastAsia="Times New Roman" w:hAnsi="Times New Roman"/>
                <w:sz w:val="17"/>
                <w:szCs w:val="17"/>
                <w:color w:val="auto"/>
              </w:rPr>
              <w:t>(Dollars in thousands)</w:t>
            </w: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September 30, 2026</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capital to risk-weighted assets</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Consolidated</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rPr>
              <w:t>684,126</w:t>
            </w:r>
          </w:p>
        </w:tc>
        <w:tc>
          <w:tcPr>
            <w:tcW w:w="1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13.23 %  $</w:t>
            </w:r>
          </w:p>
        </w:tc>
        <w:tc>
          <w:tcPr>
            <w:tcW w:w="160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color w:val="auto"/>
              </w:rPr>
              <w:t>413,733</w:t>
            </w:r>
          </w:p>
        </w:tc>
        <w:tc>
          <w:tcPr>
            <w:tcW w:w="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8.00 %</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2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rPr>
              <w:t>NA</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32"/>
        </w:trPr>
        <w:tc>
          <w:tcPr>
            <w:tcW w:w="29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Independent Bank</w:t>
            </w:r>
          </w:p>
        </w:tc>
        <w:tc>
          <w:tcPr>
            <w:tcW w:w="220" w:type="dxa"/>
            <w:vAlign w:val="bottom"/>
          </w:tcPr>
          <w:p>
            <w:pPr>
              <w:spacing w:after="0"/>
              <w:rPr>
                <w:sz w:val="20"/>
                <w:szCs w:val="20"/>
                <w:color w:val="auto"/>
              </w:rPr>
            </w:pPr>
          </w:p>
        </w:tc>
        <w:tc>
          <w:tcPr>
            <w:tcW w:w="1480" w:type="dxa"/>
            <w:vAlign w:val="bottom"/>
          </w:tcPr>
          <w:p>
            <w:pPr>
              <w:jc w:val="right"/>
              <w:ind w:right="434"/>
              <w:spacing w:after="0"/>
              <w:rPr>
                <w:sz w:val="20"/>
                <w:szCs w:val="20"/>
                <w:color w:val="auto"/>
              </w:rPr>
            </w:pPr>
            <w:r>
              <w:rPr>
                <w:rFonts w:ascii="Times New Roman" w:cs="Times New Roman" w:eastAsia="Times New Roman" w:hAnsi="Times New Roman"/>
                <w:sz w:val="17"/>
                <w:szCs w:val="17"/>
                <w:color w:val="auto"/>
              </w:rPr>
              <w:t>601,142</w:t>
            </w:r>
          </w:p>
        </w:tc>
        <w:tc>
          <w:tcPr>
            <w:tcW w:w="10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12.43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rPr>
              <w:t>386,987</w:t>
            </w:r>
          </w:p>
        </w:tc>
        <w:tc>
          <w:tcPr>
            <w:tcW w:w="8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8.00</w:t>
            </w:r>
          </w:p>
        </w:tc>
        <w:tc>
          <w:tcPr>
            <w:tcW w:w="80" w:type="dxa"/>
            <w:vAlign w:val="bottom"/>
          </w:tcPr>
          <w:p>
            <w:pPr>
              <w:spacing w:after="0"/>
              <w:rPr>
                <w:sz w:val="20"/>
                <w:szCs w:val="20"/>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rPr>
              <w:t>483,734</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0" w:type="dxa"/>
            <w:vAlign w:val="bottom"/>
          </w:tcPr>
          <w:p>
            <w:pPr>
              <w:spacing w:after="0"/>
              <w:rPr>
                <w:sz w:val="1"/>
                <w:szCs w:val="1"/>
                <w:color w:val="auto"/>
              </w:rPr>
            </w:pPr>
          </w:p>
        </w:tc>
      </w:tr>
      <w:tr>
        <w:trPr>
          <w:trHeight w:val="232"/>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Highpoint Community Bank</w:t>
            </w: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rPr>
              <w:t>47,047</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13.39 %</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color w:val="auto"/>
              </w:rPr>
              <w:t>28,109</w:t>
            </w:r>
          </w:p>
        </w:tc>
        <w:tc>
          <w:tcPr>
            <w:tcW w:w="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8.00 %</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2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color w:val="auto"/>
              </w:rPr>
              <w:t>35,136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0" w:type="dxa"/>
            <w:vAlign w:val="bottom"/>
          </w:tcPr>
          <w:p>
            <w:pPr>
              <w:spacing w:after="0"/>
              <w:rPr>
                <w:sz w:val="1"/>
                <w:szCs w:val="1"/>
                <w:color w:val="auto"/>
              </w:rPr>
            </w:pPr>
          </w:p>
        </w:tc>
      </w:tr>
      <w:tr>
        <w:trPr>
          <w:trHeight w:val="155"/>
        </w:trPr>
        <w:tc>
          <w:tcPr>
            <w:tcW w:w="2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Tier 1 capital to risk-weighted assets</w:t>
            </w: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9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Consolidated</w:t>
            </w:r>
          </w:p>
        </w:tc>
        <w:tc>
          <w:tcPr>
            <w:tcW w:w="220" w:type="dxa"/>
            <w:vAlign w:val="bottom"/>
          </w:tcPr>
          <w:p>
            <w:pPr>
              <w:spacing w:after="0"/>
              <w:rPr>
                <w:sz w:val="20"/>
                <w:szCs w:val="20"/>
                <w:color w:val="auto"/>
              </w:rPr>
            </w:pPr>
          </w:p>
        </w:tc>
        <w:tc>
          <w:tcPr>
            <w:tcW w:w="1480" w:type="dxa"/>
            <w:vAlign w:val="bottom"/>
          </w:tcPr>
          <w:p>
            <w:pPr>
              <w:jc w:val="right"/>
              <w:ind w:right="434"/>
              <w:spacing w:after="0"/>
              <w:rPr>
                <w:sz w:val="20"/>
                <w:szCs w:val="20"/>
                <w:color w:val="auto"/>
              </w:rPr>
            </w:pPr>
            <w:r>
              <w:rPr>
                <w:rFonts w:ascii="Times New Roman" w:cs="Times New Roman" w:eastAsia="Times New Roman" w:hAnsi="Times New Roman"/>
                <w:sz w:val="17"/>
                <w:szCs w:val="17"/>
                <w:color w:val="auto"/>
              </w:rPr>
              <w:t>619,280</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11.97 %</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rPr>
              <w:t>310,300</w:t>
            </w:r>
          </w:p>
        </w:tc>
        <w:tc>
          <w:tcPr>
            <w:tcW w:w="8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6.00 %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ind w:right="514"/>
              <w:spacing w:after="0"/>
              <w:rPr>
                <w:sz w:val="20"/>
                <w:szCs w:val="20"/>
                <w:color w:val="auto"/>
              </w:rPr>
            </w:pPr>
            <w:r>
              <w:rPr>
                <w:rFonts w:ascii="Times New Roman" w:cs="Times New Roman" w:eastAsia="Times New Roman" w:hAnsi="Times New Roman"/>
                <w:sz w:val="17"/>
                <w:szCs w:val="17"/>
                <w:color w:val="auto"/>
              </w:rPr>
              <w:t>NA</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32"/>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Independent Bank</w:t>
            </w: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rPr>
              <w:t>540,488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11.17 %</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color w:val="auto"/>
              </w:rPr>
              <w:t>290,241</w:t>
            </w:r>
          </w:p>
        </w:tc>
        <w:tc>
          <w:tcPr>
            <w:tcW w:w="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6.00 %</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2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color w:val="auto"/>
              </w:rPr>
              <w:t>386,987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8.00 %</w:t>
            </w:r>
          </w:p>
        </w:tc>
        <w:tc>
          <w:tcPr>
            <w:tcW w:w="0" w:type="dxa"/>
            <w:vAlign w:val="bottom"/>
          </w:tcPr>
          <w:p>
            <w:pPr>
              <w:spacing w:after="0"/>
              <w:rPr>
                <w:sz w:val="1"/>
                <w:szCs w:val="1"/>
                <w:color w:val="auto"/>
              </w:rPr>
            </w:pPr>
          </w:p>
        </w:tc>
      </w:tr>
      <w:tr>
        <w:trPr>
          <w:trHeight w:val="232"/>
        </w:trPr>
        <w:tc>
          <w:tcPr>
            <w:tcW w:w="29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Highpoint Community Bank</w:t>
            </w:r>
          </w:p>
        </w:tc>
        <w:tc>
          <w:tcPr>
            <w:tcW w:w="220" w:type="dxa"/>
            <w:vAlign w:val="bottom"/>
          </w:tcPr>
          <w:p>
            <w:pPr>
              <w:spacing w:after="0"/>
              <w:rPr>
                <w:sz w:val="20"/>
                <w:szCs w:val="20"/>
                <w:color w:val="auto"/>
              </w:rPr>
            </w:pPr>
          </w:p>
        </w:tc>
        <w:tc>
          <w:tcPr>
            <w:tcW w:w="1480" w:type="dxa"/>
            <w:vAlign w:val="bottom"/>
          </w:tcPr>
          <w:p>
            <w:pPr>
              <w:jc w:val="right"/>
              <w:ind w:right="434"/>
              <w:spacing w:after="0"/>
              <w:rPr>
                <w:sz w:val="20"/>
                <w:szCs w:val="20"/>
                <w:color w:val="auto"/>
              </w:rPr>
            </w:pPr>
            <w:r>
              <w:rPr>
                <w:rFonts w:ascii="Times New Roman" w:cs="Times New Roman" w:eastAsia="Times New Roman" w:hAnsi="Times New Roman"/>
                <w:sz w:val="17"/>
                <w:szCs w:val="17"/>
                <w:color w:val="auto"/>
              </w:rPr>
              <w:t>42,648</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12.14 %</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rPr>
              <w:t>21,081</w:t>
            </w:r>
          </w:p>
        </w:tc>
        <w:tc>
          <w:tcPr>
            <w:tcW w:w="8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6.00 %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rPr>
              <w:t>28,109</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8.00 %</w:t>
            </w:r>
          </w:p>
        </w:tc>
        <w:tc>
          <w:tcPr>
            <w:tcW w:w="0" w:type="dxa"/>
            <w:vAlign w:val="bottom"/>
          </w:tcPr>
          <w:p>
            <w:pPr>
              <w:spacing w:after="0"/>
              <w:rPr>
                <w:sz w:val="1"/>
                <w:szCs w:val="1"/>
                <w:color w:val="auto"/>
              </w:rPr>
            </w:pPr>
          </w:p>
        </w:tc>
      </w:tr>
      <w:tr>
        <w:trPr>
          <w:trHeight w:val="155"/>
        </w:trPr>
        <w:tc>
          <w:tcPr>
            <w:tcW w:w="29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940" w:type="dxa"/>
            <w:vAlign w:val="bottom"/>
          </w:tcPr>
          <w:p>
            <w:pPr>
              <w:ind w:left="20"/>
              <w:spacing w:after="0" w:line="190" w:lineRule="exact"/>
              <w:rPr>
                <w:sz w:val="20"/>
                <w:szCs w:val="20"/>
                <w:color w:val="auto"/>
              </w:rPr>
            </w:pPr>
            <w:r>
              <w:rPr>
                <w:rFonts w:ascii="Times New Roman" w:cs="Times New Roman" w:eastAsia="Times New Roman" w:hAnsi="Times New Roman"/>
                <w:sz w:val="17"/>
                <w:szCs w:val="17"/>
                <w:color w:val="auto"/>
              </w:rPr>
              <w:t>Common equity tier 1 capital to risk-</w:t>
            </w: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9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weighted assets</w:t>
            </w: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Consolidated</w:t>
            </w: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rPr>
              <w:t>580,589</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11.23 %</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color w:val="auto"/>
              </w:rPr>
              <w:t>232,725</w:t>
            </w:r>
          </w:p>
        </w:tc>
        <w:tc>
          <w:tcPr>
            <w:tcW w:w="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4.50 %</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2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rPr>
              <w:t>NA</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32"/>
        </w:trPr>
        <w:tc>
          <w:tcPr>
            <w:tcW w:w="29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Independent Bank</w:t>
            </w:r>
          </w:p>
        </w:tc>
        <w:tc>
          <w:tcPr>
            <w:tcW w:w="220" w:type="dxa"/>
            <w:vAlign w:val="bottom"/>
          </w:tcPr>
          <w:p>
            <w:pPr>
              <w:spacing w:after="0"/>
              <w:rPr>
                <w:sz w:val="20"/>
                <w:szCs w:val="20"/>
                <w:color w:val="auto"/>
              </w:rPr>
            </w:pPr>
          </w:p>
        </w:tc>
        <w:tc>
          <w:tcPr>
            <w:tcW w:w="1480" w:type="dxa"/>
            <w:vAlign w:val="bottom"/>
          </w:tcPr>
          <w:p>
            <w:pPr>
              <w:jc w:val="right"/>
              <w:ind w:right="434"/>
              <w:spacing w:after="0"/>
              <w:rPr>
                <w:sz w:val="20"/>
                <w:szCs w:val="20"/>
                <w:color w:val="auto"/>
              </w:rPr>
            </w:pPr>
            <w:r>
              <w:rPr>
                <w:rFonts w:ascii="Times New Roman" w:cs="Times New Roman" w:eastAsia="Times New Roman" w:hAnsi="Times New Roman"/>
                <w:sz w:val="17"/>
                <w:szCs w:val="17"/>
                <w:color w:val="auto"/>
              </w:rPr>
              <w:t>540,488</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11.17 %</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rPr>
              <w:t>217,680</w:t>
            </w:r>
          </w:p>
        </w:tc>
        <w:tc>
          <w:tcPr>
            <w:tcW w:w="8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4.50 %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rPr>
              <w:t>314,427</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6.50 %</w:t>
            </w:r>
          </w:p>
        </w:tc>
        <w:tc>
          <w:tcPr>
            <w:tcW w:w="0" w:type="dxa"/>
            <w:vAlign w:val="bottom"/>
          </w:tcPr>
          <w:p>
            <w:pPr>
              <w:spacing w:after="0"/>
              <w:rPr>
                <w:sz w:val="1"/>
                <w:szCs w:val="1"/>
                <w:color w:val="auto"/>
              </w:rPr>
            </w:pPr>
          </w:p>
        </w:tc>
      </w:tr>
      <w:tr>
        <w:trPr>
          <w:trHeight w:val="232"/>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Highpoint Community Bank</w:t>
            </w: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rPr>
              <w:t>42,648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12.14 %</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color w:val="auto"/>
              </w:rPr>
              <w:t>15,811</w:t>
            </w:r>
          </w:p>
        </w:tc>
        <w:tc>
          <w:tcPr>
            <w:tcW w:w="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4.50 %</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2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color w:val="auto"/>
              </w:rPr>
              <w:t>22,838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6.50 %</w:t>
            </w:r>
          </w:p>
        </w:tc>
        <w:tc>
          <w:tcPr>
            <w:tcW w:w="0" w:type="dxa"/>
            <w:vAlign w:val="bottom"/>
          </w:tcPr>
          <w:p>
            <w:pPr>
              <w:spacing w:after="0"/>
              <w:rPr>
                <w:sz w:val="1"/>
                <w:szCs w:val="1"/>
                <w:color w:val="auto"/>
              </w:rPr>
            </w:pPr>
          </w:p>
        </w:tc>
      </w:tr>
      <w:tr>
        <w:trPr>
          <w:trHeight w:val="155"/>
        </w:trPr>
        <w:tc>
          <w:tcPr>
            <w:tcW w:w="2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Tier 1 capital to average assets</w:t>
            </w: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9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Consolidated</w:t>
            </w:r>
          </w:p>
        </w:tc>
        <w:tc>
          <w:tcPr>
            <w:tcW w:w="220" w:type="dxa"/>
            <w:vAlign w:val="bottom"/>
          </w:tcPr>
          <w:p>
            <w:pPr>
              <w:spacing w:after="0"/>
              <w:rPr>
                <w:sz w:val="20"/>
                <w:szCs w:val="20"/>
                <w:color w:val="auto"/>
              </w:rPr>
            </w:pPr>
          </w:p>
        </w:tc>
        <w:tc>
          <w:tcPr>
            <w:tcW w:w="1480" w:type="dxa"/>
            <w:vAlign w:val="bottom"/>
          </w:tcPr>
          <w:p>
            <w:pPr>
              <w:jc w:val="right"/>
              <w:ind w:right="434"/>
              <w:spacing w:after="0"/>
              <w:rPr>
                <w:sz w:val="20"/>
                <w:szCs w:val="20"/>
                <w:color w:val="auto"/>
              </w:rPr>
            </w:pPr>
            <w:r>
              <w:rPr>
                <w:rFonts w:ascii="Times New Roman" w:cs="Times New Roman" w:eastAsia="Times New Roman" w:hAnsi="Times New Roman"/>
                <w:sz w:val="17"/>
                <w:szCs w:val="17"/>
                <w:color w:val="auto"/>
              </w:rPr>
              <w:t>619,280</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9.96 %</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rPr>
              <w:t>248,812</w:t>
            </w:r>
          </w:p>
        </w:tc>
        <w:tc>
          <w:tcPr>
            <w:tcW w:w="8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4.00 %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ind w:right="514"/>
              <w:spacing w:after="0"/>
              <w:rPr>
                <w:sz w:val="20"/>
                <w:szCs w:val="20"/>
                <w:color w:val="auto"/>
              </w:rPr>
            </w:pPr>
            <w:r>
              <w:rPr>
                <w:rFonts w:ascii="Times New Roman" w:cs="Times New Roman" w:eastAsia="Times New Roman" w:hAnsi="Times New Roman"/>
                <w:sz w:val="17"/>
                <w:szCs w:val="17"/>
                <w:color w:val="auto"/>
              </w:rPr>
              <w:t>NA</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32"/>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Independent Bank</w:t>
            </w: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rPr>
              <w:t>540,488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9.46 %</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color w:val="auto"/>
              </w:rPr>
              <w:t>228,467</w:t>
            </w:r>
          </w:p>
        </w:tc>
        <w:tc>
          <w:tcPr>
            <w:tcW w:w="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4.00 %</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2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color w:val="auto"/>
              </w:rPr>
              <w:t>285,583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5.00 %</w:t>
            </w:r>
          </w:p>
        </w:tc>
        <w:tc>
          <w:tcPr>
            <w:tcW w:w="0" w:type="dxa"/>
            <w:vAlign w:val="bottom"/>
          </w:tcPr>
          <w:p>
            <w:pPr>
              <w:spacing w:after="0"/>
              <w:rPr>
                <w:sz w:val="1"/>
                <w:szCs w:val="1"/>
                <w:color w:val="auto"/>
              </w:rPr>
            </w:pPr>
          </w:p>
        </w:tc>
      </w:tr>
      <w:tr>
        <w:trPr>
          <w:trHeight w:val="232"/>
        </w:trPr>
        <w:tc>
          <w:tcPr>
            <w:tcW w:w="29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Highpoint Community Bank</w:t>
            </w:r>
          </w:p>
        </w:tc>
        <w:tc>
          <w:tcPr>
            <w:tcW w:w="220" w:type="dxa"/>
            <w:vAlign w:val="bottom"/>
          </w:tcPr>
          <w:p>
            <w:pPr>
              <w:spacing w:after="0"/>
              <w:rPr>
                <w:sz w:val="20"/>
                <w:szCs w:val="20"/>
                <w:color w:val="auto"/>
              </w:rPr>
            </w:pPr>
          </w:p>
        </w:tc>
        <w:tc>
          <w:tcPr>
            <w:tcW w:w="1480" w:type="dxa"/>
            <w:vAlign w:val="bottom"/>
          </w:tcPr>
          <w:p>
            <w:pPr>
              <w:jc w:val="right"/>
              <w:ind w:right="434"/>
              <w:spacing w:after="0"/>
              <w:rPr>
                <w:sz w:val="20"/>
                <w:szCs w:val="20"/>
                <w:color w:val="auto"/>
              </w:rPr>
            </w:pPr>
            <w:r>
              <w:rPr>
                <w:rFonts w:ascii="Times New Roman" w:cs="Times New Roman" w:eastAsia="Times New Roman" w:hAnsi="Times New Roman"/>
                <w:sz w:val="17"/>
                <w:szCs w:val="17"/>
                <w:color w:val="auto"/>
              </w:rPr>
              <w:t>42,648</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7.23 %</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rPr>
              <w:t>23,592</w:t>
            </w:r>
          </w:p>
        </w:tc>
        <w:tc>
          <w:tcPr>
            <w:tcW w:w="8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4.00 %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rPr>
              <w:t>29,490</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5.00 %</w:t>
            </w:r>
          </w:p>
        </w:tc>
        <w:tc>
          <w:tcPr>
            <w:tcW w:w="0" w:type="dxa"/>
            <w:vAlign w:val="bottom"/>
          </w:tcPr>
          <w:p>
            <w:pPr>
              <w:spacing w:after="0"/>
              <w:rPr>
                <w:sz w:val="1"/>
                <w:szCs w:val="1"/>
                <w:color w:val="auto"/>
              </w:rPr>
            </w:pPr>
          </w:p>
        </w:tc>
      </w:tr>
      <w:tr>
        <w:trPr>
          <w:trHeight w:val="155"/>
        </w:trPr>
        <w:tc>
          <w:tcPr>
            <w:tcW w:w="29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2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December 31, 2025</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capital to risk-weighted assets</w:t>
            </w: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9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Consolidated</w:t>
            </w:r>
          </w:p>
        </w:tc>
        <w:tc>
          <w:tcPr>
            <w:tcW w:w="220" w:type="dxa"/>
            <w:vAlign w:val="bottom"/>
          </w:tcPr>
          <w:p>
            <w:pPr>
              <w:spacing w:after="0"/>
              <w:rPr>
                <w:sz w:val="20"/>
                <w:szCs w:val="20"/>
                <w:color w:val="auto"/>
              </w:rPr>
            </w:pPr>
          </w:p>
        </w:tc>
        <w:tc>
          <w:tcPr>
            <w:tcW w:w="1480" w:type="dxa"/>
            <w:vAlign w:val="bottom"/>
          </w:tcPr>
          <w:p>
            <w:pPr>
              <w:jc w:val="right"/>
              <w:ind w:right="434"/>
              <w:spacing w:after="0"/>
              <w:rPr>
                <w:sz w:val="20"/>
                <w:szCs w:val="20"/>
                <w:color w:val="auto"/>
              </w:rPr>
            </w:pPr>
            <w:r>
              <w:rPr>
                <w:rFonts w:ascii="Times New Roman" w:cs="Times New Roman" w:eastAsia="Times New Roman" w:hAnsi="Times New Roman"/>
                <w:sz w:val="17"/>
                <w:szCs w:val="17"/>
                <w:color w:val="auto"/>
              </w:rPr>
              <w:t>621,506</w:t>
            </w:r>
          </w:p>
        </w:tc>
        <w:tc>
          <w:tcPr>
            <w:tcW w:w="10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13.59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rPr>
              <w:t>365,958</w:t>
            </w:r>
          </w:p>
        </w:tc>
        <w:tc>
          <w:tcPr>
            <w:tcW w:w="8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8.00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ind w:right="514"/>
              <w:spacing w:after="0"/>
              <w:rPr>
                <w:sz w:val="20"/>
                <w:szCs w:val="20"/>
                <w:color w:val="auto"/>
              </w:rPr>
            </w:pPr>
            <w:r>
              <w:rPr>
                <w:rFonts w:ascii="Times New Roman" w:cs="Times New Roman" w:eastAsia="Times New Roman" w:hAnsi="Times New Roman"/>
                <w:sz w:val="17"/>
                <w:szCs w:val="17"/>
                <w:color w:val="auto"/>
              </w:rPr>
              <w:t>NA</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32"/>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Independent Bank</w:t>
            </w: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rPr>
              <w:t>570,750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12.49 %</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color w:val="auto"/>
              </w:rPr>
              <w:t>365,463</w:t>
            </w:r>
          </w:p>
        </w:tc>
        <w:tc>
          <w:tcPr>
            <w:tcW w:w="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8.00 %</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2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color w:val="auto"/>
              </w:rPr>
              <w:t>456,829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0" w:type="dxa"/>
            <w:vAlign w:val="bottom"/>
          </w:tcPr>
          <w:p>
            <w:pPr>
              <w:spacing w:after="0"/>
              <w:rPr>
                <w:sz w:val="1"/>
                <w:szCs w:val="1"/>
                <w:color w:val="auto"/>
              </w:rPr>
            </w:pPr>
          </w:p>
        </w:tc>
      </w:tr>
      <w:tr>
        <w:trPr>
          <w:trHeight w:val="155"/>
        </w:trPr>
        <w:tc>
          <w:tcPr>
            <w:tcW w:w="2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Tier 1 capital to risk-weighted assets</w:t>
            </w: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9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Consolidated</w:t>
            </w:r>
          </w:p>
        </w:tc>
        <w:tc>
          <w:tcPr>
            <w:tcW w:w="220" w:type="dxa"/>
            <w:vAlign w:val="bottom"/>
          </w:tcPr>
          <w:p>
            <w:pPr>
              <w:spacing w:after="0"/>
              <w:rPr>
                <w:sz w:val="20"/>
                <w:szCs w:val="20"/>
                <w:color w:val="auto"/>
              </w:rPr>
            </w:pPr>
          </w:p>
        </w:tc>
        <w:tc>
          <w:tcPr>
            <w:tcW w:w="1480" w:type="dxa"/>
            <w:vAlign w:val="bottom"/>
          </w:tcPr>
          <w:p>
            <w:pPr>
              <w:jc w:val="right"/>
              <w:ind w:right="434"/>
              <w:spacing w:after="0"/>
              <w:rPr>
                <w:sz w:val="20"/>
                <w:szCs w:val="20"/>
                <w:color w:val="auto"/>
              </w:rPr>
            </w:pPr>
            <w:r>
              <w:rPr>
                <w:rFonts w:ascii="Times New Roman" w:cs="Times New Roman" w:eastAsia="Times New Roman" w:hAnsi="Times New Roman"/>
                <w:sz w:val="17"/>
                <w:szCs w:val="17"/>
                <w:color w:val="auto"/>
              </w:rPr>
              <w:t>564,180</w:t>
            </w:r>
          </w:p>
        </w:tc>
        <w:tc>
          <w:tcPr>
            <w:tcW w:w="10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12.33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rPr>
              <w:t>274,468</w:t>
            </w:r>
          </w:p>
        </w:tc>
        <w:tc>
          <w:tcPr>
            <w:tcW w:w="8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6.00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ind w:right="514"/>
              <w:spacing w:after="0"/>
              <w:rPr>
                <w:sz w:val="20"/>
                <w:szCs w:val="20"/>
                <w:color w:val="auto"/>
              </w:rPr>
            </w:pPr>
            <w:r>
              <w:rPr>
                <w:rFonts w:ascii="Times New Roman" w:cs="Times New Roman" w:eastAsia="Times New Roman" w:hAnsi="Times New Roman"/>
                <w:sz w:val="17"/>
                <w:szCs w:val="17"/>
                <w:color w:val="auto"/>
              </w:rPr>
              <w:t>NA</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32"/>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Independent Bank</w:t>
            </w: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rPr>
              <w:t>513,500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11.24 %</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color w:val="auto"/>
              </w:rPr>
              <w:t>274,098</w:t>
            </w:r>
          </w:p>
        </w:tc>
        <w:tc>
          <w:tcPr>
            <w:tcW w:w="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6.00 %</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2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color w:val="auto"/>
              </w:rPr>
              <w:t>365,463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8.00 %</w:t>
            </w:r>
          </w:p>
        </w:tc>
        <w:tc>
          <w:tcPr>
            <w:tcW w:w="0" w:type="dxa"/>
            <w:vAlign w:val="bottom"/>
          </w:tcPr>
          <w:p>
            <w:pPr>
              <w:spacing w:after="0"/>
              <w:rPr>
                <w:sz w:val="1"/>
                <w:szCs w:val="1"/>
                <w:color w:val="auto"/>
              </w:rPr>
            </w:pPr>
          </w:p>
        </w:tc>
      </w:tr>
      <w:tr>
        <w:trPr>
          <w:trHeight w:val="155"/>
        </w:trPr>
        <w:tc>
          <w:tcPr>
            <w:tcW w:w="2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94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7"/>
                <w:szCs w:val="17"/>
                <w:color w:val="auto"/>
              </w:rPr>
              <w:t>Common equity tier 1 capital to risk-</w:t>
            </w: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weighted assets</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9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Consolidated</w:t>
            </w:r>
          </w:p>
        </w:tc>
        <w:tc>
          <w:tcPr>
            <w:tcW w:w="220" w:type="dxa"/>
            <w:vAlign w:val="bottom"/>
          </w:tcPr>
          <w:p>
            <w:pPr>
              <w:spacing w:after="0"/>
              <w:rPr>
                <w:sz w:val="20"/>
                <w:szCs w:val="20"/>
                <w:color w:val="auto"/>
              </w:rPr>
            </w:pPr>
          </w:p>
        </w:tc>
        <w:tc>
          <w:tcPr>
            <w:tcW w:w="1480" w:type="dxa"/>
            <w:vAlign w:val="bottom"/>
          </w:tcPr>
          <w:p>
            <w:pPr>
              <w:jc w:val="right"/>
              <w:ind w:right="434"/>
              <w:spacing w:after="0"/>
              <w:rPr>
                <w:sz w:val="20"/>
                <w:szCs w:val="20"/>
                <w:color w:val="auto"/>
              </w:rPr>
            </w:pPr>
            <w:r>
              <w:rPr>
                <w:rFonts w:ascii="Times New Roman" w:cs="Times New Roman" w:eastAsia="Times New Roman" w:hAnsi="Times New Roman"/>
                <w:sz w:val="17"/>
                <w:szCs w:val="17"/>
                <w:color w:val="auto"/>
              </w:rPr>
              <w:t>525,540</w:t>
            </w:r>
          </w:p>
        </w:tc>
        <w:tc>
          <w:tcPr>
            <w:tcW w:w="10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11.49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rPr>
              <w:t>205,851</w:t>
            </w:r>
          </w:p>
        </w:tc>
        <w:tc>
          <w:tcPr>
            <w:tcW w:w="8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4.50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ind w:right="514"/>
              <w:spacing w:after="0"/>
              <w:rPr>
                <w:sz w:val="20"/>
                <w:szCs w:val="20"/>
                <w:color w:val="auto"/>
              </w:rPr>
            </w:pPr>
            <w:r>
              <w:rPr>
                <w:rFonts w:ascii="Times New Roman" w:cs="Times New Roman" w:eastAsia="Times New Roman" w:hAnsi="Times New Roman"/>
                <w:sz w:val="17"/>
                <w:szCs w:val="17"/>
                <w:color w:val="auto"/>
              </w:rPr>
              <w:t>NA</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32"/>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Independent Bank</w:t>
            </w: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rPr>
              <w:t>513,500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11.24 %</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color w:val="auto"/>
              </w:rPr>
              <w:t>205,573</w:t>
            </w:r>
          </w:p>
        </w:tc>
        <w:tc>
          <w:tcPr>
            <w:tcW w:w="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4.50 %</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2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color w:val="auto"/>
              </w:rPr>
              <w:t>296,939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6.50 %</w:t>
            </w:r>
          </w:p>
        </w:tc>
        <w:tc>
          <w:tcPr>
            <w:tcW w:w="0" w:type="dxa"/>
            <w:vAlign w:val="bottom"/>
          </w:tcPr>
          <w:p>
            <w:pPr>
              <w:spacing w:after="0"/>
              <w:rPr>
                <w:sz w:val="1"/>
                <w:szCs w:val="1"/>
                <w:color w:val="auto"/>
              </w:rPr>
            </w:pPr>
          </w:p>
        </w:tc>
      </w:tr>
      <w:tr>
        <w:trPr>
          <w:trHeight w:val="155"/>
        </w:trPr>
        <w:tc>
          <w:tcPr>
            <w:tcW w:w="2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Tier 1 capital to average assets</w:t>
            </w: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9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Consolidated</w:t>
            </w:r>
          </w:p>
        </w:tc>
        <w:tc>
          <w:tcPr>
            <w:tcW w:w="220" w:type="dxa"/>
            <w:vAlign w:val="bottom"/>
          </w:tcPr>
          <w:p>
            <w:pPr>
              <w:spacing w:after="0"/>
              <w:rPr>
                <w:sz w:val="20"/>
                <w:szCs w:val="20"/>
                <w:color w:val="auto"/>
              </w:rPr>
            </w:pPr>
          </w:p>
        </w:tc>
        <w:tc>
          <w:tcPr>
            <w:tcW w:w="1480" w:type="dxa"/>
            <w:vAlign w:val="bottom"/>
          </w:tcPr>
          <w:p>
            <w:pPr>
              <w:jc w:val="right"/>
              <w:ind w:right="434"/>
              <w:spacing w:after="0"/>
              <w:rPr>
                <w:sz w:val="20"/>
                <w:szCs w:val="20"/>
                <w:color w:val="auto"/>
              </w:rPr>
            </w:pPr>
            <w:r>
              <w:rPr>
                <w:rFonts w:ascii="Times New Roman" w:cs="Times New Roman" w:eastAsia="Times New Roman" w:hAnsi="Times New Roman"/>
                <w:sz w:val="17"/>
                <w:szCs w:val="17"/>
                <w:color w:val="auto"/>
              </w:rPr>
              <w:t>564,180</w:t>
            </w:r>
          </w:p>
        </w:tc>
        <w:tc>
          <w:tcPr>
            <w:tcW w:w="10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10.27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rPr>
              <w:t>219,663</w:t>
            </w:r>
          </w:p>
        </w:tc>
        <w:tc>
          <w:tcPr>
            <w:tcW w:w="8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4.00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ind w:right="514"/>
              <w:spacing w:after="0"/>
              <w:rPr>
                <w:sz w:val="20"/>
                <w:szCs w:val="20"/>
                <w:color w:val="auto"/>
              </w:rPr>
            </w:pPr>
            <w:r>
              <w:rPr>
                <w:rFonts w:ascii="Times New Roman" w:cs="Times New Roman" w:eastAsia="Times New Roman" w:hAnsi="Times New Roman"/>
                <w:sz w:val="17"/>
                <w:szCs w:val="17"/>
                <w:color w:val="auto"/>
              </w:rPr>
              <w:t>NA</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32"/>
        </w:trPr>
        <w:tc>
          <w:tcPr>
            <w:tcW w:w="29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Independent Bank</w:t>
            </w:r>
          </w:p>
        </w:tc>
        <w:tc>
          <w:tcPr>
            <w:tcW w:w="220" w:type="dxa"/>
            <w:vAlign w:val="bottom"/>
          </w:tcPr>
          <w:p>
            <w:pPr>
              <w:spacing w:after="0"/>
              <w:rPr>
                <w:sz w:val="20"/>
                <w:szCs w:val="20"/>
                <w:color w:val="auto"/>
              </w:rPr>
            </w:pPr>
          </w:p>
        </w:tc>
        <w:tc>
          <w:tcPr>
            <w:tcW w:w="1480" w:type="dxa"/>
            <w:vAlign w:val="bottom"/>
          </w:tcPr>
          <w:p>
            <w:pPr>
              <w:jc w:val="right"/>
              <w:ind w:right="434"/>
              <w:spacing w:after="0"/>
              <w:rPr>
                <w:sz w:val="20"/>
                <w:szCs w:val="20"/>
                <w:color w:val="auto"/>
              </w:rPr>
            </w:pPr>
            <w:r>
              <w:rPr>
                <w:rFonts w:ascii="Times New Roman" w:cs="Times New Roman" w:eastAsia="Times New Roman" w:hAnsi="Times New Roman"/>
                <w:sz w:val="17"/>
                <w:szCs w:val="17"/>
                <w:color w:val="auto"/>
              </w:rPr>
              <w:t>513,500</w:t>
            </w:r>
          </w:p>
        </w:tc>
        <w:tc>
          <w:tcPr>
            <w:tcW w:w="10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9.36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rPr>
              <w:t>219,422</w:t>
            </w:r>
          </w:p>
        </w:tc>
        <w:tc>
          <w:tcPr>
            <w:tcW w:w="8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4.00</w:t>
            </w:r>
          </w:p>
        </w:tc>
        <w:tc>
          <w:tcPr>
            <w:tcW w:w="80" w:type="dxa"/>
            <w:vAlign w:val="bottom"/>
          </w:tcPr>
          <w:p>
            <w:pPr>
              <w:spacing w:after="0"/>
              <w:rPr>
                <w:sz w:val="20"/>
                <w:szCs w:val="20"/>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rPr>
              <w:t>274,278</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5.00 %</w:t>
            </w:r>
          </w:p>
        </w:tc>
        <w:tc>
          <w:tcPr>
            <w:tcW w:w="0" w:type="dxa"/>
            <w:vAlign w:val="bottom"/>
          </w:tcPr>
          <w:p>
            <w:pPr>
              <w:spacing w:after="0"/>
              <w:rPr>
                <w:sz w:val="1"/>
                <w:szCs w:val="1"/>
                <w:color w:val="auto"/>
              </w:rPr>
            </w:pPr>
          </w:p>
        </w:tc>
      </w:tr>
    </w:tbl>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_______________________________________</w:t>
      </w:r>
    </w:p>
    <w:p>
      <w:pPr>
        <w:spacing w:after="0" w:line="75" w:lineRule="exact"/>
        <w:rPr>
          <w:sz w:val="20"/>
          <w:szCs w:val="20"/>
          <w:color w:val="auto"/>
        </w:rPr>
      </w:pPr>
    </w:p>
    <w:p>
      <w:pPr>
        <w:ind w:right="2860" w:firstLine="20"/>
        <w:spacing w:after="0" w:line="413" w:lineRule="auto"/>
        <w:tabs>
          <w:tab w:leader="none" w:pos="584"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ratios do not reflect a capital conservation buffer of 2.50% at September 30, 2026 and December 31, 2025. NA - Not applicable</w:t>
      </w:r>
    </w:p>
    <w:p>
      <w:pPr>
        <w:spacing w:after="0" w:line="200" w:lineRule="exact"/>
        <w:rPr>
          <w:sz w:val="20"/>
          <w:szCs w:val="20"/>
          <w:color w:val="auto"/>
        </w:rPr>
      </w:pPr>
    </w:p>
    <w:p>
      <w:pPr>
        <w:spacing w:after="0" w:line="21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components of our regulatory capital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ind w:right="14"/>
              <w:spacing w:after="0"/>
              <w:rPr>
                <w:sz w:val="20"/>
                <w:szCs w:val="20"/>
                <w:color w:val="auto"/>
              </w:rPr>
            </w:pPr>
            <w:r>
              <w:rPr>
                <w:rFonts w:ascii="Times New Roman" w:cs="Times New Roman" w:eastAsia="Times New Roman" w:hAnsi="Times New Roman"/>
                <w:sz w:val="17"/>
                <w:szCs w:val="17"/>
                <w:color w:val="auto"/>
              </w:rPr>
              <w:t>Highpoint</w:t>
            </w:r>
          </w:p>
        </w:tc>
      </w:tr>
      <w:tr>
        <w:trPr>
          <w:trHeight w:val="232"/>
        </w:trPr>
        <w:tc>
          <w:tcPr>
            <w:tcW w:w="35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ind w:right="954"/>
              <w:spacing w:after="0"/>
              <w:rPr>
                <w:sz w:val="20"/>
                <w:szCs w:val="20"/>
                <w:color w:val="auto"/>
              </w:rPr>
            </w:pPr>
            <w:r>
              <w:rPr>
                <w:rFonts w:ascii="Times New Roman" w:cs="Times New Roman" w:eastAsia="Times New Roman" w:hAnsi="Times New Roman"/>
                <w:sz w:val="17"/>
                <w:szCs w:val="17"/>
                <w:color w:val="auto"/>
              </w:rPr>
              <w:t>Consolidated</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794"/>
              <w:spacing w:after="0"/>
              <w:rPr>
                <w:sz w:val="20"/>
                <w:szCs w:val="20"/>
                <w:color w:val="auto"/>
              </w:rPr>
            </w:pPr>
            <w:r>
              <w:rPr>
                <w:rFonts w:ascii="Times New Roman" w:cs="Times New Roman" w:eastAsia="Times New Roman" w:hAnsi="Times New Roman"/>
                <w:sz w:val="17"/>
                <w:szCs w:val="17"/>
                <w:color w:val="auto"/>
              </w:rPr>
              <w:t>Independent Bank</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7"/>
                <w:szCs w:val="17"/>
                <w:color w:val="auto"/>
              </w:rPr>
              <w:t>Community Bank</w:t>
            </w:r>
          </w:p>
        </w:tc>
      </w:tr>
      <w:tr>
        <w:trPr>
          <w:trHeight w:val="173"/>
        </w:trPr>
        <w:tc>
          <w:tcPr>
            <w:tcW w:w="3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tcPr>
          <w:p>
            <w:pPr>
              <w:ind w:left="80"/>
              <w:spacing w:after="0" w:line="173" w:lineRule="exact"/>
              <w:rPr>
                <w:sz w:val="20"/>
                <w:szCs w:val="20"/>
                <w:color w:val="auto"/>
              </w:rPr>
            </w:pPr>
            <w:r>
              <w:rPr>
                <w:rFonts w:ascii="Times New Roman" w:cs="Times New Roman" w:eastAsia="Times New Roman" w:hAnsi="Times New Roman"/>
                <w:sz w:val="17"/>
                <w:szCs w:val="17"/>
                <w:color w:val="auto"/>
              </w:rPr>
              <w:t>September 30,</w:t>
            </w:r>
          </w:p>
        </w:tc>
        <w:tc>
          <w:tcPr>
            <w:tcW w:w="180" w:type="dxa"/>
            <w:vAlign w:val="bottom"/>
          </w:tcPr>
          <w:p>
            <w:pPr>
              <w:spacing w:after="0"/>
              <w:rPr>
                <w:sz w:val="15"/>
                <w:szCs w:val="15"/>
                <w:color w:val="auto"/>
              </w:rPr>
            </w:pPr>
          </w:p>
        </w:tc>
        <w:tc>
          <w:tcPr>
            <w:tcW w:w="1380" w:type="dxa"/>
            <w:vAlign w:val="bottom"/>
            <w:gridSpan w:val="2"/>
          </w:tcPr>
          <w:p>
            <w:pPr>
              <w:ind w:left="80"/>
              <w:spacing w:after="0" w:line="173" w:lineRule="exact"/>
              <w:rPr>
                <w:sz w:val="20"/>
                <w:szCs w:val="20"/>
                <w:color w:val="auto"/>
              </w:rPr>
            </w:pPr>
            <w:r>
              <w:rPr>
                <w:rFonts w:ascii="Times New Roman" w:cs="Times New Roman" w:eastAsia="Times New Roman" w:hAnsi="Times New Roman"/>
                <w:sz w:val="17"/>
                <w:szCs w:val="17"/>
                <w:color w:val="auto"/>
              </w:rPr>
              <w:t>December 31,</w:t>
            </w:r>
          </w:p>
        </w:tc>
        <w:tc>
          <w:tcPr>
            <w:tcW w:w="160" w:type="dxa"/>
            <w:vAlign w:val="bottom"/>
          </w:tcPr>
          <w:p>
            <w:pPr>
              <w:spacing w:after="0"/>
              <w:rPr>
                <w:sz w:val="15"/>
                <w:szCs w:val="15"/>
                <w:color w:val="auto"/>
              </w:rPr>
            </w:pPr>
          </w:p>
        </w:tc>
        <w:tc>
          <w:tcPr>
            <w:tcW w:w="1400" w:type="dxa"/>
            <w:vAlign w:val="bottom"/>
            <w:gridSpan w:val="2"/>
          </w:tcPr>
          <w:p>
            <w:pPr>
              <w:jc w:val="center"/>
              <w:ind w:right="260"/>
              <w:spacing w:after="0" w:line="173" w:lineRule="exact"/>
              <w:rPr>
                <w:sz w:val="20"/>
                <w:szCs w:val="20"/>
                <w:color w:val="auto"/>
              </w:rPr>
            </w:pPr>
            <w:r>
              <w:rPr>
                <w:rFonts w:ascii="Times New Roman" w:cs="Times New Roman" w:eastAsia="Times New Roman" w:hAnsi="Times New Roman"/>
                <w:sz w:val="17"/>
                <w:szCs w:val="17"/>
                <w:color w:val="auto"/>
                <w:w w:val="99"/>
              </w:rPr>
              <w:t>September 30,</w:t>
            </w:r>
          </w:p>
        </w:tc>
        <w:tc>
          <w:tcPr>
            <w:tcW w:w="180" w:type="dxa"/>
            <w:vAlign w:val="bottom"/>
          </w:tcPr>
          <w:p>
            <w:pPr>
              <w:spacing w:after="0"/>
              <w:rPr>
                <w:sz w:val="15"/>
                <w:szCs w:val="15"/>
                <w:color w:val="auto"/>
              </w:rPr>
            </w:pPr>
          </w:p>
        </w:tc>
        <w:tc>
          <w:tcPr>
            <w:tcW w:w="1380" w:type="dxa"/>
            <w:vAlign w:val="bottom"/>
            <w:gridSpan w:val="2"/>
          </w:tcPr>
          <w:p>
            <w:pPr>
              <w:ind w:left="60"/>
              <w:spacing w:after="0" w:line="173" w:lineRule="exact"/>
              <w:rPr>
                <w:sz w:val="20"/>
                <w:szCs w:val="20"/>
                <w:color w:val="auto"/>
              </w:rPr>
            </w:pPr>
            <w:r>
              <w:rPr>
                <w:rFonts w:ascii="Times New Roman" w:cs="Times New Roman" w:eastAsia="Times New Roman" w:hAnsi="Times New Roman"/>
                <w:sz w:val="17"/>
                <w:szCs w:val="17"/>
                <w:color w:val="auto"/>
              </w:rPr>
              <w:t>December 31,</w:t>
            </w:r>
          </w:p>
        </w:tc>
        <w:tc>
          <w:tcPr>
            <w:tcW w:w="100" w:type="dxa"/>
            <w:vAlign w:val="bottom"/>
          </w:tcPr>
          <w:p>
            <w:pPr>
              <w:spacing w:after="0"/>
              <w:rPr>
                <w:sz w:val="15"/>
                <w:szCs w:val="15"/>
                <w:color w:val="auto"/>
              </w:rPr>
            </w:pPr>
          </w:p>
        </w:tc>
        <w:tc>
          <w:tcPr>
            <w:tcW w:w="1360" w:type="dxa"/>
            <w:vAlign w:val="bottom"/>
          </w:tcPr>
          <w:p>
            <w:pPr>
              <w:jc w:val="center"/>
              <w:ind w:right="14"/>
              <w:spacing w:after="0" w:line="173" w:lineRule="exact"/>
              <w:rPr>
                <w:sz w:val="20"/>
                <w:szCs w:val="20"/>
                <w:color w:val="auto"/>
              </w:rPr>
            </w:pPr>
            <w:r>
              <w:rPr>
                <w:rFonts w:ascii="Times New Roman" w:cs="Times New Roman" w:eastAsia="Times New Roman" w:hAnsi="Times New Roman"/>
                <w:sz w:val="17"/>
                <w:szCs w:val="17"/>
                <w:color w:val="auto"/>
                <w:w w:val="99"/>
              </w:rPr>
              <w:t>September 30,</w:t>
            </w:r>
          </w:p>
        </w:tc>
      </w:tr>
      <w:tr>
        <w:trPr>
          <w:trHeight w:val="228"/>
        </w:trPr>
        <w:tc>
          <w:tcPr>
            <w:tcW w:w="35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2026</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7"/>
                <w:szCs w:val="17"/>
                <w:color w:val="auto"/>
                <w:w w:val="99"/>
              </w:rPr>
              <w:t>2026</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7"/>
                <w:szCs w:val="17"/>
                <w:color w:val="auto"/>
                <w:w w:val="99"/>
              </w:rPr>
              <w:t>2026</w:t>
            </w:r>
          </w:p>
        </w:tc>
      </w:tr>
      <w:tr>
        <w:trPr>
          <w:trHeight w:val="229"/>
        </w:trPr>
        <w:tc>
          <w:tcPr>
            <w:tcW w:w="3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(In thousands)</w:t>
            </w: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58"/>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shareholders' equity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577,296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502,951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502,631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490,911</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77,212</w:t>
            </w:r>
          </w:p>
        </w:tc>
      </w:tr>
      <w:tr>
        <w:trPr>
          <w:trHeight w:val="232"/>
        </w:trPr>
        <w:tc>
          <w:tcPr>
            <w:tcW w:w="3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 (deduct)</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180"/>
        </w:trPr>
        <w:tc>
          <w:tcPr>
            <w:tcW w:w="3560" w:type="dxa"/>
            <w:vAlign w:val="bottom"/>
            <w:shd w:val="clear" w:color="auto" w:fill="CCEEFF"/>
          </w:tcPr>
          <w:p>
            <w:pPr>
              <w:ind w:left="320"/>
              <w:spacing w:after="0" w:line="181" w:lineRule="exact"/>
              <w:rPr>
                <w:sz w:val="20"/>
                <w:szCs w:val="20"/>
                <w:color w:val="auto"/>
              </w:rPr>
            </w:pPr>
            <w:r>
              <w:rPr>
                <w:rFonts w:ascii="Times New Roman" w:cs="Times New Roman" w:eastAsia="Times New Roman" w:hAnsi="Times New Roman"/>
                <w:sz w:val="17"/>
                <w:szCs w:val="17"/>
                <w:color w:val="auto"/>
              </w:rPr>
              <w:t>Accumulated other comprehensive loss for</w:t>
            </w: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32"/>
        </w:trPr>
        <w:tc>
          <w:tcPr>
            <w:tcW w:w="35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regulatory purposes</w:t>
            </w: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67,216</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51,890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67,292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51,890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r>
      <w:tr>
        <w:trPr>
          <w:trHeight w:val="258"/>
        </w:trPr>
        <w:tc>
          <w:tcPr>
            <w:tcW w:w="35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Goodwill and other intangibles</w:t>
            </w: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(63,923)</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(29,301)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(29,435)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(29,301)</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(34,488)</w:t>
            </w:r>
          </w:p>
        </w:tc>
      </w:tr>
      <w:tr>
        <w:trPr>
          <w:trHeight w:val="225"/>
        </w:trPr>
        <w:tc>
          <w:tcPr>
            <w:tcW w:w="35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Common equity tier 1 capital</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580,589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525,540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540,488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513,500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42,648</w:t>
            </w:r>
          </w:p>
        </w:tc>
      </w:tr>
      <w:tr>
        <w:trPr>
          <w:trHeight w:val="258"/>
        </w:trPr>
        <w:tc>
          <w:tcPr>
            <w:tcW w:w="35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Qualifying trust preferred securities</w:t>
            </w: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38,691</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38,640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5"/>
        </w:trPr>
        <w:tc>
          <w:tcPr>
            <w:tcW w:w="356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Tier 1 capital</w:t>
            </w:r>
          </w:p>
        </w:tc>
        <w:tc>
          <w:tcPr>
            <w:tcW w:w="16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619,280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564,180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540,488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513,500</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42,648</w:t>
            </w:r>
          </w:p>
        </w:tc>
      </w:tr>
      <w:tr>
        <w:trPr>
          <w:trHeight w:val="180"/>
        </w:trPr>
        <w:tc>
          <w:tcPr>
            <w:tcW w:w="3560" w:type="dxa"/>
            <w:vAlign w:val="bottom"/>
          </w:tcPr>
          <w:p>
            <w:pPr>
              <w:ind w:left="320"/>
              <w:spacing w:after="0" w:line="181" w:lineRule="exact"/>
              <w:rPr>
                <w:sz w:val="20"/>
                <w:szCs w:val="20"/>
                <w:color w:val="auto"/>
              </w:rPr>
            </w:pPr>
            <w:r>
              <w:rPr>
                <w:rFonts w:ascii="Times New Roman" w:cs="Times New Roman" w:eastAsia="Times New Roman" w:hAnsi="Times New Roman"/>
                <w:sz w:val="17"/>
                <w:szCs w:val="17"/>
                <w:color w:val="auto"/>
              </w:rPr>
              <w:t>Allowance for credit losses and allowance for</w:t>
            </w: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68"/>
        </w:trPr>
        <w:tc>
          <w:tcPr>
            <w:tcW w:w="3560" w:type="dxa"/>
            <w:vAlign w:val="bottom"/>
          </w:tcPr>
          <w:p>
            <w:pPr>
              <w:ind w:left="480"/>
              <w:spacing w:after="0" w:line="167" w:lineRule="exact"/>
              <w:rPr>
                <w:sz w:val="20"/>
                <w:szCs w:val="20"/>
                <w:color w:val="auto"/>
              </w:rPr>
            </w:pPr>
            <w:r>
              <w:rPr>
                <w:rFonts w:ascii="Times New Roman" w:cs="Times New Roman" w:eastAsia="Times New Roman" w:hAnsi="Times New Roman"/>
                <w:sz w:val="17"/>
                <w:szCs w:val="17"/>
                <w:color w:val="auto"/>
              </w:rPr>
              <w:t>unfunded lending commitments limited to</w:t>
            </w: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32"/>
        </w:trPr>
        <w:tc>
          <w:tcPr>
            <w:tcW w:w="35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7"/>
                <w:szCs w:val="17"/>
                <w:color w:val="auto"/>
              </w:rPr>
              <w:t>1.25% of total risk-weighted assets</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64,846</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57,326</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60,654</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57,250</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4,399</w:t>
            </w:r>
          </w:p>
        </w:tc>
      </w:tr>
      <w:tr>
        <w:trPr>
          <w:trHeight w:val="250"/>
        </w:trPr>
        <w:tc>
          <w:tcPr>
            <w:tcW w:w="35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 risk-based capital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684,126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621,506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601,142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570,750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47,047</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80" w:hanging="377"/>
        <w:spacing w:after="0"/>
        <w:tabs>
          <w:tab w:leader="none" w:pos="3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Fair Value Disclosures</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 FASB ASC topic 820 also establishes a fair value hierarchy which requires an entity to maximize the use of observable inputs and minimize the use of unobservable inputs when measuring fair value.</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standard describes three levels of inputs that may be used to measure fair value:</w:t>
      </w:r>
    </w:p>
    <w:p>
      <w:pPr>
        <w:spacing w:after="0" w:line="178"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Level 1: Valuation is based upon quoted prices for identical instruments traded in active markets. Level 1 instruments include securities traded on active exchange markets, such as the New York Stock Exchange, as well as U.S. Treasury securities that are traded by dealers or brokers in active over-the-counter markets.</w:t>
      </w:r>
    </w:p>
    <w:p>
      <w:pPr>
        <w:spacing w:after="0" w:line="127"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Level 2: Valuation is based upon quoted prices for similar instruments in active markets, quoted prices for identical or similar instruments in markets that are not active, and model-based valuation techniques for which all significant assumptions are observable in the market. Level 2 instruments include securities traded in less active dealer or broker markets.</w:t>
      </w:r>
    </w:p>
    <w:p>
      <w:pPr>
        <w:spacing w:after="0" w:line="140"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Level 3: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use of option pricing models, discounted cash flow models and similar techniques.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used the following methods and significant assumptions to estimate fair value:</w:t>
      </w:r>
    </w:p>
    <w:p>
      <w:pPr>
        <w:spacing w:after="0" w:line="17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u w:val="single" w:color="auto"/>
          <w:color w:val="auto"/>
        </w:rPr>
        <w:t>Securities</w:t>
      </w:r>
      <w:r>
        <w:rPr>
          <w:rFonts w:ascii="Times New Roman" w:cs="Times New Roman" w:eastAsia="Times New Roman" w:hAnsi="Times New Roman"/>
          <w:sz w:val="17"/>
          <w:szCs w:val="17"/>
          <w:color w:val="auto"/>
        </w:rPr>
        <w:t>: Where quoted market prices are available in an active market, securities are classified as Level 1 of the valuation hierarchy. We currently do not have any Level 1 securities. If quoted market prices are not available for the specific security, then fair values are estimated by (1) using quoted market prices of securities with similar characteristics, (2) matrix pricing, which is a mathematical technique used widely in the industry to value securities without relying exclusively on quoted prices for specific securities but rather by relying on the securities’ relationship to other benchmark</w:t>
      </w:r>
    </w:p>
    <w:p>
      <w:pPr>
        <w:spacing w:after="0" w:line="200" w:lineRule="exact"/>
        <w:rPr>
          <w:sz w:val="20"/>
          <w:szCs w:val="20"/>
          <w:color w:val="auto"/>
        </w:rPr>
      </w:pPr>
    </w:p>
    <w:p>
      <w:pPr>
        <w:spacing w:after="0" w:line="3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quoted prices, or (3) a discounted cash flow analysis whose significant fair value inputs can generally be verified and do not typically involve judgment by management. These securities are classified as Level 2 of the valuation hierarchy and primarily include agency securities, private label mortgage-backed securities, other asset backed securities, obligations of states and political subdivisions, trust preferred securities and corporate securities.</w:t>
      </w:r>
    </w:p>
    <w:p>
      <w:pPr>
        <w:spacing w:after="0" w:line="14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u w:val="single" w:color="auto"/>
          <w:color w:val="auto"/>
        </w:rPr>
        <w:t>Loans held for sale</w:t>
      </w:r>
      <w:r>
        <w:rPr>
          <w:rFonts w:ascii="Times New Roman" w:cs="Times New Roman" w:eastAsia="Times New Roman" w:hAnsi="Times New Roman"/>
          <w:sz w:val="17"/>
          <w:szCs w:val="17"/>
          <w:color w:val="auto"/>
        </w:rPr>
        <w:t>: The fair value of loans held for sale, carried at fair value is based on agency cash window loan pricing for comparable assets (recurring Level 2).</w:t>
      </w:r>
    </w:p>
    <w:p>
      <w:pPr>
        <w:spacing w:after="0" w:line="3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u w:val="single" w:color="auto"/>
          <w:color w:val="auto"/>
        </w:rPr>
        <w:t>Collateral dependent loans with specific loss allocations based on collateral value</w:t>
      </w:r>
      <w:r>
        <w:rPr>
          <w:rFonts w:ascii="Times New Roman" w:cs="Times New Roman" w:eastAsia="Times New Roman" w:hAnsi="Times New Roman"/>
          <w:sz w:val="17"/>
          <w:szCs w:val="17"/>
          <w:color w:val="auto"/>
        </w:rPr>
        <w:t>: From time to time, certain collateral dependent loans will have an ACL established based on the fair value of collateral securing the loan. When the fair value of the collateral is based on an appraised value we record the collateral dependent loan as nonrecurring Level 3.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thus will typically result in a Level 3 classification of the inputs for determining fair value.</w:t>
      </w:r>
    </w:p>
    <w:p>
      <w:pPr>
        <w:spacing w:after="0" w:line="13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u w:val="single" w:color="auto"/>
          <w:color w:val="auto"/>
        </w:rPr>
        <w:t>Other real estate</w:t>
      </w:r>
      <w:r>
        <w:rPr>
          <w:rFonts w:ascii="Times New Roman" w:cs="Times New Roman" w:eastAsia="Times New Roman" w:hAnsi="Times New Roman"/>
          <w:sz w:val="17"/>
          <w:szCs w:val="17"/>
          <w:color w:val="auto"/>
          <w:highlight w:val="white"/>
        </w:rPr>
        <w:t>: At the time of acquisition, other real estate is recorded at fair value, less estimated costs to sell, which becomes the property’s new basis.</w:t>
      </w:r>
      <w:r>
        <w:rPr>
          <w:rFonts w:ascii="Times New Roman" w:cs="Times New Roman" w:eastAsia="Times New Roman" w:hAnsi="Times New Roman"/>
          <w:sz w:val="17"/>
          <w:szCs w:val="17"/>
          <w:color w:val="auto"/>
        </w:rPr>
        <w:t xml:space="preserve"> Subsequent write-downs to reflect declines in value since the time of acquisition may occur from time to time and are recorded in non-interest expense - other in the interim Condensed Consolidated Statements of Operations. The fair value of the property used at and subsequent to the time of acquisition is typically determined by a third party appraisal of the property.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typically result in a Level 3 classification of the inputs for determining fair value.</w:t>
      </w:r>
    </w:p>
    <w:p>
      <w:pPr>
        <w:spacing w:after="0" w:line="3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Appraisals for both collateral-dependent loans and other real estate are performed by certified general appraisers (for commercial properties) or certified residential appraisers (for residential properties) whose qualifications and licenses have been reviewed and verified by us. Once received, an independent third party, or a member of our Collateral Evaluation Department (for commercial properties), or a member of our Special Assets Group (for residential properties) reviews the assumptions and approaches utilized in the appraisal as well as the overall resulting fair value in comparison with independent data sources such as recent market data or industry-wide statistics. We compare the actual selling price of collateral that has been sold to the most recent appraised value of our properties to determine what additional adjustment, if any, should be made to the appraisal value to arrive at fair value. For commercial and residential properties we typically discount an appraisal to account for various factors that the appraisal excludes in its assumptions.</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u w:val="single" w:color="auto"/>
          <w:color w:val="auto"/>
        </w:rPr>
        <w:t>Capitalized mortgage loan servicing rights</w:t>
      </w:r>
      <w:r>
        <w:rPr>
          <w:rFonts w:ascii="Times New Roman" w:cs="Times New Roman" w:eastAsia="Times New Roman" w:hAnsi="Times New Roman"/>
          <w:sz w:val="17"/>
          <w:szCs w:val="17"/>
          <w:color w:val="auto"/>
        </w:rPr>
        <w:t>: The fair value of capitalized mortgage loan servicing rights is based on a valuation model used by an independent third party that calculates the present value of estimated net servicing income. The valuation model incorporates assumptions that market participants would use in estimating future net servicing income. Certain model assumptions are generally unobservable and are based upon the best information available including data relating to our own servicing portfolio, reviews of mortgage servicing assumption and valuation surveys and input from various mortgage servicers and, therefore, are recorded as Level 3. Management evaluates the third party valuation for reasonableness each quarter as part of our financial reporting control processes.</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u w:val="single" w:color="auto"/>
          <w:color w:val="auto"/>
        </w:rPr>
        <w:t>Derivatives</w:t>
      </w:r>
      <w:r>
        <w:rPr>
          <w:rFonts w:ascii="Times New Roman" w:cs="Times New Roman" w:eastAsia="Times New Roman" w:hAnsi="Times New Roman"/>
          <w:sz w:val="17"/>
          <w:szCs w:val="17"/>
          <w:color w:val="auto"/>
          <w:highlight w:val="white"/>
        </w:rPr>
        <w:t>: The fair value of rate-lock mortgage loan commitments is based on agency cash window loan pricing for comparable assets and the fair value of</w:t>
      </w:r>
      <w:r>
        <w:rPr>
          <w:rFonts w:ascii="Times New Roman" w:cs="Times New Roman" w:eastAsia="Times New Roman" w:hAnsi="Times New Roman"/>
          <w:sz w:val="17"/>
          <w:szCs w:val="17"/>
          <w:color w:val="auto"/>
        </w:rPr>
        <w:t xml:space="preserve"> mandatory commitments to sell mortgage loans is based on mortgage-backed security pricing for comparable assets (recurring Level 2). The fair value of interest rate swap, interest rate cap and interest rate floor agreements are derived from proprietary models which utilize current market data. The significant fair value inputs can generally be observed in the market place and do not typically involve judgment by management (recurring Level 2).</w:t>
      </w:r>
    </w:p>
    <w:p>
      <w:pPr>
        <w:spacing w:after="0" w:line="200" w:lineRule="exact"/>
        <w:rPr>
          <w:sz w:val="20"/>
          <w:szCs w:val="20"/>
          <w:color w:val="auto"/>
        </w:rPr>
      </w:pPr>
    </w:p>
    <w:p>
      <w:pPr>
        <w:spacing w:after="0" w:line="3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Assets and liabilities measured at fair value, including financial assets for which we have elected the fair value option,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0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w w:val="99"/>
              </w:rPr>
              <w:t>Fair Value Measurements Using</w:t>
            </w:r>
          </w:p>
        </w:tc>
      </w:tr>
      <w:tr>
        <w:trPr>
          <w:trHeight w:val="173"/>
        </w:trPr>
        <w:tc>
          <w:tcPr>
            <w:tcW w:w="43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20" w:type="dxa"/>
            <w:vAlign w:val="bottom"/>
          </w:tcPr>
          <w:p>
            <w:pPr>
              <w:jc w:val="center"/>
              <w:ind w:right="54"/>
              <w:spacing w:after="0" w:line="173" w:lineRule="exact"/>
              <w:rPr>
                <w:sz w:val="20"/>
                <w:szCs w:val="20"/>
                <w:color w:val="auto"/>
              </w:rPr>
            </w:pPr>
            <w:r>
              <w:rPr>
                <w:rFonts w:ascii="Times New Roman" w:cs="Times New Roman" w:eastAsia="Times New Roman" w:hAnsi="Times New Roman"/>
                <w:sz w:val="17"/>
                <w:szCs w:val="17"/>
                <w:color w:val="auto"/>
              </w:rPr>
              <w:t>Quoted</w:t>
            </w:r>
          </w:p>
        </w:tc>
        <w:tc>
          <w:tcPr>
            <w:tcW w:w="13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68"/>
        </w:trPr>
        <w:tc>
          <w:tcPr>
            <w:tcW w:w="4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jc w:val="center"/>
              <w:ind w:right="74"/>
              <w:spacing w:after="0" w:line="167" w:lineRule="exact"/>
              <w:rPr>
                <w:sz w:val="20"/>
                <w:szCs w:val="20"/>
                <w:color w:val="auto"/>
              </w:rPr>
            </w:pPr>
            <w:r>
              <w:rPr>
                <w:rFonts w:ascii="Times New Roman" w:cs="Times New Roman" w:eastAsia="Times New Roman" w:hAnsi="Times New Roman"/>
                <w:sz w:val="17"/>
                <w:szCs w:val="17"/>
                <w:color w:val="auto"/>
              </w:rPr>
              <w:t>Prices</w:t>
            </w:r>
          </w:p>
        </w:tc>
        <w:tc>
          <w:tcPr>
            <w:tcW w:w="13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7"/>
        </w:trPr>
        <w:tc>
          <w:tcPr>
            <w:tcW w:w="43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20" w:type="dxa"/>
            <w:vAlign w:val="bottom"/>
          </w:tcPr>
          <w:p>
            <w:pPr>
              <w:jc w:val="center"/>
              <w:ind w:right="54"/>
              <w:spacing w:after="0" w:line="177" w:lineRule="exact"/>
              <w:rPr>
                <w:sz w:val="20"/>
                <w:szCs w:val="20"/>
                <w:color w:val="auto"/>
              </w:rPr>
            </w:pPr>
            <w:r>
              <w:rPr>
                <w:rFonts w:ascii="Times New Roman" w:cs="Times New Roman" w:eastAsia="Times New Roman" w:hAnsi="Times New Roman"/>
                <w:sz w:val="17"/>
                <w:szCs w:val="17"/>
                <w:color w:val="auto"/>
              </w:rPr>
              <w:t>in Active</w:t>
            </w:r>
          </w:p>
        </w:tc>
        <w:tc>
          <w:tcPr>
            <w:tcW w:w="13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1"/>
        </w:trPr>
        <w:tc>
          <w:tcPr>
            <w:tcW w:w="4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jc w:val="center"/>
              <w:ind w:right="54"/>
              <w:spacing w:after="0" w:line="172" w:lineRule="exact"/>
              <w:rPr>
                <w:sz w:val="20"/>
                <w:szCs w:val="20"/>
                <w:color w:val="auto"/>
              </w:rPr>
            </w:pPr>
            <w:r>
              <w:rPr>
                <w:rFonts w:ascii="Times New Roman" w:cs="Times New Roman" w:eastAsia="Times New Roman" w:hAnsi="Times New Roman"/>
                <w:sz w:val="17"/>
                <w:szCs w:val="17"/>
                <w:color w:val="auto"/>
              </w:rPr>
              <w:t>Markets</w:t>
            </w:r>
          </w:p>
        </w:tc>
        <w:tc>
          <w:tcPr>
            <w:tcW w:w="1360" w:type="dxa"/>
            <w:vAlign w:val="bottom"/>
          </w:tcPr>
          <w:p>
            <w:pPr>
              <w:jc w:val="center"/>
              <w:ind w:right="114"/>
              <w:spacing w:after="0" w:line="172" w:lineRule="exact"/>
              <w:rPr>
                <w:sz w:val="20"/>
                <w:szCs w:val="20"/>
                <w:color w:val="auto"/>
              </w:rPr>
            </w:pPr>
            <w:r>
              <w:rPr>
                <w:rFonts w:ascii="Times New Roman" w:cs="Times New Roman" w:eastAsia="Times New Roman" w:hAnsi="Times New Roman"/>
                <w:sz w:val="17"/>
                <w:szCs w:val="17"/>
                <w:color w:val="auto"/>
              </w:rPr>
              <w:t>Significant</w:t>
            </w:r>
          </w:p>
        </w:tc>
        <w:tc>
          <w:tcPr>
            <w:tcW w:w="1240" w:type="dxa"/>
            <w:vAlign w:val="bottom"/>
          </w:tcPr>
          <w:p>
            <w:pPr>
              <w:jc w:val="center"/>
              <w:spacing w:after="0" w:line="172" w:lineRule="exact"/>
              <w:rPr>
                <w:sz w:val="20"/>
                <w:szCs w:val="20"/>
                <w:color w:val="auto"/>
              </w:rPr>
            </w:pPr>
            <w:r>
              <w:rPr>
                <w:rFonts w:ascii="Times New Roman" w:cs="Times New Roman" w:eastAsia="Times New Roman" w:hAnsi="Times New Roman"/>
                <w:sz w:val="17"/>
                <w:szCs w:val="17"/>
                <w:color w:val="auto"/>
                <w:w w:val="99"/>
              </w:rPr>
              <w:t>Significant</w:t>
            </w:r>
          </w:p>
        </w:tc>
      </w:tr>
      <w:tr>
        <w:trPr>
          <w:trHeight w:val="168"/>
        </w:trPr>
        <w:tc>
          <w:tcPr>
            <w:tcW w:w="4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jc w:val="center"/>
              <w:ind w:right="54"/>
              <w:spacing w:after="0" w:line="167" w:lineRule="exact"/>
              <w:rPr>
                <w:sz w:val="20"/>
                <w:szCs w:val="20"/>
                <w:color w:val="auto"/>
              </w:rPr>
            </w:pPr>
            <w:r>
              <w:rPr>
                <w:rFonts w:ascii="Times New Roman" w:cs="Times New Roman" w:eastAsia="Times New Roman" w:hAnsi="Times New Roman"/>
                <w:sz w:val="17"/>
                <w:szCs w:val="17"/>
                <w:color w:val="auto"/>
              </w:rPr>
              <w:t>for</w:t>
            </w:r>
          </w:p>
        </w:tc>
        <w:tc>
          <w:tcPr>
            <w:tcW w:w="1360" w:type="dxa"/>
            <w:vAlign w:val="bottom"/>
          </w:tcPr>
          <w:p>
            <w:pPr>
              <w:jc w:val="center"/>
              <w:ind w:right="114"/>
              <w:spacing w:after="0" w:line="167" w:lineRule="exact"/>
              <w:rPr>
                <w:sz w:val="20"/>
                <w:szCs w:val="20"/>
                <w:color w:val="auto"/>
              </w:rPr>
            </w:pPr>
            <w:r>
              <w:rPr>
                <w:rFonts w:ascii="Times New Roman" w:cs="Times New Roman" w:eastAsia="Times New Roman" w:hAnsi="Times New Roman"/>
                <w:sz w:val="17"/>
                <w:szCs w:val="17"/>
                <w:color w:val="auto"/>
              </w:rPr>
              <w:t>Other</w:t>
            </w:r>
          </w:p>
        </w:tc>
        <w:tc>
          <w:tcPr>
            <w:tcW w:w="124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color w:val="auto"/>
                <w:w w:val="98"/>
              </w:rPr>
              <w:t>Un-</w:t>
            </w:r>
          </w:p>
        </w:tc>
      </w:tr>
      <w:tr>
        <w:trPr>
          <w:trHeight w:val="180"/>
        </w:trPr>
        <w:tc>
          <w:tcPr>
            <w:tcW w:w="4380" w:type="dxa"/>
            <w:vAlign w:val="bottom"/>
          </w:tcPr>
          <w:p>
            <w:pPr>
              <w:spacing w:after="0"/>
              <w:rPr>
                <w:sz w:val="15"/>
                <w:szCs w:val="15"/>
                <w:color w:val="auto"/>
              </w:rPr>
            </w:pPr>
          </w:p>
        </w:tc>
        <w:tc>
          <w:tcPr>
            <w:tcW w:w="138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w w:val="96"/>
              </w:rPr>
              <w:t>Fair Value</w:t>
            </w:r>
          </w:p>
        </w:tc>
        <w:tc>
          <w:tcPr>
            <w:tcW w:w="1420" w:type="dxa"/>
            <w:vAlign w:val="bottom"/>
          </w:tcPr>
          <w:p>
            <w:pPr>
              <w:jc w:val="center"/>
              <w:ind w:right="54"/>
              <w:spacing w:after="0" w:line="181" w:lineRule="exact"/>
              <w:rPr>
                <w:sz w:val="20"/>
                <w:szCs w:val="20"/>
                <w:color w:val="auto"/>
              </w:rPr>
            </w:pPr>
            <w:r>
              <w:rPr>
                <w:rFonts w:ascii="Times New Roman" w:cs="Times New Roman" w:eastAsia="Times New Roman" w:hAnsi="Times New Roman"/>
                <w:sz w:val="17"/>
                <w:szCs w:val="17"/>
                <w:color w:val="auto"/>
              </w:rPr>
              <w:t>Identical</w:t>
            </w:r>
          </w:p>
        </w:tc>
        <w:tc>
          <w:tcPr>
            <w:tcW w:w="1360" w:type="dxa"/>
            <w:vAlign w:val="bottom"/>
          </w:tcPr>
          <w:p>
            <w:pPr>
              <w:jc w:val="center"/>
              <w:ind w:right="94"/>
              <w:spacing w:after="0" w:line="181" w:lineRule="exact"/>
              <w:rPr>
                <w:sz w:val="20"/>
                <w:szCs w:val="20"/>
                <w:color w:val="auto"/>
              </w:rPr>
            </w:pPr>
            <w:r>
              <w:rPr>
                <w:rFonts w:ascii="Times New Roman" w:cs="Times New Roman" w:eastAsia="Times New Roman" w:hAnsi="Times New Roman"/>
                <w:sz w:val="17"/>
                <w:szCs w:val="17"/>
                <w:color w:val="auto"/>
              </w:rPr>
              <w:t>Observable</w:t>
            </w:r>
          </w:p>
        </w:tc>
        <w:tc>
          <w:tcPr>
            <w:tcW w:w="124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rPr>
              <w:t>observable</w:t>
            </w:r>
          </w:p>
        </w:tc>
      </w:tr>
      <w:tr>
        <w:trPr>
          <w:trHeight w:val="168"/>
        </w:trPr>
        <w:tc>
          <w:tcPr>
            <w:tcW w:w="4380" w:type="dxa"/>
            <w:vAlign w:val="bottom"/>
          </w:tcPr>
          <w:p>
            <w:pPr>
              <w:spacing w:after="0"/>
              <w:rPr>
                <w:sz w:val="14"/>
                <w:szCs w:val="14"/>
                <w:color w:val="auto"/>
              </w:rPr>
            </w:pPr>
          </w:p>
        </w:tc>
        <w:tc>
          <w:tcPr>
            <w:tcW w:w="138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color w:val="auto"/>
              </w:rPr>
              <w:t>Measure-</w:t>
            </w:r>
          </w:p>
        </w:tc>
        <w:tc>
          <w:tcPr>
            <w:tcW w:w="1420" w:type="dxa"/>
            <w:vAlign w:val="bottom"/>
          </w:tcPr>
          <w:p>
            <w:pPr>
              <w:jc w:val="center"/>
              <w:ind w:right="54"/>
              <w:spacing w:after="0" w:line="167" w:lineRule="exact"/>
              <w:rPr>
                <w:sz w:val="20"/>
                <w:szCs w:val="20"/>
                <w:color w:val="auto"/>
              </w:rPr>
            </w:pPr>
            <w:r>
              <w:rPr>
                <w:rFonts w:ascii="Times New Roman" w:cs="Times New Roman" w:eastAsia="Times New Roman" w:hAnsi="Times New Roman"/>
                <w:sz w:val="17"/>
                <w:szCs w:val="17"/>
                <w:color w:val="auto"/>
                <w:w w:val="99"/>
              </w:rPr>
              <w:t>Assets</w:t>
            </w:r>
          </w:p>
        </w:tc>
        <w:tc>
          <w:tcPr>
            <w:tcW w:w="1360" w:type="dxa"/>
            <w:vAlign w:val="bottom"/>
          </w:tcPr>
          <w:p>
            <w:pPr>
              <w:jc w:val="center"/>
              <w:ind w:right="114"/>
              <w:spacing w:after="0" w:line="167" w:lineRule="exact"/>
              <w:rPr>
                <w:sz w:val="20"/>
                <w:szCs w:val="20"/>
                <w:color w:val="auto"/>
              </w:rPr>
            </w:pPr>
            <w:r>
              <w:rPr>
                <w:rFonts w:ascii="Times New Roman" w:cs="Times New Roman" w:eastAsia="Times New Roman" w:hAnsi="Times New Roman"/>
                <w:sz w:val="17"/>
                <w:szCs w:val="17"/>
                <w:color w:val="auto"/>
              </w:rPr>
              <w:t>Inputs</w:t>
            </w:r>
          </w:p>
        </w:tc>
        <w:tc>
          <w:tcPr>
            <w:tcW w:w="124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color w:val="auto"/>
                <w:w w:val="98"/>
              </w:rPr>
              <w:t>Inputs</w:t>
            </w:r>
          </w:p>
        </w:tc>
      </w:tr>
      <w:tr>
        <w:trPr>
          <w:trHeight w:val="228"/>
        </w:trPr>
        <w:tc>
          <w:tcPr>
            <w:tcW w:w="4380" w:type="dxa"/>
            <w:vAlign w:val="bottom"/>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ments</w:t>
            </w:r>
          </w:p>
        </w:tc>
        <w:tc>
          <w:tcPr>
            <w:tcW w:w="14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7"/>
                <w:szCs w:val="17"/>
                <w:color w:val="auto"/>
              </w:rPr>
              <w:t>(Level 1)</w:t>
            </w:r>
          </w:p>
        </w:tc>
        <w:tc>
          <w:tcPr>
            <w:tcW w:w="136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7"/>
                <w:szCs w:val="17"/>
                <w:color w:val="auto"/>
              </w:rPr>
              <w:t>(Level 2)</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(Level 3)</w:t>
            </w:r>
          </w:p>
        </w:tc>
      </w:tr>
      <w:tr>
        <w:trPr>
          <w:trHeight w:val="230"/>
        </w:trPr>
        <w:tc>
          <w:tcPr>
            <w:tcW w:w="4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78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auto"/>
              </w:rPr>
              <w:t>(In thousands)</w:t>
            </w:r>
          </w:p>
        </w:tc>
        <w:tc>
          <w:tcPr>
            <w:tcW w:w="1240" w:type="dxa"/>
            <w:vAlign w:val="bottom"/>
          </w:tcPr>
          <w:p>
            <w:pPr>
              <w:spacing w:after="0"/>
              <w:rPr>
                <w:sz w:val="19"/>
                <w:szCs w:val="19"/>
                <w:color w:val="auto"/>
              </w:rPr>
            </w:pPr>
          </w:p>
        </w:tc>
      </w:tr>
      <w:tr>
        <w:trPr>
          <w:trHeight w:val="232"/>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September 30, 2026:</w:t>
            </w:r>
          </w:p>
        </w:tc>
        <w:tc>
          <w:tcPr>
            <w:tcW w:w="13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225"/>
        </w:trPr>
        <w:tc>
          <w:tcPr>
            <w:tcW w:w="4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Measured at Fair Value on a Recurring Basis</w:t>
            </w:r>
          </w:p>
        </w:tc>
        <w:tc>
          <w:tcPr>
            <w:tcW w:w="13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2"/>
        </w:trPr>
        <w:tc>
          <w:tcPr>
            <w:tcW w:w="4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Assets</w:t>
            </w:r>
          </w:p>
        </w:tc>
        <w:tc>
          <w:tcPr>
            <w:tcW w:w="1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32"/>
        </w:trPr>
        <w:tc>
          <w:tcPr>
            <w:tcW w:w="4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Securities available for sale</w:t>
            </w:r>
          </w:p>
        </w:tc>
        <w:tc>
          <w:tcPr>
            <w:tcW w:w="13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32"/>
        </w:trPr>
        <w:tc>
          <w:tcPr>
            <w:tcW w:w="43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U.S. agency</w:t>
            </w:r>
          </w:p>
        </w:tc>
        <w:tc>
          <w:tcPr>
            <w:tcW w:w="13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9,313</w:t>
            </w:r>
          </w:p>
        </w:tc>
        <w:tc>
          <w:tcPr>
            <w:tcW w:w="142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9,313</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4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U.S. agency residential mortgage-backed</w:t>
            </w:r>
          </w:p>
        </w:tc>
        <w:tc>
          <w:tcPr>
            <w:tcW w:w="13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90,847</w:t>
            </w:r>
          </w:p>
        </w:tc>
        <w:tc>
          <w:tcPr>
            <w:tcW w:w="142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90,847</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43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U.S. agency commercial mortgage-backed</w:t>
            </w:r>
          </w:p>
        </w:tc>
        <w:tc>
          <w:tcPr>
            <w:tcW w:w="13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5,908</w:t>
            </w:r>
          </w:p>
        </w:tc>
        <w:tc>
          <w:tcPr>
            <w:tcW w:w="142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5,908</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4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Private label mortgage-backed</w:t>
            </w:r>
          </w:p>
        </w:tc>
        <w:tc>
          <w:tcPr>
            <w:tcW w:w="13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26,440</w:t>
            </w:r>
          </w:p>
        </w:tc>
        <w:tc>
          <w:tcPr>
            <w:tcW w:w="142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26,440</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43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Other asset backed</w:t>
            </w:r>
          </w:p>
        </w:tc>
        <w:tc>
          <w:tcPr>
            <w:tcW w:w="13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93,851</w:t>
            </w:r>
          </w:p>
        </w:tc>
        <w:tc>
          <w:tcPr>
            <w:tcW w:w="142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93,851</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4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Obligations of states and political subdivisions</w:t>
            </w:r>
          </w:p>
        </w:tc>
        <w:tc>
          <w:tcPr>
            <w:tcW w:w="13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257,133</w:t>
            </w:r>
          </w:p>
        </w:tc>
        <w:tc>
          <w:tcPr>
            <w:tcW w:w="142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257,133</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43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Corporate</w:t>
            </w:r>
          </w:p>
        </w:tc>
        <w:tc>
          <w:tcPr>
            <w:tcW w:w="13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35,144</w:t>
            </w:r>
          </w:p>
        </w:tc>
        <w:tc>
          <w:tcPr>
            <w:tcW w:w="142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35,144</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4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Trust preferred</w:t>
            </w:r>
          </w:p>
        </w:tc>
        <w:tc>
          <w:tcPr>
            <w:tcW w:w="13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980</w:t>
            </w:r>
          </w:p>
        </w:tc>
        <w:tc>
          <w:tcPr>
            <w:tcW w:w="142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980</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Loans held for sale</w:t>
            </w:r>
          </w:p>
        </w:tc>
        <w:tc>
          <w:tcPr>
            <w:tcW w:w="13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12,836</w:t>
            </w:r>
          </w:p>
        </w:tc>
        <w:tc>
          <w:tcPr>
            <w:tcW w:w="142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12,836</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4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Capitalized mortgage loan servicing rights</w:t>
            </w:r>
          </w:p>
        </w:tc>
        <w:tc>
          <w:tcPr>
            <w:tcW w:w="13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37,839</w:t>
            </w:r>
          </w:p>
        </w:tc>
        <w:tc>
          <w:tcPr>
            <w:tcW w:w="142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37,839</w:t>
            </w:r>
          </w:p>
        </w:tc>
      </w:tr>
      <w:tr>
        <w:trPr>
          <w:trHeight w:val="232"/>
        </w:trPr>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Derivatives (1)</w:t>
            </w:r>
          </w:p>
        </w:tc>
        <w:tc>
          <w:tcPr>
            <w:tcW w:w="13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34,590</w:t>
            </w:r>
          </w:p>
        </w:tc>
        <w:tc>
          <w:tcPr>
            <w:tcW w:w="142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34,590</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Liabilities</w:t>
            </w:r>
          </w:p>
        </w:tc>
        <w:tc>
          <w:tcPr>
            <w:tcW w:w="13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32"/>
        </w:trPr>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Derivatives (2)</w:t>
            </w:r>
          </w:p>
        </w:tc>
        <w:tc>
          <w:tcPr>
            <w:tcW w:w="13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24,943</w:t>
            </w:r>
          </w:p>
        </w:tc>
        <w:tc>
          <w:tcPr>
            <w:tcW w:w="142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24,943</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8"/>
        </w:trPr>
        <w:tc>
          <w:tcPr>
            <w:tcW w:w="43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32"/>
        </w:trPr>
        <w:tc>
          <w:tcPr>
            <w:tcW w:w="4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Measured at Fair Value on a Non-recurring Basis:</w:t>
            </w:r>
          </w:p>
        </w:tc>
        <w:tc>
          <w:tcPr>
            <w:tcW w:w="1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32"/>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Assets</w:t>
            </w:r>
          </w:p>
        </w:tc>
        <w:tc>
          <w:tcPr>
            <w:tcW w:w="13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32"/>
        </w:trPr>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Collateral dependent loans (3)</w:t>
            </w:r>
          </w:p>
        </w:tc>
        <w:tc>
          <w:tcPr>
            <w:tcW w:w="1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32"/>
        </w:trPr>
        <w:tc>
          <w:tcPr>
            <w:tcW w:w="4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Commercial</w:t>
            </w:r>
          </w:p>
        </w:tc>
        <w:tc>
          <w:tcPr>
            <w:tcW w:w="13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32"/>
        </w:trPr>
        <w:tc>
          <w:tcPr>
            <w:tcW w:w="438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Commercial and industrial</w:t>
            </w:r>
          </w:p>
        </w:tc>
        <w:tc>
          <w:tcPr>
            <w:tcW w:w="13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5,309</w:t>
            </w:r>
          </w:p>
        </w:tc>
        <w:tc>
          <w:tcPr>
            <w:tcW w:w="142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5,309</w:t>
            </w:r>
          </w:p>
        </w:tc>
      </w:tr>
      <w:tr>
        <w:trPr>
          <w:trHeight w:val="232"/>
        </w:trPr>
        <w:tc>
          <w:tcPr>
            <w:tcW w:w="43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Commercial real estate</w:t>
            </w:r>
          </w:p>
        </w:tc>
        <w:tc>
          <w:tcPr>
            <w:tcW w:w="13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9,699</w:t>
            </w:r>
          </w:p>
        </w:tc>
        <w:tc>
          <w:tcPr>
            <w:tcW w:w="142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9,699</w:t>
            </w:r>
          </w:p>
        </w:tc>
      </w:tr>
      <w:tr>
        <w:trPr>
          <w:trHeight w:val="232"/>
        </w:trPr>
        <w:tc>
          <w:tcPr>
            <w:tcW w:w="43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Mortgage</w:t>
            </w:r>
          </w:p>
        </w:tc>
        <w:tc>
          <w:tcPr>
            <w:tcW w:w="1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32"/>
        </w:trPr>
        <w:tc>
          <w:tcPr>
            <w:tcW w:w="43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1-4 family owner occupied - non-jumbo</w:t>
            </w:r>
          </w:p>
        </w:tc>
        <w:tc>
          <w:tcPr>
            <w:tcW w:w="13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471</w:t>
            </w:r>
          </w:p>
        </w:tc>
        <w:tc>
          <w:tcPr>
            <w:tcW w:w="142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w:t>
            </w:r>
          </w:p>
        </w:tc>
      </w:tr>
      <w:tr>
        <w:trPr>
          <w:trHeight w:val="232"/>
        </w:trPr>
        <w:tc>
          <w:tcPr>
            <w:tcW w:w="438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1-4 family non-owner occupied</w:t>
            </w:r>
          </w:p>
        </w:tc>
        <w:tc>
          <w:tcPr>
            <w:tcW w:w="13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54</w:t>
            </w:r>
          </w:p>
        </w:tc>
        <w:tc>
          <w:tcPr>
            <w:tcW w:w="142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r>
      <w:tr>
        <w:trPr>
          <w:trHeight w:val="232"/>
        </w:trPr>
        <w:tc>
          <w:tcPr>
            <w:tcW w:w="43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1-4 family - 2nd lien</w:t>
            </w:r>
          </w:p>
        </w:tc>
        <w:tc>
          <w:tcPr>
            <w:tcW w:w="13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294</w:t>
            </w:r>
          </w:p>
        </w:tc>
        <w:tc>
          <w:tcPr>
            <w:tcW w:w="142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w:t>
            </w:r>
          </w:p>
        </w:tc>
      </w:tr>
      <w:tr>
        <w:trPr>
          <w:trHeight w:val="232"/>
        </w:trPr>
        <w:tc>
          <w:tcPr>
            <w:tcW w:w="43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Installment</w:t>
            </w:r>
          </w:p>
        </w:tc>
        <w:tc>
          <w:tcPr>
            <w:tcW w:w="1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32"/>
        </w:trPr>
        <w:tc>
          <w:tcPr>
            <w:tcW w:w="43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Boat lending</w:t>
            </w:r>
          </w:p>
        </w:tc>
        <w:tc>
          <w:tcPr>
            <w:tcW w:w="13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35</w:t>
            </w:r>
          </w:p>
        </w:tc>
        <w:tc>
          <w:tcPr>
            <w:tcW w:w="142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32"/>
        </w:trPr>
        <w:tc>
          <w:tcPr>
            <w:tcW w:w="438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Recreational vehicle lending</w:t>
            </w:r>
          </w:p>
        </w:tc>
        <w:tc>
          <w:tcPr>
            <w:tcW w:w="13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71</w:t>
            </w:r>
          </w:p>
        </w:tc>
        <w:tc>
          <w:tcPr>
            <w:tcW w:w="142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r>
      <w:tr>
        <w:trPr>
          <w:trHeight w:val="232"/>
        </w:trPr>
        <w:tc>
          <w:tcPr>
            <w:tcW w:w="43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Other</w:t>
            </w:r>
          </w:p>
        </w:tc>
        <w:tc>
          <w:tcPr>
            <w:tcW w:w="13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39</w:t>
            </w:r>
          </w:p>
        </w:tc>
        <w:tc>
          <w:tcPr>
            <w:tcW w:w="142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77"/>
        </w:trPr>
        <w:tc>
          <w:tcPr>
            <w:tcW w:w="4380" w:type="dxa"/>
            <w:vAlign w:val="bottom"/>
          </w:tcPr>
          <w:p>
            <w:pPr>
              <w:spacing w:after="0"/>
              <w:rPr>
                <w:sz w:val="20"/>
                <w:szCs w:val="20"/>
                <w:color w:val="auto"/>
              </w:rPr>
            </w:pPr>
            <w:r>
              <w:rPr>
                <w:rFonts w:ascii="Times New Roman" w:cs="Times New Roman" w:eastAsia="Times New Roman" w:hAnsi="Times New Roman"/>
                <w:sz w:val="17"/>
                <w:szCs w:val="17"/>
                <w:color w:val="auto"/>
              </w:rPr>
              <w:t>________________________________</w:t>
            </w:r>
          </w:p>
        </w:tc>
        <w:tc>
          <w:tcPr>
            <w:tcW w:w="1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ind w:left="300" w:hanging="297"/>
        <w:spacing w:after="0"/>
        <w:tabs>
          <w:tab w:leader="none" w:pos="3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accrued income and other assets</w:t>
      </w:r>
    </w:p>
    <w:p>
      <w:pPr>
        <w:spacing w:after="0" w:line="3" w:lineRule="exact"/>
        <w:rPr>
          <w:rFonts w:ascii="Times New Roman" w:cs="Times New Roman" w:eastAsia="Times New Roman" w:hAnsi="Times New Roman"/>
          <w:sz w:val="14"/>
          <w:szCs w:val="14"/>
          <w:color w:val="auto"/>
        </w:rPr>
      </w:pPr>
    </w:p>
    <w:p>
      <w:pPr>
        <w:ind w:left="300" w:hanging="297"/>
        <w:spacing w:after="0"/>
        <w:tabs>
          <w:tab w:leader="none" w:pos="3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accrued expenses and other liabilities</w:t>
      </w:r>
    </w:p>
    <w:p>
      <w:pPr>
        <w:spacing w:after="0" w:line="6" w:lineRule="exact"/>
        <w:rPr>
          <w:rFonts w:ascii="Times New Roman" w:cs="Times New Roman" w:eastAsia="Times New Roman" w:hAnsi="Times New Roman"/>
          <w:sz w:val="14"/>
          <w:szCs w:val="14"/>
          <w:color w:val="auto"/>
        </w:rPr>
      </w:pPr>
    </w:p>
    <w:p>
      <w:pPr>
        <w:ind w:left="300" w:hanging="297"/>
        <w:spacing w:after="0"/>
        <w:tabs>
          <w:tab w:leader="none" w:pos="3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Only includes individually evaluated loans with specific allocations of the ACL based on collateral value.</w:t>
      </w:r>
    </w:p>
    <w:p>
      <w:pPr>
        <w:spacing w:after="0" w:line="200" w:lineRule="exact"/>
        <w:rPr>
          <w:sz w:val="20"/>
          <w:szCs w:val="20"/>
          <w:color w:val="auto"/>
        </w:rPr>
      </w:pPr>
    </w:p>
    <w:p>
      <w:pPr>
        <w:spacing w:after="0" w:line="36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19"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(Unaudited)</w:t>
      </w:r>
    </w:p>
    <w:p>
      <w:pPr>
        <w:spacing w:after="0" w:line="303" w:lineRule="exact"/>
        <w:rPr>
          <w:sz w:val="20"/>
          <w:szCs w:val="20"/>
          <w:color w:val="auto"/>
        </w:rPr>
      </w:pPr>
    </w:p>
    <w:tbl>
      <w:tblPr>
        <w:tblLayout w:type="fixed"/>
        <w:tblInd w:w="620" w:type="dxa"/>
        <w:tblCellMar>
          <w:top w:w="0" w:type="dxa"/>
          <w:left w:w="0" w:type="dxa"/>
          <w:bottom w:w="0" w:type="dxa"/>
          <w:right w:w="0" w:type="dxa"/>
        </w:tblCellMar>
      </w:tblPr>
      <w:tr>
        <w:trPr>
          <w:trHeight w:val="223"/>
        </w:trPr>
        <w:tc>
          <w:tcPr>
            <w:tcW w:w="5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3"/>
          </w:tcPr>
          <w:p>
            <w:pPr>
              <w:jc w:val="center"/>
              <w:ind w:right="514"/>
              <w:spacing w:after="0"/>
              <w:rPr>
                <w:sz w:val="20"/>
                <w:szCs w:val="20"/>
                <w:color w:val="auto"/>
              </w:rPr>
            </w:pPr>
            <w:r>
              <w:rPr>
                <w:rFonts w:ascii="Times New Roman" w:cs="Times New Roman" w:eastAsia="Times New Roman" w:hAnsi="Times New Roman"/>
                <w:sz w:val="17"/>
                <w:szCs w:val="17"/>
                <w:color w:val="auto"/>
              </w:rPr>
              <w:t>Fair Value Measurements Using</w:t>
            </w:r>
          </w:p>
        </w:tc>
        <w:tc>
          <w:tcPr>
            <w:tcW w:w="0" w:type="dxa"/>
            <w:vAlign w:val="bottom"/>
          </w:tcPr>
          <w:p>
            <w:pPr>
              <w:spacing w:after="0"/>
              <w:rPr>
                <w:sz w:val="1"/>
                <w:szCs w:val="1"/>
                <w:color w:val="auto"/>
              </w:rPr>
            </w:pPr>
          </w:p>
        </w:tc>
      </w:tr>
      <w:tr>
        <w:trPr>
          <w:trHeight w:val="173"/>
        </w:trPr>
        <w:tc>
          <w:tcPr>
            <w:tcW w:w="5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20" w:type="dxa"/>
            <w:vAlign w:val="bottom"/>
          </w:tcPr>
          <w:p>
            <w:pPr>
              <w:jc w:val="center"/>
              <w:ind w:left="254"/>
              <w:spacing w:after="0" w:line="173" w:lineRule="exact"/>
              <w:rPr>
                <w:sz w:val="20"/>
                <w:szCs w:val="20"/>
                <w:color w:val="auto"/>
              </w:rPr>
            </w:pPr>
            <w:r>
              <w:rPr>
                <w:rFonts w:ascii="Times New Roman" w:cs="Times New Roman" w:eastAsia="Times New Roman" w:hAnsi="Times New Roman"/>
                <w:sz w:val="17"/>
                <w:szCs w:val="17"/>
                <w:color w:val="auto"/>
                <w:w w:val="99"/>
              </w:rPr>
              <w:t>Quoted</w:t>
            </w:r>
          </w:p>
        </w:tc>
        <w:tc>
          <w:tcPr>
            <w:tcW w:w="6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20" w:type="dxa"/>
            <w:vAlign w:val="bottom"/>
          </w:tcPr>
          <w:p>
            <w:pPr>
              <w:jc w:val="center"/>
              <w:ind w:left="254"/>
              <w:spacing w:after="0" w:line="177" w:lineRule="exact"/>
              <w:rPr>
                <w:sz w:val="20"/>
                <w:szCs w:val="20"/>
                <w:color w:val="auto"/>
              </w:rPr>
            </w:pPr>
            <w:r>
              <w:rPr>
                <w:rFonts w:ascii="Times New Roman" w:cs="Times New Roman" w:eastAsia="Times New Roman" w:hAnsi="Times New Roman"/>
                <w:sz w:val="17"/>
                <w:szCs w:val="17"/>
                <w:color w:val="auto"/>
              </w:rPr>
              <w:t>Prices</w:t>
            </w:r>
          </w:p>
        </w:tc>
        <w:tc>
          <w:tcPr>
            <w:tcW w:w="6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jc w:val="center"/>
              <w:ind w:left="274"/>
              <w:spacing w:after="0" w:line="172" w:lineRule="exact"/>
              <w:rPr>
                <w:sz w:val="20"/>
                <w:szCs w:val="20"/>
                <w:color w:val="auto"/>
              </w:rPr>
            </w:pPr>
            <w:r>
              <w:rPr>
                <w:rFonts w:ascii="Times New Roman" w:cs="Times New Roman" w:eastAsia="Times New Roman" w:hAnsi="Times New Roman"/>
                <w:sz w:val="17"/>
                <w:szCs w:val="17"/>
                <w:color w:val="auto"/>
              </w:rPr>
              <w:t>in Active</w:t>
            </w:r>
          </w:p>
        </w:tc>
        <w:tc>
          <w:tcPr>
            <w:tcW w:w="680" w:type="dxa"/>
            <w:vAlign w:val="bottom"/>
          </w:tcPr>
          <w:p>
            <w:pPr>
              <w:spacing w:after="0"/>
              <w:rPr>
                <w:sz w:val="14"/>
                <w:szCs w:val="14"/>
                <w:color w:val="auto"/>
              </w:rPr>
            </w:pPr>
          </w:p>
        </w:tc>
        <w:tc>
          <w:tcPr>
            <w:tcW w:w="1280" w:type="dxa"/>
            <w:vAlign w:val="bottom"/>
            <w:vMerge w:val="restart"/>
          </w:tcPr>
          <w:p>
            <w:pPr>
              <w:jc w:val="center"/>
              <w:ind w:right="174"/>
              <w:spacing w:after="0"/>
              <w:rPr>
                <w:sz w:val="20"/>
                <w:szCs w:val="20"/>
                <w:color w:val="auto"/>
              </w:rPr>
            </w:pPr>
            <w:r>
              <w:rPr>
                <w:rFonts w:ascii="Times New Roman" w:cs="Times New Roman" w:eastAsia="Times New Roman" w:hAnsi="Times New Roman"/>
                <w:sz w:val="17"/>
                <w:szCs w:val="17"/>
                <w:color w:val="auto"/>
                <w:w w:val="99"/>
              </w:rPr>
              <w:t>Significant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Significa</w:t>
            </w:r>
          </w:p>
        </w:tc>
        <w:tc>
          <w:tcPr>
            <w:tcW w:w="0" w:type="dxa"/>
            <w:vAlign w:val="bottom"/>
          </w:tcPr>
          <w:p>
            <w:pPr>
              <w:spacing w:after="0"/>
              <w:rPr>
                <w:sz w:val="1"/>
                <w:szCs w:val="1"/>
                <w:color w:val="auto"/>
              </w:rPr>
            </w:pPr>
          </w:p>
        </w:tc>
      </w:tr>
      <w:tr>
        <w:trPr>
          <w:trHeight w:val="168"/>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jc w:val="center"/>
              <w:ind w:left="274"/>
              <w:spacing w:after="0" w:line="167" w:lineRule="exact"/>
              <w:rPr>
                <w:sz w:val="20"/>
                <w:szCs w:val="20"/>
                <w:color w:val="auto"/>
              </w:rPr>
            </w:pPr>
            <w:r>
              <w:rPr>
                <w:rFonts w:ascii="Times New Roman" w:cs="Times New Roman" w:eastAsia="Times New Roman" w:hAnsi="Times New Roman"/>
                <w:sz w:val="17"/>
                <w:szCs w:val="17"/>
                <w:color w:val="auto"/>
              </w:rPr>
              <w:t>Markets</w:t>
            </w:r>
          </w:p>
        </w:tc>
        <w:tc>
          <w:tcPr>
            <w:tcW w:w="6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5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20" w:type="dxa"/>
            <w:vAlign w:val="bottom"/>
          </w:tcPr>
          <w:p>
            <w:pPr>
              <w:jc w:val="center"/>
              <w:ind w:left="274"/>
              <w:spacing w:after="0" w:line="177" w:lineRule="exact"/>
              <w:rPr>
                <w:sz w:val="20"/>
                <w:szCs w:val="20"/>
                <w:color w:val="auto"/>
              </w:rPr>
            </w:pPr>
            <w:r>
              <w:rPr>
                <w:rFonts w:ascii="Times New Roman" w:cs="Times New Roman" w:eastAsia="Times New Roman" w:hAnsi="Times New Roman"/>
                <w:sz w:val="17"/>
                <w:szCs w:val="17"/>
                <w:color w:val="auto"/>
              </w:rPr>
              <w:t>for</w:t>
            </w:r>
          </w:p>
        </w:tc>
        <w:tc>
          <w:tcPr>
            <w:tcW w:w="680" w:type="dxa"/>
            <w:vAlign w:val="bottom"/>
          </w:tcPr>
          <w:p>
            <w:pPr>
              <w:spacing w:after="0"/>
              <w:rPr>
                <w:sz w:val="15"/>
                <w:szCs w:val="15"/>
                <w:color w:val="auto"/>
              </w:rPr>
            </w:pPr>
          </w:p>
        </w:tc>
        <w:tc>
          <w:tcPr>
            <w:tcW w:w="1280" w:type="dxa"/>
            <w:vAlign w:val="bottom"/>
          </w:tcPr>
          <w:p>
            <w:pPr>
              <w:jc w:val="center"/>
              <w:ind w:right="174"/>
              <w:spacing w:after="0" w:line="177" w:lineRule="exact"/>
              <w:rPr>
                <w:sz w:val="20"/>
                <w:szCs w:val="20"/>
                <w:color w:val="auto"/>
              </w:rPr>
            </w:pPr>
            <w:r>
              <w:rPr>
                <w:rFonts w:ascii="Times New Roman" w:cs="Times New Roman" w:eastAsia="Times New Roman" w:hAnsi="Times New Roman"/>
                <w:sz w:val="17"/>
                <w:szCs w:val="17"/>
                <w:color w:val="auto"/>
                <w:w w:val="98"/>
              </w:rPr>
              <w:t>Other</w:t>
            </w:r>
          </w:p>
        </w:tc>
        <w:tc>
          <w:tcPr>
            <w:tcW w:w="1020" w:type="dxa"/>
            <w:vAlign w:val="bottom"/>
          </w:tcPr>
          <w:p>
            <w:pPr>
              <w:jc w:val="right"/>
              <w:spacing w:after="0" w:line="177" w:lineRule="exact"/>
              <w:rPr>
                <w:sz w:val="20"/>
                <w:szCs w:val="20"/>
                <w:color w:val="auto"/>
              </w:rPr>
            </w:pPr>
            <w:r>
              <w:rPr>
                <w:rFonts w:ascii="Times New Roman" w:cs="Times New Roman" w:eastAsia="Times New Roman" w:hAnsi="Times New Roman"/>
                <w:sz w:val="17"/>
                <w:szCs w:val="17"/>
                <w:color w:val="auto"/>
              </w:rPr>
              <w:t>Un-</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center"/>
              <w:ind w:right="254"/>
              <w:spacing w:after="0" w:line="172" w:lineRule="exact"/>
              <w:rPr>
                <w:sz w:val="20"/>
                <w:szCs w:val="20"/>
                <w:color w:val="auto"/>
              </w:rPr>
            </w:pPr>
            <w:r>
              <w:rPr>
                <w:rFonts w:ascii="Times New Roman" w:cs="Times New Roman" w:eastAsia="Times New Roman" w:hAnsi="Times New Roman"/>
                <w:sz w:val="17"/>
                <w:szCs w:val="17"/>
                <w:color w:val="auto"/>
                <w:w w:val="99"/>
              </w:rPr>
              <w:t>Fair Value</w:t>
            </w:r>
          </w:p>
        </w:tc>
        <w:tc>
          <w:tcPr>
            <w:tcW w:w="1120" w:type="dxa"/>
            <w:vAlign w:val="bottom"/>
          </w:tcPr>
          <w:p>
            <w:pPr>
              <w:jc w:val="center"/>
              <w:ind w:left="274"/>
              <w:spacing w:after="0" w:line="172" w:lineRule="exact"/>
              <w:rPr>
                <w:sz w:val="20"/>
                <w:szCs w:val="20"/>
                <w:color w:val="auto"/>
              </w:rPr>
            </w:pPr>
            <w:r>
              <w:rPr>
                <w:rFonts w:ascii="Times New Roman" w:cs="Times New Roman" w:eastAsia="Times New Roman" w:hAnsi="Times New Roman"/>
                <w:sz w:val="17"/>
                <w:szCs w:val="17"/>
                <w:color w:val="auto"/>
              </w:rPr>
              <w:t>Identical</w:t>
            </w:r>
          </w:p>
        </w:tc>
        <w:tc>
          <w:tcPr>
            <w:tcW w:w="680" w:type="dxa"/>
            <w:vAlign w:val="bottom"/>
          </w:tcPr>
          <w:p>
            <w:pPr>
              <w:spacing w:after="0"/>
              <w:rPr>
                <w:sz w:val="14"/>
                <w:szCs w:val="14"/>
                <w:color w:val="auto"/>
              </w:rPr>
            </w:pPr>
          </w:p>
        </w:tc>
        <w:tc>
          <w:tcPr>
            <w:tcW w:w="1280" w:type="dxa"/>
            <w:vAlign w:val="bottom"/>
          </w:tcPr>
          <w:p>
            <w:pPr>
              <w:jc w:val="center"/>
              <w:ind w:right="174"/>
              <w:spacing w:after="0" w:line="172" w:lineRule="exact"/>
              <w:rPr>
                <w:sz w:val="20"/>
                <w:szCs w:val="20"/>
                <w:color w:val="auto"/>
              </w:rPr>
            </w:pPr>
            <w:r>
              <w:rPr>
                <w:rFonts w:ascii="Times New Roman" w:cs="Times New Roman" w:eastAsia="Times New Roman" w:hAnsi="Times New Roman"/>
                <w:sz w:val="17"/>
                <w:szCs w:val="17"/>
                <w:color w:val="auto"/>
              </w:rPr>
              <w:t>Observable</w:t>
            </w:r>
          </w:p>
        </w:tc>
        <w:tc>
          <w:tcPr>
            <w:tcW w:w="1020" w:type="dxa"/>
            <w:vAlign w:val="bottom"/>
          </w:tcPr>
          <w:p>
            <w:pPr>
              <w:jc w:val="right"/>
              <w:spacing w:after="0" w:line="172" w:lineRule="exact"/>
              <w:rPr>
                <w:sz w:val="20"/>
                <w:szCs w:val="20"/>
                <w:color w:val="auto"/>
              </w:rPr>
            </w:pPr>
            <w:r>
              <w:rPr>
                <w:rFonts w:ascii="Times New Roman" w:cs="Times New Roman" w:eastAsia="Times New Roman" w:hAnsi="Times New Roman"/>
                <w:sz w:val="17"/>
                <w:szCs w:val="17"/>
                <w:color w:val="auto"/>
              </w:rPr>
              <w:t>observab</w:t>
            </w:r>
          </w:p>
        </w:tc>
        <w:tc>
          <w:tcPr>
            <w:tcW w:w="0" w:type="dxa"/>
            <w:vAlign w:val="bottom"/>
          </w:tcPr>
          <w:p>
            <w:pPr>
              <w:spacing w:after="0"/>
              <w:rPr>
                <w:sz w:val="1"/>
                <w:szCs w:val="1"/>
                <w:color w:val="auto"/>
              </w:rPr>
            </w:pPr>
          </w:p>
        </w:tc>
      </w:tr>
      <w:tr>
        <w:trPr>
          <w:trHeight w:val="168"/>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center"/>
              <w:ind w:right="254"/>
              <w:spacing w:after="0" w:line="167" w:lineRule="exact"/>
              <w:rPr>
                <w:sz w:val="20"/>
                <w:szCs w:val="20"/>
                <w:color w:val="auto"/>
              </w:rPr>
            </w:pPr>
            <w:r>
              <w:rPr>
                <w:rFonts w:ascii="Times New Roman" w:cs="Times New Roman" w:eastAsia="Times New Roman" w:hAnsi="Times New Roman"/>
                <w:sz w:val="17"/>
                <w:szCs w:val="17"/>
                <w:color w:val="auto"/>
                <w:w w:val="99"/>
              </w:rPr>
              <w:t>Measure-</w:t>
            </w:r>
          </w:p>
        </w:tc>
        <w:tc>
          <w:tcPr>
            <w:tcW w:w="1120" w:type="dxa"/>
            <w:vAlign w:val="bottom"/>
          </w:tcPr>
          <w:p>
            <w:pPr>
              <w:jc w:val="center"/>
              <w:ind w:left="274"/>
              <w:spacing w:after="0" w:line="167" w:lineRule="exact"/>
              <w:rPr>
                <w:sz w:val="20"/>
                <w:szCs w:val="20"/>
                <w:color w:val="auto"/>
              </w:rPr>
            </w:pPr>
            <w:r>
              <w:rPr>
                <w:rFonts w:ascii="Times New Roman" w:cs="Times New Roman" w:eastAsia="Times New Roman" w:hAnsi="Times New Roman"/>
                <w:sz w:val="17"/>
                <w:szCs w:val="17"/>
                <w:color w:val="auto"/>
                <w:w w:val="99"/>
              </w:rPr>
              <w:t>Assets</w:t>
            </w:r>
          </w:p>
        </w:tc>
        <w:tc>
          <w:tcPr>
            <w:tcW w:w="680" w:type="dxa"/>
            <w:vAlign w:val="bottom"/>
          </w:tcPr>
          <w:p>
            <w:pPr>
              <w:spacing w:after="0"/>
              <w:rPr>
                <w:sz w:val="14"/>
                <w:szCs w:val="14"/>
                <w:color w:val="auto"/>
              </w:rPr>
            </w:pPr>
          </w:p>
        </w:tc>
        <w:tc>
          <w:tcPr>
            <w:tcW w:w="1280" w:type="dxa"/>
            <w:vAlign w:val="bottom"/>
          </w:tcPr>
          <w:p>
            <w:pPr>
              <w:jc w:val="center"/>
              <w:ind w:right="174"/>
              <w:spacing w:after="0" w:line="167" w:lineRule="exact"/>
              <w:rPr>
                <w:sz w:val="20"/>
                <w:szCs w:val="20"/>
                <w:color w:val="auto"/>
              </w:rPr>
            </w:pPr>
            <w:r>
              <w:rPr>
                <w:rFonts w:ascii="Times New Roman" w:cs="Times New Roman" w:eastAsia="Times New Roman" w:hAnsi="Times New Roman"/>
                <w:sz w:val="17"/>
                <w:szCs w:val="17"/>
                <w:color w:val="auto"/>
                <w:w w:val="98"/>
              </w:rPr>
              <w:t>Inputs</w:t>
            </w:r>
          </w:p>
        </w:tc>
        <w:tc>
          <w:tcPr>
            <w:tcW w:w="102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rPr>
              <w:t>Inputs</w:t>
            </w:r>
          </w:p>
        </w:tc>
        <w:tc>
          <w:tcPr>
            <w:tcW w:w="0" w:type="dxa"/>
            <w:vAlign w:val="bottom"/>
          </w:tcPr>
          <w:p>
            <w:pPr>
              <w:spacing w:after="0"/>
              <w:rPr>
                <w:sz w:val="1"/>
                <w:szCs w:val="1"/>
                <w:color w:val="auto"/>
              </w:rPr>
            </w:pPr>
          </w:p>
        </w:tc>
      </w:tr>
      <w:tr>
        <w:trPr>
          <w:trHeight w:val="232"/>
        </w:trPr>
        <w:tc>
          <w:tcPr>
            <w:tcW w:w="50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7"/>
                <w:szCs w:val="17"/>
                <w:color w:val="auto"/>
                <w:w w:val="98"/>
              </w:rPr>
              <w:t>ments</w:t>
            </w:r>
          </w:p>
        </w:tc>
        <w:tc>
          <w:tcPr>
            <w:tcW w:w="1120" w:type="dxa"/>
            <w:vAlign w:val="bottom"/>
            <w:tcBorders>
              <w:bottom w:val="single" w:sz="8" w:color="auto"/>
            </w:tcBorders>
          </w:tcPr>
          <w:p>
            <w:pPr>
              <w:jc w:val="center"/>
              <w:ind w:left="274"/>
              <w:spacing w:after="0"/>
              <w:rPr>
                <w:sz w:val="20"/>
                <w:szCs w:val="20"/>
                <w:color w:val="auto"/>
              </w:rPr>
            </w:pPr>
            <w:r>
              <w:rPr>
                <w:rFonts w:ascii="Times New Roman" w:cs="Times New Roman" w:eastAsia="Times New Roman" w:hAnsi="Times New Roman"/>
                <w:sz w:val="17"/>
                <w:szCs w:val="17"/>
                <w:color w:val="auto"/>
              </w:rPr>
              <w:t>(Level 1)</w:t>
            </w:r>
          </w:p>
        </w:tc>
        <w:tc>
          <w:tcPr>
            <w:tcW w:w="6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7"/>
                <w:szCs w:val="17"/>
                <w:color w:val="auto"/>
                <w:w w:val="98"/>
              </w:rPr>
              <w:t>(Level 2)</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(Level 3</w:t>
            </w:r>
          </w:p>
        </w:tc>
        <w:tc>
          <w:tcPr>
            <w:tcW w:w="0" w:type="dxa"/>
            <w:vAlign w:val="bottom"/>
          </w:tcPr>
          <w:p>
            <w:pPr>
              <w:spacing w:after="0"/>
              <w:rPr>
                <w:sz w:val="1"/>
                <w:szCs w:val="1"/>
                <w:color w:val="auto"/>
              </w:rPr>
            </w:pPr>
          </w:p>
        </w:tc>
      </w:tr>
      <w:tr>
        <w:trPr>
          <w:trHeight w:val="225"/>
        </w:trPr>
        <w:tc>
          <w:tcPr>
            <w:tcW w:w="5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80" w:type="dxa"/>
            <w:vAlign w:val="bottom"/>
            <w:gridSpan w:val="3"/>
          </w:tcPr>
          <w:p>
            <w:pPr>
              <w:jc w:val="right"/>
              <w:ind w:right="974"/>
              <w:spacing w:after="0"/>
              <w:rPr>
                <w:sz w:val="20"/>
                <w:szCs w:val="20"/>
                <w:color w:val="auto"/>
              </w:rPr>
            </w:pPr>
            <w:r>
              <w:rPr>
                <w:rFonts w:ascii="Times New Roman" w:cs="Times New Roman" w:eastAsia="Times New Roman" w:hAnsi="Times New Roman"/>
                <w:sz w:val="17"/>
                <w:szCs w:val="17"/>
                <w:color w:val="auto"/>
              </w:rPr>
              <w:t>(In thousands)</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December 31, 2025:</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Measured at Fair Value on a Recurring Basis</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Assets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Securities available for sale</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U.S. agency</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7,917</w:t>
            </w:r>
          </w:p>
        </w:tc>
        <w:tc>
          <w:tcPr>
            <w:tcW w:w="112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  $</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7,917</w:t>
            </w:r>
          </w:p>
        </w:tc>
        <w:tc>
          <w:tcPr>
            <w:tcW w:w="102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2"/>
        </w:trPr>
        <w:tc>
          <w:tcPr>
            <w:tcW w:w="5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U.S. agency residential mortgage-backed</w:t>
            </w:r>
          </w:p>
        </w:tc>
        <w:tc>
          <w:tcPr>
            <w:tcW w:w="240" w:type="dxa"/>
            <w:vAlign w:val="bottom"/>
          </w:tcPr>
          <w:p>
            <w:pPr>
              <w:spacing w:after="0"/>
              <w:rPr>
                <w:sz w:val="20"/>
                <w:szCs w:val="20"/>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81,065</w:t>
            </w:r>
          </w:p>
        </w:tc>
        <w:tc>
          <w:tcPr>
            <w:tcW w:w="1120" w:type="dxa"/>
            <w:vAlign w:val="bottom"/>
          </w:tcPr>
          <w:p>
            <w:pPr>
              <w:spacing w:after="0"/>
              <w:rPr>
                <w:sz w:val="20"/>
                <w:szCs w:val="20"/>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81,065</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U.S. agency commercial mortgage-backed</w:t>
            </w: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7,186</w:t>
            </w:r>
          </w:p>
        </w:tc>
        <w:tc>
          <w:tcPr>
            <w:tcW w:w="1120" w:type="dxa"/>
            <w:vAlign w:val="bottom"/>
            <w:shd w:val="clear" w:color="auto" w:fill="CCEEFF"/>
          </w:tcPr>
          <w:p>
            <w:pPr>
              <w:spacing w:after="0"/>
              <w:rPr>
                <w:sz w:val="20"/>
                <w:szCs w:val="20"/>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7,186</w:t>
            </w: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Private label mortgage-backed</w:t>
            </w:r>
          </w:p>
        </w:tc>
        <w:tc>
          <w:tcPr>
            <w:tcW w:w="240" w:type="dxa"/>
            <w:vAlign w:val="bottom"/>
          </w:tcPr>
          <w:p>
            <w:pPr>
              <w:spacing w:after="0"/>
              <w:rPr>
                <w:sz w:val="20"/>
                <w:szCs w:val="20"/>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40,506</w:t>
            </w:r>
          </w:p>
        </w:tc>
        <w:tc>
          <w:tcPr>
            <w:tcW w:w="1120" w:type="dxa"/>
            <w:vAlign w:val="bottom"/>
          </w:tcPr>
          <w:p>
            <w:pPr>
              <w:spacing w:after="0"/>
              <w:rPr>
                <w:sz w:val="20"/>
                <w:szCs w:val="20"/>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40,506</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Other asset backed</w:t>
            </w: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30,185</w:t>
            </w:r>
          </w:p>
        </w:tc>
        <w:tc>
          <w:tcPr>
            <w:tcW w:w="1120" w:type="dxa"/>
            <w:vAlign w:val="bottom"/>
            <w:shd w:val="clear" w:color="auto" w:fill="CCEEFF"/>
          </w:tcPr>
          <w:p>
            <w:pPr>
              <w:spacing w:after="0"/>
              <w:rPr>
                <w:sz w:val="20"/>
                <w:szCs w:val="20"/>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30,185</w:t>
            </w: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Obligations of states and political subdivisions</w:t>
            </w:r>
          </w:p>
        </w:tc>
        <w:tc>
          <w:tcPr>
            <w:tcW w:w="240" w:type="dxa"/>
            <w:vAlign w:val="bottom"/>
          </w:tcPr>
          <w:p>
            <w:pPr>
              <w:spacing w:after="0"/>
              <w:rPr>
                <w:sz w:val="20"/>
                <w:szCs w:val="20"/>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280,402</w:t>
            </w:r>
          </w:p>
        </w:tc>
        <w:tc>
          <w:tcPr>
            <w:tcW w:w="1120" w:type="dxa"/>
            <w:vAlign w:val="bottom"/>
          </w:tcPr>
          <w:p>
            <w:pPr>
              <w:spacing w:after="0"/>
              <w:rPr>
                <w:sz w:val="20"/>
                <w:szCs w:val="20"/>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280,402</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Corporate</w:t>
            </w: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47,661</w:t>
            </w:r>
          </w:p>
        </w:tc>
        <w:tc>
          <w:tcPr>
            <w:tcW w:w="1120" w:type="dxa"/>
            <w:vAlign w:val="bottom"/>
            <w:shd w:val="clear" w:color="auto" w:fill="CCEEFF"/>
          </w:tcPr>
          <w:p>
            <w:pPr>
              <w:spacing w:after="0"/>
              <w:rPr>
                <w:sz w:val="20"/>
                <w:szCs w:val="20"/>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47,661</w:t>
            </w: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Trust preferred</w:t>
            </w:r>
          </w:p>
        </w:tc>
        <w:tc>
          <w:tcPr>
            <w:tcW w:w="240" w:type="dxa"/>
            <w:vAlign w:val="bottom"/>
          </w:tcPr>
          <w:p>
            <w:pPr>
              <w:spacing w:after="0"/>
              <w:rPr>
                <w:sz w:val="20"/>
                <w:szCs w:val="20"/>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987</w:t>
            </w:r>
          </w:p>
        </w:tc>
        <w:tc>
          <w:tcPr>
            <w:tcW w:w="1120" w:type="dxa"/>
            <w:vAlign w:val="bottom"/>
          </w:tcPr>
          <w:p>
            <w:pPr>
              <w:spacing w:after="0"/>
              <w:rPr>
                <w:sz w:val="20"/>
                <w:szCs w:val="20"/>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987</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Loans held for sale</w:t>
            </w: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9,031</w:t>
            </w:r>
          </w:p>
        </w:tc>
        <w:tc>
          <w:tcPr>
            <w:tcW w:w="1120" w:type="dxa"/>
            <w:vAlign w:val="bottom"/>
            <w:shd w:val="clear" w:color="auto" w:fill="CCEEFF"/>
          </w:tcPr>
          <w:p>
            <w:pPr>
              <w:spacing w:after="0"/>
              <w:rPr>
                <w:sz w:val="20"/>
                <w:szCs w:val="20"/>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9,031</w:t>
            </w: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Capitalized mortgage loan servicing rights</w:t>
            </w:r>
          </w:p>
        </w:tc>
        <w:tc>
          <w:tcPr>
            <w:tcW w:w="240" w:type="dxa"/>
            <w:vAlign w:val="bottom"/>
          </w:tcPr>
          <w:p>
            <w:pPr>
              <w:spacing w:after="0"/>
              <w:rPr>
                <w:sz w:val="20"/>
                <w:szCs w:val="20"/>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31,493</w:t>
            </w:r>
          </w:p>
        </w:tc>
        <w:tc>
          <w:tcPr>
            <w:tcW w:w="1120" w:type="dxa"/>
            <w:vAlign w:val="bottom"/>
          </w:tcPr>
          <w:p>
            <w:pPr>
              <w:spacing w:after="0"/>
              <w:rPr>
                <w:sz w:val="20"/>
                <w:szCs w:val="20"/>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Derivatives (1)</w:t>
            </w: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29,584</w:t>
            </w:r>
          </w:p>
        </w:tc>
        <w:tc>
          <w:tcPr>
            <w:tcW w:w="1120" w:type="dxa"/>
            <w:vAlign w:val="bottom"/>
            <w:shd w:val="clear" w:color="auto" w:fill="CCEEFF"/>
          </w:tcPr>
          <w:p>
            <w:pPr>
              <w:spacing w:after="0"/>
              <w:rPr>
                <w:sz w:val="20"/>
                <w:szCs w:val="20"/>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29,584</w:t>
            </w: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Derivatives (2)</w:t>
            </w: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19,551</w:t>
            </w:r>
          </w:p>
        </w:tc>
        <w:tc>
          <w:tcPr>
            <w:tcW w:w="1120" w:type="dxa"/>
            <w:vAlign w:val="bottom"/>
            <w:shd w:val="clear" w:color="auto" w:fill="CCEEFF"/>
          </w:tcPr>
          <w:p>
            <w:pPr>
              <w:spacing w:after="0"/>
              <w:rPr>
                <w:sz w:val="20"/>
                <w:szCs w:val="20"/>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19,551</w:t>
            </w: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64"/>
        </w:trPr>
        <w:tc>
          <w:tcPr>
            <w:tcW w:w="50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Measured at Fair Value on a Non-recurring Basis:</w:t>
            </w: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Assets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Collateral dependent loans (3)</w:t>
            </w: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Commercial</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Commercial and industrial</w:t>
            </w: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7,361</w:t>
            </w:r>
          </w:p>
        </w:tc>
        <w:tc>
          <w:tcPr>
            <w:tcW w:w="1120" w:type="dxa"/>
            <w:vAlign w:val="bottom"/>
            <w:shd w:val="clear" w:color="auto" w:fill="CCEEFF"/>
          </w:tcPr>
          <w:p>
            <w:pPr>
              <w:spacing w:after="0"/>
              <w:rPr>
                <w:sz w:val="20"/>
                <w:szCs w:val="20"/>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0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Commercial real estate</w:t>
            </w:r>
          </w:p>
        </w:tc>
        <w:tc>
          <w:tcPr>
            <w:tcW w:w="240" w:type="dxa"/>
            <w:vAlign w:val="bottom"/>
          </w:tcPr>
          <w:p>
            <w:pPr>
              <w:spacing w:after="0"/>
              <w:rPr>
                <w:sz w:val="20"/>
                <w:szCs w:val="20"/>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10,123</w:t>
            </w:r>
          </w:p>
        </w:tc>
        <w:tc>
          <w:tcPr>
            <w:tcW w:w="1120" w:type="dxa"/>
            <w:vAlign w:val="bottom"/>
          </w:tcPr>
          <w:p>
            <w:pPr>
              <w:spacing w:after="0"/>
              <w:rPr>
                <w:sz w:val="20"/>
                <w:szCs w:val="20"/>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Mortgage</w:t>
            </w: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0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1-4 family owner occupied - non-jumbo</w:t>
            </w:r>
          </w:p>
        </w:tc>
        <w:tc>
          <w:tcPr>
            <w:tcW w:w="240" w:type="dxa"/>
            <w:vAlign w:val="bottom"/>
          </w:tcPr>
          <w:p>
            <w:pPr>
              <w:spacing w:after="0"/>
              <w:rPr>
                <w:sz w:val="20"/>
                <w:szCs w:val="20"/>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432</w:t>
            </w:r>
          </w:p>
        </w:tc>
        <w:tc>
          <w:tcPr>
            <w:tcW w:w="1120" w:type="dxa"/>
            <w:vAlign w:val="bottom"/>
          </w:tcPr>
          <w:p>
            <w:pPr>
              <w:spacing w:after="0"/>
              <w:rPr>
                <w:sz w:val="20"/>
                <w:szCs w:val="20"/>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1-4 family non-owner occupied</w:t>
            </w: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14</w:t>
            </w:r>
          </w:p>
        </w:tc>
        <w:tc>
          <w:tcPr>
            <w:tcW w:w="1120" w:type="dxa"/>
            <w:vAlign w:val="bottom"/>
            <w:shd w:val="clear" w:color="auto" w:fill="CCEEFF"/>
          </w:tcPr>
          <w:p>
            <w:pPr>
              <w:spacing w:after="0"/>
              <w:rPr>
                <w:sz w:val="20"/>
                <w:szCs w:val="20"/>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0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1-4 family - 2nd lien</w:t>
            </w:r>
          </w:p>
        </w:tc>
        <w:tc>
          <w:tcPr>
            <w:tcW w:w="240" w:type="dxa"/>
            <w:vAlign w:val="bottom"/>
          </w:tcPr>
          <w:p>
            <w:pPr>
              <w:spacing w:after="0"/>
              <w:rPr>
                <w:sz w:val="20"/>
                <w:szCs w:val="20"/>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238</w:t>
            </w:r>
          </w:p>
        </w:tc>
        <w:tc>
          <w:tcPr>
            <w:tcW w:w="1120" w:type="dxa"/>
            <w:vAlign w:val="bottom"/>
          </w:tcPr>
          <w:p>
            <w:pPr>
              <w:spacing w:after="0"/>
              <w:rPr>
                <w:sz w:val="20"/>
                <w:szCs w:val="20"/>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Resort lending</w:t>
            </w: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37</w:t>
            </w:r>
          </w:p>
        </w:tc>
        <w:tc>
          <w:tcPr>
            <w:tcW w:w="1120" w:type="dxa"/>
            <w:vAlign w:val="bottom"/>
            <w:shd w:val="clear" w:color="auto" w:fill="CCEEFF"/>
          </w:tcPr>
          <w:p>
            <w:pPr>
              <w:spacing w:after="0"/>
              <w:rPr>
                <w:sz w:val="20"/>
                <w:szCs w:val="20"/>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Installment</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Boat lending</w:t>
            </w: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150</w:t>
            </w:r>
          </w:p>
        </w:tc>
        <w:tc>
          <w:tcPr>
            <w:tcW w:w="1120" w:type="dxa"/>
            <w:vAlign w:val="bottom"/>
            <w:shd w:val="clear" w:color="auto" w:fill="CCEEFF"/>
          </w:tcPr>
          <w:p>
            <w:pPr>
              <w:spacing w:after="0"/>
              <w:rPr>
                <w:sz w:val="20"/>
                <w:szCs w:val="20"/>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0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Recreational vehicle lending</w:t>
            </w:r>
          </w:p>
        </w:tc>
        <w:tc>
          <w:tcPr>
            <w:tcW w:w="240" w:type="dxa"/>
            <w:vAlign w:val="bottom"/>
          </w:tcPr>
          <w:p>
            <w:pPr>
              <w:spacing w:after="0"/>
              <w:rPr>
                <w:sz w:val="20"/>
                <w:szCs w:val="20"/>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153</w:t>
            </w:r>
          </w:p>
        </w:tc>
        <w:tc>
          <w:tcPr>
            <w:tcW w:w="1120" w:type="dxa"/>
            <w:vAlign w:val="bottom"/>
          </w:tcPr>
          <w:p>
            <w:pPr>
              <w:spacing w:after="0"/>
              <w:rPr>
                <w:sz w:val="20"/>
                <w:szCs w:val="20"/>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70</w:t>
            </w:r>
          </w:p>
        </w:tc>
        <w:tc>
          <w:tcPr>
            <w:tcW w:w="1120" w:type="dxa"/>
            <w:vAlign w:val="bottom"/>
            <w:shd w:val="clear" w:color="auto" w:fill="CCEEFF"/>
          </w:tcPr>
          <w:p>
            <w:pPr>
              <w:spacing w:after="0"/>
              <w:rPr>
                <w:sz w:val="20"/>
                <w:szCs w:val="20"/>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w:t>
      </w:r>
    </w:p>
    <w:p>
      <w:pPr>
        <w:spacing w:after="0" w:line="28" w:lineRule="exact"/>
        <w:rPr>
          <w:sz w:val="20"/>
          <w:szCs w:val="20"/>
          <w:color w:val="auto"/>
        </w:rPr>
      </w:pPr>
    </w:p>
    <w:p>
      <w:pPr>
        <w:ind w:left="300" w:hanging="297"/>
        <w:spacing w:after="0"/>
        <w:tabs>
          <w:tab w:leader="none" w:pos="3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accrued income and other assets</w:t>
      </w:r>
    </w:p>
    <w:p>
      <w:pPr>
        <w:spacing w:after="0" w:line="10"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accrued expenses and other liabilities</w:t>
      </w:r>
    </w:p>
    <w:p>
      <w:pPr>
        <w:spacing w:after="0" w:line="10"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Only includes individually evaluated loans with specific allocations of the ACL based on collateral value.</w:t>
      </w:r>
    </w:p>
    <w:p>
      <w:pPr>
        <w:spacing w:after="0" w:line="200" w:lineRule="exact"/>
        <w:rPr>
          <w:sz w:val="20"/>
          <w:szCs w:val="20"/>
          <w:color w:val="auto"/>
        </w:rPr>
      </w:pPr>
    </w:p>
    <w:p>
      <w:pPr>
        <w:spacing w:after="0" w:line="36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Changes in fair values for financial assets which we have elected the fair value option for the periods presented were as follows:</w:t>
      </w:r>
    </w:p>
    <w:p>
      <w:pPr>
        <w:spacing w:after="0" w:line="233"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7"/>
          <w:szCs w:val="17"/>
          <w:color w:val="auto"/>
        </w:rPr>
        <w:t>Changes in Fair Values for the Nine</w:t>
      </w:r>
    </w:p>
    <w:p>
      <w:pPr>
        <w:ind w:left="7560"/>
        <w:spacing w:after="0" w:line="205" w:lineRule="auto"/>
        <w:rPr>
          <w:sz w:val="20"/>
          <w:szCs w:val="20"/>
          <w:color w:val="auto"/>
        </w:rPr>
      </w:pPr>
      <w:r>
        <w:rPr>
          <w:rFonts w:ascii="Times New Roman" w:cs="Times New Roman" w:eastAsia="Times New Roman" w:hAnsi="Times New Roman"/>
          <w:sz w:val="17"/>
          <w:szCs w:val="17"/>
          <w:color w:val="auto"/>
        </w:rPr>
        <w:t>Month Periods Ended September 30 for</w:t>
      </w:r>
    </w:p>
    <w:p>
      <w:pPr>
        <w:ind w:left="7600"/>
        <w:spacing w:after="0" w:line="222" w:lineRule="auto"/>
        <w:rPr>
          <w:sz w:val="20"/>
          <w:szCs w:val="20"/>
          <w:color w:val="auto"/>
        </w:rPr>
      </w:pPr>
      <w:r>
        <w:rPr>
          <w:rFonts w:ascii="Times New Roman" w:cs="Times New Roman" w:eastAsia="Times New Roman" w:hAnsi="Times New Roman"/>
          <w:sz w:val="17"/>
          <w:szCs w:val="17"/>
          <w:color w:val="auto"/>
        </w:rPr>
        <w:t>items Measured at Fair Value Pursuant</w:t>
      </w:r>
    </w:p>
    <w:p>
      <w:pPr>
        <w:ind w:left="7700"/>
        <w:spacing w:after="0"/>
        <w:rPr>
          <w:sz w:val="20"/>
          <w:szCs w:val="20"/>
          <w:color w:val="auto"/>
        </w:rPr>
      </w:pPr>
      <w:r>
        <w:rPr>
          <w:rFonts w:ascii="Times New Roman" w:cs="Times New Roman" w:eastAsia="Times New Roman" w:hAnsi="Times New Roman"/>
          <w:sz w:val="17"/>
          <w:szCs w:val="17"/>
          <w:color w:val="auto"/>
        </w:rPr>
        <w:t>to Election of the Fair Value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4201795</wp:posOffset>
            </wp:positionH>
            <wp:positionV relativeFrom="paragraph">
              <wp:posOffset>5715</wp:posOffset>
            </wp:positionV>
            <wp:extent cx="29387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93878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5"/>
        </w:trPr>
        <w:tc>
          <w:tcPr>
            <w:tcW w:w="6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40" w:type="dxa"/>
            <w:vAlign w:val="bottom"/>
          </w:tcPr>
          <w:p>
            <w:pPr>
              <w:jc w:val="center"/>
              <w:ind w:right="154"/>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168"/>
        </w:trPr>
        <w:tc>
          <w:tcPr>
            <w:tcW w:w="6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40" w:type="dxa"/>
            <w:vAlign w:val="bottom"/>
          </w:tcPr>
          <w:p>
            <w:pPr>
              <w:jc w:val="center"/>
              <w:ind w:right="154"/>
              <w:spacing w:after="0" w:line="167" w:lineRule="exact"/>
              <w:rPr>
                <w:sz w:val="20"/>
                <w:szCs w:val="20"/>
                <w:color w:val="auto"/>
              </w:rPr>
            </w:pPr>
            <w:r>
              <w:rPr>
                <w:rFonts w:ascii="Times New Roman" w:cs="Times New Roman" w:eastAsia="Times New Roman" w:hAnsi="Times New Roman"/>
                <w:sz w:val="17"/>
                <w:szCs w:val="17"/>
                <w:color w:val="auto"/>
              </w:rPr>
              <w:t>Change</w:t>
            </w:r>
          </w:p>
        </w:tc>
        <w:tc>
          <w:tcPr>
            <w:tcW w:w="0" w:type="dxa"/>
            <w:vAlign w:val="bottom"/>
          </w:tcPr>
          <w:p>
            <w:pPr>
              <w:spacing w:after="0"/>
              <w:rPr>
                <w:sz w:val="1"/>
                <w:szCs w:val="1"/>
                <w:color w:val="auto"/>
              </w:rPr>
            </w:pPr>
          </w:p>
        </w:tc>
      </w:tr>
      <w:tr>
        <w:trPr>
          <w:trHeight w:val="177"/>
        </w:trPr>
        <w:tc>
          <w:tcPr>
            <w:tcW w:w="6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40" w:type="dxa"/>
            <w:vAlign w:val="bottom"/>
          </w:tcPr>
          <w:p>
            <w:pPr>
              <w:jc w:val="center"/>
              <w:ind w:right="134"/>
              <w:spacing w:after="0" w:line="177" w:lineRule="exact"/>
              <w:rPr>
                <w:sz w:val="20"/>
                <w:szCs w:val="20"/>
                <w:color w:val="auto"/>
              </w:rPr>
            </w:pPr>
            <w:r>
              <w:rPr>
                <w:rFonts w:ascii="Times New Roman" w:cs="Times New Roman" w:eastAsia="Times New Roman" w:hAnsi="Times New Roman"/>
                <w:sz w:val="17"/>
                <w:szCs w:val="17"/>
                <w:color w:val="auto"/>
              </w:rPr>
              <w:t>in Fair</w:t>
            </w:r>
          </w:p>
        </w:tc>
        <w:tc>
          <w:tcPr>
            <w:tcW w:w="0" w:type="dxa"/>
            <w:vAlign w:val="bottom"/>
          </w:tcPr>
          <w:p>
            <w:pPr>
              <w:spacing w:after="0"/>
              <w:rPr>
                <w:sz w:val="1"/>
                <w:szCs w:val="1"/>
                <w:color w:val="auto"/>
              </w:rPr>
            </w:pPr>
          </w:p>
        </w:tc>
      </w:tr>
      <w:tr>
        <w:trPr>
          <w:trHeight w:val="171"/>
        </w:trPr>
        <w:tc>
          <w:tcPr>
            <w:tcW w:w="6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auto"/>
              </w:rPr>
              <w:t>Net Gains (losses)</w:t>
            </w:r>
          </w:p>
        </w:tc>
        <w:tc>
          <w:tcPr>
            <w:tcW w:w="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40" w:type="dxa"/>
            <w:vAlign w:val="bottom"/>
          </w:tcPr>
          <w:p>
            <w:pPr>
              <w:jc w:val="center"/>
              <w:ind w:right="134"/>
              <w:spacing w:after="0" w:line="172" w:lineRule="exact"/>
              <w:rPr>
                <w:sz w:val="20"/>
                <w:szCs w:val="20"/>
                <w:color w:val="auto"/>
              </w:rPr>
            </w:pPr>
            <w:r>
              <w:rPr>
                <w:rFonts w:ascii="Times New Roman" w:cs="Times New Roman" w:eastAsia="Times New Roman" w:hAnsi="Times New Roman"/>
                <w:sz w:val="17"/>
                <w:szCs w:val="17"/>
                <w:color w:val="auto"/>
                <w:w w:val="97"/>
              </w:rPr>
              <w:t>Values</w:t>
            </w:r>
          </w:p>
        </w:tc>
        <w:tc>
          <w:tcPr>
            <w:tcW w:w="0" w:type="dxa"/>
            <w:vAlign w:val="bottom"/>
          </w:tcPr>
          <w:p>
            <w:pPr>
              <w:spacing w:after="0"/>
              <w:rPr>
                <w:sz w:val="1"/>
                <w:szCs w:val="1"/>
                <w:color w:val="auto"/>
              </w:rPr>
            </w:pPr>
          </w:p>
        </w:tc>
      </w:tr>
      <w:tr>
        <w:trPr>
          <w:trHeight w:val="90"/>
        </w:trPr>
        <w:tc>
          <w:tcPr>
            <w:tcW w:w="6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240" w:type="dxa"/>
            <w:vAlign w:val="bottom"/>
            <w:vMerge w:val="restart"/>
          </w:tcPr>
          <w:p>
            <w:pPr>
              <w:jc w:val="center"/>
              <w:ind w:right="154"/>
              <w:spacing w:after="0" w:line="167" w:lineRule="exact"/>
              <w:rPr>
                <w:sz w:val="20"/>
                <w:szCs w:val="20"/>
                <w:color w:val="auto"/>
              </w:rPr>
            </w:pPr>
            <w:r>
              <w:rPr>
                <w:rFonts w:ascii="Times New Roman" w:cs="Times New Roman" w:eastAsia="Times New Roman" w:hAnsi="Times New Roman"/>
                <w:sz w:val="17"/>
                <w:szCs w:val="17"/>
                <w:color w:val="auto"/>
              </w:rPr>
              <w:t>Included</w:t>
            </w:r>
          </w:p>
        </w:tc>
        <w:tc>
          <w:tcPr>
            <w:tcW w:w="0" w:type="dxa"/>
            <w:vAlign w:val="bottom"/>
          </w:tcPr>
          <w:p>
            <w:pPr>
              <w:spacing w:after="0"/>
              <w:rPr>
                <w:sz w:val="1"/>
                <w:szCs w:val="1"/>
                <w:color w:val="auto"/>
              </w:rPr>
            </w:pPr>
          </w:p>
        </w:tc>
      </w:tr>
      <w:tr>
        <w:trPr>
          <w:trHeight w:val="77"/>
        </w:trPr>
        <w:tc>
          <w:tcPr>
            <w:tcW w:w="6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auto"/>
              </w:rPr>
              <w:t>on Assets</w:t>
            </w:r>
          </w:p>
        </w:tc>
        <w:tc>
          <w:tcPr>
            <w:tcW w:w="2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66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vMerge w:val="continue"/>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center"/>
              <w:ind w:right="414"/>
              <w:spacing w:after="0" w:line="150" w:lineRule="exact"/>
              <w:rPr>
                <w:sz w:val="20"/>
                <w:szCs w:val="20"/>
                <w:color w:val="auto"/>
              </w:rPr>
            </w:pPr>
            <w:r>
              <w:rPr>
                <w:rFonts w:ascii="Times New Roman" w:cs="Times New Roman" w:eastAsia="Times New Roman" w:hAnsi="Times New Roman"/>
                <w:sz w:val="17"/>
                <w:szCs w:val="17"/>
                <w:color w:val="auto"/>
                <w:w w:val="99"/>
              </w:rPr>
              <w:t>Mortgage</w:t>
            </w:r>
          </w:p>
        </w:tc>
        <w:tc>
          <w:tcPr>
            <w:tcW w:w="1240" w:type="dxa"/>
            <w:vAlign w:val="bottom"/>
          </w:tcPr>
          <w:p>
            <w:pPr>
              <w:jc w:val="center"/>
              <w:ind w:right="134"/>
              <w:spacing w:after="0" w:line="150" w:lineRule="exact"/>
              <w:rPr>
                <w:sz w:val="20"/>
                <w:szCs w:val="20"/>
                <w:color w:val="auto"/>
              </w:rPr>
            </w:pPr>
            <w:r>
              <w:rPr>
                <w:rFonts w:ascii="Times New Roman" w:cs="Times New Roman" w:eastAsia="Times New Roman" w:hAnsi="Times New Roman"/>
                <w:sz w:val="17"/>
                <w:szCs w:val="17"/>
                <w:color w:val="auto"/>
              </w:rPr>
              <w:t>in Current</w:t>
            </w:r>
          </w:p>
        </w:tc>
        <w:tc>
          <w:tcPr>
            <w:tcW w:w="0" w:type="dxa"/>
            <w:vAlign w:val="bottom"/>
          </w:tcPr>
          <w:p>
            <w:pPr>
              <w:spacing w:after="0"/>
              <w:rPr>
                <w:sz w:val="1"/>
                <w:szCs w:val="1"/>
                <w:color w:val="auto"/>
              </w:rPr>
            </w:pPr>
          </w:p>
        </w:tc>
      </w:tr>
      <w:tr>
        <w:trPr>
          <w:trHeight w:val="178"/>
        </w:trPr>
        <w:tc>
          <w:tcPr>
            <w:tcW w:w="6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center"/>
              <w:ind w:right="14"/>
              <w:spacing w:after="0" w:line="178" w:lineRule="exact"/>
              <w:rPr>
                <w:sz w:val="20"/>
                <w:szCs w:val="20"/>
                <w:color w:val="auto"/>
              </w:rPr>
            </w:pPr>
            <w:r>
              <w:rPr>
                <w:rFonts w:ascii="Times New Roman" w:cs="Times New Roman" w:eastAsia="Times New Roman" w:hAnsi="Times New Roman"/>
                <w:sz w:val="17"/>
                <w:szCs w:val="17"/>
                <w:color w:val="auto"/>
              </w:rPr>
              <w:t>Mortgage</w:t>
            </w:r>
          </w:p>
        </w:tc>
        <w:tc>
          <w:tcPr>
            <w:tcW w:w="260" w:type="dxa"/>
            <w:vAlign w:val="bottom"/>
          </w:tcPr>
          <w:p>
            <w:pPr>
              <w:spacing w:after="0"/>
              <w:rPr>
                <w:sz w:val="15"/>
                <w:szCs w:val="15"/>
                <w:color w:val="auto"/>
              </w:rPr>
            </w:pPr>
          </w:p>
        </w:tc>
        <w:tc>
          <w:tcPr>
            <w:tcW w:w="1640" w:type="dxa"/>
            <w:vAlign w:val="bottom"/>
          </w:tcPr>
          <w:p>
            <w:pPr>
              <w:jc w:val="center"/>
              <w:ind w:right="414"/>
              <w:spacing w:after="0" w:line="178" w:lineRule="exact"/>
              <w:rPr>
                <w:sz w:val="20"/>
                <w:szCs w:val="20"/>
                <w:color w:val="auto"/>
              </w:rPr>
            </w:pPr>
            <w:r>
              <w:rPr>
                <w:rFonts w:ascii="Times New Roman" w:cs="Times New Roman" w:eastAsia="Times New Roman" w:hAnsi="Times New Roman"/>
                <w:sz w:val="17"/>
                <w:szCs w:val="17"/>
                <w:color w:val="auto"/>
                <w:w w:val="97"/>
              </w:rPr>
              <w:t>Loan</w:t>
            </w:r>
          </w:p>
        </w:tc>
        <w:tc>
          <w:tcPr>
            <w:tcW w:w="1240" w:type="dxa"/>
            <w:vAlign w:val="bottom"/>
          </w:tcPr>
          <w:p>
            <w:pPr>
              <w:jc w:val="center"/>
              <w:ind w:right="154"/>
              <w:spacing w:after="0" w:line="178" w:lineRule="exact"/>
              <w:rPr>
                <w:sz w:val="20"/>
                <w:szCs w:val="20"/>
                <w:color w:val="auto"/>
              </w:rPr>
            </w:pPr>
            <w:r>
              <w:rPr>
                <w:rFonts w:ascii="Times New Roman" w:cs="Times New Roman" w:eastAsia="Times New Roman" w:hAnsi="Times New Roman"/>
                <w:sz w:val="17"/>
                <w:szCs w:val="17"/>
                <w:color w:val="auto"/>
                <w:w w:val="99"/>
              </w:rPr>
              <w:t>Period</w:t>
            </w:r>
          </w:p>
        </w:tc>
        <w:tc>
          <w:tcPr>
            <w:tcW w:w="0" w:type="dxa"/>
            <w:vAlign w:val="bottom"/>
          </w:tcPr>
          <w:p>
            <w:pPr>
              <w:spacing w:after="0"/>
              <w:rPr>
                <w:sz w:val="1"/>
                <w:szCs w:val="1"/>
                <w:color w:val="auto"/>
              </w:rPr>
            </w:pPr>
          </w:p>
        </w:tc>
      </w:tr>
      <w:tr>
        <w:trPr>
          <w:trHeight w:val="228"/>
        </w:trPr>
        <w:tc>
          <w:tcPr>
            <w:tcW w:w="6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7"/>
                <w:szCs w:val="17"/>
                <w:color w:val="auto"/>
              </w:rPr>
              <w:t>Loans</w:t>
            </w: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right="414"/>
              <w:spacing w:after="0"/>
              <w:rPr>
                <w:sz w:val="20"/>
                <w:szCs w:val="20"/>
                <w:color w:val="auto"/>
              </w:rPr>
            </w:pPr>
            <w:r>
              <w:rPr>
                <w:rFonts w:ascii="Times New Roman" w:cs="Times New Roman" w:eastAsia="Times New Roman" w:hAnsi="Times New Roman"/>
                <w:sz w:val="17"/>
                <w:szCs w:val="17"/>
                <w:color w:val="auto"/>
                <w:w w:val="99"/>
              </w:rPr>
              <w:t>Servicing, net</w:t>
            </w:r>
          </w:p>
        </w:tc>
        <w:tc>
          <w:tcPr>
            <w:tcW w:w="124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7"/>
                <w:szCs w:val="17"/>
                <w:color w:val="auto"/>
                <w:w w:val="99"/>
              </w:rPr>
              <w:t>Earnings</w:t>
            </w:r>
          </w:p>
        </w:tc>
        <w:tc>
          <w:tcPr>
            <w:tcW w:w="0" w:type="dxa"/>
            <w:vAlign w:val="bottom"/>
          </w:tcPr>
          <w:p>
            <w:pPr>
              <w:spacing w:after="0"/>
              <w:rPr>
                <w:sz w:val="1"/>
                <w:szCs w:val="1"/>
                <w:color w:val="auto"/>
              </w:rPr>
            </w:pPr>
          </w:p>
        </w:tc>
      </w:tr>
      <w:tr>
        <w:trPr>
          <w:trHeight w:val="230"/>
        </w:trPr>
        <w:tc>
          <w:tcPr>
            <w:tcW w:w="6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center"/>
              <w:ind w:right="414"/>
              <w:spacing w:after="0"/>
              <w:rPr>
                <w:sz w:val="20"/>
                <w:szCs w:val="20"/>
                <w:color w:val="auto"/>
              </w:rPr>
            </w:pPr>
            <w:r>
              <w:rPr>
                <w:rFonts w:ascii="Times New Roman" w:cs="Times New Roman" w:eastAsia="Times New Roman" w:hAnsi="Times New Roman"/>
                <w:sz w:val="17"/>
                <w:szCs w:val="17"/>
                <w:color w:val="auto"/>
              </w:rPr>
              <w:t>(In thousands)</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Loans held for sale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  $</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0" w:type="dxa"/>
            <w:vAlign w:val="bottom"/>
          </w:tcPr>
          <w:p>
            <w:pPr>
              <w:spacing w:after="0"/>
              <w:rPr>
                <w:sz w:val="1"/>
                <w:szCs w:val="1"/>
                <w:color w:val="auto"/>
              </w:rPr>
            </w:pPr>
          </w:p>
        </w:tc>
      </w:tr>
      <w:tr>
        <w:trPr>
          <w:trHeight w:val="232"/>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Capitalized mortgage loan servicing rights</w:t>
            </w:r>
          </w:p>
        </w:tc>
        <w:tc>
          <w:tcPr>
            <w:tcW w:w="100" w:type="dxa"/>
            <w:vAlign w:val="bottom"/>
          </w:tcPr>
          <w:p>
            <w:pPr>
              <w:spacing w:after="0"/>
              <w:rPr>
                <w:sz w:val="20"/>
                <w:szCs w:val="20"/>
                <w:color w:val="auto"/>
              </w:rPr>
            </w:pPr>
          </w:p>
        </w:tc>
        <w:tc>
          <w:tcPr>
            <w:tcW w:w="1380" w:type="dxa"/>
            <w:vAlign w:val="bottom"/>
          </w:tcPr>
          <w:p>
            <w:pPr>
              <w:ind w:left="11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164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3,273</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3,273</w:t>
            </w:r>
          </w:p>
        </w:tc>
        <w:tc>
          <w:tcPr>
            <w:tcW w:w="0" w:type="dxa"/>
            <w:vAlign w:val="bottom"/>
          </w:tcPr>
          <w:p>
            <w:pPr>
              <w:spacing w:after="0"/>
              <w:rPr>
                <w:sz w:val="1"/>
                <w:szCs w:val="1"/>
                <w:color w:val="auto"/>
              </w:rPr>
            </w:pPr>
          </w:p>
        </w:tc>
      </w:tr>
      <w:tr>
        <w:trPr>
          <w:trHeight w:val="258"/>
        </w:trPr>
        <w:tc>
          <w:tcPr>
            <w:tcW w:w="6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Loans held for sale</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7"/>
                <w:szCs w:val="17"/>
                <w:color w:val="auto"/>
              </w:rPr>
              <w:t>38</w:t>
            </w:r>
          </w:p>
        </w:tc>
        <w:tc>
          <w:tcPr>
            <w:tcW w:w="260" w:type="dxa"/>
            <w:vAlign w:val="bottom"/>
            <w:shd w:val="clear" w:color="auto" w:fill="CCEEFF"/>
          </w:tcPr>
          <w:p>
            <w:pPr>
              <w:spacing w:after="0"/>
              <w:rPr>
                <w:sz w:val="20"/>
                <w:szCs w:val="20"/>
                <w:color w:val="auto"/>
              </w:rPr>
            </w:pPr>
          </w:p>
        </w:tc>
        <w:tc>
          <w:tcPr>
            <w:tcW w:w="164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32"/>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Capitalized mortgage loan servicing rights</w:t>
            </w:r>
          </w:p>
        </w:tc>
        <w:tc>
          <w:tcPr>
            <w:tcW w:w="100" w:type="dxa"/>
            <w:vAlign w:val="bottom"/>
          </w:tcPr>
          <w:p>
            <w:pPr>
              <w:spacing w:after="0"/>
              <w:rPr>
                <w:sz w:val="20"/>
                <w:szCs w:val="20"/>
                <w:color w:val="auto"/>
              </w:rPr>
            </w:pPr>
          </w:p>
        </w:tc>
        <w:tc>
          <w:tcPr>
            <w:tcW w:w="1380" w:type="dxa"/>
            <w:vAlign w:val="bottom"/>
          </w:tcPr>
          <w:p>
            <w:pPr>
              <w:ind w:left="11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164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rPr>
              <w:t>(4,984)</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(4,984)</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For those items measured at fair value pursuant to our election of the fair value option, interest income is recorded within the interim Condensed Consolidated Statements of Operations based on the contractual amount of interest income earned on these financial assets.</w:t>
      </w:r>
    </w:p>
    <w:p>
      <w:pPr>
        <w:spacing w:after="0" w:line="11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following represent impairment charges recognized during the three and nine month periods ended September 30, 2026 and 2025 relating to assets measured at fair value on a non-recurring basis:</w:t>
      </w:r>
    </w:p>
    <w:p>
      <w:pPr>
        <w:spacing w:after="0" w:line="1" w:lineRule="exact"/>
        <w:rPr>
          <w:sz w:val="20"/>
          <w:szCs w:val="20"/>
          <w:color w:val="auto"/>
        </w:rPr>
      </w:pPr>
    </w:p>
    <w:p>
      <w:pPr>
        <w:jc w:val="both"/>
        <w:ind w:left="620" w:hanging="307"/>
        <w:spacing w:after="0" w:line="256"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Loans that are individually evaluated using the fair value of collateral for collateral dependent loans had a carrying amount of $16.0 million, which is net of a valuation allowance of $13.0 million at September 30, 2026, and had a carrying amount of $18.6 million, which is net of a valuation allowance of $6.8 million at December 31, 2025. The provision for credit losses included in our results of operations relating to collateral dependent loans was a net expense of $3.7 million and $1.3 million for the three month periods ending September 30, 2026 and 2025, respectively, and a net expense of $7.5 million and $3.3 million for the nine month periods ending September 30, 2026 and 2025, respectively.</w:t>
      </w:r>
    </w:p>
    <w:p>
      <w:pPr>
        <w:spacing w:after="0" w:line="200" w:lineRule="exact"/>
        <w:rPr>
          <w:sz w:val="20"/>
          <w:szCs w:val="20"/>
          <w:color w:val="auto"/>
        </w:rPr>
      </w:pPr>
    </w:p>
    <w:p>
      <w:pPr>
        <w:spacing w:after="0" w:line="33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reconciliation for all assets measured at fair value on a recurring basis using significant unobservable inputs (Level 3)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6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7"/>
                <w:szCs w:val="17"/>
                <w:color w:val="auto"/>
              </w:rPr>
              <w:t>Capitalized Mortgage Loan Servicing Rights</w:t>
            </w: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5260" w:type="dxa"/>
            <w:vAlign w:val="bottom"/>
          </w:tcPr>
          <w:p>
            <w:pPr>
              <w:spacing w:after="0"/>
              <w:rPr>
                <w:sz w:val="15"/>
                <w:szCs w:val="15"/>
                <w:color w:val="auto"/>
              </w:rPr>
            </w:pPr>
          </w:p>
        </w:tc>
        <w:tc>
          <w:tcPr>
            <w:tcW w:w="2500" w:type="dxa"/>
            <w:vAlign w:val="bottom"/>
            <w:gridSpan w:val="5"/>
          </w:tcPr>
          <w:p>
            <w:pPr>
              <w:jc w:val="right"/>
              <w:ind w:right="260"/>
              <w:spacing w:after="0" w:line="173" w:lineRule="exact"/>
              <w:rPr>
                <w:sz w:val="20"/>
                <w:szCs w:val="20"/>
                <w:color w:val="auto"/>
              </w:rPr>
            </w:pPr>
            <w:r>
              <w:rPr>
                <w:rFonts w:ascii="Times New Roman" w:cs="Times New Roman" w:eastAsia="Times New Roman" w:hAnsi="Times New Roman"/>
                <w:sz w:val="17"/>
                <w:szCs w:val="17"/>
                <w:color w:val="auto"/>
              </w:rPr>
              <w:t>Three Months Ended</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40" w:type="dxa"/>
            <w:vAlign w:val="bottom"/>
            <w:gridSpan w:val="4"/>
          </w:tcPr>
          <w:p>
            <w:pPr>
              <w:jc w:val="right"/>
              <w:ind w:right="634"/>
              <w:spacing w:after="0" w:line="173" w:lineRule="exact"/>
              <w:rPr>
                <w:sz w:val="20"/>
                <w:szCs w:val="20"/>
                <w:color w:val="auto"/>
              </w:rPr>
            </w:pPr>
            <w:r>
              <w:rPr>
                <w:rFonts w:ascii="Times New Roman" w:cs="Times New Roman" w:eastAsia="Times New Roman" w:hAnsi="Times New Roman"/>
                <w:sz w:val="17"/>
                <w:szCs w:val="17"/>
                <w:color w:val="auto"/>
              </w:rPr>
              <w:t>Nine Months Ended</w:t>
            </w:r>
          </w:p>
        </w:tc>
        <w:tc>
          <w:tcPr>
            <w:tcW w:w="0" w:type="dxa"/>
            <w:vAlign w:val="bottom"/>
          </w:tcPr>
          <w:p>
            <w:pPr>
              <w:spacing w:after="0"/>
              <w:rPr>
                <w:sz w:val="1"/>
                <w:szCs w:val="1"/>
                <w:color w:val="auto"/>
              </w:rPr>
            </w:pPr>
          </w:p>
        </w:tc>
      </w:tr>
      <w:tr>
        <w:trPr>
          <w:trHeight w:val="223"/>
        </w:trPr>
        <w:tc>
          <w:tcPr>
            <w:tcW w:w="5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580" w:type="dxa"/>
            <w:vAlign w:val="bottom"/>
            <w:gridSpan w:val="4"/>
          </w:tcPr>
          <w:p>
            <w:pPr>
              <w:jc w:val="right"/>
              <w:ind w:right="480"/>
              <w:spacing w:after="0"/>
              <w:rPr>
                <w:sz w:val="20"/>
                <w:szCs w:val="20"/>
                <w:color w:val="auto"/>
              </w:rPr>
            </w:pPr>
            <w:r>
              <w:rPr>
                <w:rFonts w:ascii="Times New Roman" w:cs="Times New Roman" w:eastAsia="Times New Roman" w:hAnsi="Times New Roman"/>
                <w:sz w:val="17"/>
                <w:szCs w:val="17"/>
                <w:color w:val="auto"/>
              </w:rPr>
              <w:t>September 30,</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September 30,</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26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2026</w:t>
            </w:r>
          </w:p>
        </w:tc>
        <w:tc>
          <w:tcPr>
            <w:tcW w:w="5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2025</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2026</w:t>
            </w: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w w:val="99"/>
              </w:rPr>
              <w:t>2025</w:t>
            </w:r>
          </w:p>
        </w:tc>
        <w:tc>
          <w:tcPr>
            <w:tcW w:w="0" w:type="dxa"/>
            <w:vAlign w:val="bottom"/>
          </w:tcPr>
          <w:p>
            <w:pPr>
              <w:spacing w:after="0"/>
              <w:rPr>
                <w:sz w:val="1"/>
                <w:szCs w:val="1"/>
                <w:color w:val="auto"/>
              </w:rPr>
            </w:pPr>
          </w:p>
        </w:tc>
      </w:tr>
      <w:tr>
        <w:trPr>
          <w:trHeight w:val="225"/>
        </w:trPr>
        <w:tc>
          <w:tcPr>
            <w:tcW w:w="5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580" w:type="dxa"/>
            <w:vAlign w:val="bottom"/>
            <w:gridSpan w:val="4"/>
          </w:tcPr>
          <w:p>
            <w:pPr>
              <w:jc w:val="right"/>
              <w:ind w:right="480"/>
              <w:spacing w:after="0"/>
              <w:rPr>
                <w:sz w:val="20"/>
                <w:szCs w:val="20"/>
                <w:color w:val="auto"/>
              </w:rPr>
            </w:pPr>
            <w:r>
              <w:rPr>
                <w:rFonts w:ascii="Times New Roman" w:cs="Times New Roman" w:eastAsia="Times New Roman" w:hAnsi="Times New Roman"/>
                <w:sz w:val="17"/>
                <w:szCs w:val="17"/>
                <w:color w:val="auto"/>
              </w:rPr>
              <w:t>(In thousands)</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(In thousands)</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w:t>
            </w:r>
          </w:p>
        </w:tc>
        <w:tc>
          <w:tcPr>
            <w:tcW w:w="92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33,949</w:t>
            </w:r>
          </w:p>
        </w:tc>
        <w:tc>
          <w:tcPr>
            <w:tcW w:w="1080" w:type="dxa"/>
            <w:vAlign w:val="bottom"/>
            <w:gridSpan w:val="3"/>
            <w:shd w:val="clear" w:color="auto" w:fill="CCEEFF"/>
          </w:tcPr>
          <w:p>
            <w:pPr>
              <w:jc w:val="right"/>
              <w:ind w:right="84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32,053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31,493</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46,796</w:t>
            </w:r>
          </w:p>
        </w:tc>
        <w:tc>
          <w:tcPr>
            <w:tcW w:w="0" w:type="dxa"/>
            <w:vAlign w:val="bottom"/>
          </w:tcPr>
          <w:p>
            <w:pPr>
              <w:spacing w:after="0"/>
              <w:rPr>
                <w:sz w:val="1"/>
                <w:szCs w:val="1"/>
                <w:color w:val="auto"/>
              </w:rPr>
            </w:pPr>
          </w:p>
        </w:tc>
      </w:tr>
      <w:tr>
        <w:trPr>
          <w:trHeight w:val="232"/>
        </w:trPr>
        <w:tc>
          <w:tcPr>
            <w:tcW w:w="52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 gains (losses) realized and unrealized:</w:t>
            </w:r>
          </w:p>
        </w:tc>
        <w:tc>
          <w:tcPr>
            <w:tcW w:w="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Included in results of operations</w:t>
            </w:r>
          </w:p>
        </w:tc>
        <w:tc>
          <w:tcPr>
            <w:tcW w:w="92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2,428</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3,273</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(4,984)</w:t>
            </w:r>
          </w:p>
        </w:tc>
        <w:tc>
          <w:tcPr>
            <w:tcW w:w="0" w:type="dxa"/>
            <w:vAlign w:val="bottom"/>
          </w:tcPr>
          <w:p>
            <w:pPr>
              <w:spacing w:after="0"/>
              <w:rPr>
                <w:sz w:val="1"/>
                <w:szCs w:val="1"/>
                <w:color w:val="auto"/>
              </w:rPr>
            </w:pPr>
          </w:p>
        </w:tc>
      </w:tr>
      <w:tr>
        <w:trPr>
          <w:trHeight w:val="232"/>
        </w:trPr>
        <w:tc>
          <w:tcPr>
            <w:tcW w:w="52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Included in results of operations - gain on sale(1)</w:t>
            </w:r>
          </w:p>
        </w:tc>
        <w:tc>
          <w:tcPr>
            <w:tcW w:w="9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w:t>
            </w:r>
          </w:p>
        </w:tc>
        <w:tc>
          <w:tcPr>
            <w:tcW w:w="0" w:type="dxa"/>
            <w:vAlign w:val="bottom"/>
          </w:tcPr>
          <w:p>
            <w:pPr>
              <w:spacing w:after="0"/>
              <w:rPr>
                <w:sz w:val="1"/>
                <w:szCs w:val="1"/>
                <w:color w:val="auto"/>
              </w:rPr>
            </w:pPr>
          </w:p>
        </w:tc>
      </w:tr>
      <w:tr>
        <w:trPr>
          <w:trHeight w:val="232"/>
        </w:trPr>
        <w:tc>
          <w:tcPr>
            <w:tcW w:w="5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Included in other comprehensive loss</w:t>
            </w:r>
          </w:p>
        </w:tc>
        <w:tc>
          <w:tcPr>
            <w:tcW w:w="92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2"/>
        </w:trPr>
        <w:tc>
          <w:tcPr>
            <w:tcW w:w="52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Purchases, issuances, settlements, maturities and calls</w:t>
            </w:r>
          </w:p>
        </w:tc>
        <w:tc>
          <w:tcPr>
            <w:tcW w:w="9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1,067</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2,678</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2,766</w:t>
            </w:r>
          </w:p>
        </w:tc>
        <w:tc>
          <w:tcPr>
            <w:tcW w:w="0" w:type="dxa"/>
            <w:vAlign w:val="bottom"/>
          </w:tcPr>
          <w:p>
            <w:pPr>
              <w:spacing w:after="0"/>
              <w:rPr>
                <w:sz w:val="1"/>
                <w:szCs w:val="1"/>
                <w:color w:val="auto"/>
              </w:rPr>
            </w:pPr>
          </w:p>
        </w:tc>
      </w:tr>
      <w:tr>
        <w:trPr>
          <w:trHeight w:val="180"/>
        </w:trPr>
        <w:tc>
          <w:tcPr>
            <w:tcW w:w="526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7"/>
                <w:szCs w:val="17"/>
                <w:color w:val="auto"/>
              </w:rPr>
              <w:t>Mortgage servicing rights acquired in the acquisition of HCB Financial</w:t>
            </w:r>
          </w:p>
        </w:tc>
        <w:tc>
          <w:tcPr>
            <w:tcW w:w="9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5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Corp.</w:t>
            </w:r>
          </w:p>
        </w:tc>
        <w:tc>
          <w:tcPr>
            <w:tcW w:w="92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2"/>
        </w:trPr>
        <w:tc>
          <w:tcPr>
            <w:tcW w:w="52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Sales(1)</w:t>
            </w:r>
          </w:p>
        </w:tc>
        <w:tc>
          <w:tcPr>
            <w:tcW w:w="9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(12,823)</w:t>
            </w:r>
          </w:p>
        </w:tc>
        <w:tc>
          <w:tcPr>
            <w:tcW w:w="0" w:type="dxa"/>
            <w:vAlign w:val="bottom"/>
          </w:tcPr>
          <w:p>
            <w:pPr>
              <w:spacing w:after="0"/>
              <w:rPr>
                <w:sz w:val="1"/>
                <w:szCs w:val="1"/>
                <w:color w:val="auto"/>
              </w:rPr>
            </w:pPr>
          </w:p>
        </w:tc>
      </w:tr>
      <w:tr>
        <w:trPr>
          <w:trHeight w:val="232"/>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Transfers in and/or out of Level 3</w:t>
            </w:r>
          </w:p>
        </w:tc>
        <w:tc>
          <w:tcPr>
            <w:tcW w:w="92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5"/>
        </w:trPr>
        <w:tc>
          <w:tcPr>
            <w:tcW w:w="5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920" w:type="dxa"/>
            <w:vAlign w:val="bottom"/>
          </w:tcPr>
          <w:p>
            <w:pPr>
              <w:jc w:val="right"/>
              <w:ind w:right="73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37,839</w:t>
            </w:r>
          </w:p>
        </w:tc>
        <w:tc>
          <w:tcPr>
            <w:tcW w:w="1080" w:type="dxa"/>
            <w:vAlign w:val="bottom"/>
            <w:gridSpan w:val="3"/>
          </w:tcPr>
          <w:p>
            <w:pPr>
              <w:jc w:val="right"/>
              <w:ind w:right="84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31,522</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37,839</w:t>
            </w:r>
          </w:p>
        </w:tc>
        <w:tc>
          <w:tcPr>
            <w:tcW w:w="80" w:type="dxa"/>
            <w:vAlign w:val="bottom"/>
          </w:tcPr>
          <w:p>
            <w:pPr>
              <w:spacing w:after="0"/>
              <w:rPr>
                <w:sz w:val="19"/>
                <w:szCs w:val="19"/>
                <w:color w:val="auto"/>
              </w:rPr>
            </w:pPr>
          </w:p>
        </w:tc>
        <w:tc>
          <w:tcPr>
            <w:tcW w:w="5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31,522</w:t>
            </w:r>
          </w:p>
        </w:tc>
        <w:tc>
          <w:tcPr>
            <w:tcW w:w="0" w:type="dxa"/>
            <w:vAlign w:val="bottom"/>
          </w:tcPr>
          <w:p>
            <w:pPr>
              <w:spacing w:after="0"/>
              <w:rPr>
                <w:sz w:val="1"/>
                <w:szCs w:val="1"/>
                <w:color w:val="auto"/>
              </w:rPr>
            </w:pP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26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Amount of total gains (losses) for the period included in earnings</w:t>
            </w: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5260" w:type="dxa"/>
            <w:vAlign w:val="bottom"/>
          </w:tcPr>
          <w:p>
            <w:pPr>
              <w:ind w:left="180"/>
              <w:spacing w:after="0" w:line="167" w:lineRule="exact"/>
              <w:rPr>
                <w:sz w:val="20"/>
                <w:szCs w:val="20"/>
                <w:color w:val="auto"/>
              </w:rPr>
            </w:pPr>
            <w:r>
              <w:rPr>
                <w:rFonts w:ascii="Times New Roman" w:cs="Times New Roman" w:eastAsia="Times New Roman" w:hAnsi="Times New Roman"/>
                <w:sz w:val="17"/>
                <w:szCs w:val="17"/>
                <w:color w:val="auto"/>
              </w:rPr>
              <w:t>attributable to the change in unrealized gains (losses) relating to assets</w:t>
            </w:r>
          </w:p>
        </w:tc>
        <w:tc>
          <w:tcPr>
            <w:tcW w:w="920" w:type="dxa"/>
            <w:vAlign w:val="bottom"/>
            <w:vMerge w:val="restart"/>
          </w:tcPr>
          <w:p>
            <w:pPr>
              <w:jc w:val="right"/>
              <w:ind w:right="73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2,428</w:t>
            </w:r>
          </w:p>
        </w:tc>
        <w:tc>
          <w:tcPr>
            <w:tcW w:w="1080" w:type="dxa"/>
            <w:vAlign w:val="bottom"/>
            <w:gridSpan w:val="3"/>
            <w:vMerge w:val="restart"/>
          </w:tcPr>
          <w:p>
            <w:pPr>
              <w:jc w:val="right"/>
              <w:ind w:right="84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(1,479)</w:t>
            </w:r>
          </w:p>
        </w:tc>
        <w:tc>
          <w:tcPr>
            <w:tcW w:w="100" w:type="dxa"/>
            <w:vAlign w:val="bottom"/>
          </w:tcPr>
          <w:p>
            <w:pPr>
              <w:spacing w:after="0"/>
              <w:rPr>
                <w:sz w:val="14"/>
                <w:szCs w:val="14"/>
                <w:color w:val="auto"/>
              </w:rPr>
            </w:pPr>
          </w:p>
        </w:tc>
        <w:tc>
          <w:tcPr>
            <w:tcW w:w="300" w:type="dxa"/>
            <w:vAlign w:val="bottom"/>
            <w:vMerge w:val="restart"/>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3,273</w:t>
            </w:r>
          </w:p>
        </w:tc>
        <w:tc>
          <w:tcPr>
            <w:tcW w:w="80" w:type="dxa"/>
            <w:vAlign w:val="bottom"/>
          </w:tcPr>
          <w:p>
            <w:pPr>
              <w:spacing w:after="0"/>
              <w:rPr>
                <w:sz w:val="14"/>
                <w:szCs w:val="14"/>
                <w:color w:val="auto"/>
              </w:rPr>
            </w:pPr>
          </w:p>
        </w:tc>
        <w:tc>
          <w:tcPr>
            <w:tcW w:w="500" w:type="dxa"/>
            <w:vAlign w:val="bottom"/>
            <w:vMerge w:val="restart"/>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(4,984)</w:t>
            </w:r>
          </w:p>
        </w:tc>
        <w:tc>
          <w:tcPr>
            <w:tcW w:w="0" w:type="dxa"/>
            <w:vAlign w:val="bottom"/>
          </w:tcPr>
          <w:p>
            <w:pPr>
              <w:spacing w:after="0"/>
              <w:rPr>
                <w:sz w:val="1"/>
                <w:szCs w:val="1"/>
                <w:color w:val="auto"/>
              </w:rPr>
            </w:pPr>
          </w:p>
        </w:tc>
      </w:tr>
      <w:tr>
        <w:trPr>
          <w:trHeight w:val="206"/>
        </w:trPr>
        <w:tc>
          <w:tcPr>
            <w:tcW w:w="52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and liabilities still held at September 30</w:t>
            </w:r>
          </w:p>
        </w:tc>
        <w:tc>
          <w:tcPr>
            <w:tcW w:w="920" w:type="dxa"/>
            <w:vAlign w:val="bottom"/>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1080" w:type="dxa"/>
            <w:vAlign w:val="bottom"/>
            <w:gridSpan w:val="3"/>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jc w:val="both"/>
        <w:ind w:left="320" w:hanging="317"/>
        <w:spacing w:after="0" w:line="262" w:lineRule="auto"/>
        <w:tabs>
          <w:tab w:leader="none" w:pos="463"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31, 2025 we sold $931.6 million of mortgage loan servicing rights (26.3% of total servicing portfolio) and transferred the servicing on March 3, 2025. This sale represented approximately $13.1 million (27.9%) of the total capitalized mortgage loan servicing right asset. Transaction expenses relating to this sale were approximately $0.2 million and were expensed in 2025.</w:t>
      </w:r>
    </w:p>
    <w:p>
      <w:pPr>
        <w:spacing w:after="0" w:line="1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fair value of our capitalized mortgage loan servicing rights has been determined based on a valuation model used by an independent third party as discussed above. The significant unobservable inputs used in the fair value measurement of the capitalized mortgage loan servicing rights are discount rate, cost to service, ancillary income, float rate and prepayment rate. Significant changes in all five of these assumptions in isolation would result in significant changes to the value of our capitalized mortgage loan servicing rights. Quantitative information about our Level 3 fair value measurements measured on a recurring basis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Asset</w:t>
            </w:r>
          </w:p>
        </w:tc>
        <w:tc>
          <w:tcPr>
            <w:tcW w:w="2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Valuation</w:t>
            </w:r>
          </w:p>
        </w:tc>
        <w:tc>
          <w:tcPr>
            <w:tcW w:w="100" w:type="dxa"/>
            <w:vAlign w:val="bottom"/>
          </w:tcPr>
          <w:p>
            <w:pPr>
              <w:spacing w:after="0"/>
              <w:rPr>
                <w:sz w:val="16"/>
                <w:szCs w:val="16"/>
                <w:color w:val="auto"/>
              </w:rPr>
            </w:pPr>
          </w:p>
        </w:tc>
        <w:tc>
          <w:tcPr>
            <w:tcW w:w="19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7"/>
                <w:szCs w:val="17"/>
                <w:color w:val="auto"/>
              </w:rPr>
              <w:t>Unobservable</w:t>
            </w: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vMerge w:val="restart"/>
          </w:tcPr>
          <w:p>
            <w:pPr>
              <w:jc w:val="right"/>
              <w:ind w:right="374"/>
              <w:spacing w:after="0"/>
              <w:rPr>
                <w:sz w:val="20"/>
                <w:szCs w:val="20"/>
                <w:color w:val="auto"/>
              </w:rPr>
            </w:pPr>
            <w:r>
              <w:rPr>
                <w:rFonts w:ascii="Times New Roman" w:cs="Times New Roman" w:eastAsia="Times New Roman" w:hAnsi="Times New Roman"/>
                <w:sz w:val="17"/>
                <w:szCs w:val="17"/>
                <w:color w:val="auto"/>
              </w:rPr>
              <w:t>Weighted</w:t>
            </w:r>
          </w:p>
        </w:tc>
        <w:tc>
          <w:tcPr>
            <w:tcW w:w="0" w:type="dxa"/>
            <w:vAlign w:val="bottom"/>
          </w:tcPr>
          <w:p>
            <w:pPr>
              <w:spacing w:after="0"/>
              <w:rPr>
                <w:sz w:val="1"/>
                <w:szCs w:val="1"/>
                <w:color w:val="auto"/>
              </w:rPr>
            </w:pPr>
          </w:p>
        </w:tc>
      </w:tr>
      <w:tr>
        <w:trPr>
          <w:trHeight w:val="171"/>
        </w:trPr>
        <w:tc>
          <w:tcPr>
            <w:tcW w:w="2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260"/>
              <w:spacing w:after="0" w:line="172" w:lineRule="exact"/>
              <w:rPr>
                <w:sz w:val="20"/>
                <w:szCs w:val="20"/>
                <w:color w:val="auto"/>
              </w:rPr>
            </w:pPr>
            <w:r>
              <w:rPr>
                <w:rFonts w:ascii="Times New Roman" w:cs="Times New Roman" w:eastAsia="Times New Roman" w:hAnsi="Times New Roman"/>
                <w:sz w:val="17"/>
                <w:szCs w:val="17"/>
                <w:color w:val="auto"/>
              </w:rPr>
              <w:t>Fair</w:t>
            </w:r>
          </w:p>
        </w:tc>
        <w:tc>
          <w:tcPr>
            <w:tcW w:w="2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1880" w:type="dxa"/>
            <w:vAlign w:val="bottom"/>
            <w:vMerge w:val="restart"/>
          </w:tcPr>
          <w:p>
            <w:pPr>
              <w:jc w:val="right"/>
              <w:ind w:right="634"/>
              <w:spacing w:after="0"/>
              <w:rPr>
                <w:sz w:val="20"/>
                <w:szCs w:val="20"/>
                <w:color w:val="auto"/>
              </w:rPr>
            </w:pPr>
            <w:r>
              <w:rPr>
                <w:rFonts w:ascii="Times New Roman" w:cs="Times New Roman" w:eastAsia="Times New Roman" w:hAnsi="Times New Roman"/>
                <w:sz w:val="17"/>
                <w:szCs w:val="17"/>
                <w:color w:val="auto"/>
              </w:rPr>
              <w:t>Range</w:t>
            </w:r>
          </w:p>
        </w:tc>
        <w:tc>
          <w:tcPr>
            <w:tcW w:w="10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7"/>
                <w:szCs w:val="17"/>
                <w:color w:val="auto"/>
                <w:w w:val="98"/>
              </w:rPr>
              <w:t>Value</w:t>
            </w:r>
          </w:p>
        </w:tc>
        <w:tc>
          <w:tcPr>
            <w:tcW w:w="100" w:type="dxa"/>
            <w:vAlign w:val="bottom"/>
          </w:tcPr>
          <w:p>
            <w:pPr>
              <w:spacing w:after="0"/>
              <w:rPr>
                <w:sz w:val="19"/>
                <w:szCs w:val="19"/>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Technique</w:t>
            </w:r>
          </w:p>
        </w:tc>
        <w:tc>
          <w:tcPr>
            <w:tcW w:w="100" w:type="dxa"/>
            <w:vAlign w:val="bottom"/>
          </w:tcPr>
          <w:p>
            <w:pPr>
              <w:spacing w:after="0"/>
              <w:rPr>
                <w:sz w:val="19"/>
                <w:szCs w:val="19"/>
                <w:color w:val="auto"/>
              </w:rPr>
            </w:pPr>
          </w:p>
        </w:tc>
        <w:tc>
          <w:tcPr>
            <w:tcW w:w="18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7"/>
                <w:szCs w:val="17"/>
                <w:color w:val="auto"/>
              </w:rPr>
              <w:t>Inputs</w:t>
            </w:r>
          </w:p>
        </w:tc>
        <w:tc>
          <w:tcPr>
            <w:tcW w:w="100" w:type="dxa"/>
            <w:vAlign w:val="bottom"/>
          </w:tcPr>
          <w:p>
            <w:pPr>
              <w:spacing w:after="0"/>
              <w:rPr>
                <w:sz w:val="19"/>
                <w:szCs w:val="19"/>
                <w:color w:val="auto"/>
              </w:rPr>
            </w:pPr>
          </w:p>
        </w:tc>
        <w:tc>
          <w:tcPr>
            <w:tcW w:w="188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Average</w:t>
            </w:r>
          </w:p>
        </w:tc>
        <w:tc>
          <w:tcPr>
            <w:tcW w:w="0" w:type="dxa"/>
            <w:vAlign w:val="bottom"/>
          </w:tcPr>
          <w:p>
            <w:pPr>
              <w:spacing w:after="0"/>
              <w:rPr>
                <w:sz w:val="1"/>
                <w:szCs w:val="1"/>
                <w:color w:val="auto"/>
              </w:rPr>
            </w:pPr>
          </w:p>
        </w:tc>
      </w:tr>
      <w:tr>
        <w:trPr>
          <w:trHeight w:val="225"/>
        </w:trPr>
        <w:tc>
          <w:tcPr>
            <w:tcW w:w="2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 thousands)</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80" w:type="dxa"/>
            <w:vAlign w:val="bottom"/>
          </w:tcPr>
          <w:p>
            <w:pPr>
              <w:jc w:val="right"/>
              <w:ind w:right="594"/>
              <w:spacing w:after="0"/>
              <w:rPr>
                <w:sz w:val="20"/>
                <w:szCs w:val="20"/>
                <w:color w:val="auto"/>
              </w:rPr>
            </w:pPr>
            <w:r>
              <w:rPr>
                <w:rFonts w:ascii="Times New Roman" w:cs="Times New Roman" w:eastAsia="Times New Roman" w:hAnsi="Times New Roman"/>
                <w:sz w:val="17"/>
                <w:szCs w:val="17"/>
                <w:color w:val="auto"/>
              </w:rPr>
              <w:t>September 30, 2026</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080" w:type="dxa"/>
            <w:vAlign w:val="bottom"/>
            <w:shd w:val="clear" w:color="auto" w:fill="CCEEFF"/>
          </w:tcPr>
          <w:p>
            <w:pPr>
              <w:jc w:val="right"/>
              <w:ind w:right="14"/>
              <w:spacing w:after="0" w:line="190" w:lineRule="exact"/>
              <w:rPr>
                <w:sz w:val="20"/>
                <w:szCs w:val="20"/>
                <w:color w:val="auto"/>
              </w:rPr>
            </w:pPr>
            <w:r>
              <w:rPr>
                <w:rFonts w:ascii="Times New Roman" w:cs="Times New Roman" w:eastAsia="Times New Roman" w:hAnsi="Times New Roman"/>
                <w:sz w:val="17"/>
                <w:szCs w:val="17"/>
                <w:color w:val="auto"/>
              </w:rPr>
              <w:t>Capitalized mortgage loan</w:t>
            </w: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60" w:type="dxa"/>
            <w:vAlign w:val="bottom"/>
            <w:shd w:val="clear" w:color="auto" w:fill="CCEEFF"/>
          </w:tcPr>
          <w:p>
            <w:pPr>
              <w:jc w:val="center"/>
              <w:spacing w:after="0" w:line="190" w:lineRule="exact"/>
              <w:rPr>
                <w:sz w:val="20"/>
                <w:szCs w:val="20"/>
                <w:color w:val="auto"/>
              </w:rPr>
            </w:pPr>
            <w:r>
              <w:rPr>
                <w:rFonts w:ascii="Times New Roman" w:cs="Times New Roman" w:eastAsia="Times New Roman" w:hAnsi="Times New Roman"/>
                <w:sz w:val="17"/>
                <w:szCs w:val="17"/>
                <w:color w:val="auto"/>
              </w:rPr>
              <w:t>Present value of net servicing</w:t>
            </w:r>
          </w:p>
        </w:tc>
        <w:tc>
          <w:tcPr>
            <w:tcW w:w="10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80" w:type="dxa"/>
            <w:vAlign w:val="bottom"/>
            <w:shd w:val="clear" w:color="auto" w:fill="CCEEFF"/>
          </w:tcPr>
          <w:p>
            <w:pPr>
              <w:jc w:val="right"/>
              <w:ind w:right="594"/>
              <w:spacing w:after="0"/>
              <w:rPr>
                <w:sz w:val="20"/>
                <w:szCs w:val="20"/>
                <w:color w:val="auto"/>
              </w:rPr>
            </w:pPr>
            <w:r>
              <w:rPr>
                <w:rFonts w:ascii="Times New Roman" w:cs="Times New Roman" w:eastAsia="Times New Roman" w:hAnsi="Times New Roman"/>
                <w:sz w:val="17"/>
                <w:szCs w:val="17"/>
                <w:color w:val="auto"/>
              </w:rPr>
              <w:t>servicing rights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37,839</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revenue</w:t>
            </w:r>
          </w:p>
        </w:tc>
        <w:tc>
          <w:tcPr>
            <w:tcW w:w="10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Discount rate</w:t>
            </w:r>
          </w:p>
        </w:tc>
        <w:tc>
          <w:tcPr>
            <w:tcW w:w="1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9.00% to 17.91%</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9.75 %</w:t>
            </w:r>
          </w:p>
        </w:tc>
        <w:tc>
          <w:tcPr>
            <w:tcW w:w="0" w:type="dxa"/>
            <w:vAlign w:val="bottom"/>
          </w:tcPr>
          <w:p>
            <w:pPr>
              <w:spacing w:after="0"/>
              <w:rPr>
                <w:sz w:val="1"/>
                <w:szCs w:val="1"/>
                <w:color w:val="auto"/>
              </w:rPr>
            </w:pPr>
          </w:p>
        </w:tc>
      </w:tr>
      <w:tr>
        <w:trPr>
          <w:trHeight w:val="232"/>
        </w:trPr>
        <w:tc>
          <w:tcPr>
            <w:tcW w:w="2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Cost to service</w:t>
            </w: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$69 to $217</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79</w:t>
            </w:r>
          </w:p>
        </w:tc>
        <w:tc>
          <w:tcPr>
            <w:tcW w:w="0" w:type="dxa"/>
            <w:vAlign w:val="bottom"/>
          </w:tcPr>
          <w:p>
            <w:pPr>
              <w:spacing w:after="0"/>
              <w:rPr>
                <w:sz w:val="1"/>
                <w:szCs w:val="1"/>
                <w:color w:val="auto"/>
              </w:rPr>
            </w:pPr>
          </w:p>
        </w:tc>
      </w:tr>
      <w:tr>
        <w:trPr>
          <w:trHeight w:val="232"/>
        </w:trPr>
        <w:tc>
          <w:tcPr>
            <w:tcW w:w="2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Ancillary income</w:t>
            </w:r>
          </w:p>
        </w:tc>
        <w:tc>
          <w:tcPr>
            <w:tcW w:w="1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 to 30</w:t>
            </w: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32"/>
        </w:trPr>
        <w:tc>
          <w:tcPr>
            <w:tcW w:w="2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Float rate</w:t>
            </w: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5.09 %</w:t>
            </w:r>
          </w:p>
        </w:tc>
        <w:tc>
          <w:tcPr>
            <w:tcW w:w="0" w:type="dxa"/>
            <w:vAlign w:val="bottom"/>
          </w:tcPr>
          <w:p>
            <w:pPr>
              <w:spacing w:after="0"/>
              <w:rPr>
                <w:sz w:val="1"/>
                <w:szCs w:val="1"/>
                <w:color w:val="auto"/>
              </w:rPr>
            </w:pPr>
          </w:p>
        </w:tc>
      </w:tr>
      <w:tr>
        <w:trPr>
          <w:trHeight w:val="232"/>
        </w:trPr>
        <w:tc>
          <w:tcPr>
            <w:tcW w:w="2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Prepayment rate</w:t>
            </w:r>
          </w:p>
        </w:tc>
        <w:tc>
          <w:tcPr>
            <w:tcW w:w="1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5.42% to 50.38%</w:t>
            </w: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7.59 %</w:t>
            </w:r>
          </w:p>
        </w:tc>
        <w:tc>
          <w:tcPr>
            <w:tcW w:w="0" w:type="dxa"/>
            <w:vAlign w:val="bottom"/>
          </w:tcPr>
          <w:p>
            <w:pPr>
              <w:spacing w:after="0"/>
              <w:rPr>
                <w:sz w:val="1"/>
                <w:szCs w:val="1"/>
                <w:color w:val="auto"/>
              </w:rPr>
            </w:pPr>
          </w:p>
        </w:tc>
      </w:tr>
      <w:tr>
        <w:trPr>
          <w:trHeight w:val="232"/>
        </w:trPr>
        <w:tc>
          <w:tcPr>
            <w:tcW w:w="2080" w:type="dxa"/>
            <w:vAlign w:val="bottom"/>
          </w:tcPr>
          <w:p>
            <w:pPr>
              <w:jc w:val="right"/>
              <w:ind w:right="614"/>
              <w:spacing w:after="0"/>
              <w:rPr>
                <w:sz w:val="20"/>
                <w:szCs w:val="20"/>
                <w:color w:val="auto"/>
              </w:rPr>
            </w:pPr>
            <w:r>
              <w:rPr>
                <w:rFonts w:ascii="Times New Roman" w:cs="Times New Roman" w:eastAsia="Times New Roman" w:hAnsi="Times New Roman"/>
                <w:sz w:val="17"/>
                <w:szCs w:val="17"/>
                <w:color w:val="auto"/>
              </w:rPr>
              <w:t>December 31, 2025</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080" w:type="dxa"/>
            <w:vAlign w:val="bottom"/>
            <w:shd w:val="clear" w:color="auto" w:fill="CCEEFF"/>
          </w:tcPr>
          <w:p>
            <w:pPr>
              <w:jc w:val="right"/>
              <w:ind w:right="14"/>
              <w:spacing w:after="0" w:line="190" w:lineRule="exact"/>
              <w:rPr>
                <w:sz w:val="20"/>
                <w:szCs w:val="20"/>
                <w:color w:val="auto"/>
              </w:rPr>
            </w:pPr>
            <w:r>
              <w:rPr>
                <w:rFonts w:ascii="Times New Roman" w:cs="Times New Roman" w:eastAsia="Times New Roman" w:hAnsi="Times New Roman"/>
                <w:sz w:val="17"/>
                <w:szCs w:val="17"/>
                <w:color w:val="auto"/>
              </w:rPr>
              <w:t>Capitalized mortgage loan</w:t>
            </w: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60" w:type="dxa"/>
            <w:vAlign w:val="bottom"/>
            <w:shd w:val="clear" w:color="auto" w:fill="CCEEFF"/>
          </w:tcPr>
          <w:p>
            <w:pPr>
              <w:jc w:val="center"/>
              <w:spacing w:after="0" w:line="190" w:lineRule="exact"/>
              <w:rPr>
                <w:sz w:val="20"/>
                <w:szCs w:val="20"/>
                <w:color w:val="auto"/>
              </w:rPr>
            </w:pPr>
            <w:r>
              <w:rPr>
                <w:rFonts w:ascii="Times New Roman" w:cs="Times New Roman" w:eastAsia="Times New Roman" w:hAnsi="Times New Roman"/>
                <w:sz w:val="17"/>
                <w:szCs w:val="17"/>
                <w:color w:val="auto"/>
              </w:rPr>
              <w:t>Present value of net servicing</w:t>
            </w:r>
          </w:p>
        </w:tc>
        <w:tc>
          <w:tcPr>
            <w:tcW w:w="10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80" w:type="dxa"/>
            <w:vAlign w:val="bottom"/>
            <w:shd w:val="clear" w:color="auto" w:fill="CCEEFF"/>
          </w:tcPr>
          <w:p>
            <w:pPr>
              <w:jc w:val="right"/>
              <w:ind w:right="594"/>
              <w:spacing w:after="0"/>
              <w:rPr>
                <w:sz w:val="20"/>
                <w:szCs w:val="20"/>
                <w:color w:val="auto"/>
              </w:rPr>
            </w:pPr>
            <w:r>
              <w:rPr>
                <w:rFonts w:ascii="Times New Roman" w:cs="Times New Roman" w:eastAsia="Times New Roman" w:hAnsi="Times New Roman"/>
                <w:sz w:val="17"/>
                <w:szCs w:val="17"/>
                <w:color w:val="auto"/>
              </w:rPr>
              <w:t>servicing rights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31,493</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revenue</w:t>
            </w:r>
          </w:p>
        </w:tc>
        <w:tc>
          <w:tcPr>
            <w:tcW w:w="10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Discount rate</w:t>
            </w:r>
          </w:p>
        </w:tc>
        <w:tc>
          <w:tcPr>
            <w:tcW w:w="1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9.50% to 18.65%</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9.94 %</w:t>
            </w:r>
          </w:p>
        </w:tc>
        <w:tc>
          <w:tcPr>
            <w:tcW w:w="0" w:type="dxa"/>
            <w:vAlign w:val="bottom"/>
          </w:tcPr>
          <w:p>
            <w:pPr>
              <w:spacing w:after="0"/>
              <w:rPr>
                <w:sz w:val="1"/>
                <w:szCs w:val="1"/>
                <w:color w:val="auto"/>
              </w:rPr>
            </w:pPr>
          </w:p>
        </w:tc>
      </w:tr>
      <w:tr>
        <w:trPr>
          <w:trHeight w:val="232"/>
        </w:trPr>
        <w:tc>
          <w:tcPr>
            <w:tcW w:w="2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Cost to service</w:t>
            </w: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$69 to $817</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80</w:t>
            </w:r>
          </w:p>
        </w:tc>
        <w:tc>
          <w:tcPr>
            <w:tcW w:w="0" w:type="dxa"/>
            <w:vAlign w:val="bottom"/>
          </w:tcPr>
          <w:p>
            <w:pPr>
              <w:spacing w:after="0"/>
              <w:rPr>
                <w:sz w:val="1"/>
                <w:szCs w:val="1"/>
                <w:color w:val="auto"/>
              </w:rPr>
            </w:pPr>
          </w:p>
        </w:tc>
      </w:tr>
      <w:tr>
        <w:trPr>
          <w:trHeight w:val="232"/>
        </w:trPr>
        <w:tc>
          <w:tcPr>
            <w:tcW w:w="2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Ancillary income</w:t>
            </w:r>
          </w:p>
        </w:tc>
        <w:tc>
          <w:tcPr>
            <w:tcW w:w="1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 to 30</w:t>
            </w: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32"/>
        </w:trPr>
        <w:tc>
          <w:tcPr>
            <w:tcW w:w="2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Float rate</w:t>
            </w: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3.75 %</w:t>
            </w:r>
          </w:p>
        </w:tc>
        <w:tc>
          <w:tcPr>
            <w:tcW w:w="0" w:type="dxa"/>
            <w:vAlign w:val="bottom"/>
          </w:tcPr>
          <w:p>
            <w:pPr>
              <w:spacing w:after="0"/>
              <w:rPr>
                <w:sz w:val="1"/>
                <w:szCs w:val="1"/>
                <w:color w:val="auto"/>
              </w:rPr>
            </w:pPr>
          </w:p>
        </w:tc>
      </w:tr>
      <w:tr>
        <w:trPr>
          <w:trHeight w:val="232"/>
        </w:trPr>
        <w:tc>
          <w:tcPr>
            <w:tcW w:w="2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Prepayment rate</w:t>
            </w:r>
          </w:p>
        </w:tc>
        <w:tc>
          <w:tcPr>
            <w:tcW w:w="1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5.39% to 39.62%</w:t>
            </w: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9.60%</w:t>
            </w:r>
          </w:p>
        </w:tc>
        <w:tc>
          <w:tcPr>
            <w:tcW w:w="0" w:type="dxa"/>
            <w:vAlign w:val="bottom"/>
          </w:tcPr>
          <w:p>
            <w:pPr>
              <w:spacing w:after="0"/>
              <w:rPr>
                <w:sz w:val="1"/>
                <w:szCs w:val="1"/>
                <w:color w:val="auto"/>
              </w:rPr>
            </w:pPr>
          </w:p>
        </w:tc>
      </w:tr>
      <w:tr>
        <w:trPr>
          <w:trHeight w:val="864"/>
        </w:trPr>
        <w:tc>
          <w:tcPr>
            <w:tcW w:w="2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900" w:type="dxa"/>
            <w:vAlign w:val="bottom"/>
            <w:gridSpan w:val="2"/>
          </w:tcPr>
          <w:p>
            <w:pPr>
              <w:jc w:val="right"/>
              <w:ind w:right="1634"/>
              <w:spacing w:after="0"/>
              <w:rPr>
                <w:sz w:val="20"/>
                <w:szCs w:val="20"/>
                <w:color w:val="auto"/>
              </w:rPr>
            </w:pPr>
            <w:r>
              <w:rPr>
                <w:rFonts w:ascii="Times New Roman" w:cs="Times New Roman" w:eastAsia="Times New Roman" w:hAnsi="Times New Roman"/>
                <w:sz w:val="17"/>
                <w:szCs w:val="17"/>
                <w:color w:val="auto"/>
                <w:w w:val="93"/>
              </w:rPr>
              <w:t>50</w:t>
            </w: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(Unaudited)</w:t>
      </w:r>
    </w:p>
    <w:p>
      <w:pPr>
        <w:sectPr>
          <w:pgSz w:w="11900" w:h="16838" w:orient="portrait"/>
          <w:cols w:equalWidth="0" w:num="1">
            <w:col w:w="11220"/>
          </w:cols>
          <w:pgMar w:left="320" w:top="119" w:right="35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Quantitative information about Level 3 fair value measurements measured on a non-recurring basis follows:</w:t>
      </w: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2100" w:type="dxa"/>
            <w:vAlign w:val="bottom"/>
          </w:tcPr>
          <w:p>
            <w:pPr>
              <w:spacing w:after="0"/>
              <w:rPr>
                <w:sz w:val="17"/>
                <w:szCs w:val="17"/>
                <w:color w:val="auto"/>
              </w:rPr>
            </w:pPr>
          </w:p>
        </w:tc>
        <w:tc>
          <w:tcPr>
            <w:tcW w:w="960" w:type="dxa"/>
            <w:vAlign w:val="bottom"/>
          </w:tcPr>
          <w:p>
            <w:pPr>
              <w:jc w:val="center"/>
              <w:ind w:left="414"/>
              <w:spacing w:after="0"/>
              <w:rPr>
                <w:sz w:val="20"/>
                <w:szCs w:val="20"/>
                <w:color w:val="auto"/>
              </w:rPr>
            </w:pPr>
            <w:r>
              <w:rPr>
                <w:rFonts w:ascii="Times New Roman" w:cs="Times New Roman" w:eastAsia="Times New Roman" w:hAnsi="Times New Roman"/>
                <w:sz w:val="17"/>
                <w:szCs w:val="17"/>
                <w:color w:val="auto"/>
              </w:rPr>
              <w:t>Asset</w:t>
            </w: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06"/>
        </w:trPr>
        <w:tc>
          <w:tcPr>
            <w:tcW w:w="2100" w:type="dxa"/>
            <w:vAlign w:val="bottom"/>
          </w:tcPr>
          <w:p>
            <w:pPr>
              <w:spacing w:after="0"/>
              <w:rPr>
                <w:sz w:val="17"/>
                <w:szCs w:val="17"/>
                <w:color w:val="auto"/>
              </w:rPr>
            </w:pPr>
          </w:p>
        </w:tc>
        <w:tc>
          <w:tcPr>
            <w:tcW w:w="960" w:type="dxa"/>
            <w:vAlign w:val="bottom"/>
          </w:tcPr>
          <w:p>
            <w:pPr>
              <w:jc w:val="center"/>
              <w:ind w:left="394"/>
              <w:spacing w:after="0"/>
              <w:rPr>
                <w:sz w:val="20"/>
                <w:szCs w:val="20"/>
                <w:color w:val="auto"/>
              </w:rPr>
            </w:pPr>
            <w:r>
              <w:rPr>
                <w:rFonts w:ascii="Times New Roman" w:cs="Times New Roman" w:eastAsia="Times New Roman" w:hAnsi="Times New Roman"/>
                <w:sz w:val="17"/>
                <w:szCs w:val="17"/>
                <w:color w:val="auto"/>
              </w:rPr>
              <w:t>Fair</w:t>
            </w: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2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rPr>
              <w:t>Valuation</w:t>
            </w: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Unobservable</w:t>
            </w:r>
          </w:p>
        </w:tc>
      </w:tr>
      <w:tr>
        <w:trPr>
          <w:trHeight w:val="223"/>
        </w:trPr>
        <w:tc>
          <w:tcPr>
            <w:tcW w:w="2100" w:type="dxa"/>
            <w:vAlign w:val="bottom"/>
          </w:tcPr>
          <w:p>
            <w:pPr>
              <w:spacing w:after="0"/>
              <w:rPr>
                <w:sz w:val="19"/>
                <w:szCs w:val="19"/>
                <w:color w:val="auto"/>
              </w:rPr>
            </w:pPr>
          </w:p>
        </w:tc>
        <w:tc>
          <w:tcPr>
            <w:tcW w:w="960" w:type="dxa"/>
            <w:vAlign w:val="bottom"/>
          </w:tcPr>
          <w:p>
            <w:pPr>
              <w:jc w:val="center"/>
              <w:ind w:left="414"/>
              <w:spacing w:after="0"/>
              <w:rPr>
                <w:sz w:val="20"/>
                <w:szCs w:val="20"/>
                <w:color w:val="auto"/>
              </w:rPr>
            </w:pPr>
            <w:r>
              <w:rPr>
                <w:rFonts w:ascii="Times New Roman" w:cs="Times New Roman" w:eastAsia="Times New Roman" w:hAnsi="Times New Roman"/>
                <w:sz w:val="17"/>
                <w:szCs w:val="17"/>
                <w:color w:val="auto"/>
                <w:w w:val="93"/>
              </w:rPr>
              <w:t>Value</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20" w:type="dxa"/>
            <w:vAlign w:val="bottom"/>
            <w:gridSpan w:val="2"/>
          </w:tcPr>
          <w:p>
            <w:pPr>
              <w:ind w:left="720"/>
              <w:spacing w:after="0"/>
              <w:rPr>
                <w:sz w:val="20"/>
                <w:szCs w:val="20"/>
                <w:color w:val="auto"/>
              </w:rPr>
            </w:pPr>
            <w:r>
              <w:rPr>
                <w:rFonts w:ascii="Times New Roman" w:cs="Times New Roman" w:eastAsia="Times New Roman" w:hAnsi="Times New Roman"/>
                <w:sz w:val="17"/>
                <w:szCs w:val="17"/>
                <w:color w:val="auto"/>
              </w:rPr>
              <w:t>Technique</w:t>
            </w: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Inputs</w:t>
            </w:r>
          </w:p>
        </w:tc>
      </w:tr>
      <w:tr>
        <w:trPr>
          <w:trHeight w:val="25"/>
        </w:trPr>
        <w:tc>
          <w:tcPr>
            <w:tcW w:w="2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2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38"/>
        </w:trPr>
        <w:tc>
          <w:tcPr>
            <w:tcW w:w="2100" w:type="dxa"/>
            <w:vAlign w:val="bottom"/>
          </w:tcPr>
          <w:p>
            <w:pPr>
              <w:spacing w:after="0"/>
              <w:rPr>
                <w:sz w:val="20"/>
                <w:szCs w:val="20"/>
                <w:color w:val="auto"/>
              </w:rPr>
            </w:pP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(In thousands)</w:t>
            </w:r>
          </w:p>
        </w:tc>
        <w:tc>
          <w:tcPr>
            <w:tcW w:w="3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258"/>
        </w:trPr>
        <w:tc>
          <w:tcPr>
            <w:tcW w:w="2100" w:type="dxa"/>
            <w:vAlign w:val="bottom"/>
          </w:tcPr>
          <w:p>
            <w:pPr>
              <w:jc w:val="center"/>
              <w:ind w:right="634"/>
              <w:spacing w:after="0"/>
              <w:rPr>
                <w:sz w:val="20"/>
                <w:szCs w:val="20"/>
                <w:color w:val="auto"/>
              </w:rPr>
            </w:pPr>
            <w:r>
              <w:rPr>
                <w:rFonts w:ascii="Times New Roman" w:cs="Times New Roman" w:eastAsia="Times New Roman" w:hAnsi="Times New Roman"/>
                <w:sz w:val="17"/>
                <w:szCs w:val="17"/>
                <w:color w:val="auto"/>
              </w:rPr>
              <w:t>September 30, 2026</w:t>
            </w:r>
          </w:p>
        </w:tc>
        <w:tc>
          <w:tcPr>
            <w:tcW w:w="9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140" w:type="dxa"/>
            <w:vAlign w:val="bottom"/>
          </w:tcPr>
          <w:p>
            <w:pPr>
              <w:spacing w:after="0"/>
              <w:rPr>
                <w:sz w:val="22"/>
                <w:szCs w:val="22"/>
                <w:color w:val="auto"/>
              </w:rPr>
            </w:pPr>
          </w:p>
        </w:tc>
      </w:tr>
      <w:tr>
        <w:trPr>
          <w:trHeight w:val="258"/>
        </w:trPr>
        <w:tc>
          <w:tcPr>
            <w:tcW w:w="21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Collateral dependent loans</w:t>
            </w:r>
          </w:p>
        </w:tc>
        <w:tc>
          <w:tcPr>
            <w:tcW w:w="9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140" w:type="dxa"/>
            <w:vAlign w:val="bottom"/>
          </w:tcPr>
          <w:p>
            <w:pPr>
              <w:spacing w:after="0"/>
              <w:rPr>
                <w:sz w:val="22"/>
                <w:szCs w:val="22"/>
                <w:color w:val="auto"/>
              </w:rPr>
            </w:pPr>
          </w:p>
        </w:tc>
      </w:tr>
      <w:tr>
        <w:trPr>
          <w:trHeight w:val="258"/>
        </w:trPr>
        <w:tc>
          <w:tcPr>
            <w:tcW w:w="2100" w:type="dxa"/>
            <w:vAlign w:val="bottom"/>
          </w:tcPr>
          <w:p>
            <w:pPr>
              <w:jc w:val="center"/>
              <w:ind w:right="654"/>
              <w:spacing w:after="0"/>
              <w:rPr>
                <w:sz w:val="20"/>
                <w:szCs w:val="20"/>
                <w:color w:val="auto"/>
              </w:rPr>
            </w:pPr>
            <w:r>
              <w:rPr>
                <w:rFonts w:ascii="Times New Roman" w:cs="Times New Roman" w:eastAsia="Times New Roman" w:hAnsi="Times New Roman"/>
                <w:sz w:val="17"/>
                <w:szCs w:val="17"/>
                <w:color w:val="auto"/>
                <w:w w:val="99"/>
              </w:rPr>
              <w:t>Commercial</w:t>
            </w:r>
          </w:p>
        </w:tc>
        <w:tc>
          <w:tcPr>
            <w:tcW w:w="960" w:type="dxa"/>
            <w:vAlign w:val="bottom"/>
          </w:tcPr>
          <w:p>
            <w:pPr>
              <w:jc w:val="right"/>
              <w:ind w:right="77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9,344</w:t>
            </w:r>
          </w:p>
        </w:tc>
        <w:tc>
          <w:tcPr>
            <w:tcW w:w="3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w:t>
            </w:r>
          </w:p>
        </w:tc>
        <w:tc>
          <w:tcPr>
            <w:tcW w:w="2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140" w:type="dxa"/>
            <w:vAlign w:val="bottom"/>
          </w:tcPr>
          <w:p>
            <w:pPr>
              <w:spacing w:after="0"/>
              <w:rPr>
                <w:sz w:val="22"/>
                <w:szCs w:val="22"/>
                <w:color w:val="auto"/>
              </w:rPr>
            </w:pPr>
          </w:p>
        </w:tc>
      </w:tr>
      <w:tr>
        <w:trPr>
          <w:trHeight w:val="258"/>
        </w:trPr>
        <w:tc>
          <w:tcPr>
            <w:tcW w:w="2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Income approach</w:t>
            </w:r>
          </w:p>
        </w:tc>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Discount rates used</w:t>
            </w:r>
          </w:p>
        </w:tc>
      </w:tr>
      <w:tr>
        <w:trPr>
          <w:trHeight w:val="271"/>
        </w:trPr>
        <w:tc>
          <w:tcPr>
            <w:tcW w:w="2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Income approach</w:t>
            </w:r>
          </w:p>
        </w:tc>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Capitalization rate used</w:t>
            </w:r>
          </w:p>
        </w:tc>
      </w:tr>
      <w:tr>
        <w:trPr>
          <w:trHeight w:val="254"/>
        </w:trPr>
        <w:tc>
          <w:tcPr>
            <w:tcW w:w="2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Sales comparison approach</w:t>
            </w:r>
          </w:p>
        </w:tc>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Adjustment for differences</w:t>
            </w:r>
          </w:p>
        </w:tc>
      </w:tr>
      <w:tr>
        <w:trPr>
          <w:trHeight w:val="223"/>
        </w:trPr>
        <w:tc>
          <w:tcPr>
            <w:tcW w:w="2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between comparable sales</w:t>
            </w:r>
          </w:p>
        </w:tc>
      </w:tr>
      <w:tr>
        <w:trPr>
          <w:trHeight w:val="254"/>
        </w:trPr>
        <w:tc>
          <w:tcPr>
            <w:tcW w:w="2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Discounting financial</w:t>
            </w:r>
          </w:p>
        </w:tc>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Discount rates used</w:t>
            </w:r>
          </w:p>
        </w:tc>
      </w:tr>
      <w:tr>
        <w:trPr>
          <w:trHeight w:val="206"/>
        </w:trPr>
        <w:tc>
          <w:tcPr>
            <w:tcW w:w="2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statement and machinery</w:t>
            </w:r>
          </w:p>
        </w:tc>
        <w:tc>
          <w:tcPr>
            <w:tcW w:w="2140" w:type="dxa"/>
            <w:vAlign w:val="bottom"/>
          </w:tcPr>
          <w:p>
            <w:pPr>
              <w:spacing w:after="0"/>
              <w:rPr>
                <w:sz w:val="17"/>
                <w:szCs w:val="17"/>
                <w:color w:val="auto"/>
              </w:rPr>
            </w:pPr>
          </w:p>
        </w:tc>
      </w:tr>
      <w:tr>
        <w:trPr>
          <w:trHeight w:val="206"/>
        </w:trPr>
        <w:tc>
          <w:tcPr>
            <w:tcW w:w="2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and equipment appraised</w:t>
            </w:r>
          </w:p>
        </w:tc>
        <w:tc>
          <w:tcPr>
            <w:tcW w:w="2140" w:type="dxa"/>
            <w:vAlign w:val="bottom"/>
          </w:tcPr>
          <w:p>
            <w:pPr>
              <w:spacing w:after="0"/>
              <w:rPr>
                <w:sz w:val="17"/>
                <w:szCs w:val="17"/>
                <w:color w:val="auto"/>
              </w:rPr>
            </w:pPr>
          </w:p>
        </w:tc>
      </w:tr>
      <w:tr>
        <w:trPr>
          <w:trHeight w:val="236"/>
        </w:trPr>
        <w:tc>
          <w:tcPr>
            <w:tcW w:w="2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5,368</w:t>
            </w:r>
          </w:p>
        </w:tc>
        <w:tc>
          <w:tcPr>
            <w:tcW w:w="320" w:type="dxa"/>
            <w:vAlign w:val="bottom"/>
          </w:tcPr>
          <w:p>
            <w:pPr>
              <w:spacing w:after="0"/>
              <w:rPr>
                <w:sz w:val="20"/>
                <w:szCs w:val="20"/>
                <w:color w:val="auto"/>
              </w:rPr>
            </w:pPr>
          </w:p>
        </w:tc>
        <w:tc>
          <w:tcPr>
            <w:tcW w:w="22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values</w:t>
            </w:r>
          </w:p>
        </w:tc>
        <w:tc>
          <w:tcPr>
            <w:tcW w:w="2140" w:type="dxa"/>
            <w:vAlign w:val="bottom"/>
          </w:tcPr>
          <w:p>
            <w:pPr>
              <w:spacing w:after="0"/>
              <w:rPr>
                <w:sz w:val="20"/>
                <w:szCs w:val="20"/>
                <w:color w:val="auto"/>
              </w:rPr>
            </w:pPr>
          </w:p>
        </w:tc>
      </w:tr>
      <w:tr>
        <w:trPr>
          <w:trHeight w:val="241"/>
        </w:trPr>
        <w:tc>
          <w:tcPr>
            <w:tcW w:w="2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Sales comparison approach</w:t>
            </w:r>
          </w:p>
        </w:tc>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Adjustment for differences</w:t>
            </w:r>
          </w:p>
        </w:tc>
      </w:tr>
      <w:tr>
        <w:trPr>
          <w:trHeight w:val="236"/>
        </w:trPr>
        <w:tc>
          <w:tcPr>
            <w:tcW w:w="2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w:t>
            </w:r>
          </w:p>
        </w:tc>
        <w:tc>
          <w:tcPr>
            <w:tcW w:w="3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between comparable sales</w:t>
            </w:r>
          </w:p>
        </w:tc>
      </w:tr>
      <w:tr>
        <w:trPr>
          <w:trHeight w:val="206"/>
        </w:trPr>
        <w:tc>
          <w:tcPr>
            <w:tcW w:w="21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Mortgage and</w:t>
            </w: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Sales comparison approach</w:t>
            </w:r>
          </w:p>
        </w:tc>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Adjustment for differences</w:t>
            </w:r>
          </w:p>
        </w:tc>
      </w:tr>
      <w:tr>
        <w:trPr>
          <w:trHeight w:val="245"/>
        </w:trPr>
        <w:tc>
          <w:tcPr>
            <w:tcW w:w="21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Installment(2)</w:t>
            </w:r>
          </w:p>
        </w:tc>
        <w:tc>
          <w:tcPr>
            <w:tcW w:w="9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964</w:t>
            </w:r>
          </w:p>
        </w:tc>
        <w:tc>
          <w:tcPr>
            <w:tcW w:w="32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between comparable sales</w:t>
            </w:r>
          </w:p>
        </w:tc>
      </w:tr>
      <w:tr>
        <w:trPr>
          <w:trHeight w:val="516"/>
        </w:trPr>
        <w:tc>
          <w:tcPr>
            <w:tcW w:w="2100" w:type="dxa"/>
            <w:vAlign w:val="bottom"/>
          </w:tcPr>
          <w:p>
            <w:pPr>
              <w:jc w:val="center"/>
              <w:ind w:right="654"/>
              <w:spacing w:after="0"/>
              <w:rPr>
                <w:sz w:val="20"/>
                <w:szCs w:val="20"/>
                <w:color w:val="auto"/>
              </w:rPr>
            </w:pPr>
            <w:r>
              <w:rPr>
                <w:rFonts w:ascii="Times New Roman" w:cs="Times New Roman" w:eastAsia="Times New Roman" w:hAnsi="Times New Roman"/>
                <w:sz w:val="17"/>
                <w:szCs w:val="17"/>
                <w:color w:val="auto"/>
              </w:rPr>
              <w:t>December 31, 2025</w:t>
            </w: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58"/>
        </w:trPr>
        <w:tc>
          <w:tcPr>
            <w:tcW w:w="21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Collateral dependent loans</w:t>
            </w:r>
          </w:p>
        </w:tc>
        <w:tc>
          <w:tcPr>
            <w:tcW w:w="9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140" w:type="dxa"/>
            <w:vAlign w:val="bottom"/>
          </w:tcPr>
          <w:p>
            <w:pPr>
              <w:spacing w:after="0"/>
              <w:rPr>
                <w:sz w:val="22"/>
                <w:szCs w:val="22"/>
                <w:color w:val="auto"/>
              </w:rPr>
            </w:pPr>
          </w:p>
        </w:tc>
      </w:tr>
      <w:tr>
        <w:trPr>
          <w:trHeight w:val="258"/>
        </w:trPr>
        <w:tc>
          <w:tcPr>
            <w:tcW w:w="2100" w:type="dxa"/>
            <w:vAlign w:val="bottom"/>
          </w:tcPr>
          <w:p>
            <w:pPr>
              <w:jc w:val="center"/>
              <w:ind w:right="654"/>
              <w:spacing w:after="0"/>
              <w:rPr>
                <w:sz w:val="20"/>
                <w:szCs w:val="20"/>
                <w:color w:val="auto"/>
              </w:rPr>
            </w:pPr>
            <w:r>
              <w:rPr>
                <w:rFonts w:ascii="Times New Roman" w:cs="Times New Roman" w:eastAsia="Times New Roman" w:hAnsi="Times New Roman"/>
                <w:sz w:val="17"/>
                <w:szCs w:val="17"/>
                <w:color w:val="auto"/>
                <w:w w:val="99"/>
              </w:rPr>
              <w:t>Commercial</w:t>
            </w:r>
          </w:p>
        </w:tc>
        <w:tc>
          <w:tcPr>
            <w:tcW w:w="960" w:type="dxa"/>
            <w:vAlign w:val="bottom"/>
          </w:tcPr>
          <w:p>
            <w:pPr>
              <w:jc w:val="right"/>
              <w:ind w:right="77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9,826</w:t>
            </w:r>
          </w:p>
        </w:tc>
        <w:tc>
          <w:tcPr>
            <w:tcW w:w="3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w:t>
            </w:r>
          </w:p>
        </w:tc>
        <w:tc>
          <w:tcPr>
            <w:tcW w:w="2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140" w:type="dxa"/>
            <w:vAlign w:val="bottom"/>
          </w:tcPr>
          <w:p>
            <w:pPr>
              <w:spacing w:after="0"/>
              <w:rPr>
                <w:sz w:val="22"/>
                <w:szCs w:val="22"/>
                <w:color w:val="auto"/>
              </w:rPr>
            </w:pPr>
          </w:p>
        </w:tc>
      </w:tr>
      <w:tr>
        <w:trPr>
          <w:trHeight w:val="258"/>
        </w:trPr>
        <w:tc>
          <w:tcPr>
            <w:tcW w:w="2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Income approach</w:t>
            </w:r>
          </w:p>
        </w:tc>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Discount rates used</w:t>
            </w:r>
          </w:p>
        </w:tc>
      </w:tr>
      <w:tr>
        <w:trPr>
          <w:trHeight w:val="254"/>
        </w:trPr>
        <w:tc>
          <w:tcPr>
            <w:tcW w:w="2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Sales comparison approach</w:t>
            </w:r>
          </w:p>
        </w:tc>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Adjustment for differences</w:t>
            </w:r>
          </w:p>
        </w:tc>
      </w:tr>
      <w:tr>
        <w:trPr>
          <w:trHeight w:val="223"/>
        </w:trPr>
        <w:tc>
          <w:tcPr>
            <w:tcW w:w="2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between comparable sales</w:t>
            </w:r>
          </w:p>
        </w:tc>
      </w:tr>
      <w:tr>
        <w:trPr>
          <w:trHeight w:val="254"/>
        </w:trPr>
        <w:tc>
          <w:tcPr>
            <w:tcW w:w="2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Discounting financial</w:t>
            </w:r>
          </w:p>
        </w:tc>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Discount rates used</w:t>
            </w:r>
          </w:p>
        </w:tc>
      </w:tr>
      <w:tr>
        <w:trPr>
          <w:trHeight w:val="206"/>
        </w:trPr>
        <w:tc>
          <w:tcPr>
            <w:tcW w:w="2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statement and machinery</w:t>
            </w:r>
          </w:p>
        </w:tc>
        <w:tc>
          <w:tcPr>
            <w:tcW w:w="2140" w:type="dxa"/>
            <w:vAlign w:val="bottom"/>
          </w:tcPr>
          <w:p>
            <w:pPr>
              <w:spacing w:after="0"/>
              <w:rPr>
                <w:sz w:val="17"/>
                <w:szCs w:val="17"/>
                <w:color w:val="auto"/>
              </w:rPr>
            </w:pPr>
          </w:p>
        </w:tc>
      </w:tr>
      <w:tr>
        <w:trPr>
          <w:trHeight w:val="206"/>
        </w:trPr>
        <w:tc>
          <w:tcPr>
            <w:tcW w:w="2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and equipment appraised</w:t>
            </w:r>
          </w:p>
        </w:tc>
        <w:tc>
          <w:tcPr>
            <w:tcW w:w="2140" w:type="dxa"/>
            <w:vAlign w:val="bottom"/>
          </w:tcPr>
          <w:p>
            <w:pPr>
              <w:spacing w:after="0"/>
              <w:rPr>
                <w:sz w:val="17"/>
                <w:szCs w:val="17"/>
                <w:color w:val="auto"/>
              </w:rPr>
            </w:pPr>
          </w:p>
        </w:tc>
      </w:tr>
      <w:tr>
        <w:trPr>
          <w:trHeight w:val="236"/>
        </w:trPr>
        <w:tc>
          <w:tcPr>
            <w:tcW w:w="2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7,010</w:t>
            </w:r>
          </w:p>
        </w:tc>
        <w:tc>
          <w:tcPr>
            <w:tcW w:w="320" w:type="dxa"/>
            <w:vAlign w:val="bottom"/>
          </w:tcPr>
          <w:p>
            <w:pPr>
              <w:spacing w:after="0"/>
              <w:rPr>
                <w:sz w:val="20"/>
                <w:szCs w:val="20"/>
                <w:color w:val="auto"/>
              </w:rPr>
            </w:pPr>
          </w:p>
        </w:tc>
        <w:tc>
          <w:tcPr>
            <w:tcW w:w="22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values</w:t>
            </w:r>
          </w:p>
        </w:tc>
        <w:tc>
          <w:tcPr>
            <w:tcW w:w="2140" w:type="dxa"/>
            <w:vAlign w:val="bottom"/>
          </w:tcPr>
          <w:p>
            <w:pPr>
              <w:spacing w:after="0"/>
              <w:rPr>
                <w:sz w:val="20"/>
                <w:szCs w:val="20"/>
                <w:color w:val="auto"/>
              </w:rPr>
            </w:pPr>
          </w:p>
        </w:tc>
      </w:tr>
      <w:tr>
        <w:trPr>
          <w:trHeight w:val="241"/>
        </w:trPr>
        <w:tc>
          <w:tcPr>
            <w:tcW w:w="2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Sales comparison approach</w:t>
            </w:r>
          </w:p>
        </w:tc>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Adjustment for differences</w:t>
            </w:r>
          </w:p>
        </w:tc>
      </w:tr>
      <w:tr>
        <w:trPr>
          <w:trHeight w:val="236"/>
        </w:trPr>
        <w:tc>
          <w:tcPr>
            <w:tcW w:w="2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648</w:t>
            </w:r>
          </w:p>
        </w:tc>
        <w:tc>
          <w:tcPr>
            <w:tcW w:w="3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between comparable sales</w:t>
            </w:r>
          </w:p>
        </w:tc>
      </w:tr>
      <w:tr>
        <w:trPr>
          <w:trHeight w:val="206"/>
        </w:trPr>
        <w:tc>
          <w:tcPr>
            <w:tcW w:w="21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Mortgage and</w:t>
            </w: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Sales comparison approach</w:t>
            </w:r>
          </w:p>
        </w:tc>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Adjustment for differences</w:t>
            </w:r>
          </w:p>
        </w:tc>
      </w:tr>
      <w:tr>
        <w:trPr>
          <w:trHeight w:val="245"/>
        </w:trPr>
        <w:tc>
          <w:tcPr>
            <w:tcW w:w="21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Installment(2)</w:t>
            </w:r>
          </w:p>
        </w:tc>
        <w:tc>
          <w:tcPr>
            <w:tcW w:w="9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1,094</w:t>
            </w:r>
          </w:p>
        </w:tc>
        <w:tc>
          <w:tcPr>
            <w:tcW w:w="32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between comparable sales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-4239895</wp:posOffset>
            </wp:positionV>
            <wp:extent cx="7138670" cy="163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8670" cy="16383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-3904615</wp:posOffset>
            </wp:positionV>
            <wp:extent cx="7138670" cy="1720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8670" cy="1720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-3429635</wp:posOffset>
            </wp:positionV>
            <wp:extent cx="7138670" cy="5651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8670" cy="5651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-2562225</wp:posOffset>
            </wp:positionV>
            <wp:extent cx="7138670" cy="2863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8670" cy="2863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-2112010</wp:posOffset>
            </wp:positionV>
            <wp:extent cx="7138670" cy="1638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8670" cy="16383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-1784350</wp:posOffset>
            </wp:positionV>
            <wp:extent cx="7138670" cy="1638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8670" cy="16383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-1448435</wp:posOffset>
            </wp:positionV>
            <wp:extent cx="7138670" cy="3028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8670" cy="30289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-581025</wp:posOffset>
            </wp:positionV>
            <wp:extent cx="7138670" cy="3028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8670" cy="302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7"/>
          <w:szCs w:val="17"/>
          <w:color w:val="auto"/>
        </w:rPr>
        <w:t>Weighted</w:t>
      </w:r>
    </w:p>
    <w:p>
      <w:pPr>
        <w:spacing w:after="0" w:line="28" w:lineRule="exact"/>
        <w:rPr>
          <w:sz w:val="20"/>
          <w:szCs w:val="20"/>
          <w:color w:val="auto"/>
        </w:rPr>
      </w:pPr>
    </w:p>
    <w:p>
      <w:pPr>
        <w:ind w:left="60"/>
        <w:spacing w:after="0"/>
        <w:tabs>
          <w:tab w:leader="none" w:pos="1460" w:val="left"/>
        </w:tabs>
        <w:rPr>
          <w:sz w:val="20"/>
          <w:szCs w:val="20"/>
          <w:color w:val="auto"/>
        </w:rPr>
      </w:pPr>
      <w:r>
        <w:rPr>
          <w:rFonts w:ascii="Times New Roman" w:cs="Times New Roman" w:eastAsia="Times New Roman" w:hAnsi="Times New Roman"/>
          <w:sz w:val="17"/>
          <w:szCs w:val="17"/>
          <w:color w:val="auto"/>
        </w:rPr>
        <w:t>Range</w:t>
      </w:r>
      <w:r>
        <w:rPr>
          <w:sz w:val="20"/>
          <w:szCs w:val="20"/>
          <w:color w:val="auto"/>
        </w:rPr>
        <w:tab/>
      </w:r>
      <w:r>
        <w:rPr>
          <w:rFonts w:ascii="Times New Roman" w:cs="Times New Roman" w:eastAsia="Times New Roman" w:hAnsi="Times New Roman"/>
          <w:sz w:val="17"/>
          <w:szCs w:val="17"/>
          <w:color w:val="auto"/>
        </w:rPr>
        <w:t>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22860</wp:posOffset>
            </wp:positionV>
            <wp:extent cx="18421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8421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46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w w:val="98"/>
              </w:rPr>
              <w:t>9.3% to 30.0%</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22.1 %</w:t>
            </w:r>
          </w:p>
        </w:tc>
      </w:tr>
      <w:tr>
        <w:trPr>
          <w:trHeight w:val="271"/>
        </w:trPr>
        <w:tc>
          <w:tcPr>
            <w:tcW w:w="146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8.0 to 8.0</w:t>
            </w:r>
          </w:p>
        </w:tc>
        <w:tc>
          <w:tcPr>
            <w:tcW w:w="94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8.0</w:t>
            </w:r>
          </w:p>
        </w:tc>
      </w:tr>
      <w:tr>
        <w:trPr>
          <w:trHeight w:val="477"/>
        </w:trPr>
        <w:tc>
          <w:tcPr>
            <w:tcW w:w="146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(10.0) to 25.0</w:t>
            </w:r>
          </w:p>
        </w:tc>
        <w:tc>
          <w:tcPr>
            <w:tcW w:w="94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3.8</w:t>
            </w:r>
          </w:p>
        </w:tc>
      </w:tr>
      <w:tr>
        <w:trPr>
          <w:trHeight w:val="890"/>
        </w:trPr>
        <w:tc>
          <w:tcPr>
            <w:tcW w:w="146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 to 90.0</w:t>
            </w:r>
          </w:p>
        </w:tc>
        <w:tc>
          <w:tcPr>
            <w:tcW w:w="94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37.2</w:t>
            </w:r>
          </w:p>
        </w:tc>
      </w:tr>
      <w:tr>
        <w:trPr>
          <w:trHeight w:val="477"/>
        </w:trPr>
        <w:tc>
          <w:tcPr>
            <w:tcW w:w="146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8.0 to 42.0</w:t>
            </w:r>
          </w:p>
        </w:tc>
        <w:tc>
          <w:tcPr>
            <w:tcW w:w="94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29.8</w:t>
            </w:r>
          </w:p>
        </w:tc>
      </w:tr>
      <w:tr>
        <w:trPr>
          <w:trHeight w:val="451"/>
        </w:trPr>
        <w:tc>
          <w:tcPr>
            <w:tcW w:w="146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(22.0) to 13.5</w:t>
            </w:r>
          </w:p>
        </w:tc>
        <w:tc>
          <w:tcPr>
            <w:tcW w:w="94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46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w w:val="98"/>
              </w:rPr>
              <w:t>9.0% to 16.0%</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13.5 %</w:t>
            </w:r>
          </w:p>
        </w:tc>
      </w:tr>
      <w:tr>
        <w:trPr>
          <w:trHeight w:val="477"/>
        </w:trPr>
        <w:tc>
          <w:tcPr>
            <w:tcW w:w="146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(50.0) to 15.0</w:t>
            </w: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(0.6)</w:t>
            </w:r>
          </w:p>
        </w:tc>
      </w:tr>
      <w:tr>
        <w:trPr>
          <w:trHeight w:val="890"/>
        </w:trPr>
        <w:tc>
          <w:tcPr>
            <w:tcW w:w="146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40.0 to 65.0</w:t>
            </w:r>
          </w:p>
        </w:tc>
        <w:tc>
          <w:tcPr>
            <w:tcW w:w="94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47.2</w:t>
            </w:r>
          </w:p>
        </w:tc>
      </w:tr>
      <w:tr>
        <w:trPr>
          <w:trHeight w:val="477"/>
        </w:trPr>
        <w:tc>
          <w:tcPr>
            <w:tcW w:w="146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(18.0) to 65.0</w:t>
            </w:r>
          </w:p>
        </w:tc>
        <w:tc>
          <w:tcPr>
            <w:tcW w:w="94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8.7</w:t>
            </w:r>
          </w:p>
        </w:tc>
      </w:tr>
      <w:tr>
        <w:trPr>
          <w:trHeight w:val="451"/>
        </w:trPr>
        <w:tc>
          <w:tcPr>
            <w:tcW w:w="146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(17.7) to 16.9</w:t>
            </w:r>
          </w:p>
        </w:tc>
        <w:tc>
          <w:tcPr>
            <w:tcW w:w="94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0.2</w:t>
            </w:r>
          </w:p>
        </w:tc>
      </w:tr>
    </w:tbl>
    <w:p>
      <w:pPr>
        <w:spacing w:after="0" w:line="200" w:lineRule="exact"/>
        <w:rPr>
          <w:sz w:val="20"/>
          <w:szCs w:val="20"/>
          <w:color w:val="auto"/>
        </w:rPr>
      </w:pPr>
    </w:p>
    <w:p>
      <w:pPr>
        <w:sectPr>
          <w:pgSz w:w="11900" w:h="16838" w:orient="portrait"/>
          <w:cols w:equalWidth="0" w:num="2">
            <w:col w:w="8260" w:space="560"/>
            <w:col w:w="2400"/>
          </w:cols>
          <w:pgMar w:left="320" w:top="119" w:right="359" w:bottom="1440" w:gutter="0" w:footer="0" w:header="0"/>
          <w:type w:val="continuous"/>
        </w:sectPr>
      </w:pPr>
    </w:p>
    <w:p>
      <w:pPr>
        <w:spacing w:after="0" w:line="200" w:lineRule="exact"/>
        <w:rPr>
          <w:sz w:val="20"/>
          <w:szCs w:val="20"/>
          <w:color w:val="auto"/>
        </w:rPr>
      </w:pPr>
    </w:p>
    <w:p>
      <w:pPr>
        <w:spacing w:after="0" w:line="24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84" w:lineRule="exact"/>
        <w:rPr>
          <w:sz w:val="20"/>
          <w:szCs w:val="20"/>
          <w:color w:val="auto"/>
        </w:rPr>
      </w:pPr>
    </w:p>
    <w:p>
      <w:pPr>
        <w:ind w:left="580" w:hanging="560"/>
        <w:spacing w:after="0"/>
        <w:tabs>
          <w:tab w:leader="none" w:pos="5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one commercial loan relationship that is cross collateralized by several properties whose appraisals used different valuation techniques.</w:t>
      </w:r>
    </w:p>
    <w:p>
      <w:pPr>
        <w:spacing w:after="0" w:line="75" w:lineRule="exact"/>
        <w:rPr>
          <w:rFonts w:ascii="Times New Roman" w:cs="Times New Roman" w:eastAsia="Times New Roman" w:hAnsi="Times New Roman"/>
          <w:sz w:val="17"/>
          <w:szCs w:val="17"/>
          <w:color w:val="auto"/>
        </w:rPr>
      </w:pPr>
    </w:p>
    <w:p>
      <w:pPr>
        <w:jc w:val="both"/>
        <w:ind w:left="580" w:right="20" w:hanging="560"/>
        <w:spacing w:after="0" w:line="270" w:lineRule="auto"/>
        <w:tabs>
          <w:tab w:leader="none" w:pos="5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the valuation techniques and unobservable inputs discussed above, at September 30, 2026 and December 31, 2025 certain collateral dependent installment loans totaling approximately $0.15 million and $0.37 million, respectively, are secured by collateral other than real estate. For the majority of these loans, we apply internal discount rates to industry valuation guides.</w:t>
      </w:r>
    </w:p>
    <w:p>
      <w:pPr>
        <w:spacing w:after="0" w:line="24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following table reflects the difference between the aggregate fair value and the aggregate remaining contractual principal balance outstanding for loans held for sale for which the fair value option has been elected for the periods presented.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Aggregate</w:t>
            </w: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Contractual</w:t>
            </w:r>
          </w:p>
        </w:tc>
      </w:tr>
      <w:tr>
        <w:trPr>
          <w:trHeight w:val="232"/>
        </w:trPr>
        <w:tc>
          <w:tcPr>
            <w:tcW w:w="36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Fair Value</w:t>
            </w: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7"/>
                <w:szCs w:val="17"/>
                <w:color w:val="auto"/>
              </w:rPr>
              <w:t>Difference</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rPr>
              <w:t>Principal</w:t>
            </w:r>
          </w:p>
        </w:tc>
      </w:tr>
      <w:tr>
        <w:trPr>
          <w:trHeight w:val="238"/>
        </w:trPr>
        <w:tc>
          <w:tcPr>
            <w:tcW w:w="36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center"/>
              <w:ind w:right="134"/>
              <w:spacing w:after="0"/>
              <w:rPr>
                <w:sz w:val="20"/>
                <w:szCs w:val="20"/>
                <w:color w:val="auto"/>
              </w:rPr>
            </w:pPr>
            <w:r>
              <w:rPr>
                <w:rFonts w:ascii="Times New Roman" w:cs="Times New Roman" w:eastAsia="Times New Roman" w:hAnsi="Times New Roman"/>
                <w:sz w:val="17"/>
                <w:szCs w:val="17"/>
                <w:color w:val="auto"/>
              </w:rPr>
              <w:t>(In thousands)</w:t>
            </w: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64"/>
        </w:trPr>
        <w:tc>
          <w:tcPr>
            <w:tcW w:w="3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Loans held for sale</w:t>
            </w:r>
          </w:p>
        </w:tc>
        <w:tc>
          <w:tcPr>
            <w:tcW w:w="3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64"/>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September 30, 2026</w:t>
            </w:r>
          </w:p>
        </w:tc>
        <w:tc>
          <w:tcPr>
            <w:tcW w:w="3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12,836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2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12,940</w:t>
            </w:r>
          </w:p>
        </w:tc>
      </w:tr>
      <w:tr>
        <w:trPr>
          <w:trHeight w:val="245"/>
        </w:trPr>
        <w:tc>
          <w:tcPr>
            <w:tcW w:w="3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December 31, 2025</w:t>
            </w:r>
          </w:p>
        </w:tc>
        <w:tc>
          <w:tcPr>
            <w:tcW w:w="3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9,031</w:t>
            </w:r>
          </w:p>
        </w:tc>
        <w:tc>
          <w:tcPr>
            <w:tcW w:w="2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127</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8,904</w:t>
            </w:r>
          </w:p>
        </w:tc>
      </w:tr>
      <w:tr>
        <w:trPr>
          <w:trHeight w:val="864"/>
        </w:trPr>
        <w:tc>
          <w:tcPr>
            <w:tcW w:w="3620" w:type="dxa"/>
            <w:vAlign w:val="bottom"/>
          </w:tcPr>
          <w:p>
            <w:pPr>
              <w:spacing w:after="0"/>
              <w:rPr>
                <w:sz w:val="24"/>
                <w:szCs w:val="24"/>
                <w:color w:val="auto"/>
              </w:rPr>
            </w:pPr>
          </w:p>
        </w:tc>
        <w:tc>
          <w:tcPr>
            <w:tcW w:w="3000" w:type="dxa"/>
            <w:vAlign w:val="bottom"/>
          </w:tcPr>
          <w:p>
            <w:pPr>
              <w:jc w:val="right"/>
              <w:ind w:right="674"/>
              <w:spacing w:after="0"/>
              <w:rPr>
                <w:sz w:val="20"/>
                <w:szCs w:val="20"/>
                <w:color w:val="auto"/>
              </w:rPr>
            </w:pPr>
            <w:r>
              <w:rPr>
                <w:rFonts w:ascii="Times New Roman" w:cs="Times New Roman" w:eastAsia="Times New Roman" w:hAnsi="Times New Roman"/>
                <w:sz w:val="17"/>
                <w:szCs w:val="17"/>
                <w:color w:val="auto"/>
              </w:rPr>
              <w:t>52</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08"/>
        </w:trPr>
        <w:tc>
          <w:tcPr>
            <w:tcW w:w="3620" w:type="dxa"/>
            <w:vAlign w:val="bottom"/>
            <w:tcBorders>
              <w:bottom w:val="single" w:sz="8" w:color="9A9A9A"/>
            </w:tcBorders>
          </w:tcPr>
          <w:p>
            <w:pPr>
              <w:spacing w:after="0"/>
              <w:rPr>
                <w:sz w:val="9"/>
                <w:szCs w:val="9"/>
                <w:color w:val="auto"/>
              </w:rPr>
            </w:pPr>
          </w:p>
        </w:tc>
        <w:tc>
          <w:tcPr>
            <w:tcW w:w="30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ind w:left="380" w:hanging="377"/>
        <w:spacing w:after="0"/>
        <w:tabs>
          <w:tab w:leader="none" w:pos="3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Fair Values of Financial Instruments</w:t>
      </w:r>
    </w:p>
    <w:p>
      <w:pPr>
        <w:spacing w:after="0" w:line="19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Most of our assets and liabilities are considered financial instruments. Many of these financial instruments lack an available trading market and it is our general practice and intent to hold the majority of our financial instruments to maturity. Significant estimates and assumptions were used to determine the fair value of financial instruments. These estimates are subjective in nature, involving uncertainties and matters of judgment, and therefore, fair values may not be a precise estimate. Changes in assumptions could significantly affect the estimates.</w:t>
      </w:r>
    </w:p>
    <w:p>
      <w:pPr>
        <w:spacing w:after="0" w:line="13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Estimated fair values have been determined using available data and methodologies that are considered suitable for each category of financial instrument. For instruments with adjustable interest rates which reprice frequently and without significant credit risk, it is presumed that estimated fair values approximate the recorded book balances.</w:t>
      </w:r>
    </w:p>
    <w:p>
      <w:pPr>
        <w:spacing w:after="0" w:line="29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estimated recorded book balances and fair values follow:</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7"/>
                <w:szCs w:val="17"/>
                <w:color w:val="auto"/>
                <w:w w:val="99"/>
              </w:rPr>
              <w:t>Fair Value Using</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right="74"/>
              <w:spacing w:after="0" w:line="189" w:lineRule="exact"/>
              <w:rPr>
                <w:sz w:val="20"/>
                <w:szCs w:val="20"/>
                <w:color w:val="auto"/>
              </w:rPr>
            </w:pPr>
            <w:r>
              <w:rPr>
                <w:rFonts w:ascii="Times New Roman" w:cs="Times New Roman" w:eastAsia="Times New Roman" w:hAnsi="Times New Roman"/>
                <w:sz w:val="17"/>
                <w:szCs w:val="17"/>
                <w:color w:val="auto"/>
                <w:w w:val="99"/>
              </w:rPr>
              <w:t>Quoted</w:t>
            </w: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74"/>
              <w:spacing w:after="0" w:line="172" w:lineRule="exact"/>
              <w:rPr>
                <w:sz w:val="20"/>
                <w:szCs w:val="20"/>
                <w:color w:val="auto"/>
              </w:rPr>
            </w:pPr>
            <w:r>
              <w:rPr>
                <w:rFonts w:ascii="Times New Roman" w:cs="Times New Roman" w:eastAsia="Times New Roman" w:hAnsi="Times New Roman"/>
                <w:sz w:val="17"/>
                <w:szCs w:val="17"/>
                <w:color w:val="auto"/>
              </w:rPr>
              <w:t>Prices</w:t>
            </w: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74"/>
              <w:spacing w:after="0" w:line="167" w:lineRule="exact"/>
              <w:rPr>
                <w:sz w:val="20"/>
                <w:szCs w:val="20"/>
                <w:color w:val="auto"/>
              </w:rPr>
            </w:pPr>
            <w:r>
              <w:rPr>
                <w:rFonts w:ascii="Times New Roman" w:cs="Times New Roman" w:eastAsia="Times New Roman" w:hAnsi="Times New Roman"/>
                <w:sz w:val="17"/>
                <w:szCs w:val="17"/>
                <w:color w:val="auto"/>
                <w:w w:val="98"/>
              </w:rPr>
              <w:t>in Active</w:t>
            </w:r>
          </w:p>
        </w:tc>
        <w:tc>
          <w:tcPr>
            <w:tcW w:w="140" w:type="dxa"/>
            <w:vAlign w:val="bottom"/>
          </w:tcPr>
          <w:p>
            <w:pPr>
              <w:spacing w:after="0"/>
              <w:rPr>
                <w:sz w:val="14"/>
                <w:szCs w:val="14"/>
                <w:color w:val="auto"/>
              </w:rPr>
            </w:pPr>
          </w:p>
        </w:tc>
        <w:tc>
          <w:tcPr>
            <w:tcW w:w="1320" w:type="dxa"/>
            <w:vAlign w:val="bottom"/>
            <w:vMerge w:val="restart"/>
          </w:tcPr>
          <w:p>
            <w:pPr>
              <w:jc w:val="center"/>
              <w:ind w:right="74"/>
              <w:spacing w:after="0"/>
              <w:rPr>
                <w:sz w:val="20"/>
                <w:szCs w:val="20"/>
                <w:color w:val="auto"/>
              </w:rPr>
            </w:pPr>
            <w:r>
              <w:rPr>
                <w:rFonts w:ascii="Times New Roman" w:cs="Times New Roman" w:eastAsia="Times New Roman" w:hAnsi="Times New Roman"/>
                <w:sz w:val="17"/>
                <w:szCs w:val="17"/>
                <w:color w:val="auto"/>
              </w:rPr>
              <w:t>Significant</w:t>
            </w:r>
          </w:p>
        </w:tc>
        <w:tc>
          <w:tcPr>
            <w:tcW w:w="240" w:type="dxa"/>
            <w:vAlign w:val="bottom"/>
          </w:tcPr>
          <w:p>
            <w:pPr>
              <w:spacing w:after="0"/>
              <w:rPr>
                <w:sz w:val="14"/>
                <w:szCs w:val="14"/>
                <w:color w:val="auto"/>
              </w:rPr>
            </w:pPr>
          </w:p>
        </w:tc>
        <w:tc>
          <w:tcPr>
            <w:tcW w:w="1160" w:type="dxa"/>
            <w:vAlign w:val="bottom"/>
            <w:vMerge w:val="restart"/>
          </w:tcPr>
          <w:p>
            <w:pPr>
              <w:jc w:val="center"/>
              <w:ind w:right="114"/>
              <w:spacing w:after="0"/>
              <w:rPr>
                <w:sz w:val="20"/>
                <w:szCs w:val="20"/>
                <w:color w:val="auto"/>
              </w:rPr>
            </w:pPr>
            <w:r>
              <w:rPr>
                <w:rFonts w:ascii="Times New Roman" w:cs="Times New Roman" w:eastAsia="Times New Roman" w:hAnsi="Times New Roman"/>
                <w:sz w:val="17"/>
                <w:szCs w:val="17"/>
                <w:color w:val="auto"/>
              </w:rPr>
              <w:t>Significant</w:t>
            </w:r>
          </w:p>
        </w:tc>
        <w:tc>
          <w:tcPr>
            <w:tcW w:w="0" w:type="dxa"/>
            <w:vAlign w:val="bottom"/>
          </w:tcPr>
          <w:p>
            <w:pPr>
              <w:spacing w:after="0"/>
              <w:rPr>
                <w:sz w:val="1"/>
                <w:szCs w:val="1"/>
                <w:color w:val="auto"/>
              </w:rPr>
            </w:pPr>
          </w:p>
        </w:tc>
      </w:tr>
      <w:tr>
        <w:trPr>
          <w:trHeight w:val="177"/>
        </w:trPr>
        <w:tc>
          <w:tcPr>
            <w:tcW w:w="4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center"/>
              <w:ind w:right="94"/>
              <w:spacing w:after="0" w:line="177" w:lineRule="exact"/>
              <w:rPr>
                <w:sz w:val="20"/>
                <w:szCs w:val="20"/>
                <w:color w:val="auto"/>
              </w:rPr>
            </w:pPr>
            <w:r>
              <w:rPr>
                <w:rFonts w:ascii="Times New Roman" w:cs="Times New Roman" w:eastAsia="Times New Roman" w:hAnsi="Times New Roman"/>
                <w:sz w:val="17"/>
                <w:szCs w:val="17"/>
                <w:color w:val="auto"/>
              </w:rPr>
              <w:t>Markets</w:t>
            </w:r>
          </w:p>
        </w:tc>
        <w:tc>
          <w:tcPr>
            <w:tcW w:w="14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vMerge w:val="restart"/>
          </w:tcPr>
          <w:p>
            <w:pPr>
              <w:jc w:val="center"/>
              <w:ind w:right="174"/>
              <w:spacing w:after="0"/>
              <w:rPr>
                <w:sz w:val="20"/>
                <w:szCs w:val="20"/>
                <w:color w:val="auto"/>
              </w:rPr>
            </w:pPr>
            <w:r>
              <w:rPr>
                <w:rFonts w:ascii="Times New Roman" w:cs="Times New Roman" w:eastAsia="Times New Roman" w:hAnsi="Times New Roman"/>
                <w:sz w:val="17"/>
                <w:szCs w:val="17"/>
                <w:color w:val="auto"/>
              </w:rPr>
              <w:t>Recorded</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94"/>
              <w:spacing w:after="0" w:line="172" w:lineRule="exact"/>
              <w:rPr>
                <w:sz w:val="20"/>
                <w:szCs w:val="20"/>
                <w:color w:val="auto"/>
              </w:rPr>
            </w:pPr>
            <w:r>
              <w:rPr>
                <w:rFonts w:ascii="Times New Roman" w:cs="Times New Roman" w:eastAsia="Times New Roman" w:hAnsi="Times New Roman"/>
                <w:sz w:val="17"/>
                <w:szCs w:val="17"/>
                <w:color w:val="auto"/>
              </w:rPr>
              <w:t>for</w:t>
            </w:r>
          </w:p>
        </w:tc>
        <w:tc>
          <w:tcPr>
            <w:tcW w:w="140" w:type="dxa"/>
            <w:vAlign w:val="bottom"/>
          </w:tcPr>
          <w:p>
            <w:pPr>
              <w:spacing w:after="0"/>
              <w:rPr>
                <w:sz w:val="14"/>
                <w:szCs w:val="14"/>
                <w:color w:val="auto"/>
              </w:rPr>
            </w:pPr>
          </w:p>
        </w:tc>
        <w:tc>
          <w:tcPr>
            <w:tcW w:w="1320" w:type="dxa"/>
            <w:vAlign w:val="bottom"/>
          </w:tcPr>
          <w:p>
            <w:pPr>
              <w:jc w:val="center"/>
              <w:ind w:right="74"/>
              <w:spacing w:after="0" w:line="172" w:lineRule="exact"/>
              <w:rPr>
                <w:sz w:val="20"/>
                <w:szCs w:val="20"/>
                <w:color w:val="auto"/>
              </w:rPr>
            </w:pPr>
            <w:r>
              <w:rPr>
                <w:rFonts w:ascii="Times New Roman" w:cs="Times New Roman" w:eastAsia="Times New Roman" w:hAnsi="Times New Roman"/>
                <w:sz w:val="17"/>
                <w:szCs w:val="17"/>
                <w:color w:val="auto"/>
              </w:rPr>
              <w:t>Other</w:t>
            </w:r>
          </w:p>
        </w:tc>
        <w:tc>
          <w:tcPr>
            <w:tcW w:w="240" w:type="dxa"/>
            <w:vAlign w:val="bottom"/>
          </w:tcPr>
          <w:p>
            <w:pPr>
              <w:spacing w:after="0"/>
              <w:rPr>
                <w:sz w:val="14"/>
                <w:szCs w:val="14"/>
                <w:color w:val="auto"/>
              </w:rPr>
            </w:pPr>
          </w:p>
        </w:tc>
        <w:tc>
          <w:tcPr>
            <w:tcW w:w="1160" w:type="dxa"/>
            <w:vAlign w:val="bottom"/>
          </w:tcPr>
          <w:p>
            <w:pPr>
              <w:jc w:val="center"/>
              <w:ind w:right="114"/>
              <w:spacing w:after="0" w:line="172" w:lineRule="exact"/>
              <w:rPr>
                <w:sz w:val="20"/>
                <w:szCs w:val="20"/>
                <w:color w:val="auto"/>
              </w:rPr>
            </w:pPr>
            <w:r>
              <w:rPr>
                <w:rFonts w:ascii="Times New Roman" w:cs="Times New Roman" w:eastAsia="Times New Roman" w:hAnsi="Times New Roman"/>
                <w:sz w:val="17"/>
                <w:szCs w:val="17"/>
                <w:color w:val="auto"/>
              </w:rPr>
              <w:t>Un-</w:t>
            </w:r>
          </w:p>
        </w:tc>
        <w:tc>
          <w:tcPr>
            <w:tcW w:w="0" w:type="dxa"/>
            <w:vAlign w:val="bottom"/>
          </w:tcPr>
          <w:p>
            <w:pPr>
              <w:spacing w:after="0"/>
              <w:rPr>
                <w:sz w:val="1"/>
                <w:szCs w:val="1"/>
                <w:color w:val="auto"/>
              </w:rPr>
            </w:pPr>
          </w:p>
        </w:tc>
      </w:tr>
      <w:tr>
        <w:trPr>
          <w:trHeight w:val="168"/>
        </w:trPr>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94"/>
              <w:spacing w:after="0" w:line="167" w:lineRule="exact"/>
              <w:rPr>
                <w:sz w:val="20"/>
                <w:szCs w:val="20"/>
                <w:color w:val="auto"/>
              </w:rPr>
            </w:pPr>
            <w:r>
              <w:rPr>
                <w:rFonts w:ascii="Times New Roman" w:cs="Times New Roman" w:eastAsia="Times New Roman" w:hAnsi="Times New Roman"/>
                <w:sz w:val="17"/>
                <w:szCs w:val="17"/>
                <w:color w:val="auto"/>
              </w:rPr>
              <w:t>Identical</w:t>
            </w:r>
          </w:p>
        </w:tc>
        <w:tc>
          <w:tcPr>
            <w:tcW w:w="140" w:type="dxa"/>
            <w:vAlign w:val="bottom"/>
          </w:tcPr>
          <w:p>
            <w:pPr>
              <w:spacing w:after="0"/>
              <w:rPr>
                <w:sz w:val="14"/>
                <w:szCs w:val="14"/>
                <w:color w:val="auto"/>
              </w:rPr>
            </w:pPr>
          </w:p>
        </w:tc>
        <w:tc>
          <w:tcPr>
            <w:tcW w:w="1320" w:type="dxa"/>
            <w:vAlign w:val="bottom"/>
          </w:tcPr>
          <w:p>
            <w:pPr>
              <w:jc w:val="center"/>
              <w:ind w:right="54"/>
              <w:spacing w:after="0" w:line="167" w:lineRule="exact"/>
              <w:rPr>
                <w:sz w:val="20"/>
                <w:szCs w:val="20"/>
                <w:color w:val="auto"/>
              </w:rPr>
            </w:pPr>
            <w:r>
              <w:rPr>
                <w:rFonts w:ascii="Times New Roman" w:cs="Times New Roman" w:eastAsia="Times New Roman" w:hAnsi="Times New Roman"/>
                <w:sz w:val="17"/>
                <w:szCs w:val="17"/>
                <w:color w:val="auto"/>
              </w:rPr>
              <w:t>Observable</w:t>
            </w:r>
          </w:p>
        </w:tc>
        <w:tc>
          <w:tcPr>
            <w:tcW w:w="240" w:type="dxa"/>
            <w:vAlign w:val="bottom"/>
          </w:tcPr>
          <w:p>
            <w:pPr>
              <w:spacing w:after="0"/>
              <w:rPr>
                <w:sz w:val="14"/>
                <w:szCs w:val="14"/>
                <w:color w:val="auto"/>
              </w:rPr>
            </w:pPr>
          </w:p>
        </w:tc>
        <w:tc>
          <w:tcPr>
            <w:tcW w:w="1160" w:type="dxa"/>
            <w:vAlign w:val="bottom"/>
          </w:tcPr>
          <w:p>
            <w:pPr>
              <w:jc w:val="center"/>
              <w:ind w:right="114"/>
              <w:spacing w:after="0" w:line="167" w:lineRule="exact"/>
              <w:rPr>
                <w:sz w:val="20"/>
                <w:szCs w:val="20"/>
                <w:color w:val="auto"/>
              </w:rPr>
            </w:pPr>
            <w:r>
              <w:rPr>
                <w:rFonts w:ascii="Times New Roman" w:cs="Times New Roman" w:eastAsia="Times New Roman" w:hAnsi="Times New Roman"/>
                <w:sz w:val="17"/>
                <w:szCs w:val="17"/>
                <w:color w:val="auto"/>
              </w:rPr>
              <w:t>observable</w:t>
            </w:r>
          </w:p>
        </w:tc>
        <w:tc>
          <w:tcPr>
            <w:tcW w:w="0" w:type="dxa"/>
            <w:vAlign w:val="bottom"/>
          </w:tcPr>
          <w:p>
            <w:pPr>
              <w:spacing w:after="0"/>
              <w:rPr>
                <w:sz w:val="1"/>
                <w:szCs w:val="1"/>
                <w:color w:val="auto"/>
              </w:rPr>
            </w:pPr>
          </w:p>
        </w:tc>
      </w:tr>
      <w:tr>
        <w:trPr>
          <w:trHeight w:val="180"/>
        </w:trPr>
        <w:tc>
          <w:tcPr>
            <w:tcW w:w="4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center"/>
              <w:ind w:right="174"/>
              <w:spacing w:after="0" w:line="181" w:lineRule="exact"/>
              <w:rPr>
                <w:sz w:val="20"/>
                <w:szCs w:val="20"/>
                <w:color w:val="auto"/>
              </w:rPr>
            </w:pPr>
            <w:r>
              <w:rPr>
                <w:rFonts w:ascii="Times New Roman" w:cs="Times New Roman" w:eastAsia="Times New Roman" w:hAnsi="Times New Roman"/>
                <w:sz w:val="17"/>
                <w:szCs w:val="17"/>
                <w:color w:val="auto"/>
              </w:rPr>
              <w:t>Book</w:t>
            </w:r>
          </w:p>
        </w:tc>
        <w:tc>
          <w:tcPr>
            <w:tcW w:w="280" w:type="dxa"/>
            <w:vAlign w:val="bottom"/>
          </w:tcPr>
          <w:p>
            <w:pPr>
              <w:spacing w:after="0"/>
              <w:rPr>
                <w:sz w:val="15"/>
                <w:szCs w:val="15"/>
                <w:color w:val="auto"/>
              </w:rPr>
            </w:pPr>
          </w:p>
        </w:tc>
        <w:tc>
          <w:tcPr>
            <w:tcW w:w="1220" w:type="dxa"/>
            <w:vAlign w:val="bottom"/>
            <w:vMerge w:val="restart"/>
          </w:tcPr>
          <w:p>
            <w:pPr>
              <w:jc w:val="right"/>
              <w:ind w:right="314"/>
              <w:spacing w:after="0"/>
              <w:rPr>
                <w:sz w:val="20"/>
                <w:szCs w:val="20"/>
                <w:color w:val="auto"/>
              </w:rPr>
            </w:pPr>
            <w:r>
              <w:rPr>
                <w:rFonts w:ascii="Times New Roman" w:cs="Times New Roman" w:eastAsia="Times New Roman" w:hAnsi="Times New Roman"/>
                <w:sz w:val="17"/>
                <w:szCs w:val="17"/>
                <w:color w:val="auto"/>
              </w:rPr>
              <w:t>Fair Value</w:t>
            </w:r>
          </w:p>
        </w:tc>
        <w:tc>
          <w:tcPr>
            <w:tcW w:w="120" w:type="dxa"/>
            <w:vAlign w:val="bottom"/>
          </w:tcPr>
          <w:p>
            <w:pPr>
              <w:spacing w:after="0"/>
              <w:rPr>
                <w:sz w:val="15"/>
                <w:szCs w:val="15"/>
                <w:color w:val="auto"/>
              </w:rPr>
            </w:pPr>
          </w:p>
        </w:tc>
        <w:tc>
          <w:tcPr>
            <w:tcW w:w="1300" w:type="dxa"/>
            <w:vAlign w:val="bottom"/>
          </w:tcPr>
          <w:p>
            <w:pPr>
              <w:jc w:val="center"/>
              <w:ind w:right="74"/>
              <w:spacing w:after="0" w:line="181" w:lineRule="exact"/>
              <w:rPr>
                <w:sz w:val="20"/>
                <w:szCs w:val="20"/>
                <w:color w:val="auto"/>
              </w:rPr>
            </w:pPr>
            <w:r>
              <w:rPr>
                <w:rFonts w:ascii="Times New Roman" w:cs="Times New Roman" w:eastAsia="Times New Roman" w:hAnsi="Times New Roman"/>
                <w:sz w:val="17"/>
                <w:szCs w:val="17"/>
                <w:color w:val="auto"/>
              </w:rPr>
              <w:t>Assets</w:t>
            </w:r>
          </w:p>
        </w:tc>
        <w:tc>
          <w:tcPr>
            <w:tcW w:w="140" w:type="dxa"/>
            <w:vAlign w:val="bottom"/>
          </w:tcPr>
          <w:p>
            <w:pPr>
              <w:spacing w:after="0"/>
              <w:rPr>
                <w:sz w:val="15"/>
                <w:szCs w:val="15"/>
                <w:color w:val="auto"/>
              </w:rPr>
            </w:pPr>
          </w:p>
        </w:tc>
        <w:tc>
          <w:tcPr>
            <w:tcW w:w="1320" w:type="dxa"/>
            <w:vAlign w:val="bottom"/>
          </w:tcPr>
          <w:p>
            <w:pPr>
              <w:jc w:val="center"/>
              <w:ind w:right="54"/>
              <w:spacing w:after="0" w:line="181" w:lineRule="exact"/>
              <w:rPr>
                <w:sz w:val="20"/>
                <w:szCs w:val="20"/>
                <w:color w:val="auto"/>
              </w:rPr>
            </w:pPr>
            <w:r>
              <w:rPr>
                <w:rFonts w:ascii="Times New Roman" w:cs="Times New Roman" w:eastAsia="Times New Roman" w:hAnsi="Times New Roman"/>
                <w:sz w:val="17"/>
                <w:szCs w:val="17"/>
                <w:color w:val="auto"/>
                <w:w w:val="98"/>
              </w:rPr>
              <w:t>Inputs</w:t>
            </w:r>
          </w:p>
        </w:tc>
        <w:tc>
          <w:tcPr>
            <w:tcW w:w="240" w:type="dxa"/>
            <w:vAlign w:val="bottom"/>
          </w:tcPr>
          <w:p>
            <w:pPr>
              <w:spacing w:after="0"/>
              <w:rPr>
                <w:sz w:val="15"/>
                <w:szCs w:val="15"/>
                <w:color w:val="auto"/>
              </w:rPr>
            </w:pPr>
          </w:p>
        </w:tc>
        <w:tc>
          <w:tcPr>
            <w:tcW w:w="1160" w:type="dxa"/>
            <w:vAlign w:val="bottom"/>
          </w:tcPr>
          <w:p>
            <w:pPr>
              <w:jc w:val="center"/>
              <w:ind w:right="114"/>
              <w:spacing w:after="0" w:line="181" w:lineRule="exact"/>
              <w:rPr>
                <w:sz w:val="20"/>
                <w:szCs w:val="20"/>
                <w:color w:val="auto"/>
              </w:rPr>
            </w:pPr>
            <w:r>
              <w:rPr>
                <w:rFonts w:ascii="Times New Roman" w:cs="Times New Roman" w:eastAsia="Times New Roman" w:hAnsi="Times New Roman"/>
                <w:sz w:val="17"/>
                <w:szCs w:val="17"/>
                <w:color w:val="auto"/>
              </w:rPr>
              <w:t>Inputs</w:t>
            </w:r>
          </w:p>
        </w:tc>
        <w:tc>
          <w:tcPr>
            <w:tcW w:w="0" w:type="dxa"/>
            <w:vAlign w:val="bottom"/>
          </w:tcPr>
          <w:p>
            <w:pPr>
              <w:spacing w:after="0"/>
              <w:rPr>
                <w:sz w:val="1"/>
                <w:szCs w:val="1"/>
                <w:color w:val="auto"/>
              </w:rPr>
            </w:pPr>
          </w:p>
        </w:tc>
      </w:tr>
      <w:tr>
        <w:trPr>
          <w:trHeight w:val="219"/>
        </w:trPr>
        <w:tc>
          <w:tcPr>
            <w:tcW w:w="4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7"/>
                <w:szCs w:val="17"/>
                <w:color w:val="auto"/>
              </w:rPr>
              <w:t>Balance</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7"/>
                <w:szCs w:val="17"/>
                <w:color w:val="auto"/>
                <w:w w:val="98"/>
              </w:rPr>
              <w:t>(Level 1)</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7"/>
                <w:szCs w:val="17"/>
                <w:color w:val="auto"/>
              </w:rPr>
              <w:t>(Level 2)</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7"/>
                <w:szCs w:val="17"/>
                <w:color w:val="auto"/>
              </w:rPr>
              <w:t>(Level 3)</w:t>
            </w:r>
          </w:p>
        </w:tc>
        <w:tc>
          <w:tcPr>
            <w:tcW w:w="0" w:type="dxa"/>
            <w:vAlign w:val="bottom"/>
          </w:tcPr>
          <w:p>
            <w:pPr>
              <w:spacing w:after="0"/>
              <w:rPr>
                <w:sz w:val="1"/>
                <w:szCs w:val="1"/>
                <w:color w:val="auto"/>
              </w:rPr>
            </w:pPr>
          </w:p>
        </w:tc>
      </w:tr>
      <w:tr>
        <w:trPr>
          <w:trHeight w:val="238"/>
        </w:trPr>
        <w:tc>
          <w:tcPr>
            <w:tcW w:w="4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(In thousands)</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September 30, 2026</w:t>
            </w: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Assets</w:t>
            </w: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Cash and due from banks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68,275</w:t>
            </w:r>
          </w:p>
        </w:tc>
        <w:tc>
          <w:tcPr>
            <w:tcW w:w="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68,275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68,275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2"/>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Interest bearing deposits</w:t>
            </w: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113,540</w:t>
            </w:r>
          </w:p>
        </w:tc>
        <w:tc>
          <w:tcPr>
            <w:tcW w:w="280" w:type="dxa"/>
            <w:vAlign w:val="bottom"/>
          </w:tcPr>
          <w:p>
            <w:pPr>
              <w:spacing w:after="0"/>
              <w:rPr>
                <w:sz w:val="21"/>
                <w:szCs w:val="21"/>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113,540</w:t>
            </w:r>
          </w:p>
        </w:tc>
        <w:tc>
          <w:tcPr>
            <w:tcW w:w="1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113,540</w:t>
            </w:r>
          </w:p>
        </w:tc>
        <w:tc>
          <w:tcPr>
            <w:tcW w:w="14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4"/>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Interest bearing deposits - time</w:t>
            </w: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746</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746</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746</w:t>
            </w: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2"/>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Securities available for sale</w:t>
            </w: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519,616</w:t>
            </w:r>
          </w:p>
        </w:tc>
        <w:tc>
          <w:tcPr>
            <w:tcW w:w="280" w:type="dxa"/>
            <w:vAlign w:val="bottom"/>
          </w:tcPr>
          <w:p>
            <w:pPr>
              <w:spacing w:after="0"/>
              <w:rPr>
                <w:sz w:val="21"/>
                <w:szCs w:val="21"/>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519,616</w:t>
            </w:r>
          </w:p>
        </w:tc>
        <w:tc>
          <w:tcPr>
            <w:tcW w:w="1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519,616</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4"/>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Securities held to maturity</w:t>
            </w: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292,884</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256,249</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256,249</w:t>
            </w: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2"/>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Federal Home Loan Bank and Federal</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0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Reserve Bank Stock</w:t>
            </w: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20,452</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NA</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52"/>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Net loans and loans held for sale</w:t>
            </w: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4,836,261</w:t>
            </w:r>
          </w:p>
        </w:tc>
        <w:tc>
          <w:tcPr>
            <w:tcW w:w="280" w:type="dxa"/>
            <w:vAlign w:val="bottom"/>
          </w:tcPr>
          <w:p>
            <w:pPr>
              <w:spacing w:after="0"/>
              <w:rPr>
                <w:sz w:val="21"/>
                <w:szCs w:val="21"/>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4,555,805</w:t>
            </w:r>
          </w:p>
        </w:tc>
        <w:tc>
          <w:tcPr>
            <w:tcW w:w="1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12,836</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4,542,969</w:t>
            </w:r>
          </w:p>
        </w:tc>
        <w:tc>
          <w:tcPr>
            <w:tcW w:w="0" w:type="dxa"/>
            <w:vAlign w:val="bottom"/>
          </w:tcPr>
          <w:p>
            <w:pPr>
              <w:spacing w:after="0"/>
              <w:rPr>
                <w:sz w:val="1"/>
                <w:szCs w:val="1"/>
                <w:color w:val="auto"/>
              </w:rPr>
            </w:pPr>
          </w:p>
        </w:tc>
      </w:tr>
      <w:tr>
        <w:trPr>
          <w:trHeight w:val="264"/>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Accrued interest receivable</w:t>
            </w: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21,141</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21,141</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132</w:t>
            </w: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4,751</w:t>
            </w: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16,258</w:t>
            </w:r>
          </w:p>
        </w:tc>
        <w:tc>
          <w:tcPr>
            <w:tcW w:w="0" w:type="dxa"/>
            <w:vAlign w:val="bottom"/>
          </w:tcPr>
          <w:p>
            <w:pPr>
              <w:spacing w:after="0"/>
              <w:rPr>
                <w:sz w:val="1"/>
                <w:szCs w:val="1"/>
                <w:color w:val="auto"/>
              </w:rPr>
            </w:pPr>
          </w:p>
        </w:tc>
      </w:tr>
      <w:tr>
        <w:trPr>
          <w:trHeight w:val="252"/>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Derivative financial instruments</w:t>
            </w: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34,590</w:t>
            </w:r>
          </w:p>
        </w:tc>
        <w:tc>
          <w:tcPr>
            <w:tcW w:w="280" w:type="dxa"/>
            <w:vAlign w:val="bottom"/>
          </w:tcPr>
          <w:p>
            <w:pPr>
              <w:spacing w:after="0"/>
              <w:rPr>
                <w:sz w:val="21"/>
                <w:szCs w:val="21"/>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34,590</w:t>
            </w:r>
          </w:p>
        </w:tc>
        <w:tc>
          <w:tcPr>
            <w:tcW w:w="1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34,590</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71"/>
        </w:trPr>
        <w:tc>
          <w:tcPr>
            <w:tcW w:w="40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2"/>
        </w:trPr>
        <w:tc>
          <w:tcPr>
            <w:tcW w:w="40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Liabilities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Deposits with no stated maturity (1)</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4,586,999</w:t>
            </w:r>
          </w:p>
        </w:tc>
        <w:tc>
          <w:tcPr>
            <w:tcW w:w="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4,586,999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4,586,999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2"/>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Deposits with stated maturity (1)</w:t>
            </w: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934,393</w:t>
            </w:r>
          </w:p>
        </w:tc>
        <w:tc>
          <w:tcPr>
            <w:tcW w:w="280" w:type="dxa"/>
            <w:vAlign w:val="bottom"/>
          </w:tcPr>
          <w:p>
            <w:pPr>
              <w:spacing w:after="0"/>
              <w:rPr>
                <w:sz w:val="21"/>
                <w:szCs w:val="21"/>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930,019</w:t>
            </w:r>
          </w:p>
        </w:tc>
        <w:tc>
          <w:tcPr>
            <w:tcW w:w="1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930,019</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4"/>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Other borrowings</w:t>
            </w: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4,009</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3,666</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3,666</w:t>
            </w: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2"/>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Subordinated debentures</w:t>
            </w: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39,915</w:t>
            </w:r>
          </w:p>
        </w:tc>
        <w:tc>
          <w:tcPr>
            <w:tcW w:w="280" w:type="dxa"/>
            <w:vAlign w:val="bottom"/>
          </w:tcPr>
          <w:p>
            <w:pPr>
              <w:spacing w:after="0"/>
              <w:rPr>
                <w:sz w:val="21"/>
                <w:szCs w:val="21"/>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40,809</w:t>
            </w:r>
          </w:p>
        </w:tc>
        <w:tc>
          <w:tcPr>
            <w:tcW w:w="1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40,809</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4"/>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Accrued interest payable</w:t>
            </w: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2,984</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2,984</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323</w:t>
            </w: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2,661</w:t>
            </w: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2"/>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Derivative financial instruments</w:t>
            </w: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24,943</w:t>
            </w:r>
          </w:p>
        </w:tc>
        <w:tc>
          <w:tcPr>
            <w:tcW w:w="280" w:type="dxa"/>
            <w:vAlign w:val="bottom"/>
          </w:tcPr>
          <w:p>
            <w:pPr>
              <w:spacing w:after="0"/>
              <w:rPr>
                <w:sz w:val="21"/>
                <w:szCs w:val="21"/>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24,943</w:t>
            </w:r>
          </w:p>
        </w:tc>
        <w:tc>
          <w:tcPr>
            <w:tcW w:w="1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24,943</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71"/>
        </w:trPr>
        <w:tc>
          <w:tcPr>
            <w:tcW w:w="40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2"/>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December 31, 2025</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Assets</w:t>
            </w: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Cash and due from banks</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52,235</w:t>
            </w:r>
          </w:p>
        </w:tc>
        <w:tc>
          <w:tcPr>
            <w:tcW w:w="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52,235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52,235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4"/>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Interest bearing deposits</w:t>
            </w: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86,152</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86,152</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86,152</w:t>
            </w: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2"/>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Securities available for sale</w:t>
            </w: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495,909</w:t>
            </w:r>
          </w:p>
        </w:tc>
        <w:tc>
          <w:tcPr>
            <w:tcW w:w="280" w:type="dxa"/>
            <w:vAlign w:val="bottom"/>
          </w:tcPr>
          <w:p>
            <w:pPr>
              <w:spacing w:after="0"/>
              <w:rPr>
                <w:sz w:val="21"/>
                <w:szCs w:val="21"/>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495,909</w:t>
            </w:r>
          </w:p>
        </w:tc>
        <w:tc>
          <w:tcPr>
            <w:tcW w:w="1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495,909</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4"/>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Securities held to maturity</w:t>
            </w: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309,523</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282,830</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282,830</w:t>
            </w: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2"/>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Federal Home Loan Bank and Federal</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0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Reserve Bank Stock</w:t>
            </w: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18,102</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NA</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52"/>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Net loans and loans held for sale</w:t>
            </w: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4,221,871</w:t>
            </w:r>
          </w:p>
        </w:tc>
        <w:tc>
          <w:tcPr>
            <w:tcW w:w="280" w:type="dxa"/>
            <w:vAlign w:val="bottom"/>
          </w:tcPr>
          <w:p>
            <w:pPr>
              <w:spacing w:after="0"/>
              <w:rPr>
                <w:sz w:val="21"/>
                <w:szCs w:val="21"/>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4,062,200</w:t>
            </w:r>
          </w:p>
        </w:tc>
        <w:tc>
          <w:tcPr>
            <w:tcW w:w="1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9,031</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4,053,169</w:t>
            </w:r>
          </w:p>
        </w:tc>
        <w:tc>
          <w:tcPr>
            <w:tcW w:w="0" w:type="dxa"/>
            <w:vAlign w:val="bottom"/>
          </w:tcPr>
          <w:p>
            <w:pPr>
              <w:spacing w:after="0"/>
              <w:rPr>
                <w:sz w:val="1"/>
                <w:szCs w:val="1"/>
                <w:color w:val="auto"/>
              </w:rPr>
            </w:pPr>
          </w:p>
        </w:tc>
      </w:tr>
      <w:tr>
        <w:trPr>
          <w:trHeight w:val="264"/>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Accrued interest receivable</w:t>
            </w: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19,030</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19,030</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35</w:t>
            </w: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5,043</w:t>
            </w: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13,952</w:t>
            </w:r>
          </w:p>
        </w:tc>
        <w:tc>
          <w:tcPr>
            <w:tcW w:w="0" w:type="dxa"/>
            <w:vAlign w:val="bottom"/>
          </w:tcPr>
          <w:p>
            <w:pPr>
              <w:spacing w:after="0"/>
              <w:rPr>
                <w:sz w:val="1"/>
                <w:szCs w:val="1"/>
                <w:color w:val="auto"/>
              </w:rPr>
            </w:pPr>
          </w:p>
        </w:tc>
      </w:tr>
      <w:tr>
        <w:trPr>
          <w:trHeight w:val="252"/>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Derivative financial instruments</w:t>
            </w: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29,584</w:t>
            </w:r>
          </w:p>
        </w:tc>
        <w:tc>
          <w:tcPr>
            <w:tcW w:w="280" w:type="dxa"/>
            <w:vAlign w:val="bottom"/>
          </w:tcPr>
          <w:p>
            <w:pPr>
              <w:spacing w:after="0"/>
              <w:rPr>
                <w:sz w:val="21"/>
                <w:szCs w:val="21"/>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29,584</w:t>
            </w:r>
          </w:p>
        </w:tc>
        <w:tc>
          <w:tcPr>
            <w:tcW w:w="1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29,584</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4"/>
        </w:trPr>
        <w:tc>
          <w:tcPr>
            <w:tcW w:w="40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40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Liabilities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Deposits with no stated maturity (1)</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3,967,941</w:t>
            </w:r>
          </w:p>
        </w:tc>
        <w:tc>
          <w:tcPr>
            <w:tcW w:w="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3,967,941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3,967,941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2"/>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Deposits with stated maturity (1)</w:t>
            </w: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793,741</w:t>
            </w:r>
          </w:p>
        </w:tc>
        <w:tc>
          <w:tcPr>
            <w:tcW w:w="280" w:type="dxa"/>
            <w:vAlign w:val="bottom"/>
          </w:tcPr>
          <w:p>
            <w:pPr>
              <w:spacing w:after="0"/>
              <w:rPr>
                <w:sz w:val="21"/>
                <w:szCs w:val="21"/>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791,598</w:t>
            </w:r>
          </w:p>
        </w:tc>
        <w:tc>
          <w:tcPr>
            <w:tcW w:w="1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791,598</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4"/>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Other borrowings</w:t>
            </w: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77,003</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76,680</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76,680</w:t>
            </w: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2"/>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Subordinated debentures</w:t>
            </w: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39,864</w:t>
            </w:r>
          </w:p>
        </w:tc>
        <w:tc>
          <w:tcPr>
            <w:tcW w:w="280" w:type="dxa"/>
            <w:vAlign w:val="bottom"/>
          </w:tcPr>
          <w:p>
            <w:pPr>
              <w:spacing w:after="0"/>
              <w:rPr>
                <w:sz w:val="21"/>
                <w:szCs w:val="21"/>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39,761</w:t>
            </w:r>
          </w:p>
        </w:tc>
        <w:tc>
          <w:tcPr>
            <w:tcW w:w="1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39,761</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4"/>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Accrued interest payable</w:t>
            </w: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1,892</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1,892</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316</w:t>
            </w: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1,576</w:t>
            </w: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5"/>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Derivative financial instruments</w:t>
            </w: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19,551</w:t>
            </w:r>
          </w:p>
        </w:tc>
        <w:tc>
          <w:tcPr>
            <w:tcW w:w="280" w:type="dxa"/>
            <w:vAlign w:val="bottom"/>
          </w:tcPr>
          <w:p>
            <w:pPr>
              <w:spacing w:after="0"/>
              <w:rPr>
                <w:sz w:val="21"/>
                <w:szCs w:val="21"/>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19,551</w:t>
            </w:r>
          </w:p>
        </w:tc>
        <w:tc>
          <w:tcPr>
            <w:tcW w:w="1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19,551</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ind w:left="580" w:right="20" w:hanging="560"/>
        <w:spacing w:after="0" w:line="233" w:lineRule="auto"/>
        <w:tabs>
          <w:tab w:leader="none" w:pos="580" w:val="left"/>
        </w:tabs>
        <w:numPr>
          <w:ilvl w:val="0"/>
          <w:numId w:val="21"/>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3"/>
          <w:szCs w:val="13"/>
          <w:color w:val="auto"/>
        </w:rPr>
        <w:t>Deposits with no stated maturity include reciprocal deposits with a recorded book balance of $868.722 million and $862.697 million at September 30, 2026 and December 31, 2025, respectively. Deposits with a stated maturity include reciprocal deposits with a recorded book balance of $183.767 million and $112.224 million at September 30, 2026 and December 31, 2025, respectively.</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fair values for commitments to extend credit and standby letters of credit are estimated to approximate their aggregate book balance, which is nominal and therefore are not disclosed.</w:t>
      </w:r>
    </w:p>
    <w:p>
      <w:pPr>
        <w:spacing w:after="0" w:line="12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Fair value estimates are made at a specific point in time, based on relevant market information and information about the financial instrument. These estimates do not reflect any premium or discount that could result from offering for sale the entire holdings of a particular financial instrument.</w:t>
      </w:r>
    </w:p>
    <w:p>
      <w:pPr>
        <w:spacing w:after="0" w:line="11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Fair value estimates are based on existing on- and off-balance sheet financial instruments without attempting to estimate the value of anticipated future business, the value of future earnings attributable to off-balance sheet activities and the value of assets and liabilities that are not considered financial instruments.</w:t>
      </w:r>
    </w:p>
    <w:p>
      <w:pPr>
        <w:spacing w:after="0" w:line="11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Fair value estimates for deposit accounts do not include the value of the core deposit intangible asset resulting from the low-cost funding provided by the deposit liabilities compared to the cost of borrowing funds in the market.</w:t>
      </w:r>
    </w:p>
    <w:p>
      <w:pPr>
        <w:spacing w:after="0" w:line="28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ind w:left="380" w:hanging="377"/>
        <w:spacing w:after="0"/>
        <w:tabs>
          <w:tab w:leader="none" w:pos="3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Contingencies</w:t>
      </w:r>
    </w:p>
    <w:p>
      <w:pPr>
        <w:spacing w:after="0" w:line="16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Macroeconomic and market conditions, including interest-rate volatility, inflationary pressures, recessionary concerns, uncertainty regarding fiscal, trade, regulatory and monetary policy, geopolitical conflicts in the Middle East and elsewhere, volatility in energy and commodity prices, competition for deposits and funding, and conditions affecting customer confidence, continue to create economic uncertainty for our customers, the markets in which we operate and the financial services industry.</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extent to which these pressures and other factors may impact our business, results of operations, asset valuations, financial condition, and customers will depend on future developments, which continue to be highly uncertain and difficult to predict. Potential adverse effects may include reduced loan demand, changes in deposit levels or costs, pressure on liquidity and net interest margin, increased borrower delinquencies or defaults, lower collateral values, increased provision for credit losses or allowance for credit losses, and changes in the valuation or recoverability of goodwill, other intangible assets, securities available for sale, securities held to maturity, capitalized mortgage loan servicing rights or deferred tax assets.</w:t>
      </w:r>
    </w:p>
    <w:p>
      <w:pPr>
        <w:spacing w:after="0" w:line="12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Management continues to monitor higher-risk segments of the loan portfolio, including commercial real estate and other portfolio concentrations, the value of the securities portfolio, capital, liquidity, deposit trends and other market indicators.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Litigation</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are involved in various litigation matters in the ordinary course of business, which currently include three putative class action complaints brought against Independent Bank alleging that its practice of charging overdraft and other fees was not consistent with the disclosures Independent Bank made to consumers. These lawsuits are similar to lawsuits that have recently been filed against other financial institutions pertaining to overdraft fee disclosures. No class has been certified in any of the putative class action complaints brought against Independent Bank, and we believe we have valid defenses to each of the claims that have been made. These three actions are being coordinated for pre-trial and other purposes.</w:t>
      </w:r>
    </w:p>
    <w:p>
      <w:pPr>
        <w:spacing w:after="0" w:line="12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During the quarter ended June 30, 2026, Independent Bank reached an agreement in principle to resolve these coordinated actions for $1.85 million, subject to the negotiation, execution, and delivery of definitive settlement documentation and preliminary and final approval by the court. There can be no assurance that definitive settlement documentation will be executed, that the court will approve the proposed settlement on its current or any other terms, or that the proposed settlement will become final and non-appealable. The proposed settlement does not constitute an admission of liability or wrongdoing by the Company or Independent Bank, and the Company and Independent Bank continue to deny the allegations. If the proposed settlement is not finalized or approved, we intend to continue to defend the actions vigorously.</w:t>
      </w:r>
    </w:p>
    <w:p>
      <w:pPr>
        <w:spacing w:after="0" w:line="1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 of September 30, 2026, we had accrued $1.85 million for losses we consider probable and reasonably estimable with respect to these matters. The accrual is reflected as Litigation Expense in the interim condensed consolidated statement of operations and in accrued expenses and other liabilities in the interim condensed consolidated statements of financial condition. Because of the inherent uncertainty of litigation and the fact that the proposed settlement remains subject to definitive documentation and court approval, it is reasonably possible that our ultimate loss could differ from the amount accrued.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Visa Stock</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May 8, 2026, we exchanged 6,283 shares of Visa Inc. Class B-2 common stock (all of the Class B-2 shares we owned) for 1,183 shares of Visa Inc. Class C common stock and 3,141 shares of Visa Inc. Class B-3 common stock pursuant to an exchange offer conducted by Visa. Each Class C share automatically converts to 4 shares of Visa Inc. Class A common stock upon a transfer to anyone other than a Visa member or an affiliate of a Visa member. The Class B-3 shares have the same transfer restrictions as the transfer restrictions on the Class B-2 shares and can only be sold to other Class B shareholders.</w:t>
      </w:r>
    </w:p>
    <w:p>
      <w:pPr>
        <w:spacing w:after="0" w:line="19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With the completion of the exchange, we recorded a gain related to the Class C shares of $1.509 million based on the conversion privilege of those shares and the closing price of the Class A shares on May 8, 2026 (the exchange expiration date) of $318.79 per share. Subsequent to the exchange, we sold all of our Class C shares for net proceeds of $1.665 million. We held no Class C shares at September 30, 2026.</w:t>
      </w:r>
    </w:p>
    <w:p>
      <w:pPr>
        <w:spacing w:after="0" w:line="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Because of the very limited liquidity for the Class B-2 shares (prior to completion of the exchange offer) and uncertainty regarding the likelihood, ultimate timing, and eventual exchange rate for Class B-2 shares into Class A shares, we were carrying these shares at zero (prior to the completion of the exchange offer), representing cost basis less impairment. In light of the continued uncertainty regarding the likelihood, ultimate timing, and eventual exchange rate for Class B-3 shares</w:t>
      </w:r>
    </w:p>
    <w:p>
      <w:pPr>
        <w:spacing w:after="0" w:line="200" w:lineRule="exact"/>
        <w:rPr>
          <w:sz w:val="20"/>
          <w:szCs w:val="20"/>
          <w:color w:val="auto"/>
        </w:rPr>
      </w:pPr>
    </w:p>
    <w:p>
      <w:pPr>
        <w:spacing w:after="0" w:line="3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35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into Class A shares, we are carrying the Class B-3 shares at zero at September 30, 2026 (we were carrying the Class B-2 shares at zero at December 31, 2025 as well), representing cost basis less impairment. However, given the current conversion ratio of 1.4773 Class A shares for every 1 Class B-3 share and the closing price of Visa Class A shares on October 29, 2026 of $410.54 per share, our 3,141 Class B-3 shares would have a current “value” of approximately $1.9 million.</w:t>
      </w:r>
    </w:p>
    <w:p>
      <w:pPr>
        <w:spacing w:after="0" w:line="1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As a condition to our participation in each of the two exchange offers made by Visa with respect to its Class B stock, we were required to enter into a Makewhole Agreement that will require us to reimburse Visa in certain circumstances if certain litigation in which Visa has been involved since 2008 results in damages significantly higher than Visa currently expects. Potential payments under the Makewhole Agreements are designed to equal the decline in value we would have experienced had we not participated in Visa’s exchange offers. Based on the disclosures that have been made by Visa regarding the status of this litigation and other circumstances relating to the exchange offers and potential future, similar exchange offers, we believe the likelihood we will have to make any payments under the Makewhole Agreement is remote and as such, no obligation has been accrued for related to this Makewhole Agreement at both September 30, 2026 and December 31, 2025.</w:t>
      </w:r>
    </w:p>
    <w:p>
      <w:pPr>
        <w:spacing w:after="0" w:line="200" w:lineRule="exact"/>
        <w:rPr>
          <w:sz w:val="20"/>
          <w:szCs w:val="20"/>
          <w:color w:val="auto"/>
        </w:rPr>
      </w:pPr>
    </w:p>
    <w:p>
      <w:pPr>
        <w:spacing w:after="0" w:line="34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ind w:right="7240" w:firstLine="3"/>
        <w:spacing w:after="0" w:line="506" w:lineRule="auto"/>
        <w:tabs>
          <w:tab w:leader="none" w:pos="38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 xml:space="preserve">Accumulated Other Comprehensive Loss (“AOCL”) </w:t>
      </w:r>
      <w:r>
        <w:rPr>
          <w:rFonts w:ascii="Times New Roman" w:cs="Times New Roman" w:eastAsia="Times New Roman" w:hAnsi="Times New Roman"/>
          <w:sz w:val="17"/>
          <w:szCs w:val="17"/>
          <w:color w:val="auto"/>
        </w:rPr>
        <w:t>A summary of changes in AOCL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9"/>
              </w:rPr>
              <w:t>Unrealized</w:t>
            </w:r>
          </w:p>
        </w:tc>
        <w:tc>
          <w:tcPr>
            <w:tcW w:w="120" w:type="dxa"/>
            <w:vAlign w:val="bottom"/>
          </w:tcPr>
          <w:p>
            <w:pPr>
              <w:spacing w:after="0"/>
              <w:rPr>
                <w:sz w:val="17"/>
                <w:szCs w:val="17"/>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Dispropor-</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6"/>
        </w:trPr>
        <w:tc>
          <w:tcPr>
            <w:tcW w:w="4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Losses on</w:t>
            </w:r>
          </w:p>
        </w:tc>
        <w:tc>
          <w:tcPr>
            <w:tcW w:w="120" w:type="dxa"/>
            <w:vAlign w:val="bottom"/>
          </w:tcPr>
          <w:p>
            <w:pPr>
              <w:spacing w:after="0"/>
              <w:rPr>
                <w:sz w:val="17"/>
                <w:szCs w:val="17"/>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tionate</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0"/>
        </w:trPr>
        <w:tc>
          <w:tcPr>
            <w:tcW w:w="4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9"/>
              </w:rPr>
              <w:t>Unrealized</w:t>
            </w:r>
          </w:p>
        </w:tc>
        <w:tc>
          <w:tcPr>
            <w:tcW w:w="14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8"/>
              </w:rPr>
              <w:t>Securities</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8"/>
              </w:rPr>
              <w:t>Tax Effects</w:t>
            </w: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Unrealized</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3"/>
        </w:trPr>
        <w:tc>
          <w:tcPr>
            <w:tcW w:w="4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Losses on</w:t>
            </w:r>
          </w:p>
        </w:tc>
        <w:tc>
          <w:tcPr>
            <w:tcW w:w="14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8"/>
              </w:rPr>
              <w:t>Transferred</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from</w:t>
            </w:r>
          </w:p>
        </w:tc>
        <w:tc>
          <w:tcPr>
            <w:tcW w:w="18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Losses on</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6"/>
        </w:trPr>
        <w:tc>
          <w:tcPr>
            <w:tcW w:w="4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8"/>
              </w:rPr>
              <w:t>Securities</w:t>
            </w:r>
          </w:p>
        </w:tc>
        <w:tc>
          <w:tcPr>
            <w:tcW w:w="140" w:type="dxa"/>
            <w:vAlign w:val="bottom"/>
          </w:tcPr>
          <w:p>
            <w:pPr>
              <w:spacing w:after="0"/>
              <w:rPr>
                <w:sz w:val="17"/>
                <w:szCs w:val="17"/>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to Securities</w:t>
            </w:r>
          </w:p>
        </w:tc>
        <w:tc>
          <w:tcPr>
            <w:tcW w:w="120" w:type="dxa"/>
            <w:vAlign w:val="bottom"/>
          </w:tcPr>
          <w:p>
            <w:pPr>
              <w:spacing w:after="0"/>
              <w:rPr>
                <w:sz w:val="17"/>
                <w:szCs w:val="17"/>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Securities</w:t>
            </w:r>
          </w:p>
        </w:tc>
        <w:tc>
          <w:tcPr>
            <w:tcW w:w="18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Derivative</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48"/>
        </w:trPr>
        <w:tc>
          <w:tcPr>
            <w:tcW w:w="40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6"/>
              </w:rPr>
              <w:t>AFS</w:t>
            </w: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HTM (1)</w:t>
            </w: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AFS</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9"/>
              </w:rPr>
              <w:t>Instruments</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rPr>
              <w:t>Total</w:t>
            </w:r>
          </w:p>
        </w:tc>
      </w:tr>
      <w:tr>
        <w:trPr>
          <w:trHeight w:val="225"/>
        </w:trPr>
        <w:tc>
          <w:tcPr>
            <w:tcW w:w="4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(In thousands)</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51"/>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 the three months ended September 30,</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64"/>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2026</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52"/>
        </w:trPr>
        <w:tc>
          <w:tcPr>
            <w:tcW w:w="4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Balances at beginning of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(38,423)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(9,107)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(5,798)</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(3,013)</w:t>
            </w:r>
          </w:p>
        </w:tc>
        <w:tc>
          <w:tcPr>
            <w:tcW w:w="100" w:type="dxa"/>
            <w:vAlign w:val="bottom"/>
          </w:tcPr>
          <w:p>
            <w:pPr>
              <w:spacing w:after="0"/>
              <w:rPr>
                <w:sz w:val="21"/>
                <w:szCs w:val="21"/>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(56,341)</w:t>
            </w:r>
          </w:p>
        </w:tc>
      </w:tr>
      <w:tr>
        <w:trPr>
          <w:trHeight w:val="222"/>
        </w:trPr>
        <w:tc>
          <w:tcPr>
            <w:tcW w:w="4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Other comprehensive income (loss) before</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6"/>
        </w:trPr>
        <w:tc>
          <w:tcPr>
            <w:tcW w:w="4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reclassifications</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(16,538)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(17,136)</w:t>
            </w:r>
          </w:p>
        </w:tc>
      </w:tr>
      <w:tr>
        <w:trPr>
          <w:trHeight w:val="252"/>
        </w:trPr>
        <w:tc>
          <w:tcPr>
            <w:tcW w:w="4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Amounts reclassified from AOCL</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463</w:t>
            </w:r>
          </w:p>
        </w:tc>
      </w:tr>
      <w:tr>
        <w:trPr>
          <w:trHeight w:val="202"/>
        </w:trPr>
        <w:tc>
          <w:tcPr>
            <w:tcW w:w="4040" w:type="dxa"/>
            <w:vAlign w:val="bottom"/>
            <w:tcBorders>
              <w:top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Net current period other comprehensive income</w:t>
            </w:r>
          </w:p>
        </w:tc>
        <w:tc>
          <w:tcPr>
            <w:tcW w:w="1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r>
      <w:tr>
        <w:trPr>
          <w:trHeight w:val="236"/>
        </w:trPr>
        <w:tc>
          <w:tcPr>
            <w:tcW w:w="40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(loss)</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(16,525)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(16,673)</w:t>
            </w:r>
          </w:p>
        </w:tc>
      </w:tr>
      <w:tr>
        <w:trPr>
          <w:trHeight w:val="244"/>
        </w:trPr>
        <w:tc>
          <w:tcPr>
            <w:tcW w:w="4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Balances at 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(54,948)</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(8,622)</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rPr>
              <w:t>(5,798)</w:t>
            </w:r>
          </w:p>
        </w:tc>
        <w:tc>
          <w:tcPr>
            <w:tcW w:w="8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(3,646)</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(73,014)</w:t>
            </w: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78"/>
        </w:trPr>
        <w:tc>
          <w:tcPr>
            <w:tcW w:w="4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52"/>
        </w:trPr>
        <w:tc>
          <w:tcPr>
            <w:tcW w:w="4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2025</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64"/>
        </w:trPr>
        <w:tc>
          <w:tcPr>
            <w:tcW w:w="4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Balances at beginning of period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(51,816)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(11,489)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(5,798)</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(69,887)</w:t>
            </w:r>
          </w:p>
        </w:tc>
      </w:tr>
      <w:tr>
        <w:trPr>
          <w:trHeight w:val="216"/>
        </w:trPr>
        <w:tc>
          <w:tcPr>
            <w:tcW w:w="4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Other comprehensive income (loss) before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9"/>
        </w:trPr>
        <w:tc>
          <w:tcPr>
            <w:tcW w:w="40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reclassifications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8,748</w:t>
            </w:r>
          </w:p>
        </w:tc>
      </w:tr>
      <w:tr>
        <w:trPr>
          <w:trHeight w:val="264"/>
        </w:trPr>
        <w:tc>
          <w:tcPr>
            <w:tcW w:w="4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Amounts reclassified from AOCL</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w:t>
            </w:r>
          </w:p>
        </w:tc>
      </w:tr>
      <w:tr>
        <w:trPr>
          <w:trHeight w:val="196"/>
        </w:trPr>
        <w:tc>
          <w:tcPr>
            <w:tcW w:w="40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Net current period other comprehensive income</w:t>
            </w: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r>
      <w:tr>
        <w:trPr>
          <w:trHeight w:val="229"/>
        </w:trPr>
        <w:tc>
          <w:tcPr>
            <w:tcW w:w="404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(loss)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9,257</w:t>
            </w:r>
          </w:p>
        </w:tc>
      </w:tr>
      <w:tr>
        <w:trPr>
          <w:trHeight w:val="276"/>
        </w:trPr>
        <w:tc>
          <w:tcPr>
            <w:tcW w:w="404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Balances at end of period</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(42,723)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(10,875)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(5,798)</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(60,630)</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4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5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 the nine months ended September 30,</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52"/>
        </w:trPr>
        <w:tc>
          <w:tcPr>
            <w:tcW w:w="40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2026</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64"/>
        </w:trPr>
        <w:tc>
          <w:tcPr>
            <w:tcW w:w="4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Balances at beginning of period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(40,254)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(10,256)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(5,798)</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(57,688)</w:t>
            </w:r>
          </w:p>
        </w:tc>
      </w:tr>
      <w:tr>
        <w:trPr>
          <w:trHeight w:val="216"/>
        </w:trPr>
        <w:tc>
          <w:tcPr>
            <w:tcW w:w="4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Other comprehensive income (loss) before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9"/>
        </w:trPr>
        <w:tc>
          <w:tcPr>
            <w:tcW w:w="40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reclassifications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(16,447)</w:t>
            </w:r>
          </w:p>
        </w:tc>
      </w:tr>
      <w:tr>
        <w:trPr>
          <w:trHeight w:val="264"/>
        </w:trPr>
        <w:tc>
          <w:tcPr>
            <w:tcW w:w="4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Amounts reclassified from AOCL</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1,121</w:t>
            </w:r>
          </w:p>
        </w:tc>
      </w:tr>
      <w:tr>
        <w:trPr>
          <w:trHeight w:val="196"/>
        </w:trPr>
        <w:tc>
          <w:tcPr>
            <w:tcW w:w="4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Net current period other comprehensive income</w:t>
            </w: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r>
      <w:tr>
        <w:trPr>
          <w:trHeight w:val="229"/>
        </w:trPr>
        <w:tc>
          <w:tcPr>
            <w:tcW w:w="40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(loss)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(15,326)</w:t>
            </w:r>
          </w:p>
        </w:tc>
      </w:tr>
      <w:tr>
        <w:trPr>
          <w:trHeight w:val="276"/>
        </w:trPr>
        <w:tc>
          <w:tcPr>
            <w:tcW w:w="404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Balances at end of period</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(54,948)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(8,622)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(5,798)</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(73,014)</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4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58"/>
        </w:trPr>
        <w:tc>
          <w:tcPr>
            <w:tcW w:w="4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2025</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52"/>
        </w:trPr>
        <w:tc>
          <w:tcPr>
            <w:tcW w:w="4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Balances at beginning of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(49,301)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(12,775)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(5,798)</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(2,070)</w:t>
            </w:r>
          </w:p>
        </w:tc>
        <w:tc>
          <w:tcPr>
            <w:tcW w:w="100" w:type="dxa"/>
            <w:vAlign w:val="bottom"/>
          </w:tcPr>
          <w:p>
            <w:pPr>
              <w:spacing w:after="0"/>
              <w:rPr>
                <w:sz w:val="21"/>
                <w:szCs w:val="21"/>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(69,944)</w:t>
            </w:r>
          </w:p>
        </w:tc>
      </w:tr>
      <w:tr>
        <w:trPr>
          <w:trHeight w:val="222"/>
        </w:trPr>
        <w:tc>
          <w:tcPr>
            <w:tcW w:w="4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Other comprehensive income (loss) before</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6"/>
        </w:trPr>
        <w:tc>
          <w:tcPr>
            <w:tcW w:w="4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reclassifications</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7,815</w:t>
            </w:r>
          </w:p>
        </w:tc>
      </w:tr>
      <w:tr>
        <w:trPr>
          <w:trHeight w:val="252"/>
        </w:trPr>
        <w:tc>
          <w:tcPr>
            <w:tcW w:w="40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7"/>
                <w:szCs w:val="17"/>
                <w:color w:val="auto"/>
              </w:rPr>
              <w:t>Amounts reclassified from AOCL</w:t>
            </w: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1,219</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1,499</w:t>
            </w:r>
          </w:p>
        </w:tc>
      </w:tr>
      <w:tr>
        <w:trPr>
          <w:trHeight w:val="257"/>
        </w:trPr>
        <w:tc>
          <w:tcPr>
            <w:tcW w:w="4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Net current period other comprehensive income</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9,314</w:t>
            </w:r>
          </w:p>
        </w:tc>
      </w:tr>
      <w:tr>
        <w:trPr>
          <w:trHeight w:val="245"/>
        </w:trPr>
        <w:tc>
          <w:tcPr>
            <w:tcW w:w="4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Balances at 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(42,723)</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(10,875)</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rPr>
              <w:t>(5,798)</w:t>
            </w:r>
          </w:p>
        </w:tc>
        <w:tc>
          <w:tcPr>
            <w:tcW w:w="8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(1,234)</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(60,630)</w:t>
            </w:r>
          </w:p>
        </w:tc>
      </w:tr>
      <w:tr>
        <w:trPr>
          <w:trHeight w:val="25"/>
        </w:trPr>
        <w:tc>
          <w:tcPr>
            <w:tcW w:w="40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Represents the remaining unrealized loss to be accreted on securities that were transferred from AFS to HTM on April 1, 2022.</w:t>
      </w:r>
    </w:p>
    <w:p>
      <w:pPr>
        <w:spacing w:after="0" w:line="17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disproportionate tax effects from securities AFS arose due to tax effects of other comprehensive income (“OCI”) in the presence of a valuation allowance against our deferred tax assets and a pretax loss from operations. Generally, the amount of income tax expense or benefit allocated to operations is determined without regard to the tax effects of other categories of income or loss, such as OCI. However, an exception to the general rule is provided when, in the presence of a valuation</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allowance against deferred tax assets, there is a pretax loss from operations and pretax income from other categories in the current period. In such instances, income from other categories must offset the current loss from operations, the tax benefit of such offset being reflected in operations. Release of material disproportionate tax effects from AOCL to earnings is done by the portfolio method whereby the effects will remain in AOCL as long as we carry a more than inconsequential portfolio of securities AFS.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reclassifications out of each component of AOCL for the three months ended September 30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Amount</w:t>
            </w:r>
          </w:p>
        </w:tc>
        <w:tc>
          <w:tcPr>
            <w:tcW w:w="4780" w:type="dxa"/>
            <w:vAlign w:val="bottom"/>
          </w:tcPr>
          <w:p>
            <w:pPr>
              <w:spacing w:after="0"/>
              <w:rPr>
                <w:sz w:val="17"/>
                <w:szCs w:val="17"/>
                <w:color w:val="auto"/>
              </w:rPr>
            </w:pPr>
          </w:p>
        </w:tc>
      </w:tr>
      <w:tr>
        <w:trPr>
          <w:trHeight w:val="206"/>
        </w:trPr>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Reclassified</w:t>
            </w:r>
          </w:p>
        </w:tc>
        <w:tc>
          <w:tcPr>
            <w:tcW w:w="4780" w:type="dxa"/>
            <w:vAlign w:val="bottom"/>
          </w:tcPr>
          <w:p>
            <w:pPr>
              <w:spacing w:after="0"/>
              <w:rPr>
                <w:sz w:val="17"/>
                <w:szCs w:val="17"/>
                <w:color w:val="auto"/>
              </w:rPr>
            </w:pPr>
          </w:p>
        </w:tc>
      </w:tr>
      <w:tr>
        <w:trPr>
          <w:trHeight w:val="206"/>
        </w:trPr>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From</w:t>
            </w:r>
          </w:p>
        </w:tc>
        <w:tc>
          <w:tcPr>
            <w:tcW w:w="4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Affected Line Item in Interim Condensed</w:t>
            </w:r>
          </w:p>
        </w:tc>
      </w:tr>
      <w:tr>
        <w:trPr>
          <w:trHeight w:val="242"/>
        </w:trPr>
        <w:tc>
          <w:tcPr>
            <w:tcW w:w="478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7"/>
                <w:szCs w:val="17"/>
                <w:color w:val="auto"/>
              </w:rPr>
              <w:t>AOCL Component</w:t>
            </w:r>
          </w:p>
        </w:tc>
        <w:tc>
          <w:tcPr>
            <w:tcW w:w="80" w:type="dxa"/>
            <w:vAlign w:val="bottom"/>
          </w:tcPr>
          <w:p>
            <w:pPr>
              <w:spacing w:after="0"/>
              <w:rPr>
                <w:sz w:val="21"/>
                <w:szCs w:val="21"/>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AOCL</w:t>
            </w:r>
          </w:p>
        </w:tc>
        <w:tc>
          <w:tcPr>
            <w:tcW w:w="100" w:type="dxa"/>
            <w:vAlign w:val="bottom"/>
          </w:tcPr>
          <w:p>
            <w:pPr>
              <w:spacing w:after="0"/>
              <w:rPr>
                <w:sz w:val="21"/>
                <w:szCs w:val="21"/>
                <w:color w:val="auto"/>
              </w:rPr>
            </w:pPr>
          </w:p>
        </w:tc>
        <w:tc>
          <w:tcPr>
            <w:tcW w:w="4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Consolidated Statements of Operations</w:t>
            </w:r>
          </w:p>
        </w:tc>
      </w:tr>
      <w:tr>
        <w:trPr>
          <w:trHeight w:val="232"/>
        </w:trPr>
        <w:tc>
          <w:tcPr>
            <w:tcW w:w="4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(In thousands)</w:t>
            </w:r>
          </w:p>
        </w:tc>
        <w:tc>
          <w:tcPr>
            <w:tcW w:w="4780" w:type="dxa"/>
            <w:vAlign w:val="bottom"/>
          </w:tcPr>
          <w:p>
            <w:pPr>
              <w:spacing w:after="0"/>
              <w:rPr>
                <w:sz w:val="20"/>
                <w:szCs w:val="20"/>
                <w:color w:val="auto"/>
              </w:rPr>
            </w:pPr>
          </w:p>
        </w:tc>
      </w:tr>
    </w:tbl>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720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22160" cy="172085"/>
                    </a:xfrm>
                    <a:prstGeom prst="rect">
                      <a:avLst/>
                    </a:prstGeom>
                    <a:noFill/>
                  </pic:spPr>
                </pic:pic>
              </a:graphicData>
            </a:graphic>
          </wp:anchor>
        </w:drawing>
      </w:r>
    </w:p>
    <w:p>
      <w:pPr>
        <w:spacing w:after="0" w:line="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Unrealized losses on securities available for sale</w:t>
      </w:r>
    </w:p>
    <w:p>
      <w:pPr>
        <w:spacing w:after="0" w:line="75" w:lineRule="exact"/>
        <w:rPr>
          <w:sz w:val="20"/>
          <w:szCs w:val="20"/>
          <w:color w:val="auto"/>
        </w:rPr>
      </w:pPr>
    </w:p>
    <w:p>
      <w:pPr>
        <w:ind w:left="6040" w:hanging="1159"/>
        <w:spacing w:after="0"/>
        <w:tabs>
          <w:tab w:leader="none" w:pos="60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(17)  Net losses on securities available for sale</w:t>
      </w:r>
    </w:p>
    <w:p>
      <w:pPr>
        <w:spacing w:after="0" w:line="62" w:lineRule="exact"/>
        <w:rPr>
          <w:rFonts w:ascii="Times New Roman" w:cs="Times New Roman" w:eastAsia="Times New Roman" w:hAnsi="Times New Roman"/>
          <w:sz w:val="17"/>
          <w:szCs w:val="17"/>
          <w:color w:val="auto"/>
        </w:rPr>
      </w:pPr>
    </w:p>
    <w:p>
      <w:pPr>
        <w:ind w:left="6460" w:hanging="340"/>
        <w:spacing w:after="0"/>
        <w:tabs>
          <w:tab w:leader="none" w:pos="646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-137795</wp:posOffset>
            </wp:positionV>
            <wp:extent cx="7122160" cy="1720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22160" cy="172085"/>
                    </a:xfrm>
                    <a:prstGeom prst="rect">
                      <a:avLst/>
                    </a:prstGeom>
                    <a:noFill/>
                  </pic:spPr>
                </pic:pic>
              </a:graphicData>
            </a:graphic>
          </wp:anchor>
        </w:drawing>
      </w:r>
    </w:p>
    <w:p>
      <w:pPr>
        <w:spacing w:after="0" w:line="55" w:lineRule="exact"/>
        <w:rPr>
          <w:sz w:val="20"/>
          <w:szCs w:val="20"/>
          <w:color w:val="auto"/>
        </w:rPr>
      </w:pPr>
    </w:p>
    <w:p>
      <w:pPr>
        <w:ind w:left="6040" w:hanging="1159"/>
        <w:spacing w:after="0"/>
        <w:tabs>
          <w:tab w:leader="none" w:pos="60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638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30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Unrealized losses on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22160" cy="1638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55" w:lineRule="exact"/>
        <w:rPr>
          <w:sz w:val="20"/>
          <w:szCs w:val="20"/>
          <w:color w:val="auto"/>
        </w:rPr>
      </w:pPr>
    </w:p>
    <w:p>
      <w:pPr>
        <w:ind w:left="5940" w:hanging="1059"/>
        <w:spacing w:after="0"/>
        <w:tabs>
          <w:tab w:leader="none" w:pos="59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(536)  Interest income</w:t>
      </w:r>
    </w:p>
    <w:p>
      <w:pPr>
        <w:spacing w:after="0" w:line="62" w:lineRule="exact"/>
        <w:rPr>
          <w:rFonts w:ascii="Times New Roman" w:cs="Times New Roman" w:eastAsia="Times New Roman" w:hAnsi="Times New Roman"/>
          <w:sz w:val="17"/>
          <w:szCs w:val="17"/>
          <w:color w:val="auto"/>
        </w:rPr>
      </w:pPr>
    </w:p>
    <w:p>
      <w:pPr>
        <w:ind w:left="6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33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720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22160" cy="172085"/>
                    </a:xfrm>
                    <a:prstGeom prst="rect">
                      <a:avLst/>
                    </a:prstGeom>
                    <a:noFill/>
                  </pic:spPr>
                </pic:pic>
              </a:graphicData>
            </a:graphic>
          </wp:anchor>
        </w:drawing>
      </w:r>
    </w:p>
    <w:p>
      <w:pPr>
        <w:spacing w:after="0" w:line="5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7"/>
          <w:szCs w:val="17"/>
          <w:color w:val="auto"/>
        </w:rPr>
        <w:t>(569)</w:t>
      </w:r>
    </w:p>
    <w:p>
      <w:pPr>
        <w:spacing w:after="0" w:line="62" w:lineRule="exact"/>
        <w:rPr>
          <w:sz w:val="20"/>
          <w:szCs w:val="20"/>
          <w:color w:val="auto"/>
        </w:rPr>
      </w:pPr>
    </w:p>
    <w:p>
      <w:pPr>
        <w:ind w:left="5960" w:hanging="1079"/>
        <w:spacing w:after="0"/>
        <w:tabs>
          <w:tab w:leader="none" w:pos="59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(119)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720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22160" cy="172085"/>
                    </a:xfrm>
                    <a:prstGeom prst="rect">
                      <a:avLst/>
                    </a:prstGeom>
                    <a:noFill/>
                  </pic:spPr>
                </pic:pic>
              </a:graphicData>
            </a:graphic>
          </wp:anchor>
        </w:drawing>
      </w:r>
    </w:p>
    <w:p>
      <w:pPr>
        <w:spacing w:after="0" w:line="55" w:lineRule="exact"/>
        <w:rPr>
          <w:sz w:val="20"/>
          <w:szCs w:val="20"/>
          <w:color w:val="auto"/>
        </w:rPr>
      </w:pPr>
    </w:p>
    <w:p>
      <w:pPr>
        <w:ind w:left="5940" w:hanging="1059"/>
        <w:spacing w:after="0"/>
        <w:tabs>
          <w:tab w:leader="none" w:pos="59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(450)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189230</wp:posOffset>
            </wp:positionV>
            <wp:extent cx="7122160" cy="1885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22160" cy="188595"/>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25400</wp:posOffset>
            </wp:positionV>
            <wp:extent cx="94170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313" w:lineRule="exact"/>
        <w:rPr>
          <w:sz w:val="20"/>
          <w:szCs w:val="20"/>
          <w:color w:val="auto"/>
        </w:rPr>
      </w:pPr>
    </w:p>
    <w:p>
      <w:pPr>
        <w:ind w:left="4880"/>
        <w:spacing w:after="0"/>
        <w:tabs>
          <w:tab w:leader="none" w:pos="5920" w:val="left"/>
          <w:tab w:leader="none" w:pos="644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(463)</w:t>
        <w:tab/>
        <w:t>Total reclassifications for the period,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7122160" cy="1638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22160" cy="163830"/>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50165</wp:posOffset>
            </wp:positionV>
            <wp:extent cx="94170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3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2025</w:t>
      </w:r>
    </w:p>
    <w:p>
      <w:pPr>
        <w:spacing w:after="0" w:line="6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Unrealized losses on securities available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22160" cy="1638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55" w:lineRule="exact"/>
        <w:rPr>
          <w:sz w:val="20"/>
          <w:szCs w:val="20"/>
          <w:color w:val="auto"/>
        </w:rPr>
      </w:pPr>
    </w:p>
    <w:p>
      <w:pPr>
        <w:ind w:left="6040" w:hanging="1159"/>
        <w:spacing w:after="0"/>
        <w:tabs>
          <w:tab w:leader="none" w:pos="60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(36)  Net losses on securities available for sale</w:t>
      </w:r>
    </w:p>
    <w:p>
      <w:pPr>
        <w:spacing w:after="0" w:line="62" w:lineRule="exact"/>
        <w:rPr>
          <w:rFonts w:ascii="Times New Roman" w:cs="Times New Roman" w:eastAsia="Times New Roman" w:hAnsi="Times New Roman"/>
          <w:sz w:val="17"/>
          <w:szCs w:val="17"/>
          <w:color w:val="auto"/>
        </w:rPr>
      </w:pPr>
    </w:p>
    <w:p>
      <w:pPr>
        <w:ind w:left="6460" w:hanging="340"/>
        <w:spacing w:after="0"/>
        <w:tabs>
          <w:tab w:leader="none" w:pos="646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720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22160" cy="172085"/>
                    </a:xfrm>
                    <a:prstGeom prst="rect">
                      <a:avLst/>
                    </a:prstGeom>
                    <a:noFill/>
                  </pic:spPr>
                </pic:pic>
              </a:graphicData>
            </a:graphic>
          </wp:anchor>
        </w:drawing>
      </w:r>
    </w:p>
    <w:p>
      <w:pPr>
        <w:spacing w:after="0" w:line="55" w:lineRule="exact"/>
        <w:rPr>
          <w:sz w:val="20"/>
          <w:szCs w:val="20"/>
          <w:color w:val="auto"/>
        </w:rPr>
      </w:pPr>
    </w:p>
    <w:p>
      <w:pPr>
        <w:ind w:left="6040" w:hanging="1159"/>
        <w:spacing w:after="0"/>
        <w:tabs>
          <w:tab w:leader="none" w:pos="60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(27)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189230</wp:posOffset>
            </wp:positionV>
            <wp:extent cx="7122160" cy="1720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22160" cy="172085"/>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25400</wp:posOffset>
            </wp:positionV>
            <wp:extent cx="94170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30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Unrealized losses on derivative instruments</w:t>
      </w:r>
    </w:p>
    <w:p>
      <w:pPr>
        <w:spacing w:after="0" w:line="75" w:lineRule="exact"/>
        <w:rPr>
          <w:sz w:val="20"/>
          <w:szCs w:val="20"/>
          <w:color w:val="auto"/>
        </w:rPr>
      </w:pPr>
    </w:p>
    <w:p>
      <w:pPr>
        <w:ind w:left="5940" w:hanging="1059"/>
        <w:spacing w:after="0"/>
        <w:tabs>
          <w:tab w:leader="none" w:pos="59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(606)  Interest income</w:t>
      </w:r>
    </w:p>
    <w:p>
      <w:pPr>
        <w:spacing w:after="0" w:line="62" w:lineRule="exact"/>
        <w:rPr>
          <w:rFonts w:ascii="Times New Roman" w:cs="Times New Roman" w:eastAsia="Times New Roman" w:hAnsi="Times New Roman"/>
          <w:sz w:val="17"/>
          <w:szCs w:val="17"/>
          <w:color w:val="auto"/>
        </w:rPr>
      </w:pPr>
    </w:p>
    <w:p>
      <w:pPr>
        <w:ind w:left="62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-137795</wp:posOffset>
            </wp:positionV>
            <wp:extent cx="7122160" cy="1720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22160" cy="172085"/>
                    </a:xfrm>
                    <a:prstGeom prst="rect">
                      <a:avLst/>
                    </a:prstGeom>
                    <a:noFill/>
                  </pic:spPr>
                </pic:pic>
              </a:graphicData>
            </a:graphic>
          </wp:anchor>
        </w:drawing>
      </w:r>
    </w:p>
    <w:p>
      <w:pPr>
        <w:spacing w:after="0" w:line="5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7"/>
          <w:szCs w:val="17"/>
          <w:color w:val="auto"/>
        </w:rPr>
        <w:t>(610)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638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42" w:lineRule="exact"/>
        <w:rPr>
          <w:sz w:val="20"/>
          <w:szCs w:val="20"/>
          <w:color w:val="auto"/>
        </w:rPr>
      </w:pPr>
    </w:p>
    <w:p>
      <w:pPr>
        <w:ind w:left="5940" w:hanging="1059"/>
        <w:spacing w:after="0"/>
        <w:tabs>
          <w:tab w:leader="none" w:pos="59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(128)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3088005</wp:posOffset>
            </wp:positionH>
            <wp:positionV relativeFrom="paragraph">
              <wp:posOffset>25400</wp:posOffset>
            </wp:positionV>
            <wp:extent cx="94170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55" w:lineRule="exact"/>
        <w:rPr>
          <w:sz w:val="20"/>
          <w:szCs w:val="20"/>
          <w:color w:val="auto"/>
        </w:rPr>
      </w:pPr>
    </w:p>
    <w:p>
      <w:pPr>
        <w:ind w:left="5940" w:hanging="1059"/>
        <w:spacing w:after="0"/>
        <w:tabs>
          <w:tab w:leader="none" w:pos="59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(482)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720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22160" cy="172085"/>
                    </a:xfrm>
                    <a:prstGeom prst="rect">
                      <a:avLst/>
                    </a:prstGeom>
                    <a:noFill/>
                  </pic:spPr>
                </pic:pic>
              </a:graphicData>
            </a:graphic>
          </wp:anchor>
        </w:drawing>
      </w:r>
    </w:p>
    <w:p>
      <w:pPr>
        <w:spacing w:after="0" w:line="313" w:lineRule="exact"/>
        <w:rPr>
          <w:sz w:val="20"/>
          <w:szCs w:val="20"/>
          <w:color w:val="auto"/>
        </w:rPr>
      </w:pPr>
    </w:p>
    <w:p>
      <w:pPr>
        <w:ind w:left="4880"/>
        <w:spacing w:after="0"/>
        <w:tabs>
          <w:tab w:leader="none" w:pos="5920" w:val="left"/>
          <w:tab w:leader="none" w:pos="644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(509)</w:t>
        <w:tab/>
        <w:t>Total reclassifications for the period,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3088005</wp:posOffset>
            </wp:positionH>
            <wp:positionV relativeFrom="paragraph">
              <wp:posOffset>25400</wp:posOffset>
            </wp:positionV>
            <wp:extent cx="94170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941705" cy="8255"/>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50165</wp:posOffset>
            </wp:positionV>
            <wp:extent cx="94170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reclassifications out of each component of AOCL for the nine months ended September 30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94"/>
              <w:spacing w:after="0"/>
              <w:rPr>
                <w:sz w:val="20"/>
                <w:szCs w:val="20"/>
                <w:color w:val="auto"/>
              </w:rPr>
            </w:pPr>
            <w:r>
              <w:rPr>
                <w:rFonts w:ascii="Times New Roman" w:cs="Times New Roman" w:eastAsia="Times New Roman" w:hAnsi="Times New Roman"/>
                <w:sz w:val="17"/>
                <w:szCs w:val="17"/>
                <w:color w:val="auto"/>
              </w:rPr>
              <w:t>Amount</w:t>
            </w:r>
          </w:p>
        </w:tc>
        <w:tc>
          <w:tcPr>
            <w:tcW w:w="100" w:type="dxa"/>
            <w:vAlign w:val="bottom"/>
          </w:tcPr>
          <w:p>
            <w:pPr>
              <w:spacing w:after="0"/>
              <w:rPr>
                <w:sz w:val="17"/>
                <w:szCs w:val="17"/>
                <w:color w:val="auto"/>
              </w:rPr>
            </w:pPr>
          </w:p>
        </w:tc>
        <w:tc>
          <w:tcPr>
            <w:tcW w:w="4780" w:type="dxa"/>
            <w:vAlign w:val="bottom"/>
          </w:tcPr>
          <w:p>
            <w:pPr>
              <w:spacing w:after="0"/>
              <w:rPr>
                <w:sz w:val="17"/>
                <w:szCs w:val="17"/>
                <w:color w:val="auto"/>
              </w:rPr>
            </w:pPr>
          </w:p>
        </w:tc>
      </w:tr>
      <w:tr>
        <w:trPr>
          <w:trHeight w:val="206"/>
        </w:trPr>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94"/>
              <w:spacing w:after="0"/>
              <w:rPr>
                <w:sz w:val="20"/>
                <w:szCs w:val="20"/>
                <w:color w:val="auto"/>
              </w:rPr>
            </w:pPr>
            <w:r>
              <w:rPr>
                <w:rFonts w:ascii="Times New Roman" w:cs="Times New Roman" w:eastAsia="Times New Roman" w:hAnsi="Times New Roman"/>
                <w:sz w:val="17"/>
                <w:szCs w:val="17"/>
                <w:color w:val="auto"/>
              </w:rPr>
              <w:t>Reclassified</w:t>
            </w:r>
          </w:p>
        </w:tc>
        <w:tc>
          <w:tcPr>
            <w:tcW w:w="100" w:type="dxa"/>
            <w:vAlign w:val="bottom"/>
          </w:tcPr>
          <w:p>
            <w:pPr>
              <w:spacing w:after="0"/>
              <w:rPr>
                <w:sz w:val="17"/>
                <w:szCs w:val="17"/>
                <w:color w:val="auto"/>
              </w:rPr>
            </w:pPr>
          </w:p>
        </w:tc>
        <w:tc>
          <w:tcPr>
            <w:tcW w:w="4780" w:type="dxa"/>
            <w:vAlign w:val="bottom"/>
          </w:tcPr>
          <w:p>
            <w:pPr>
              <w:spacing w:after="0"/>
              <w:rPr>
                <w:sz w:val="17"/>
                <w:szCs w:val="17"/>
                <w:color w:val="auto"/>
              </w:rPr>
            </w:pPr>
          </w:p>
        </w:tc>
      </w:tr>
      <w:tr>
        <w:trPr>
          <w:trHeight w:val="206"/>
        </w:trPr>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74"/>
              <w:spacing w:after="0"/>
              <w:rPr>
                <w:sz w:val="20"/>
                <w:szCs w:val="20"/>
                <w:color w:val="auto"/>
              </w:rPr>
            </w:pPr>
            <w:r>
              <w:rPr>
                <w:rFonts w:ascii="Times New Roman" w:cs="Times New Roman" w:eastAsia="Times New Roman" w:hAnsi="Times New Roman"/>
                <w:sz w:val="17"/>
                <w:szCs w:val="17"/>
                <w:color w:val="auto"/>
              </w:rPr>
              <w:t>From</w:t>
            </w:r>
          </w:p>
        </w:tc>
        <w:tc>
          <w:tcPr>
            <w:tcW w:w="100" w:type="dxa"/>
            <w:vAlign w:val="bottom"/>
          </w:tcPr>
          <w:p>
            <w:pPr>
              <w:spacing w:after="0"/>
              <w:rPr>
                <w:sz w:val="17"/>
                <w:szCs w:val="17"/>
                <w:color w:val="auto"/>
              </w:rPr>
            </w:pPr>
          </w:p>
        </w:tc>
        <w:tc>
          <w:tcPr>
            <w:tcW w:w="4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Affected Line Item in Interim Condensed</w:t>
            </w:r>
          </w:p>
        </w:tc>
      </w:tr>
      <w:tr>
        <w:trPr>
          <w:trHeight w:val="242"/>
        </w:trPr>
        <w:tc>
          <w:tcPr>
            <w:tcW w:w="5040" w:type="dxa"/>
            <w:vAlign w:val="bottom"/>
            <w:gridSpan w:val="3"/>
          </w:tcPr>
          <w:p>
            <w:pPr>
              <w:jc w:val="right"/>
              <w:ind w:right="2060"/>
              <w:spacing w:after="0"/>
              <w:rPr>
                <w:sz w:val="20"/>
                <w:szCs w:val="20"/>
                <w:color w:val="auto"/>
              </w:rPr>
            </w:pPr>
            <w:r>
              <w:rPr>
                <w:rFonts w:ascii="Times New Roman" w:cs="Times New Roman" w:eastAsia="Times New Roman" w:hAnsi="Times New Roman"/>
                <w:sz w:val="17"/>
                <w:szCs w:val="17"/>
                <w:color w:val="auto"/>
              </w:rPr>
              <w:t>AOCL Component</w:t>
            </w:r>
          </w:p>
        </w:tc>
        <w:tc>
          <w:tcPr>
            <w:tcW w:w="1300" w:type="dxa"/>
            <w:vAlign w:val="bottom"/>
          </w:tcPr>
          <w:p>
            <w:pPr>
              <w:jc w:val="center"/>
              <w:ind w:right="74"/>
              <w:spacing w:after="0"/>
              <w:rPr>
                <w:sz w:val="20"/>
                <w:szCs w:val="20"/>
                <w:color w:val="auto"/>
              </w:rPr>
            </w:pPr>
            <w:r>
              <w:rPr>
                <w:rFonts w:ascii="Times New Roman" w:cs="Times New Roman" w:eastAsia="Times New Roman" w:hAnsi="Times New Roman"/>
                <w:sz w:val="17"/>
                <w:szCs w:val="17"/>
                <w:color w:val="auto"/>
                <w:w w:val="99"/>
              </w:rPr>
              <w:t>AOCL</w:t>
            </w:r>
          </w:p>
        </w:tc>
        <w:tc>
          <w:tcPr>
            <w:tcW w:w="100" w:type="dxa"/>
            <w:vAlign w:val="bottom"/>
          </w:tcPr>
          <w:p>
            <w:pPr>
              <w:spacing w:after="0"/>
              <w:rPr>
                <w:sz w:val="21"/>
                <w:szCs w:val="21"/>
                <w:color w:val="auto"/>
              </w:rPr>
            </w:pPr>
          </w:p>
        </w:tc>
        <w:tc>
          <w:tcPr>
            <w:tcW w:w="4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Consolidated Statements of Operations</w:t>
            </w:r>
          </w:p>
        </w:tc>
      </w:tr>
      <w:tr>
        <w:trPr>
          <w:trHeight w:val="232"/>
        </w:trPr>
        <w:tc>
          <w:tcPr>
            <w:tcW w:w="47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center"/>
              <w:ind w:right="74"/>
              <w:spacing w:after="0"/>
              <w:rPr>
                <w:sz w:val="20"/>
                <w:szCs w:val="20"/>
                <w:color w:val="auto"/>
              </w:rPr>
            </w:pPr>
            <w:r>
              <w:rPr>
                <w:rFonts w:ascii="Times New Roman" w:cs="Times New Roman" w:eastAsia="Times New Roman" w:hAnsi="Times New Roman"/>
                <w:sz w:val="17"/>
                <w:szCs w:val="17"/>
                <w:color w:val="auto"/>
              </w:rPr>
              <w:t>(In thousands)</w:t>
            </w:r>
          </w:p>
        </w:tc>
        <w:tc>
          <w:tcPr>
            <w:tcW w:w="100" w:type="dxa"/>
            <w:vAlign w:val="bottom"/>
          </w:tcPr>
          <w:p>
            <w:pPr>
              <w:spacing w:after="0"/>
              <w:rPr>
                <w:sz w:val="20"/>
                <w:szCs w:val="20"/>
                <w:color w:val="auto"/>
              </w:rPr>
            </w:pPr>
          </w:p>
        </w:tc>
        <w:tc>
          <w:tcPr>
            <w:tcW w:w="4780" w:type="dxa"/>
            <w:vAlign w:val="bottom"/>
            <w:tcBorders>
              <w:top w:val="single" w:sz="8" w:color="auto"/>
            </w:tcBorders>
          </w:tcPr>
          <w:p>
            <w:pPr>
              <w:spacing w:after="0"/>
              <w:rPr>
                <w:sz w:val="20"/>
                <w:szCs w:val="20"/>
                <w:color w:val="auto"/>
              </w:rPr>
            </w:pPr>
          </w:p>
        </w:tc>
      </w:tr>
      <w:tr>
        <w:trPr>
          <w:trHeight w:val="251"/>
        </w:trPr>
        <w:tc>
          <w:tcPr>
            <w:tcW w:w="4780" w:type="dxa"/>
            <w:vAlign w:val="bottom"/>
          </w:tcPr>
          <w:p>
            <w:pPr>
              <w:jc w:val="right"/>
              <w:ind w:right="4334"/>
              <w:spacing w:after="0"/>
              <w:rPr>
                <w:sz w:val="20"/>
                <w:szCs w:val="20"/>
                <w:color w:val="auto"/>
              </w:rPr>
            </w:pPr>
            <w:r>
              <w:rPr>
                <w:rFonts w:ascii="Times New Roman" w:cs="Times New Roman" w:eastAsia="Times New Roman" w:hAnsi="Times New Roman"/>
                <w:sz w:val="17"/>
                <w:szCs w:val="17"/>
                <w:color w:val="auto"/>
                <w:w w:val="99"/>
              </w:rPr>
              <w:t>2026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780" w:type="dxa"/>
            <w:vAlign w:val="bottom"/>
          </w:tcPr>
          <w:p>
            <w:pPr>
              <w:spacing w:after="0"/>
              <w:rPr>
                <w:sz w:val="21"/>
                <w:szCs w:val="21"/>
                <w:color w:val="auto"/>
              </w:rPr>
            </w:pPr>
          </w:p>
        </w:tc>
      </w:tr>
      <w:tr>
        <w:trPr>
          <w:trHeight w:val="257"/>
        </w:trPr>
        <w:tc>
          <w:tcPr>
            <w:tcW w:w="5040" w:type="dxa"/>
            <w:vAlign w:val="bottom"/>
            <w:tcBorders>
              <w:bottom w:val="single" w:sz="8" w:color="CCEEFF"/>
            </w:tcBorders>
            <w:gridSpan w:val="3"/>
            <w:shd w:val="clear" w:color="auto" w:fill="CCEEFF"/>
          </w:tcPr>
          <w:p>
            <w:pPr>
              <w:jc w:val="right"/>
              <w:ind w:right="1560"/>
              <w:spacing w:after="0"/>
              <w:rPr>
                <w:sz w:val="20"/>
                <w:szCs w:val="20"/>
                <w:color w:val="auto"/>
              </w:rPr>
            </w:pPr>
            <w:r>
              <w:rPr>
                <w:rFonts w:ascii="Times New Roman" w:cs="Times New Roman" w:eastAsia="Times New Roman" w:hAnsi="Times New Roman"/>
                <w:sz w:val="17"/>
                <w:szCs w:val="17"/>
                <w:color w:val="auto"/>
              </w:rPr>
              <w:t>Unrealized losses on securities available for sale</w:t>
            </w: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780" w:type="dxa"/>
            <w:vAlign w:val="bottom"/>
            <w:tcBorders>
              <w:bottom w:val="single" w:sz="8" w:color="CCEEFF"/>
            </w:tcBorders>
            <w:shd w:val="clear" w:color="auto" w:fill="CCEEFF"/>
          </w:tcPr>
          <w:p>
            <w:pPr>
              <w:spacing w:after="0"/>
              <w:rPr>
                <w:sz w:val="22"/>
                <w:szCs w:val="22"/>
                <w:color w:val="auto"/>
              </w:rPr>
            </w:pPr>
          </w:p>
        </w:tc>
      </w:tr>
      <w:tr>
        <w:trPr>
          <w:trHeight w:val="252"/>
        </w:trPr>
        <w:tc>
          <w:tcPr>
            <w:tcW w:w="504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100" w:type="dxa"/>
            <w:vAlign w:val="bottom"/>
          </w:tcPr>
          <w:p>
            <w:pPr>
              <w:spacing w:after="0"/>
              <w:rPr>
                <w:sz w:val="21"/>
                <w:szCs w:val="21"/>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losses on securities available for sale</w:t>
            </w:r>
          </w:p>
        </w:tc>
      </w:tr>
      <w:tr>
        <w:trPr>
          <w:trHeight w:val="258"/>
        </w:trPr>
        <w:tc>
          <w:tcPr>
            <w:tcW w:w="47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shd w:val="clear" w:color="auto" w:fill="CCEEFF"/>
          </w:tcPr>
          <w:p>
            <w:pPr>
              <w:spacing w:after="0"/>
              <w:rPr>
                <w:sz w:val="22"/>
                <w:szCs w:val="22"/>
                <w:color w:val="auto"/>
              </w:rPr>
            </w:pPr>
          </w:p>
        </w:tc>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r>
      <w:tr>
        <w:trPr>
          <w:trHeight w:val="251"/>
        </w:trPr>
        <w:tc>
          <w:tcPr>
            <w:tcW w:w="504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tcPr>
          <w:p>
            <w:pPr>
              <w:spacing w:after="0"/>
              <w:rPr>
                <w:sz w:val="21"/>
                <w:szCs w:val="21"/>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Reclassifications, net of tax</w:t>
            </w:r>
          </w:p>
        </w:tc>
      </w:tr>
      <w:tr>
        <w:trPr>
          <w:trHeight w:val="244"/>
        </w:trPr>
        <w:tc>
          <w:tcPr>
            <w:tcW w:w="478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4780" w:type="dxa"/>
            <w:vAlign w:val="bottom"/>
            <w:tcBorders>
              <w:top w:val="single" w:sz="8" w:color="CCEEFF"/>
            </w:tcBorders>
            <w:shd w:val="clear" w:color="auto" w:fill="CCEEFF"/>
          </w:tcPr>
          <w:p>
            <w:pPr>
              <w:spacing w:after="0"/>
              <w:rPr>
                <w:sz w:val="21"/>
                <w:szCs w:val="21"/>
                <w:color w:val="auto"/>
              </w:rPr>
            </w:pPr>
          </w:p>
        </w:tc>
      </w:tr>
    </w:tbl>
    <w:p>
      <w:pPr>
        <w:spacing w:after="0" w:line="2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Unrealized losses on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22160" cy="1638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55" w:lineRule="exact"/>
        <w:rPr>
          <w:sz w:val="20"/>
          <w:szCs w:val="20"/>
          <w:color w:val="auto"/>
        </w:rPr>
      </w:pPr>
    </w:p>
    <w:p>
      <w:pPr>
        <w:ind w:left="5820" w:hanging="939"/>
        <w:spacing w:after="0"/>
        <w:tabs>
          <w:tab w:leader="none" w:pos="58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(1,207)  Interest income</w:t>
      </w:r>
    </w:p>
    <w:p>
      <w:pPr>
        <w:spacing w:after="0" w:line="62" w:lineRule="exact"/>
        <w:rPr>
          <w:rFonts w:ascii="Times New Roman" w:cs="Times New Roman" w:eastAsia="Times New Roman" w:hAnsi="Times New Roman"/>
          <w:sz w:val="17"/>
          <w:szCs w:val="17"/>
          <w:color w:val="auto"/>
        </w:rPr>
      </w:pPr>
    </w:p>
    <w:p>
      <w:pPr>
        <w:ind w:left="6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79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720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22160" cy="172085"/>
                    </a:xfrm>
                    <a:prstGeom prst="rect">
                      <a:avLst/>
                    </a:prstGeom>
                    <a:noFill/>
                  </pic:spPr>
                </pic:pic>
              </a:graphicData>
            </a:graphic>
          </wp:anchor>
        </w:drawing>
      </w:r>
    </w:p>
    <w:p>
      <w:pPr>
        <w:spacing w:after="0" w:line="55"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7"/>
          <w:szCs w:val="17"/>
          <w:color w:val="auto"/>
        </w:rPr>
        <w:t>(1,286)</w:t>
      </w:r>
    </w:p>
    <w:p>
      <w:pPr>
        <w:spacing w:after="0" w:line="62" w:lineRule="exact"/>
        <w:rPr>
          <w:sz w:val="20"/>
          <w:szCs w:val="20"/>
          <w:color w:val="auto"/>
        </w:rPr>
      </w:pPr>
    </w:p>
    <w:p>
      <w:pPr>
        <w:ind w:left="5940"/>
        <w:spacing w:after="0"/>
        <w:tabs>
          <w:tab w:leader="none" w:pos="6440" w:val="left"/>
        </w:tabs>
        <w:rPr>
          <w:sz w:val="20"/>
          <w:szCs w:val="20"/>
          <w:color w:val="auto"/>
        </w:rPr>
      </w:pPr>
      <w:r>
        <w:rPr>
          <w:rFonts w:ascii="Times New Roman" w:cs="Times New Roman" w:eastAsia="Times New Roman" w:hAnsi="Times New Roman"/>
          <w:sz w:val="17"/>
          <w:szCs w:val="17"/>
          <w:color w:val="auto"/>
        </w:rPr>
        <w:t>(270)</w:t>
        <w:tab/>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720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22160" cy="172085"/>
                    </a:xfrm>
                    <a:prstGeom prst="rect">
                      <a:avLst/>
                    </a:prstGeom>
                    <a:noFill/>
                  </pic:spPr>
                </pic:pic>
              </a:graphicData>
            </a:graphic>
          </wp:anchor>
        </w:drawing>
      </w:r>
    </w:p>
    <w:p>
      <w:pPr>
        <w:spacing w:after="0" w:line="55" w:lineRule="exact"/>
        <w:rPr>
          <w:sz w:val="20"/>
          <w:szCs w:val="20"/>
          <w:color w:val="auto"/>
        </w:rPr>
      </w:pPr>
    </w:p>
    <w:p>
      <w:pPr>
        <w:ind w:left="5820" w:hanging="939"/>
        <w:spacing w:after="0"/>
        <w:tabs>
          <w:tab w:leader="none" w:pos="58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(1,016)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189230</wp:posOffset>
            </wp:positionV>
            <wp:extent cx="7122160" cy="1885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22160" cy="188595"/>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25400</wp:posOffset>
            </wp:positionV>
            <wp:extent cx="94170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313" w:lineRule="exact"/>
        <w:rPr>
          <w:sz w:val="20"/>
          <w:szCs w:val="20"/>
          <w:color w:val="auto"/>
        </w:rPr>
      </w:pPr>
    </w:p>
    <w:p>
      <w:pPr>
        <w:jc w:val="both"/>
        <w:ind w:left="4880"/>
        <w:spacing w:after="0"/>
        <w:tabs>
          <w:tab w:leader="none" w:pos="5800" w:val="left"/>
          <w:tab w:leader="none" w:pos="644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(1,121)</w:t>
        <w:tab/>
        <w:t>Total reclassifications for the period,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7122160" cy="1638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22160" cy="163830"/>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50165</wp:posOffset>
            </wp:positionV>
            <wp:extent cx="94170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3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2025</w:t>
      </w:r>
    </w:p>
    <w:p>
      <w:pPr>
        <w:spacing w:after="0" w:line="6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Unrealized losses on securities available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22160" cy="1638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55" w:lineRule="exact"/>
        <w:rPr>
          <w:sz w:val="20"/>
          <w:szCs w:val="20"/>
          <w:color w:val="auto"/>
        </w:rPr>
      </w:pPr>
    </w:p>
    <w:p>
      <w:pPr>
        <w:ind w:left="5940" w:hanging="1059"/>
        <w:spacing w:after="0"/>
        <w:tabs>
          <w:tab w:leader="none" w:pos="59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(355)  Net losses on securities available for sale</w:t>
      </w:r>
    </w:p>
    <w:p>
      <w:pPr>
        <w:spacing w:after="0" w:line="62" w:lineRule="exact"/>
        <w:rPr>
          <w:rFonts w:ascii="Times New Roman" w:cs="Times New Roman" w:eastAsia="Times New Roman" w:hAnsi="Times New Roman"/>
          <w:sz w:val="17"/>
          <w:szCs w:val="17"/>
          <w:color w:val="auto"/>
        </w:rPr>
      </w:pPr>
    </w:p>
    <w:p>
      <w:pPr>
        <w:ind w:left="6460" w:hanging="426"/>
        <w:spacing w:after="0"/>
        <w:tabs>
          <w:tab w:leader="none" w:pos="6460"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720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22160" cy="172085"/>
                    </a:xfrm>
                    <a:prstGeom prst="rect">
                      <a:avLst/>
                    </a:prstGeom>
                    <a:noFill/>
                  </pic:spPr>
                </pic:pic>
              </a:graphicData>
            </a:graphic>
          </wp:anchor>
        </w:drawing>
      </w:r>
    </w:p>
    <w:p>
      <w:pPr>
        <w:spacing w:after="0" w:line="55" w:lineRule="exact"/>
        <w:rPr>
          <w:sz w:val="20"/>
          <w:szCs w:val="20"/>
          <w:color w:val="auto"/>
        </w:rPr>
      </w:pPr>
    </w:p>
    <w:p>
      <w:pPr>
        <w:ind w:left="5940" w:hanging="1059"/>
        <w:spacing w:after="0"/>
        <w:tabs>
          <w:tab w:leader="none" w:pos="59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(280)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189230</wp:posOffset>
            </wp:positionV>
            <wp:extent cx="7122160" cy="1720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22160" cy="172085"/>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25400</wp:posOffset>
            </wp:positionV>
            <wp:extent cx="94170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30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Unrealized losses on derivative instruments</w:t>
      </w:r>
    </w:p>
    <w:p>
      <w:pPr>
        <w:spacing w:after="0" w:line="75" w:lineRule="exact"/>
        <w:rPr>
          <w:sz w:val="20"/>
          <w:szCs w:val="20"/>
          <w:color w:val="auto"/>
        </w:rPr>
      </w:pPr>
    </w:p>
    <w:p>
      <w:pPr>
        <w:ind w:left="5820" w:hanging="939"/>
        <w:spacing w:after="0"/>
        <w:tabs>
          <w:tab w:leader="none" w:pos="58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(1,535)  Interest income</w:t>
      </w:r>
    </w:p>
    <w:p>
      <w:pPr>
        <w:spacing w:after="0" w:line="62" w:lineRule="exact"/>
        <w:rPr>
          <w:rFonts w:ascii="Times New Roman" w:cs="Times New Roman" w:eastAsia="Times New Roman" w:hAnsi="Times New Roman"/>
          <w:sz w:val="17"/>
          <w:szCs w:val="17"/>
          <w:color w:val="auto"/>
        </w:rPr>
      </w:pPr>
    </w:p>
    <w:p>
      <w:pPr>
        <w:ind w:left="62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-137795</wp:posOffset>
            </wp:positionV>
            <wp:extent cx="7122160" cy="1720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22160" cy="172085"/>
                    </a:xfrm>
                    <a:prstGeom prst="rect">
                      <a:avLst/>
                    </a:prstGeom>
                    <a:noFill/>
                  </pic:spPr>
                </pic:pic>
              </a:graphicData>
            </a:graphic>
          </wp:anchor>
        </w:drawing>
      </w:r>
    </w:p>
    <w:p>
      <w:pPr>
        <w:spacing w:after="0" w:line="55"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7"/>
          <w:szCs w:val="17"/>
          <w:color w:val="auto"/>
        </w:rPr>
        <w:t>(1,543)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638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42" w:lineRule="exact"/>
        <w:rPr>
          <w:sz w:val="20"/>
          <w:szCs w:val="20"/>
          <w:color w:val="auto"/>
        </w:rPr>
      </w:pPr>
    </w:p>
    <w:p>
      <w:pPr>
        <w:ind w:left="5940"/>
        <w:spacing w:after="0"/>
        <w:tabs>
          <w:tab w:leader="none" w:pos="6440" w:val="left"/>
        </w:tabs>
        <w:rPr>
          <w:sz w:val="20"/>
          <w:szCs w:val="20"/>
          <w:color w:val="auto"/>
        </w:rPr>
      </w:pPr>
      <w:r>
        <w:rPr>
          <w:rFonts w:ascii="Times New Roman" w:cs="Times New Roman" w:eastAsia="Times New Roman" w:hAnsi="Times New Roman"/>
          <w:sz w:val="17"/>
          <w:szCs w:val="17"/>
          <w:color w:val="auto"/>
        </w:rPr>
        <w:t>(324)</w:t>
        <w:tab/>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3088005</wp:posOffset>
            </wp:positionH>
            <wp:positionV relativeFrom="paragraph">
              <wp:posOffset>25400</wp:posOffset>
            </wp:positionV>
            <wp:extent cx="94170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55" w:lineRule="exact"/>
        <w:rPr>
          <w:sz w:val="20"/>
          <w:szCs w:val="20"/>
          <w:color w:val="auto"/>
        </w:rPr>
      </w:pPr>
    </w:p>
    <w:p>
      <w:pPr>
        <w:ind w:left="5820" w:hanging="939"/>
        <w:spacing w:after="0"/>
        <w:tabs>
          <w:tab w:leader="none" w:pos="58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(1,219)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720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22160" cy="172085"/>
                    </a:xfrm>
                    <a:prstGeom prst="rect">
                      <a:avLst/>
                    </a:prstGeom>
                    <a:noFill/>
                  </pic:spPr>
                </pic:pic>
              </a:graphicData>
            </a:graphic>
          </wp:anchor>
        </w:drawing>
      </w:r>
    </w:p>
    <w:p>
      <w:pPr>
        <w:spacing w:after="0" w:line="313" w:lineRule="exact"/>
        <w:rPr>
          <w:sz w:val="20"/>
          <w:szCs w:val="20"/>
          <w:color w:val="auto"/>
        </w:rPr>
      </w:pPr>
    </w:p>
    <w:p>
      <w:pPr>
        <w:jc w:val="both"/>
        <w:ind w:left="4880"/>
        <w:spacing w:after="0"/>
        <w:tabs>
          <w:tab w:leader="none" w:pos="5800" w:val="left"/>
          <w:tab w:leader="none" w:pos="644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(1,499)</w:t>
        <w:tab/>
        <w:t>Total reclassifications for the period,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3088005</wp:posOffset>
            </wp:positionH>
            <wp:positionV relativeFrom="paragraph">
              <wp:posOffset>25400</wp:posOffset>
            </wp:positionV>
            <wp:extent cx="94170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941705" cy="8255"/>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50165</wp:posOffset>
            </wp:positionV>
            <wp:extent cx="94170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ind w:left="380" w:hanging="377"/>
        <w:spacing w:after="0"/>
        <w:tabs>
          <w:tab w:leader="none" w:pos="3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Revenue from Contracts with Customers</w:t>
      </w:r>
    </w:p>
    <w:p>
      <w:pPr>
        <w:spacing w:after="0" w:line="1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account for revenue in accordance with ASC Topic 606, Revenue from Contracts with Customers. We derive the majority of our revenue from financial instruments and their related contractual rights and obligations which for the most part are excluded from the scope of this topic. These sources of revenue that are excluded from the scope of this topic include interest income, net gains on mortgage loans, net gains (losses) on securities AFS, mortgage loan servicing, net and bank owned life insurance and were approximately 88.8% and 88.2% of total revenues for the nine month periods ending September 30, 2026 and 2025, respectively.</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Material sources of revenue that are included in the scope of this topic include service charges on deposit accounts, other deposit related income, interchange income and investment and insurance commissions and are discussed in the following paragraphs. Generally these sources of revenue are earned at the time the service is delivered or over the course of a monthly period and do not result in any contract asset or liability balance at any given period end. As a result, there were no contract assets or liabilities recorded as of September 30, 2026 and December 31, 2025.</w:t>
      </w:r>
    </w:p>
    <w:p>
      <w:pPr>
        <w:spacing w:after="0" w:line="12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u w:val="single" w:color="auto"/>
          <w:color w:val="auto"/>
        </w:rPr>
        <w:t>Service charges on deposit accounts and other deposit related income</w:t>
      </w:r>
      <w:r>
        <w:rPr>
          <w:rFonts w:ascii="Times New Roman" w:cs="Times New Roman" w:eastAsia="Times New Roman" w:hAnsi="Times New Roman"/>
          <w:sz w:val="17"/>
          <w:szCs w:val="17"/>
          <w:b w:val="1"/>
          <w:bCs w:val="1"/>
          <w:color w:val="auto"/>
          <w:highlight w:val="white"/>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highlight w:val="white"/>
        </w:rPr>
        <w:t>Revenues are earned on depository accounts for commercial and retail customers and</w:t>
      </w:r>
      <w:r>
        <w:rPr>
          <w:rFonts w:ascii="Times New Roman" w:cs="Times New Roman" w:eastAsia="Times New Roman" w:hAnsi="Times New Roman"/>
          <w:sz w:val="17"/>
          <w:szCs w:val="17"/>
          <w:color w:val="auto"/>
        </w:rPr>
        <w:t xml:space="preserve"> include fees for transaction-based, account maintenance and overdraft services. Transaction-based fees, which includes services such as ATM use fees, stop payment charges and ACH fees are recognized at the time the transaction is executed as that is the time we fulfill our customer’s request. Account maintenance fees, which includes monthly maintenance services are earned over the course of a month representing the period over which the performance obligation is satisfied. Our obligation for overdraft services is satisfied at the time of the overdraft.</w:t>
      </w:r>
    </w:p>
    <w:p>
      <w:pPr>
        <w:spacing w:after="0" w:line="1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u w:val="single" w:color="auto"/>
          <w:color w:val="auto"/>
        </w:rPr>
        <w:t>Interchange income</w:t>
      </w:r>
      <w:r>
        <w:rPr>
          <w:rFonts w:ascii="Times New Roman" w:cs="Times New Roman" w:eastAsia="Times New Roman" w:hAnsi="Times New Roman"/>
          <w:sz w:val="17"/>
          <w:szCs w:val="17"/>
          <w:color w:val="auto"/>
          <w:highlight w:val="white"/>
        </w:rPr>
        <w:t>: Interchange income primarily includes debit card interchange and network revenues. Debit card interchange and network revenues are earned</w:t>
      </w:r>
      <w:r>
        <w:rPr>
          <w:rFonts w:ascii="Times New Roman" w:cs="Times New Roman" w:eastAsia="Times New Roman" w:hAnsi="Times New Roman"/>
          <w:sz w:val="17"/>
          <w:szCs w:val="17"/>
          <w:color w:val="auto"/>
        </w:rPr>
        <w:t xml:space="preserve"> on debit card transactions conducted through payment networks such as MasterCard and Accel. Interchange income is recognized concurrently with the delivery of services on a daily basis. Interchange and network revenues are presented gross of interchange expenses, which are presented separately as a component of non-interest expense.</w:t>
      </w:r>
    </w:p>
    <w:p>
      <w:pPr>
        <w:spacing w:after="0" w:line="13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u w:val="single" w:color="auto"/>
          <w:color w:val="auto"/>
        </w:rPr>
        <w:t>Investment and insurance commissions</w:t>
      </w:r>
      <w:r>
        <w:rPr>
          <w:rFonts w:ascii="Times New Roman" w:cs="Times New Roman" w:eastAsia="Times New Roman" w:hAnsi="Times New Roman"/>
          <w:sz w:val="17"/>
          <w:szCs w:val="17"/>
          <w:color w:val="auto"/>
          <w:highlight w:val="white"/>
        </w:rPr>
        <w:t>: Investment and insurance commissions include fees and commissions from asset management, custody, recordkeeping,</w:t>
      </w:r>
      <w:r>
        <w:rPr>
          <w:rFonts w:ascii="Times New Roman" w:cs="Times New Roman" w:eastAsia="Times New Roman" w:hAnsi="Times New Roman"/>
          <w:sz w:val="17"/>
          <w:szCs w:val="17"/>
          <w:color w:val="auto"/>
        </w:rPr>
        <w:t xml:space="preserve"> investment advisory and other services provided to our customers. Revenue is recognized on an accrual basis at the time the services are performed and generally based on either the market value of the assets managed or the services provided. We have an agent relationship with a third party provider of these services and net certain direct costs charged by the third party provider associated with providing these services to our customers.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u w:val="single" w:color="auto"/>
          <w:color w:val="auto"/>
        </w:rPr>
        <w:t>Net (gains) losses on other real estate and repossessed assets</w:t>
      </w:r>
      <w:r>
        <w:rPr>
          <w:rFonts w:ascii="Times New Roman" w:cs="Times New Roman" w:eastAsia="Times New Roman" w:hAnsi="Times New Roman"/>
          <w:sz w:val="17"/>
          <w:szCs w:val="17"/>
          <w:color w:val="auto"/>
          <w:highlight w:val="white"/>
        </w:rPr>
        <w:t>: We record a gain or loss from the sale of other real estate when control of the property transfers to the</w:t>
      </w:r>
      <w:r>
        <w:rPr>
          <w:rFonts w:ascii="Times New Roman" w:cs="Times New Roman" w:eastAsia="Times New Roman" w:hAnsi="Times New Roman"/>
          <w:sz w:val="17"/>
          <w:szCs w:val="17"/>
          <w:color w:val="auto"/>
        </w:rPr>
        <w:t xml:space="preserve"> buyer, which generally occurs at the time of an executed deed. If we were to finance the sale of other real estate to the buyer, we would assess whether the buyer is committed to perform their obligations under the contract and whether collectability of the transaction is probable. Once these criteria are met, the other real estate asset would be derecognized and the gain or loss on sale would be recorded upon the transfer of control of the property to the buyer. There were no other real estate properties sold during the nine month periods ending September 30, 2026 and 2025 that were financed by us.</w:t>
      </w:r>
    </w:p>
    <w:p>
      <w:pPr>
        <w:spacing w:after="0" w:line="200" w:lineRule="exact"/>
        <w:rPr>
          <w:sz w:val="20"/>
          <w:szCs w:val="20"/>
          <w:color w:val="auto"/>
        </w:rPr>
      </w:pPr>
    </w:p>
    <w:p>
      <w:pPr>
        <w:spacing w:after="0" w:line="33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Service</w:t>
            </w:r>
          </w:p>
        </w:tc>
        <w:tc>
          <w:tcPr>
            <w:tcW w:w="26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color w:val="auto"/>
                <w:w w:val="98"/>
              </w:rPr>
              <w:t>Other</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Investment</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6"/>
        </w:trPr>
        <w:tc>
          <w:tcPr>
            <w:tcW w:w="4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Charges</w:t>
            </w:r>
          </w:p>
        </w:tc>
        <w:tc>
          <w:tcPr>
            <w:tcW w:w="26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color w:val="auto"/>
              </w:rPr>
              <w:t>Deposit</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7"/>
              </w:rPr>
              <w:t>and</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6"/>
        </w:trPr>
        <w:tc>
          <w:tcPr>
            <w:tcW w:w="4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9"/>
              </w:rPr>
              <w:t>on Deposit</w:t>
            </w:r>
          </w:p>
        </w:tc>
        <w:tc>
          <w:tcPr>
            <w:tcW w:w="26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color w:val="auto"/>
              </w:rPr>
              <w:t>Related</w:t>
            </w: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9"/>
              </w:rPr>
              <w:t>Interchange</w:t>
            </w: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Insurance</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42"/>
        </w:trPr>
        <w:tc>
          <w:tcPr>
            <w:tcW w:w="40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Accounts</w:t>
            </w: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7"/>
                <w:szCs w:val="17"/>
                <w:color w:val="auto"/>
                <w:w w:val="97"/>
              </w:rPr>
              <w:t>Income</w:t>
            </w: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Income</w:t>
            </w: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Commissions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Total</w:t>
            </w:r>
          </w:p>
        </w:tc>
      </w:tr>
      <w:tr>
        <w:trPr>
          <w:trHeight w:val="244"/>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Three months ending September 30, 2026</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(In thousands)</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64"/>
        </w:trPr>
        <w:tc>
          <w:tcPr>
            <w:tcW w:w="4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Retail</w:t>
            </w: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64"/>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Overdraft fees</w:t>
            </w: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2,450</w:t>
            </w:r>
          </w:p>
        </w:tc>
      </w:tr>
      <w:tr>
        <w:trPr>
          <w:trHeight w:val="252"/>
        </w:trPr>
        <w:tc>
          <w:tcPr>
            <w:tcW w:w="4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Account service charges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778</w:t>
            </w:r>
          </w:p>
        </w:tc>
      </w:tr>
      <w:tr>
        <w:trPr>
          <w:trHeight w:val="264"/>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ATM fees</w:t>
            </w:r>
          </w:p>
        </w:tc>
        <w:tc>
          <w:tcPr>
            <w:tcW w:w="2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w:t>
            </w:r>
          </w:p>
        </w:tc>
      </w:tr>
      <w:tr>
        <w:trPr>
          <w:trHeight w:val="252"/>
        </w:trPr>
        <w:tc>
          <w:tcPr>
            <w:tcW w:w="4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w:t>
            </w:r>
          </w:p>
        </w:tc>
      </w:tr>
      <w:tr>
        <w:trPr>
          <w:trHeight w:val="264"/>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Business</w:t>
            </w: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52"/>
        </w:trPr>
        <w:tc>
          <w:tcPr>
            <w:tcW w:w="4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Overdraft fees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r>
      <w:tr>
        <w:trPr>
          <w:trHeight w:val="264"/>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ATM fees</w:t>
            </w:r>
          </w:p>
        </w:tc>
        <w:tc>
          <w:tcPr>
            <w:tcW w:w="2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52"/>
        </w:trPr>
        <w:tc>
          <w:tcPr>
            <w:tcW w:w="4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w:t>
            </w:r>
          </w:p>
        </w:tc>
      </w:tr>
      <w:tr>
        <w:trPr>
          <w:trHeight w:val="264"/>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Interchange income</w:t>
            </w:r>
          </w:p>
        </w:tc>
        <w:tc>
          <w:tcPr>
            <w:tcW w:w="2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4,638</w:t>
            </w:r>
          </w:p>
        </w:tc>
      </w:tr>
      <w:tr>
        <w:trPr>
          <w:trHeight w:val="252"/>
        </w:trPr>
        <w:tc>
          <w:tcPr>
            <w:tcW w:w="4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Asset management revenue</w:t>
            </w:r>
          </w:p>
        </w:tc>
        <w:tc>
          <w:tcPr>
            <w:tcW w:w="2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w:t>
            </w:r>
          </w:p>
        </w:tc>
      </w:tr>
      <w:tr>
        <w:trPr>
          <w:trHeight w:val="264"/>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Transaction based revenue</w:t>
            </w:r>
          </w:p>
        </w:tc>
        <w:tc>
          <w:tcPr>
            <w:tcW w:w="2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r>
      <w:tr>
        <w:trPr>
          <w:trHeight w:val="70"/>
        </w:trPr>
        <w:tc>
          <w:tcPr>
            <w:tcW w:w="408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83"/>
        </w:trPr>
        <w:tc>
          <w:tcPr>
            <w:tcW w:w="4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3,353</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604</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9,295</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36"/>
        </w:trPr>
        <w:tc>
          <w:tcPr>
            <w:tcW w:w="40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29"/>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Reconciliation to interim Condensed Consolidated</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3"/>
        </w:trPr>
        <w:tc>
          <w:tcPr>
            <w:tcW w:w="4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Statement of Operations: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52"/>
        </w:trPr>
        <w:tc>
          <w:tcPr>
            <w:tcW w:w="4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Non-interest income - other:</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64"/>
        </w:trPr>
        <w:tc>
          <w:tcPr>
            <w:tcW w:w="4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Other deposit related income</w:t>
            </w: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w:t>
            </w:r>
          </w:p>
        </w:tc>
      </w:tr>
      <w:tr>
        <w:trPr>
          <w:trHeight w:val="252"/>
        </w:trPr>
        <w:tc>
          <w:tcPr>
            <w:tcW w:w="40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Investment and insurance commissions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604</w:t>
            </w:r>
          </w:p>
        </w:tc>
      </w:tr>
      <w:tr>
        <w:trPr>
          <w:trHeight w:val="264"/>
        </w:trPr>
        <w:tc>
          <w:tcPr>
            <w:tcW w:w="4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Bank owned life insurance (1)</w:t>
            </w: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w:t>
            </w:r>
          </w:p>
        </w:tc>
      </w:tr>
      <w:tr>
        <w:trPr>
          <w:trHeight w:val="277"/>
        </w:trPr>
        <w:tc>
          <w:tcPr>
            <w:tcW w:w="40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7"/>
                <w:szCs w:val="17"/>
                <w:color w:val="auto"/>
              </w:rPr>
              <w:t>Other (1)</w:t>
            </w:r>
          </w:p>
        </w:tc>
        <w:tc>
          <w:tcPr>
            <w:tcW w:w="22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961</w:t>
            </w:r>
          </w:p>
        </w:tc>
      </w:tr>
      <w:tr>
        <w:trPr>
          <w:trHeight w:val="283"/>
        </w:trPr>
        <w:tc>
          <w:tcPr>
            <w:tcW w:w="40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2,684</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Excluded from the scope of ASC Topic 606.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Service</w:t>
            </w:r>
          </w:p>
        </w:tc>
        <w:tc>
          <w:tcPr>
            <w:tcW w:w="26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color w:val="auto"/>
                <w:w w:val="98"/>
              </w:rPr>
              <w:t>Other</w:t>
            </w: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Investment</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6"/>
        </w:trPr>
        <w:tc>
          <w:tcPr>
            <w:tcW w:w="4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Charges</w:t>
            </w:r>
          </w:p>
        </w:tc>
        <w:tc>
          <w:tcPr>
            <w:tcW w:w="26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color w:val="auto"/>
              </w:rPr>
              <w:t>Deposit</w:t>
            </w: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7"/>
              </w:rPr>
              <w:t>and</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6"/>
        </w:trPr>
        <w:tc>
          <w:tcPr>
            <w:tcW w:w="4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on Deposit</w:t>
            </w:r>
          </w:p>
        </w:tc>
        <w:tc>
          <w:tcPr>
            <w:tcW w:w="26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color w:val="auto"/>
              </w:rPr>
              <w:t>Related</w:t>
            </w: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9"/>
              </w:rPr>
              <w:t>Interchange</w:t>
            </w:r>
          </w:p>
        </w:tc>
        <w:tc>
          <w:tcPr>
            <w:tcW w:w="18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9"/>
              </w:rPr>
              <w:t>Insurance</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42"/>
        </w:trPr>
        <w:tc>
          <w:tcPr>
            <w:tcW w:w="40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9"/>
              </w:rPr>
              <w:t>Accounts</w:t>
            </w: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7"/>
                <w:szCs w:val="17"/>
                <w:color w:val="auto"/>
                <w:w w:val="97"/>
              </w:rPr>
              <w:t>Income</w:t>
            </w: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Income</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Commissions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Total</w:t>
            </w:r>
          </w:p>
        </w:tc>
      </w:tr>
      <w:tr>
        <w:trPr>
          <w:trHeight w:val="244"/>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Three months ending September 30, 2025</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(In thousands)</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64"/>
        </w:trPr>
        <w:tc>
          <w:tcPr>
            <w:tcW w:w="4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Retail</w:t>
            </w: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64"/>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Overdraft fees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2,333</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2,333</w:t>
            </w:r>
          </w:p>
        </w:tc>
      </w:tr>
      <w:tr>
        <w:trPr>
          <w:trHeight w:val="252"/>
        </w:trPr>
        <w:tc>
          <w:tcPr>
            <w:tcW w:w="4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Account service charges</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685</w:t>
            </w:r>
          </w:p>
        </w:tc>
      </w:tr>
      <w:tr>
        <w:trPr>
          <w:trHeight w:val="264"/>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ATM fees</w:t>
            </w:r>
          </w:p>
        </w:tc>
        <w:tc>
          <w:tcPr>
            <w:tcW w:w="2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w:t>
            </w:r>
          </w:p>
        </w:tc>
      </w:tr>
      <w:tr>
        <w:trPr>
          <w:trHeight w:val="252"/>
        </w:trPr>
        <w:tc>
          <w:tcPr>
            <w:tcW w:w="4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2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w:t>
            </w:r>
          </w:p>
        </w:tc>
      </w:tr>
      <w:tr>
        <w:trPr>
          <w:trHeight w:val="264"/>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Business</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52"/>
        </w:trPr>
        <w:tc>
          <w:tcPr>
            <w:tcW w:w="4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Overdraft fees</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r>
      <w:tr>
        <w:trPr>
          <w:trHeight w:val="264"/>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ATM fees</w:t>
            </w:r>
          </w:p>
        </w:tc>
        <w:tc>
          <w:tcPr>
            <w:tcW w:w="2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52"/>
        </w:trPr>
        <w:tc>
          <w:tcPr>
            <w:tcW w:w="4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2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r>
      <w:tr>
        <w:trPr>
          <w:trHeight w:val="264"/>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Interchange income</w:t>
            </w:r>
          </w:p>
        </w:tc>
        <w:tc>
          <w:tcPr>
            <w:tcW w:w="2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4,157</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4,157</w:t>
            </w:r>
          </w:p>
        </w:tc>
      </w:tr>
      <w:tr>
        <w:trPr>
          <w:trHeight w:val="252"/>
        </w:trPr>
        <w:tc>
          <w:tcPr>
            <w:tcW w:w="4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Asset management revenue</w:t>
            </w:r>
          </w:p>
        </w:tc>
        <w:tc>
          <w:tcPr>
            <w:tcW w:w="2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413</w:t>
            </w:r>
          </w:p>
        </w:tc>
      </w:tr>
      <w:tr>
        <w:trPr>
          <w:trHeight w:val="264"/>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Transaction based revenue</w:t>
            </w:r>
          </w:p>
        </w:tc>
        <w:tc>
          <w:tcPr>
            <w:tcW w:w="2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w:t>
            </w:r>
          </w:p>
        </w:tc>
      </w:tr>
      <w:tr>
        <w:trPr>
          <w:trHeight w:val="64"/>
        </w:trPr>
        <w:tc>
          <w:tcPr>
            <w:tcW w:w="408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76"/>
        </w:trPr>
        <w:tc>
          <w:tcPr>
            <w:tcW w:w="4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3,131</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4,157</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8,920</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9"/>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Reconciliation to interim Condensed Consolidated</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3"/>
        </w:trPr>
        <w:tc>
          <w:tcPr>
            <w:tcW w:w="4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Statement of Operations: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52"/>
        </w:trPr>
        <w:tc>
          <w:tcPr>
            <w:tcW w:w="4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Non-interest income - other:</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64"/>
        </w:trPr>
        <w:tc>
          <w:tcPr>
            <w:tcW w:w="4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Other deposit related income</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w:t>
            </w:r>
          </w:p>
        </w:tc>
      </w:tr>
      <w:tr>
        <w:trPr>
          <w:trHeight w:val="252"/>
        </w:trPr>
        <w:tc>
          <w:tcPr>
            <w:tcW w:w="40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Investment and insurance commissions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940</w:t>
            </w:r>
          </w:p>
        </w:tc>
      </w:tr>
      <w:tr>
        <w:trPr>
          <w:trHeight w:val="264"/>
        </w:trPr>
        <w:tc>
          <w:tcPr>
            <w:tcW w:w="4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Bank owned life insurance (1)</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w:t>
            </w:r>
          </w:p>
        </w:tc>
      </w:tr>
      <w:tr>
        <w:trPr>
          <w:trHeight w:val="252"/>
        </w:trPr>
        <w:tc>
          <w:tcPr>
            <w:tcW w:w="40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Other (1)</w:t>
            </w:r>
          </w:p>
        </w:tc>
        <w:tc>
          <w:tcPr>
            <w:tcW w:w="20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0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1,217</w:t>
            </w:r>
          </w:p>
        </w:tc>
      </w:tr>
      <w:tr>
        <w:trPr>
          <w:trHeight w:val="282"/>
        </w:trPr>
        <w:tc>
          <w:tcPr>
            <w:tcW w:w="40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w:t>
            </w:r>
          </w:p>
        </w:tc>
        <w:tc>
          <w:tcPr>
            <w:tcW w:w="2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3,137</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Excluded from the scope of ASC Topic 606.</w:t>
      </w:r>
    </w:p>
    <w:p>
      <w:pPr>
        <w:spacing w:after="0" w:line="200" w:lineRule="exact"/>
        <w:rPr>
          <w:sz w:val="20"/>
          <w:szCs w:val="20"/>
          <w:color w:val="auto"/>
        </w:rPr>
      </w:pPr>
    </w:p>
    <w:p>
      <w:pPr>
        <w:spacing w:after="0" w:line="37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Service</w:t>
            </w:r>
          </w:p>
        </w:tc>
        <w:tc>
          <w:tcPr>
            <w:tcW w:w="26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Other</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Investment</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6"/>
        </w:trPr>
        <w:tc>
          <w:tcPr>
            <w:tcW w:w="4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Charges</w:t>
            </w:r>
          </w:p>
        </w:tc>
        <w:tc>
          <w:tcPr>
            <w:tcW w:w="26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w w:val="98"/>
              </w:rPr>
              <w:t>Deposit</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7"/>
              </w:rPr>
              <w:t>and</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6"/>
        </w:trPr>
        <w:tc>
          <w:tcPr>
            <w:tcW w:w="4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9"/>
              </w:rPr>
              <w:t>on Deposit</w:t>
            </w:r>
          </w:p>
        </w:tc>
        <w:tc>
          <w:tcPr>
            <w:tcW w:w="26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Related</w:t>
            </w:r>
          </w:p>
        </w:tc>
        <w:tc>
          <w:tcPr>
            <w:tcW w:w="14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9"/>
              </w:rPr>
              <w:t>Interchange</w:t>
            </w:r>
          </w:p>
        </w:tc>
        <w:tc>
          <w:tcPr>
            <w:tcW w:w="16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Insurance</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42"/>
        </w:trPr>
        <w:tc>
          <w:tcPr>
            <w:tcW w:w="43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Accounts</w:t>
            </w: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Income</w:t>
            </w: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Income</w:t>
            </w: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Commissions</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rPr>
              <w:t>Total</w:t>
            </w:r>
          </w:p>
        </w:tc>
      </w:tr>
      <w:tr>
        <w:trPr>
          <w:trHeight w:val="251"/>
        </w:trPr>
        <w:tc>
          <w:tcPr>
            <w:tcW w:w="4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Nine months ending September 30, 2026</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(In thousands)</w:t>
            </w: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64"/>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Retail</w:t>
            </w: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52"/>
        </w:trPr>
        <w:tc>
          <w:tcPr>
            <w:tcW w:w="43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Overdraft fees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6,756</w:t>
            </w:r>
          </w:p>
        </w:tc>
        <w:tc>
          <w:tcPr>
            <w:tcW w:w="80" w:type="dxa"/>
            <w:vAlign w:val="bottom"/>
          </w:tcPr>
          <w:p>
            <w:pPr>
              <w:spacing w:after="0"/>
              <w:rPr>
                <w:sz w:val="21"/>
                <w:szCs w:val="21"/>
                <w:color w:val="auto"/>
              </w:rPr>
            </w:pP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6,756</w:t>
            </w:r>
          </w:p>
        </w:tc>
      </w:tr>
      <w:tr>
        <w:trPr>
          <w:trHeight w:val="264"/>
        </w:trPr>
        <w:tc>
          <w:tcPr>
            <w:tcW w:w="4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Account service charges</w:t>
            </w: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2,269</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2,269</w:t>
            </w:r>
          </w:p>
        </w:tc>
      </w:tr>
      <w:tr>
        <w:trPr>
          <w:trHeight w:val="252"/>
        </w:trPr>
        <w:tc>
          <w:tcPr>
            <w:tcW w:w="43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ATM fees</w:t>
            </w:r>
          </w:p>
        </w:tc>
        <w:tc>
          <w:tcPr>
            <w:tcW w:w="18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1,127</w:t>
            </w:r>
          </w:p>
        </w:tc>
      </w:tr>
      <w:tr>
        <w:trPr>
          <w:trHeight w:val="264"/>
        </w:trPr>
        <w:tc>
          <w:tcPr>
            <w:tcW w:w="4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Other</w:t>
            </w:r>
          </w:p>
        </w:tc>
        <w:tc>
          <w:tcPr>
            <w:tcW w:w="1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w:t>
            </w:r>
          </w:p>
        </w:tc>
      </w:tr>
      <w:tr>
        <w:trPr>
          <w:trHeight w:val="252"/>
        </w:trPr>
        <w:tc>
          <w:tcPr>
            <w:tcW w:w="43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Business</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64"/>
        </w:trPr>
        <w:tc>
          <w:tcPr>
            <w:tcW w:w="4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Overdraft fees</w:t>
            </w: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w:t>
            </w:r>
          </w:p>
        </w:tc>
      </w:tr>
      <w:tr>
        <w:trPr>
          <w:trHeight w:val="252"/>
        </w:trPr>
        <w:tc>
          <w:tcPr>
            <w:tcW w:w="43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ATM fees</w:t>
            </w:r>
          </w:p>
        </w:tc>
        <w:tc>
          <w:tcPr>
            <w:tcW w:w="18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64"/>
        </w:trPr>
        <w:tc>
          <w:tcPr>
            <w:tcW w:w="4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Other</w:t>
            </w:r>
          </w:p>
        </w:tc>
        <w:tc>
          <w:tcPr>
            <w:tcW w:w="1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w:t>
            </w:r>
          </w:p>
        </w:tc>
      </w:tr>
      <w:tr>
        <w:trPr>
          <w:trHeight w:val="252"/>
        </w:trPr>
        <w:tc>
          <w:tcPr>
            <w:tcW w:w="43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Interchange income</w:t>
            </w:r>
          </w:p>
        </w:tc>
        <w:tc>
          <w:tcPr>
            <w:tcW w:w="18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11,448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11,448</w:t>
            </w:r>
          </w:p>
        </w:tc>
      </w:tr>
      <w:tr>
        <w:trPr>
          <w:trHeight w:val="264"/>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Asset management revenue</w:t>
            </w:r>
          </w:p>
        </w:tc>
        <w:tc>
          <w:tcPr>
            <w:tcW w:w="1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1,349</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1,349</w:t>
            </w:r>
          </w:p>
        </w:tc>
      </w:tr>
      <w:tr>
        <w:trPr>
          <w:trHeight w:val="252"/>
        </w:trPr>
        <w:tc>
          <w:tcPr>
            <w:tcW w:w="43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Transaction based revenue</w:t>
            </w:r>
          </w:p>
        </w:tc>
        <w:tc>
          <w:tcPr>
            <w:tcW w:w="18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928</w:t>
            </w:r>
          </w:p>
        </w:tc>
      </w:tr>
      <w:tr>
        <w:trPr>
          <w:trHeight w:val="264"/>
        </w:trPr>
        <w:tc>
          <w:tcPr>
            <w:tcW w:w="434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r>
      <w:tr>
        <w:trPr>
          <w:trHeight w:val="251"/>
        </w:trPr>
        <w:tc>
          <w:tcPr>
            <w:tcW w:w="43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9,388</w:t>
            </w:r>
          </w:p>
        </w:tc>
        <w:tc>
          <w:tcPr>
            <w:tcW w:w="80" w:type="dxa"/>
            <w:vAlign w:val="bottom"/>
          </w:tcPr>
          <w:p>
            <w:pPr>
              <w:spacing w:after="0"/>
              <w:rPr>
                <w:sz w:val="21"/>
                <w:szCs w:val="21"/>
                <w:color w:val="auto"/>
              </w:rPr>
            </w:pPr>
          </w:p>
        </w:tc>
        <w:tc>
          <w:tcPr>
            <w:tcW w:w="2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1,974</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11,448</w:t>
            </w:r>
          </w:p>
        </w:tc>
        <w:tc>
          <w:tcPr>
            <w:tcW w:w="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2,277</w:t>
            </w: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25,087</w:t>
            </w: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4"/>
        </w:trPr>
        <w:tc>
          <w:tcPr>
            <w:tcW w:w="4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43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Reconciliation to interim Condensed Consolidated</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3"/>
        </w:trPr>
        <w:tc>
          <w:tcPr>
            <w:tcW w:w="43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Statement of Operations:</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
        </w:trPr>
        <w:tc>
          <w:tcPr>
            <w:tcW w:w="4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8"/>
        </w:trPr>
        <w:tc>
          <w:tcPr>
            <w:tcW w:w="4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Non-interest income - other:</w:t>
            </w: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52"/>
        </w:trPr>
        <w:tc>
          <w:tcPr>
            <w:tcW w:w="43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Other deposit related income</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1,974</w:t>
            </w:r>
          </w:p>
        </w:tc>
      </w:tr>
      <w:tr>
        <w:trPr>
          <w:trHeight w:val="277"/>
        </w:trPr>
        <w:tc>
          <w:tcPr>
            <w:tcW w:w="4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Investment and insurance commissions</w:t>
            </w: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2,277</w:t>
            </w:r>
          </w:p>
        </w:tc>
      </w:tr>
      <w:tr>
        <w:trPr>
          <w:trHeight w:val="265"/>
        </w:trPr>
        <w:tc>
          <w:tcPr>
            <w:tcW w:w="43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Bank owned life insurance (1)</w:t>
            </w: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1,097</w:t>
            </w:r>
          </w:p>
        </w:tc>
      </w:tr>
      <w:tr>
        <w:trPr>
          <w:trHeight w:val="284"/>
        </w:trPr>
        <w:tc>
          <w:tcPr>
            <w:tcW w:w="4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Other (1)</w:t>
            </w: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3,324</w:t>
            </w:r>
          </w:p>
        </w:tc>
      </w:tr>
      <w:tr>
        <w:trPr>
          <w:trHeight w:val="257"/>
        </w:trPr>
        <w:tc>
          <w:tcPr>
            <w:tcW w:w="43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8,672</w:t>
            </w:r>
          </w:p>
        </w:tc>
      </w:tr>
      <w:tr>
        <w:trPr>
          <w:trHeight w:val="20"/>
        </w:trPr>
        <w:tc>
          <w:tcPr>
            <w:tcW w:w="4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Excluded from the scope of ASC Topic 606.</w:t>
      </w:r>
    </w:p>
    <w:p>
      <w:pPr>
        <w:spacing w:after="0" w:line="200" w:lineRule="exact"/>
        <w:rPr>
          <w:sz w:val="20"/>
          <w:szCs w:val="20"/>
          <w:color w:val="auto"/>
        </w:rPr>
      </w:pPr>
    </w:p>
    <w:p>
      <w:pPr>
        <w:spacing w:after="0" w:line="37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Service</w:t>
            </w:r>
          </w:p>
        </w:tc>
        <w:tc>
          <w:tcPr>
            <w:tcW w:w="240" w:type="dxa"/>
            <w:vAlign w:val="bottom"/>
          </w:tcPr>
          <w:p>
            <w:pPr>
              <w:spacing w:after="0"/>
              <w:rPr>
                <w:sz w:val="17"/>
                <w:szCs w:val="17"/>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w w:val="98"/>
              </w:rPr>
              <w:t>Other</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Investment</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6"/>
        </w:trPr>
        <w:tc>
          <w:tcPr>
            <w:tcW w:w="4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Charges</w:t>
            </w:r>
          </w:p>
        </w:tc>
        <w:tc>
          <w:tcPr>
            <w:tcW w:w="240" w:type="dxa"/>
            <w:vAlign w:val="bottom"/>
          </w:tcPr>
          <w:p>
            <w:pPr>
              <w:spacing w:after="0"/>
              <w:rPr>
                <w:sz w:val="17"/>
                <w:szCs w:val="17"/>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Deposit</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7"/>
              </w:rPr>
              <w:t>and</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3"/>
        </w:trPr>
        <w:tc>
          <w:tcPr>
            <w:tcW w:w="4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on Deposit</w:t>
            </w:r>
          </w:p>
        </w:tc>
        <w:tc>
          <w:tcPr>
            <w:tcW w:w="240" w:type="dxa"/>
            <w:vAlign w:val="bottom"/>
          </w:tcPr>
          <w:p>
            <w:pPr>
              <w:spacing w:after="0"/>
              <w:rPr>
                <w:sz w:val="19"/>
                <w:szCs w:val="19"/>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Related</w:t>
            </w:r>
          </w:p>
        </w:tc>
        <w:tc>
          <w:tcPr>
            <w:tcW w:w="14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Interchange</w:t>
            </w:r>
          </w:p>
        </w:tc>
        <w:tc>
          <w:tcPr>
            <w:tcW w:w="140" w:type="dxa"/>
            <w:vAlign w:val="bottom"/>
          </w:tcPr>
          <w:p>
            <w:pPr>
              <w:spacing w:after="0"/>
              <w:rPr>
                <w:sz w:val="19"/>
                <w:szCs w:val="19"/>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Insurance</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8"/>
        </w:trPr>
        <w:tc>
          <w:tcPr>
            <w:tcW w:w="4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9"/>
              </w:rPr>
              <w:t>Accounts</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Income</w:t>
            </w: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Income</w:t>
            </w: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Commissions</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rPr>
              <w:t>Total</w:t>
            </w:r>
          </w:p>
        </w:tc>
      </w:tr>
      <w:tr>
        <w:trPr>
          <w:trHeight w:val="245"/>
        </w:trPr>
        <w:tc>
          <w:tcPr>
            <w:tcW w:w="4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Nine months ending September 30, 2025</w:t>
            </w: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(In thousands)</w:t>
            </w: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64"/>
        </w:trPr>
        <w:tc>
          <w:tcPr>
            <w:tcW w:w="42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Retail</w:t>
            </w: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64"/>
        </w:trPr>
        <w:tc>
          <w:tcPr>
            <w:tcW w:w="4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Overdraft fees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6,634</w:t>
            </w:r>
          </w:p>
        </w:tc>
      </w:tr>
      <w:tr>
        <w:trPr>
          <w:trHeight w:val="252"/>
        </w:trPr>
        <w:tc>
          <w:tcPr>
            <w:tcW w:w="42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Account service charges</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1,951</w:t>
            </w:r>
          </w:p>
        </w:tc>
      </w:tr>
      <w:tr>
        <w:trPr>
          <w:trHeight w:val="264"/>
        </w:trPr>
        <w:tc>
          <w:tcPr>
            <w:tcW w:w="4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ATM fees</w:t>
            </w:r>
          </w:p>
        </w:tc>
        <w:tc>
          <w:tcPr>
            <w:tcW w:w="2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1,169</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1,169</w:t>
            </w:r>
          </w:p>
        </w:tc>
      </w:tr>
      <w:tr>
        <w:trPr>
          <w:trHeight w:val="252"/>
        </w:trPr>
        <w:tc>
          <w:tcPr>
            <w:tcW w:w="42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Other</w:t>
            </w:r>
          </w:p>
        </w:tc>
        <w:tc>
          <w:tcPr>
            <w:tcW w:w="2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506</w:t>
            </w:r>
          </w:p>
        </w:tc>
      </w:tr>
      <w:tr>
        <w:trPr>
          <w:trHeight w:val="264"/>
        </w:trPr>
        <w:tc>
          <w:tcPr>
            <w:tcW w:w="4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Business</w:t>
            </w: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52"/>
        </w:trPr>
        <w:tc>
          <w:tcPr>
            <w:tcW w:w="42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Overdraft fees</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w:t>
            </w:r>
          </w:p>
        </w:tc>
      </w:tr>
      <w:tr>
        <w:trPr>
          <w:trHeight w:val="264"/>
        </w:trPr>
        <w:tc>
          <w:tcPr>
            <w:tcW w:w="4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ATM fees</w:t>
            </w:r>
          </w:p>
        </w:tc>
        <w:tc>
          <w:tcPr>
            <w:tcW w:w="2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52"/>
        </w:trPr>
        <w:tc>
          <w:tcPr>
            <w:tcW w:w="42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Other</w:t>
            </w:r>
          </w:p>
        </w:tc>
        <w:tc>
          <w:tcPr>
            <w:tcW w:w="2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w:t>
            </w:r>
          </w:p>
        </w:tc>
      </w:tr>
      <w:tr>
        <w:trPr>
          <w:trHeight w:val="264"/>
        </w:trPr>
        <w:tc>
          <w:tcPr>
            <w:tcW w:w="4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Interchange income</w:t>
            </w:r>
          </w:p>
        </w:tc>
        <w:tc>
          <w:tcPr>
            <w:tcW w:w="2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10,674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10,674</w:t>
            </w:r>
          </w:p>
        </w:tc>
      </w:tr>
      <w:tr>
        <w:trPr>
          <w:trHeight w:val="252"/>
        </w:trPr>
        <w:tc>
          <w:tcPr>
            <w:tcW w:w="42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Asset management revenue</w:t>
            </w:r>
          </w:p>
        </w:tc>
        <w:tc>
          <w:tcPr>
            <w:tcW w:w="2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1,214</w:t>
            </w:r>
          </w:p>
        </w:tc>
      </w:tr>
      <w:tr>
        <w:trPr>
          <w:trHeight w:val="264"/>
        </w:trPr>
        <w:tc>
          <w:tcPr>
            <w:tcW w:w="4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Transaction based revenue</w:t>
            </w:r>
          </w:p>
        </w:tc>
        <w:tc>
          <w:tcPr>
            <w:tcW w:w="2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1,290</w:t>
            </w:r>
          </w:p>
        </w:tc>
      </w:tr>
      <w:tr>
        <w:trPr>
          <w:trHeight w:val="258"/>
        </w:trPr>
        <w:tc>
          <w:tcPr>
            <w:tcW w:w="42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r>
      <w:tr>
        <w:trPr>
          <w:trHeight w:val="276"/>
        </w:trPr>
        <w:tc>
          <w:tcPr>
            <w:tcW w:w="4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Total</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8,926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2,037</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10,674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24,141</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9"/>
        </w:trPr>
        <w:tc>
          <w:tcPr>
            <w:tcW w:w="4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Reconciliation to interim Condensed Consolidated</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8"/>
        </w:trPr>
        <w:tc>
          <w:tcPr>
            <w:tcW w:w="4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Statement of Operations:</w:t>
            </w:r>
          </w:p>
        </w:tc>
        <w:tc>
          <w:tcPr>
            <w:tcW w:w="2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52"/>
        </w:trPr>
        <w:tc>
          <w:tcPr>
            <w:tcW w:w="42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Non-interest income - other:</w:t>
            </w: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64"/>
        </w:trPr>
        <w:tc>
          <w:tcPr>
            <w:tcW w:w="4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Other deposit related income</w:t>
            </w: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2,037</w:t>
            </w:r>
          </w:p>
        </w:tc>
      </w:tr>
      <w:tr>
        <w:trPr>
          <w:trHeight w:val="265"/>
        </w:trPr>
        <w:tc>
          <w:tcPr>
            <w:tcW w:w="42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Investment and insurance commissions</w:t>
            </w: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2,504</w:t>
            </w:r>
          </w:p>
        </w:tc>
      </w:tr>
      <w:tr>
        <w:trPr>
          <w:trHeight w:val="264"/>
        </w:trPr>
        <w:tc>
          <w:tcPr>
            <w:tcW w:w="4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Bank owned life insurance (1)</w:t>
            </w: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881</w:t>
            </w:r>
          </w:p>
        </w:tc>
      </w:tr>
      <w:tr>
        <w:trPr>
          <w:trHeight w:val="277"/>
        </w:trPr>
        <w:tc>
          <w:tcPr>
            <w:tcW w:w="42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Other (1)</w:t>
            </w:r>
          </w:p>
        </w:tc>
        <w:tc>
          <w:tcPr>
            <w:tcW w:w="20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3,683</w:t>
            </w:r>
          </w:p>
        </w:tc>
      </w:tr>
      <w:tr>
        <w:trPr>
          <w:trHeight w:val="282"/>
        </w:trPr>
        <w:tc>
          <w:tcPr>
            <w:tcW w:w="426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Total</w:t>
            </w:r>
          </w:p>
        </w:tc>
        <w:tc>
          <w:tcPr>
            <w:tcW w:w="2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9,105</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Excluded from the scope of ASC Topic 606.</w:t>
      </w:r>
    </w:p>
    <w:p>
      <w:pPr>
        <w:spacing w:after="0" w:line="191" w:lineRule="exact"/>
        <w:rPr>
          <w:sz w:val="20"/>
          <w:szCs w:val="20"/>
          <w:color w:val="auto"/>
        </w:rPr>
      </w:pPr>
    </w:p>
    <w:p>
      <w:pPr>
        <w:ind w:left="380" w:hanging="377"/>
        <w:spacing w:after="0"/>
        <w:tabs>
          <w:tab w:leader="none" w:pos="38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Leases</w:t>
      </w:r>
    </w:p>
    <w:p>
      <w:pPr>
        <w:spacing w:after="0" w:line="1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have entered into leases in the normal course of business primarily for office facilities, some of which include renewal options and escalation clauses. Certain leases also include both lease components (fixed payments including rent, taxes and insurance costs) and non-lease components (common area or other maintenance costs) which are accounted for as a single lease component as we have elected the practical expedient to group lease and non-lease components together for all leases. We have also elected not to recognize leases with original lease terms of 12 months or less (short-term leases) on our interim Condensed Consolidated Statements of Financial Condition. Most of our leases include one or more options to renew. The exercise of lease renewal options is typically at our sole discretion and are included in our right of use (“ROU”) assets and lease liabilities if they are reasonably certain of exercise.</w:t>
      </w:r>
    </w:p>
    <w:p>
      <w:pPr>
        <w:spacing w:after="0" w:line="13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Leases are classified as operating or finance leases at the lease commencement date (we did not have any finance leases as of September 30, 2026 and December 31, 2025). Lease expense for operating leases and short-term leases is recognized on a straight-line basis over the lease term. The ROU assets represent our right to use an underlying asset for the lease term and lease liabilities represent our obligation to make lease payments arising from the lease. ROU assets and lease liabilities are recognized at the lease commencement date based on the estimated present value of the lease payment over the lease term.</w:t>
      </w:r>
    </w:p>
    <w:p>
      <w:pPr>
        <w:spacing w:after="0" w:line="200" w:lineRule="exact"/>
        <w:rPr>
          <w:sz w:val="20"/>
          <w:szCs w:val="20"/>
          <w:color w:val="auto"/>
        </w:rPr>
      </w:pPr>
    </w:p>
    <w:p>
      <w:pPr>
        <w:spacing w:after="0" w:line="3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As most of our leases do not provide an implicit rate, we use our incremental borrowing rate based on the information available at the lease commencement date in determining the present value of the lease payments.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00" w:type="dxa"/>
            <w:vAlign w:val="bottom"/>
          </w:tcPr>
          <w:p>
            <w:pPr>
              <w:spacing w:after="0"/>
              <w:rPr>
                <w:sz w:val="20"/>
                <w:szCs w:val="20"/>
                <w:color w:val="auto"/>
              </w:rPr>
            </w:pPr>
            <w:r>
              <w:rPr>
                <w:rFonts w:ascii="Times New Roman" w:cs="Times New Roman" w:eastAsia="Times New Roman" w:hAnsi="Times New Roman"/>
                <w:sz w:val="17"/>
                <w:szCs w:val="17"/>
                <w:color w:val="auto"/>
              </w:rPr>
              <w:t>The cost components of our operating leases follows:</w:t>
            </w:r>
          </w:p>
        </w:tc>
        <w:tc>
          <w:tcPr>
            <w:tcW w:w="1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21"/>
        </w:trPr>
        <w:tc>
          <w:tcPr>
            <w:tcW w:w="4700" w:type="dxa"/>
            <w:vAlign w:val="bottom"/>
          </w:tcPr>
          <w:p>
            <w:pPr>
              <w:spacing w:after="0"/>
              <w:rPr>
                <w:sz w:val="24"/>
                <w:szCs w:val="24"/>
                <w:color w:val="auto"/>
              </w:rPr>
            </w:pPr>
          </w:p>
        </w:tc>
        <w:tc>
          <w:tcPr>
            <w:tcW w:w="2800" w:type="dxa"/>
            <w:vAlign w:val="bottom"/>
            <w:gridSpan w:val="4"/>
          </w:tcPr>
          <w:p>
            <w:pPr>
              <w:jc w:val="center"/>
              <w:ind w:left="414"/>
              <w:spacing w:after="0"/>
              <w:rPr>
                <w:sz w:val="20"/>
                <w:szCs w:val="20"/>
                <w:color w:val="auto"/>
              </w:rPr>
            </w:pPr>
            <w:r>
              <w:rPr>
                <w:rFonts w:ascii="Times New Roman" w:cs="Times New Roman" w:eastAsia="Times New Roman" w:hAnsi="Times New Roman"/>
                <w:sz w:val="17"/>
                <w:szCs w:val="17"/>
                <w:color w:val="auto"/>
              </w:rPr>
              <w:t>Three Months Ended</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4"/>
          </w:tcPr>
          <w:p>
            <w:pPr>
              <w:jc w:val="center"/>
              <w:ind w:left="414"/>
              <w:spacing w:after="0"/>
              <w:rPr>
                <w:sz w:val="20"/>
                <w:szCs w:val="20"/>
                <w:color w:val="auto"/>
              </w:rPr>
            </w:pPr>
            <w:r>
              <w:rPr>
                <w:rFonts w:ascii="Times New Roman" w:cs="Times New Roman" w:eastAsia="Times New Roman" w:hAnsi="Times New Roman"/>
                <w:sz w:val="17"/>
                <w:szCs w:val="17"/>
                <w:color w:val="auto"/>
              </w:rPr>
              <w:t>Nine Months Ended</w:t>
            </w:r>
          </w:p>
        </w:tc>
        <w:tc>
          <w:tcPr>
            <w:tcW w:w="500" w:type="dxa"/>
            <w:vAlign w:val="bottom"/>
          </w:tcPr>
          <w:p>
            <w:pPr>
              <w:spacing w:after="0"/>
              <w:rPr>
                <w:sz w:val="24"/>
                <w:szCs w:val="24"/>
                <w:color w:val="auto"/>
              </w:rPr>
            </w:pPr>
          </w:p>
        </w:tc>
      </w:tr>
      <w:tr>
        <w:trPr>
          <w:trHeight w:val="223"/>
        </w:trPr>
        <w:tc>
          <w:tcPr>
            <w:tcW w:w="4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740" w:type="dxa"/>
            <w:vAlign w:val="bottom"/>
            <w:gridSpan w:val="3"/>
          </w:tcPr>
          <w:p>
            <w:pPr>
              <w:jc w:val="center"/>
              <w:ind w:right="494"/>
              <w:spacing w:after="0"/>
              <w:rPr>
                <w:sz w:val="20"/>
                <w:szCs w:val="20"/>
                <w:color w:val="auto"/>
              </w:rPr>
            </w:pPr>
            <w:r>
              <w:rPr>
                <w:rFonts w:ascii="Times New Roman" w:cs="Times New Roman" w:eastAsia="Times New Roman" w:hAnsi="Times New Roman"/>
                <w:sz w:val="17"/>
                <w:szCs w:val="17"/>
                <w:color w:val="auto"/>
              </w:rPr>
              <w:t>September 30,</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40" w:type="dxa"/>
            <w:vAlign w:val="bottom"/>
            <w:gridSpan w:val="3"/>
          </w:tcPr>
          <w:p>
            <w:pPr>
              <w:jc w:val="center"/>
              <w:ind w:right="434"/>
              <w:spacing w:after="0"/>
              <w:rPr>
                <w:sz w:val="20"/>
                <w:szCs w:val="20"/>
                <w:color w:val="auto"/>
              </w:rPr>
            </w:pPr>
            <w:r>
              <w:rPr>
                <w:rFonts w:ascii="Times New Roman" w:cs="Times New Roman" w:eastAsia="Times New Roman" w:hAnsi="Times New Roman"/>
                <w:sz w:val="17"/>
                <w:szCs w:val="17"/>
                <w:color w:val="auto"/>
              </w:rPr>
              <w:t>September 30,</w:t>
            </w:r>
          </w:p>
        </w:tc>
        <w:tc>
          <w:tcPr>
            <w:tcW w:w="500" w:type="dxa"/>
            <w:vAlign w:val="bottom"/>
          </w:tcPr>
          <w:p>
            <w:pPr>
              <w:spacing w:after="0"/>
              <w:rPr>
                <w:sz w:val="19"/>
                <w:szCs w:val="19"/>
                <w:color w:val="auto"/>
              </w:rPr>
            </w:pPr>
          </w:p>
        </w:tc>
      </w:tr>
      <w:tr>
        <w:trPr>
          <w:trHeight w:val="277"/>
        </w:trPr>
        <w:tc>
          <w:tcPr>
            <w:tcW w:w="470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2026</w:t>
            </w: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2025</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2026</w:t>
            </w: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500" w:type="dxa"/>
            <w:vAlign w:val="bottom"/>
            <w:tcBorders>
              <w:bottom w:val="single" w:sz="8" w:color="auto"/>
            </w:tcBorders>
          </w:tcPr>
          <w:p>
            <w:pPr>
              <w:spacing w:after="0"/>
              <w:rPr>
                <w:sz w:val="24"/>
                <w:szCs w:val="24"/>
                <w:color w:val="auto"/>
              </w:rPr>
            </w:pPr>
          </w:p>
        </w:tc>
      </w:tr>
      <w:tr>
        <w:trPr>
          <w:trHeight w:val="251"/>
        </w:trPr>
        <w:tc>
          <w:tcPr>
            <w:tcW w:w="47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740" w:type="dxa"/>
            <w:vAlign w:val="bottom"/>
            <w:gridSpan w:val="3"/>
          </w:tcPr>
          <w:p>
            <w:pPr>
              <w:jc w:val="center"/>
              <w:ind w:right="474"/>
              <w:spacing w:after="0"/>
              <w:rPr>
                <w:sz w:val="20"/>
                <w:szCs w:val="20"/>
                <w:color w:val="auto"/>
              </w:rPr>
            </w:pPr>
            <w:r>
              <w:rPr>
                <w:rFonts w:ascii="Times New Roman" w:cs="Times New Roman" w:eastAsia="Times New Roman" w:hAnsi="Times New Roman"/>
                <w:sz w:val="17"/>
                <w:szCs w:val="17"/>
                <w:color w:val="auto"/>
              </w:rPr>
              <w:t>(In thousands)</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40" w:type="dxa"/>
            <w:vAlign w:val="bottom"/>
            <w:gridSpan w:val="3"/>
          </w:tcPr>
          <w:p>
            <w:pPr>
              <w:jc w:val="center"/>
              <w:ind w:right="434"/>
              <w:spacing w:after="0"/>
              <w:rPr>
                <w:sz w:val="20"/>
                <w:szCs w:val="20"/>
                <w:color w:val="auto"/>
              </w:rPr>
            </w:pPr>
            <w:r>
              <w:rPr>
                <w:rFonts w:ascii="Times New Roman" w:cs="Times New Roman" w:eastAsia="Times New Roman" w:hAnsi="Times New Roman"/>
                <w:sz w:val="17"/>
                <w:szCs w:val="17"/>
                <w:color w:val="auto"/>
              </w:rPr>
              <w:t>(In thousands)</w:t>
            </w:r>
          </w:p>
        </w:tc>
        <w:tc>
          <w:tcPr>
            <w:tcW w:w="500" w:type="dxa"/>
            <w:vAlign w:val="bottom"/>
          </w:tcPr>
          <w:p>
            <w:pPr>
              <w:spacing w:after="0"/>
              <w:rPr>
                <w:sz w:val="21"/>
                <w:szCs w:val="21"/>
                <w:color w:val="auto"/>
              </w:rPr>
            </w:pPr>
          </w:p>
        </w:tc>
      </w:tr>
      <w:tr>
        <w:trPr>
          <w:trHeight w:val="264"/>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cost</w:t>
            </w:r>
          </w:p>
        </w:tc>
        <w:tc>
          <w:tcPr>
            <w:tcW w:w="106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w:t>
            </w: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1,099</w:t>
            </w:r>
          </w:p>
        </w:tc>
        <w:tc>
          <w:tcPr>
            <w:tcW w:w="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1,037</w:t>
            </w:r>
          </w:p>
        </w:tc>
      </w:tr>
      <w:tr>
        <w:trPr>
          <w:trHeight w:val="252"/>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Variable lease cost</w:t>
            </w:r>
          </w:p>
        </w:tc>
        <w:tc>
          <w:tcPr>
            <w:tcW w:w="10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58"/>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lease cost</w:t>
            </w:r>
          </w:p>
        </w:tc>
        <w:tc>
          <w:tcPr>
            <w:tcW w:w="106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80" w:type="dxa"/>
            <w:vAlign w:val="bottom"/>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r>
      <w:tr>
        <w:trPr>
          <w:trHeight w:val="257"/>
        </w:trPr>
        <w:tc>
          <w:tcPr>
            <w:tcW w:w="47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1060" w:type="dxa"/>
            <w:vAlign w:val="bottom"/>
            <w:tcBorders>
              <w:bottom w:val="single" w:sz="8" w:color="auto"/>
            </w:tcBorders>
          </w:tcPr>
          <w:p>
            <w:pPr>
              <w:jc w:val="right"/>
              <w:ind w:right="854"/>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377</w:t>
            </w:r>
          </w:p>
        </w:tc>
        <w:tc>
          <w:tcPr>
            <w:tcW w:w="80" w:type="dxa"/>
            <w:vAlign w:val="bottom"/>
          </w:tcPr>
          <w:p>
            <w:pPr>
              <w:spacing w:after="0"/>
              <w:rPr>
                <w:sz w:val="22"/>
                <w:szCs w:val="22"/>
                <w:color w:val="auto"/>
              </w:rPr>
            </w:pPr>
          </w:p>
        </w:tc>
        <w:tc>
          <w:tcPr>
            <w:tcW w:w="1120" w:type="dxa"/>
            <w:vAlign w:val="bottom"/>
            <w:tcBorders>
              <w:bottom w:val="single" w:sz="8" w:color="auto"/>
            </w:tcBorders>
          </w:tcPr>
          <w:p>
            <w:pPr>
              <w:jc w:val="right"/>
              <w:ind w:right="93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370</w:t>
            </w: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1,153</w:t>
            </w:r>
          </w:p>
        </w:tc>
        <w:tc>
          <w:tcPr>
            <w:tcW w:w="80" w:type="dxa"/>
            <w:vAlign w:val="bottom"/>
          </w:tcPr>
          <w:p>
            <w:pPr>
              <w:spacing w:after="0"/>
              <w:rPr>
                <w:sz w:val="22"/>
                <w:szCs w:val="22"/>
                <w:color w:val="auto"/>
              </w:rPr>
            </w:pPr>
          </w:p>
        </w:tc>
        <w:tc>
          <w:tcPr>
            <w:tcW w:w="98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1,104</w:t>
            </w:r>
          </w:p>
        </w:tc>
      </w:tr>
      <w:tr>
        <w:trPr>
          <w:trHeight w:val="20"/>
        </w:trPr>
        <w:tc>
          <w:tcPr>
            <w:tcW w:w="47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Variable lease costs consist primarily of taxes, insurance, and common area or other maintenance costs for our leased facilities.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40" w:type="dxa"/>
            <w:vAlign w:val="bottom"/>
          </w:tcPr>
          <w:p>
            <w:pPr>
              <w:spacing w:after="0"/>
              <w:rPr>
                <w:sz w:val="20"/>
                <w:szCs w:val="20"/>
                <w:color w:val="auto"/>
              </w:rPr>
            </w:pPr>
            <w:r>
              <w:rPr>
                <w:rFonts w:ascii="Times New Roman" w:cs="Times New Roman" w:eastAsia="Times New Roman" w:hAnsi="Times New Roman"/>
                <w:sz w:val="17"/>
                <w:szCs w:val="17"/>
                <w:color w:val="auto"/>
              </w:rPr>
              <w:t>Supplemental balance sheet information related to our operating leases follows:</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86"/>
        </w:trPr>
        <w:tc>
          <w:tcPr>
            <w:tcW w:w="7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September 30,</w:t>
            </w:r>
          </w:p>
        </w:tc>
        <w:tc>
          <w:tcPr>
            <w:tcW w:w="200" w:type="dxa"/>
            <w:vAlign w:val="bottom"/>
          </w:tcPr>
          <w:p>
            <w:pPr>
              <w:spacing w:after="0"/>
              <w:rPr>
                <w:sz w:val="24"/>
                <w:szCs w:val="24"/>
                <w:color w:val="auto"/>
              </w:rPr>
            </w:pPr>
          </w:p>
        </w:tc>
        <w:tc>
          <w:tcPr>
            <w:tcW w:w="140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December 31,</w:t>
            </w:r>
          </w:p>
        </w:tc>
      </w:tr>
      <w:tr>
        <w:trPr>
          <w:trHeight w:val="238"/>
        </w:trPr>
        <w:tc>
          <w:tcPr>
            <w:tcW w:w="7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color w:val="auto"/>
              </w:rPr>
              <w:t>2026</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2025</w:t>
            </w:r>
          </w:p>
        </w:tc>
      </w:tr>
      <w:tr>
        <w:trPr>
          <w:trHeight w:val="232"/>
        </w:trPr>
        <w:tc>
          <w:tcPr>
            <w:tcW w:w="7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00" w:type="dxa"/>
            <w:vAlign w:val="bottom"/>
            <w:gridSpan w:val="4"/>
          </w:tcPr>
          <w:p>
            <w:pPr>
              <w:jc w:val="right"/>
              <w:ind w:right="794"/>
              <w:spacing w:after="0"/>
              <w:rPr>
                <w:sz w:val="20"/>
                <w:szCs w:val="20"/>
                <w:color w:val="auto"/>
              </w:rPr>
            </w:pPr>
            <w:r>
              <w:rPr>
                <w:rFonts w:ascii="Times New Roman" w:cs="Times New Roman" w:eastAsia="Times New Roman" w:hAnsi="Times New Roman"/>
                <w:sz w:val="17"/>
                <w:szCs w:val="17"/>
                <w:color w:val="auto"/>
              </w:rPr>
              <w:t>(Dollars in thousands)</w:t>
            </w:r>
          </w:p>
        </w:tc>
      </w:tr>
      <w:tr>
        <w:trPr>
          <w:trHeight w:val="28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 right of use asset (1)</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6,521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7,296</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 liabilities (2)</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6,806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7,528</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24"/>
        </w:trPr>
        <w:tc>
          <w:tcPr>
            <w:tcW w:w="7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58"/>
        </w:trPr>
        <w:tc>
          <w:tcPr>
            <w:tcW w:w="7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remaining lease term (years)</w:t>
            </w: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6.27</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6.79</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74"/>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4.4 %</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4.4 %</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ind w:left="300" w:hanging="297"/>
        <w:spacing w:after="0"/>
        <w:tabs>
          <w:tab w:leader="none" w:pos="3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Accrued income and other assets in our interim Condensed Consolidated Statements of Financial Condition.</w:t>
      </w:r>
    </w:p>
    <w:p>
      <w:pPr>
        <w:spacing w:after="0" w:line="27"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Accrued expenses and other liabilities in our interim Condensed Consolidated Statements of Financial Condition.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Maturity analysis of our lease liabilities at September 30, 2026 based on required contractual payments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28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0" w:type="dxa"/>
            <w:vAlign w:val="bottom"/>
          </w:tcPr>
          <w:p>
            <w:pPr>
              <w:spacing w:after="0"/>
              <w:rPr>
                <w:sz w:val="1"/>
                <w:szCs w:val="1"/>
                <w:color w:val="auto"/>
              </w:rPr>
            </w:pPr>
          </w:p>
        </w:tc>
      </w:tr>
      <w:tr>
        <w:trPr>
          <w:trHeight w:val="283"/>
        </w:trPr>
        <w:tc>
          <w:tcPr>
            <w:tcW w:w="428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Three months ending December 31, 2026</w:t>
            </w:r>
          </w:p>
        </w:tc>
        <w:tc>
          <w:tcPr>
            <w:tcW w:w="5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w:t>
            </w:r>
          </w:p>
        </w:tc>
        <w:tc>
          <w:tcPr>
            <w:tcW w:w="0" w:type="dxa"/>
            <w:vAlign w:val="bottom"/>
          </w:tcPr>
          <w:p>
            <w:pPr>
              <w:spacing w:after="0"/>
              <w:rPr>
                <w:sz w:val="1"/>
                <w:szCs w:val="1"/>
                <w:color w:val="auto"/>
              </w:rPr>
            </w:pPr>
          </w:p>
        </w:tc>
      </w:tr>
      <w:tr>
        <w:trPr>
          <w:trHeight w:val="252"/>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5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1,360</w:t>
            </w:r>
          </w:p>
        </w:tc>
        <w:tc>
          <w:tcPr>
            <w:tcW w:w="0" w:type="dxa"/>
            <w:vAlign w:val="bottom"/>
          </w:tcPr>
          <w:p>
            <w:pPr>
              <w:spacing w:after="0"/>
              <w:rPr>
                <w:sz w:val="1"/>
                <w:szCs w:val="1"/>
                <w:color w:val="auto"/>
              </w:rPr>
            </w:pPr>
          </w:p>
        </w:tc>
      </w:tr>
      <w:tr>
        <w:trPr>
          <w:trHeight w:val="264"/>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54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1,310</w:t>
            </w:r>
          </w:p>
        </w:tc>
        <w:tc>
          <w:tcPr>
            <w:tcW w:w="0" w:type="dxa"/>
            <w:vAlign w:val="bottom"/>
          </w:tcPr>
          <w:p>
            <w:pPr>
              <w:spacing w:after="0"/>
              <w:rPr>
                <w:sz w:val="1"/>
                <w:szCs w:val="1"/>
                <w:color w:val="auto"/>
              </w:rPr>
            </w:pPr>
          </w:p>
        </w:tc>
      </w:tr>
      <w:tr>
        <w:trPr>
          <w:trHeight w:val="252"/>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5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1,318</w:t>
            </w:r>
          </w:p>
        </w:tc>
        <w:tc>
          <w:tcPr>
            <w:tcW w:w="0" w:type="dxa"/>
            <w:vAlign w:val="bottom"/>
          </w:tcPr>
          <w:p>
            <w:pPr>
              <w:spacing w:after="0"/>
              <w:rPr>
                <w:sz w:val="1"/>
                <w:szCs w:val="1"/>
                <w:color w:val="auto"/>
              </w:rPr>
            </w:pPr>
          </w:p>
        </w:tc>
      </w:tr>
      <w:tr>
        <w:trPr>
          <w:trHeight w:val="264"/>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54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1,148</w:t>
            </w:r>
          </w:p>
        </w:tc>
        <w:tc>
          <w:tcPr>
            <w:tcW w:w="0" w:type="dxa"/>
            <w:vAlign w:val="bottom"/>
          </w:tcPr>
          <w:p>
            <w:pPr>
              <w:spacing w:after="0"/>
              <w:rPr>
                <w:sz w:val="1"/>
                <w:szCs w:val="1"/>
                <w:color w:val="auto"/>
              </w:rPr>
            </w:pPr>
          </w:p>
        </w:tc>
      </w:tr>
      <w:tr>
        <w:trPr>
          <w:trHeight w:val="252"/>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2031 and thereafter</w:t>
            </w:r>
          </w:p>
        </w:tc>
        <w:tc>
          <w:tcPr>
            <w:tcW w:w="54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2,355</w:t>
            </w:r>
          </w:p>
        </w:tc>
        <w:tc>
          <w:tcPr>
            <w:tcW w:w="0" w:type="dxa"/>
            <w:vAlign w:val="bottom"/>
          </w:tcPr>
          <w:p>
            <w:pPr>
              <w:spacing w:after="0"/>
              <w:rPr>
                <w:sz w:val="1"/>
                <w:szCs w:val="1"/>
                <w:color w:val="auto"/>
              </w:rPr>
            </w:pPr>
          </w:p>
        </w:tc>
      </w:tr>
      <w:tr>
        <w:trPr>
          <w:trHeight w:val="257"/>
        </w:trPr>
        <w:tc>
          <w:tcPr>
            <w:tcW w:w="4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lease payments</w:t>
            </w:r>
          </w:p>
        </w:tc>
        <w:tc>
          <w:tcPr>
            <w:tcW w:w="54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7,844</w:t>
            </w: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54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1,038</w:t>
            </w:r>
          </w:p>
        </w:tc>
        <w:tc>
          <w:tcPr>
            <w:tcW w:w="0" w:type="dxa"/>
            <w:vAlign w:val="bottom"/>
          </w:tcPr>
          <w:p>
            <w:pPr>
              <w:spacing w:after="0"/>
              <w:rPr>
                <w:sz w:val="1"/>
                <w:szCs w:val="1"/>
                <w:color w:val="auto"/>
              </w:rPr>
            </w:pPr>
          </w:p>
        </w:tc>
      </w:tr>
      <w:tr>
        <w:trPr>
          <w:trHeight w:val="278"/>
        </w:trPr>
        <w:tc>
          <w:tcPr>
            <w:tcW w:w="4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5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6,806</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5480" w:type="dxa"/>
            <w:vAlign w:val="bottom"/>
            <w:tcBorders>
              <w:top w:val="single" w:sz="8" w:color="CCEEFF"/>
              <w:bottom w:val="single" w:sz="8" w:color="CCEEFF"/>
            </w:tcBorders>
            <w:vMerge w:val="restart"/>
          </w:tcPr>
          <w:p>
            <w:pPr>
              <w:jc w:val="right"/>
              <w:ind w:right="3814"/>
              <w:spacing w:after="0"/>
              <w:rPr>
                <w:sz w:val="20"/>
                <w:szCs w:val="20"/>
                <w:color w:val="auto"/>
              </w:rPr>
            </w:pPr>
            <w:r>
              <w:rPr>
                <w:rFonts w:ascii="Times New Roman" w:cs="Times New Roman" w:eastAsia="Times New Roman" w:hAnsi="Times New Roman"/>
                <w:sz w:val="17"/>
                <w:szCs w:val="17"/>
                <w:color w:val="auto"/>
              </w:rPr>
              <w:t>66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6"/>
        </w:trPr>
        <w:tc>
          <w:tcPr>
            <w:tcW w:w="4280" w:type="dxa"/>
            <w:vAlign w:val="bottom"/>
          </w:tcPr>
          <w:p>
            <w:pPr>
              <w:spacing w:after="0"/>
              <w:rPr>
                <w:sz w:val="24"/>
                <w:szCs w:val="24"/>
                <w:color w:val="auto"/>
              </w:rPr>
            </w:pPr>
          </w:p>
        </w:tc>
        <w:tc>
          <w:tcPr>
            <w:tcW w:w="54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280" w:type="dxa"/>
            <w:vAlign w:val="bottom"/>
            <w:tcBorders>
              <w:bottom w:val="single" w:sz="8" w:color="9A9A9A"/>
            </w:tcBorders>
          </w:tcPr>
          <w:p>
            <w:pPr>
              <w:spacing w:after="0"/>
              <w:rPr>
                <w:sz w:val="9"/>
                <w:szCs w:val="9"/>
                <w:color w:val="auto"/>
              </w:rPr>
            </w:pPr>
          </w:p>
        </w:tc>
        <w:tc>
          <w:tcPr>
            <w:tcW w:w="54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342" w:lineRule="exact"/>
        <w:rPr>
          <w:sz w:val="20"/>
          <w:szCs w:val="20"/>
          <w:color w:val="auto"/>
        </w:rPr>
      </w:pPr>
    </w:p>
    <w:p>
      <w:pPr>
        <w:ind w:left="380" w:hanging="377"/>
        <w:spacing w:after="0"/>
        <w:tabs>
          <w:tab w:leader="none" w:pos="38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Segment Reporting</w:t>
      </w:r>
    </w:p>
    <w:p>
      <w:pPr>
        <w:spacing w:after="0" w:line="2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Independent Bank Corporation is a bank holding company, whose principal activity is the ownership and management of its wholly-owned subsidiaries, including Independent Bank and Highpoint Community Bank. As a community-oriented financial institution, substantially all of our operations involve the delivery of loan and deposit products to customers. See note #18.</w:t>
      </w:r>
    </w:p>
    <w:p>
      <w:pPr>
        <w:spacing w:after="0" w:line="16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As of September 30, 2026, we have one reportable segment which is determined by the Chief Executive Officer, who is the designated chief operating decision maker, based upon information provided about the products and services we offer, primarily banking operations. The segment is also distinguished by the level of information provided to the chief operating decision maker, who uses such information to review performance of various components of the business, which are then aggregated if the operating performance, products/services, and customers are similar. The chief operating decision maker will evaluate the performance of our business components such as evaluating revenue streams, significant expenses, and budget to actual results assessing our segments and in the determination of allocating resources. The chief operating decision maker uses revenue streams to evaluate product pricing and significant expenses to assess performance and evaluate return on assets. The chief operating decision maker uses consolidated net income, earnings per share, and return on average assets to benchmark us against our competitors. The benchmarking analysis coupled with monitoring of budget to actual results are used in assessing performance and in establishing compensation. Loans, investments, and deposits provide the majority of revenues in the banking operation. Interest expense, provisions for credit losses, and compensation and employee benefits provide the significant expenses in the banking operation. All operations are domestic.</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Segment performance is evaluated using consolidated net income, earnings per share, and return on average assets. Information reported internally for performance assessment by the chief operating decision maker is as follows, inclusive of reconciliations of significant segment totals to the interim condensed consolidated financial statements for the three and nine month periods ended September 30, 2026 and 2025.</w:t>
      </w:r>
    </w:p>
    <w:p>
      <w:pPr>
        <w:spacing w:after="0" w:line="200" w:lineRule="exact"/>
        <w:rPr>
          <w:sz w:val="20"/>
          <w:szCs w:val="20"/>
          <w:color w:val="auto"/>
        </w:rPr>
      </w:pPr>
    </w:p>
    <w:p>
      <w:pPr>
        <w:spacing w:after="0" w:line="34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3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9"/>
          </w:tcPr>
          <w:p>
            <w:pPr>
              <w:jc w:val="center"/>
              <w:spacing w:after="0"/>
              <w:rPr>
                <w:sz w:val="20"/>
                <w:szCs w:val="20"/>
                <w:color w:val="auto"/>
              </w:rPr>
            </w:pPr>
            <w:r>
              <w:rPr>
                <w:rFonts w:ascii="Times New Roman" w:cs="Times New Roman" w:eastAsia="Times New Roman" w:hAnsi="Times New Roman"/>
                <w:sz w:val="17"/>
                <w:szCs w:val="17"/>
                <w:b w:val="1"/>
                <w:bCs w:val="1"/>
                <w:color w:val="auto"/>
              </w:rPr>
              <w:t>Three Months Ended September 30, 2026</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25"/>
        </w:trPr>
        <w:tc>
          <w:tcPr>
            <w:tcW w:w="53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Banking</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ind w:left="140"/>
              <w:spacing w:after="0" w:line="225" w:lineRule="exact"/>
              <w:rPr>
                <w:sz w:val="20"/>
                <w:szCs w:val="20"/>
                <w:color w:val="auto"/>
              </w:rPr>
            </w:pPr>
            <w:r>
              <w:rPr>
                <w:rFonts w:ascii="Times New Roman" w:cs="Times New Roman" w:eastAsia="Times New Roman" w:hAnsi="Times New Roman"/>
                <w:sz w:val="17"/>
                <w:szCs w:val="17"/>
                <w:b w:val="1"/>
                <w:bCs w:val="1"/>
                <w:color w:val="auto"/>
              </w:rPr>
              <w:t>Other</w:t>
            </w:r>
            <w:r>
              <w:rPr>
                <w:rFonts w:ascii="Times New Roman" w:cs="Times New Roman" w:eastAsia="Times New Roman" w:hAnsi="Times New Roman"/>
                <w:sz w:val="22"/>
                <w:szCs w:val="22"/>
                <w:b w:val="1"/>
                <w:bCs w:val="1"/>
                <w:color w:val="auto"/>
                <w:vertAlign w:val="superscript"/>
              </w:rPr>
              <w:t>(1)</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rPr>
              <w:t>Eliminations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44"/>
        </w:trPr>
        <w:tc>
          <w:tcPr>
            <w:tcW w:w="5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700" w:type="dxa"/>
            <w:vAlign w:val="bottom"/>
            <w:gridSpan w:val="6"/>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4"/>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52"/>
        </w:trPr>
        <w:tc>
          <w:tcPr>
            <w:tcW w:w="5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 and fees on loans</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68,925</w:t>
            </w:r>
          </w:p>
        </w:tc>
        <w:tc>
          <w:tcPr>
            <w:tcW w:w="36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68,998</w:t>
            </w:r>
          </w:p>
        </w:tc>
      </w:tr>
      <w:tr>
        <w:trPr>
          <w:trHeight w:val="264"/>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on securities</w:t>
            </w: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6,657</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2"/>
                <w:szCs w:val="22"/>
                <w:color w:val="auto"/>
              </w:rPr>
            </w:pPr>
          </w:p>
        </w:tc>
        <w:tc>
          <w:tcPr>
            <w:tcW w:w="13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6,657</w:t>
            </w:r>
          </w:p>
        </w:tc>
      </w:tr>
      <w:tr>
        <w:trPr>
          <w:trHeight w:val="252"/>
        </w:trPr>
        <w:tc>
          <w:tcPr>
            <w:tcW w:w="53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Other investments</w:t>
            </w: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1,660</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1,660</w:t>
            </w:r>
          </w:p>
        </w:tc>
      </w:tr>
      <w:tr>
        <w:trPr>
          <w:trHeight w:val="257"/>
        </w:trPr>
        <w:tc>
          <w:tcPr>
            <w:tcW w:w="5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Interest Income</w:t>
            </w: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77,242</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77,315</w:t>
            </w:r>
          </w:p>
        </w:tc>
      </w:tr>
      <w:tr>
        <w:trPr>
          <w:trHeight w:val="232"/>
        </w:trPr>
        <w:tc>
          <w:tcPr>
            <w:tcW w:w="5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64"/>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Deposits</w:t>
            </w: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21,289</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2"/>
                <w:szCs w:val="22"/>
                <w:color w:val="auto"/>
              </w:rPr>
            </w:pPr>
          </w:p>
        </w:tc>
        <w:tc>
          <w:tcPr>
            <w:tcW w:w="13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21,289</w:t>
            </w:r>
          </w:p>
        </w:tc>
      </w:tr>
      <w:tr>
        <w:trPr>
          <w:trHeight w:val="252"/>
        </w:trPr>
        <w:tc>
          <w:tcPr>
            <w:tcW w:w="53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Other borrowings and subordinated debt and debentures</w:t>
            </w: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769</w:t>
            </w:r>
          </w:p>
        </w:tc>
      </w:tr>
      <w:tr>
        <w:trPr>
          <w:trHeight w:val="251"/>
        </w:trPr>
        <w:tc>
          <w:tcPr>
            <w:tcW w:w="5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Interest Expense</w:t>
            </w: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21,365</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22,058</w:t>
            </w:r>
          </w:p>
        </w:tc>
      </w:tr>
      <w:tr>
        <w:trPr>
          <w:trHeight w:val="251"/>
        </w:trPr>
        <w:tc>
          <w:tcPr>
            <w:tcW w:w="53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Net Interest Income</w:t>
            </w:r>
          </w:p>
        </w:tc>
        <w:tc>
          <w:tcPr>
            <w:tcW w:w="2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55,877</w:t>
            </w:r>
          </w:p>
        </w:tc>
        <w:tc>
          <w:tcPr>
            <w:tcW w:w="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(693)</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8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55,257</w:t>
            </w:r>
          </w:p>
        </w:tc>
      </w:tr>
      <w:tr>
        <w:trPr>
          <w:trHeight w:val="258"/>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4,807</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2"/>
                <w:szCs w:val="22"/>
                <w:color w:val="auto"/>
              </w:rPr>
            </w:pPr>
          </w:p>
        </w:tc>
        <w:tc>
          <w:tcPr>
            <w:tcW w:w="13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4,807</w:t>
            </w:r>
          </w:p>
        </w:tc>
      </w:tr>
      <w:tr>
        <w:trPr>
          <w:trHeight w:val="251"/>
        </w:trPr>
        <w:tc>
          <w:tcPr>
            <w:tcW w:w="53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Net Interest Income After Provision for Credit Losses</w:t>
            </w:r>
          </w:p>
        </w:tc>
        <w:tc>
          <w:tcPr>
            <w:tcW w:w="26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51,070</w:t>
            </w:r>
          </w:p>
        </w:tc>
        <w:tc>
          <w:tcPr>
            <w:tcW w:w="40" w:type="dxa"/>
            <w:vAlign w:val="bottom"/>
            <w:tcBorders>
              <w:top w:val="single" w:sz="8" w:color="auto"/>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(693)</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80" w:type="dxa"/>
            <w:vAlign w:val="bottom"/>
            <w:tcBorders>
              <w:bottom w:val="single" w:sz="8" w:color="CCEEFF"/>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50,450</w:t>
            </w:r>
          </w:p>
        </w:tc>
      </w:tr>
      <w:tr>
        <w:trPr>
          <w:trHeight w:val="244"/>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NON-INTEREST INCOME</w:t>
            </w: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52"/>
        </w:trPr>
        <w:tc>
          <w:tcPr>
            <w:tcW w:w="5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Interchange income</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4,638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4,638</w:t>
            </w:r>
          </w:p>
        </w:tc>
      </w:tr>
      <w:tr>
        <w:trPr>
          <w:trHeight w:val="264"/>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Service charges on deposit accounts</w:t>
            </w: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3,353</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2"/>
                <w:szCs w:val="22"/>
                <w:color w:val="auto"/>
              </w:rPr>
            </w:pPr>
          </w:p>
        </w:tc>
        <w:tc>
          <w:tcPr>
            <w:tcW w:w="13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3,353</w:t>
            </w:r>
          </w:p>
        </w:tc>
      </w:tr>
      <w:tr>
        <w:trPr>
          <w:trHeight w:val="252"/>
        </w:trPr>
        <w:tc>
          <w:tcPr>
            <w:tcW w:w="5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gains on mortgage loans</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1,011</w:t>
            </w:r>
          </w:p>
        </w:tc>
      </w:tr>
      <w:tr>
        <w:trPr>
          <w:trHeight w:val="264"/>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Mortgage loan servicing, net</w:t>
            </w: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4,074</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2"/>
                <w:szCs w:val="22"/>
                <w:color w:val="auto"/>
              </w:rPr>
            </w:pPr>
          </w:p>
        </w:tc>
        <w:tc>
          <w:tcPr>
            <w:tcW w:w="13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4,074</w:t>
            </w:r>
          </w:p>
        </w:tc>
      </w:tr>
      <w:tr>
        <w:trPr>
          <w:trHeight w:val="252"/>
        </w:trPr>
        <w:tc>
          <w:tcPr>
            <w:tcW w:w="5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gains on equity securities at fair value</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r>
      <w:tr>
        <w:trPr>
          <w:trHeight w:val="258"/>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2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2,555</w:t>
            </w:r>
          </w:p>
        </w:tc>
        <w:tc>
          <w:tcPr>
            <w:tcW w:w="4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8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2,667</w:t>
            </w:r>
          </w:p>
        </w:tc>
      </w:tr>
      <w:tr>
        <w:trPr>
          <w:trHeight w:val="251"/>
        </w:trPr>
        <w:tc>
          <w:tcPr>
            <w:tcW w:w="53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Non-interest Income</w:t>
            </w: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15,644</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15,808</w:t>
            </w:r>
          </w:p>
        </w:tc>
      </w:tr>
      <w:tr>
        <w:trPr>
          <w:trHeight w:val="244"/>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NON-INTEREST EXPENSE</w:t>
            </w: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52"/>
        </w:trPr>
        <w:tc>
          <w:tcPr>
            <w:tcW w:w="5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Compensation and employee benefits</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24,400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24,487</w:t>
            </w:r>
          </w:p>
        </w:tc>
      </w:tr>
      <w:tr>
        <w:trPr>
          <w:trHeight w:val="264"/>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Data processing</w:t>
            </w: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4,743</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4,761</w:t>
            </w:r>
          </w:p>
        </w:tc>
      </w:tr>
      <w:tr>
        <w:trPr>
          <w:trHeight w:val="252"/>
        </w:trPr>
        <w:tc>
          <w:tcPr>
            <w:tcW w:w="5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Merger related expense</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3,457</w:t>
            </w:r>
          </w:p>
        </w:tc>
      </w:tr>
      <w:tr>
        <w:trPr>
          <w:trHeight w:val="264"/>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Occupancy, net</w:t>
            </w: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2,413</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2,419</w:t>
            </w:r>
          </w:p>
        </w:tc>
      </w:tr>
      <w:tr>
        <w:trPr>
          <w:trHeight w:val="252"/>
        </w:trPr>
        <w:tc>
          <w:tcPr>
            <w:tcW w:w="5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Interchange expense</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1,446</w:t>
            </w:r>
          </w:p>
        </w:tc>
      </w:tr>
      <w:tr>
        <w:trPr>
          <w:trHeight w:val="264"/>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Furniture, fixtures and equipment</w:t>
            </w: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1,123</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1,124</w:t>
            </w:r>
          </w:p>
        </w:tc>
      </w:tr>
      <w:tr>
        <w:trPr>
          <w:trHeight w:val="252"/>
        </w:trPr>
        <w:tc>
          <w:tcPr>
            <w:tcW w:w="5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Loan and collection</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1,023</w:t>
            </w:r>
          </w:p>
        </w:tc>
      </w:tr>
      <w:tr>
        <w:trPr>
          <w:trHeight w:val="264"/>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Amortization of other intangibles</w:t>
            </w: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917</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2"/>
                <w:szCs w:val="22"/>
                <w:color w:val="auto"/>
              </w:rPr>
            </w:pPr>
          </w:p>
        </w:tc>
        <w:tc>
          <w:tcPr>
            <w:tcW w:w="13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52"/>
        </w:trPr>
        <w:tc>
          <w:tcPr>
            <w:tcW w:w="5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FDIC deposit insurance</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819</w:t>
            </w:r>
          </w:p>
        </w:tc>
      </w:tr>
      <w:tr>
        <w:trPr>
          <w:trHeight w:val="264"/>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Legal and professional</w:t>
            </w: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774</w:t>
            </w:r>
          </w:p>
        </w:tc>
      </w:tr>
      <w:tr>
        <w:trPr>
          <w:trHeight w:val="252"/>
        </w:trPr>
        <w:tc>
          <w:tcPr>
            <w:tcW w:w="5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Advertising</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738</w:t>
            </w:r>
          </w:p>
        </w:tc>
      </w:tr>
      <w:tr>
        <w:trPr>
          <w:trHeight w:val="264"/>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Communications</w:t>
            </w: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w:t>
            </w:r>
          </w:p>
        </w:tc>
      </w:tr>
      <w:tr>
        <w:trPr>
          <w:trHeight w:val="252"/>
        </w:trPr>
        <w:tc>
          <w:tcPr>
            <w:tcW w:w="5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2,257</w:t>
            </w:r>
          </w:p>
        </w:tc>
      </w:tr>
      <w:tr>
        <w:trPr>
          <w:trHeight w:val="251"/>
        </w:trPr>
        <w:tc>
          <w:tcPr>
            <w:tcW w:w="536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Non-interest Expense</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43,267</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1,525</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44,759</w:t>
            </w:r>
          </w:p>
        </w:tc>
      </w:tr>
      <w:tr>
        <w:trPr>
          <w:trHeight w:val="251"/>
        </w:trPr>
        <w:tc>
          <w:tcPr>
            <w:tcW w:w="53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Income (Loss) Before Income Tax</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23,447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21,499</w:t>
            </w:r>
          </w:p>
        </w:tc>
      </w:tr>
      <w:tr>
        <w:trPr>
          <w:trHeight w:val="258"/>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2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4,017</w:t>
            </w:r>
          </w:p>
        </w:tc>
        <w:tc>
          <w:tcPr>
            <w:tcW w:w="4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3,649</w:t>
            </w:r>
          </w:p>
        </w:tc>
      </w:tr>
      <w:tr>
        <w:trPr>
          <w:trHeight w:val="257"/>
        </w:trPr>
        <w:tc>
          <w:tcPr>
            <w:tcW w:w="53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Net Income (Loss)</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19,430</w:t>
            </w:r>
          </w:p>
        </w:tc>
        <w:tc>
          <w:tcPr>
            <w:tcW w:w="36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(1,547)</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17,850</w:t>
            </w: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20"/>
        </w:trPr>
        <w:tc>
          <w:tcPr>
            <w:tcW w:w="53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r>
      <w:tr>
        <w:trPr>
          <w:trHeight w:val="232"/>
        </w:trPr>
        <w:tc>
          <w:tcPr>
            <w:tcW w:w="5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SEGMENT DISCLOSURES</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8"/>
        </w:trPr>
        <w:tc>
          <w:tcPr>
            <w:tcW w:w="5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Depreciation</w:t>
            </w: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1,581</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2"/>
                <w:szCs w:val="22"/>
                <w:color w:val="auto"/>
              </w:rPr>
            </w:pPr>
          </w:p>
        </w:tc>
        <w:tc>
          <w:tcPr>
            <w:tcW w:w="13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1,581</w:t>
            </w:r>
          </w:p>
        </w:tc>
      </w:tr>
      <w:tr>
        <w:trPr>
          <w:trHeight w:val="258"/>
        </w:trPr>
        <w:tc>
          <w:tcPr>
            <w:tcW w:w="53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Amortization</w:t>
            </w:r>
          </w:p>
        </w:tc>
        <w:tc>
          <w:tcPr>
            <w:tcW w:w="2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917</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58"/>
        </w:trPr>
        <w:tc>
          <w:tcPr>
            <w:tcW w:w="5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assets</w:t>
            </w: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6,364,081</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652,394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(752,843)</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6,263,632</w:t>
            </w:r>
          </w:p>
        </w:tc>
      </w:tr>
    </w:tbl>
    <w:p>
      <w:pPr>
        <w:spacing w:after="0" w:line="74" w:lineRule="exact"/>
        <w:rPr>
          <w:sz w:val="20"/>
          <w:szCs w:val="20"/>
          <w:color w:val="auto"/>
        </w:rPr>
      </w:pPr>
    </w:p>
    <w:p>
      <w:pPr>
        <w:ind w:left="380" w:hanging="377"/>
        <w:spacing w:after="0"/>
        <w:tabs>
          <w:tab w:leader="none" w:pos="38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amounts relating to our parent company and certain insignificant operations.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3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9"/>
          </w:tcPr>
          <w:p>
            <w:pPr>
              <w:jc w:val="center"/>
              <w:spacing w:after="0"/>
              <w:rPr>
                <w:sz w:val="20"/>
                <w:szCs w:val="20"/>
                <w:color w:val="auto"/>
              </w:rPr>
            </w:pPr>
            <w:r>
              <w:rPr>
                <w:rFonts w:ascii="Times New Roman" w:cs="Times New Roman" w:eastAsia="Times New Roman" w:hAnsi="Times New Roman"/>
                <w:sz w:val="17"/>
                <w:szCs w:val="17"/>
                <w:b w:val="1"/>
                <w:bCs w:val="1"/>
                <w:color w:val="auto"/>
              </w:rPr>
              <w:t>Three Months Ended September 30, 2025</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25"/>
        </w:trPr>
        <w:tc>
          <w:tcPr>
            <w:tcW w:w="53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Banking</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ind w:left="140"/>
              <w:spacing w:after="0" w:line="225" w:lineRule="exact"/>
              <w:rPr>
                <w:sz w:val="20"/>
                <w:szCs w:val="20"/>
                <w:color w:val="auto"/>
              </w:rPr>
            </w:pPr>
            <w:r>
              <w:rPr>
                <w:rFonts w:ascii="Times New Roman" w:cs="Times New Roman" w:eastAsia="Times New Roman" w:hAnsi="Times New Roman"/>
                <w:sz w:val="17"/>
                <w:szCs w:val="17"/>
                <w:b w:val="1"/>
                <w:bCs w:val="1"/>
                <w:color w:val="auto"/>
              </w:rPr>
              <w:t>Other</w:t>
            </w:r>
            <w:r>
              <w:rPr>
                <w:rFonts w:ascii="Times New Roman" w:cs="Times New Roman" w:eastAsia="Times New Roman" w:hAnsi="Times New Roman"/>
                <w:sz w:val="22"/>
                <w:szCs w:val="22"/>
                <w:b w:val="1"/>
                <w:bCs w:val="1"/>
                <w:color w:val="auto"/>
                <w:vertAlign w:val="superscript"/>
              </w:rPr>
              <w:t>(1)</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rPr>
              <w:t>Eliminations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38"/>
        </w:trPr>
        <w:tc>
          <w:tcPr>
            <w:tcW w:w="5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00" w:type="dxa"/>
            <w:vAlign w:val="bottom"/>
            <w:gridSpan w:val="6"/>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64"/>
        </w:trPr>
        <w:tc>
          <w:tcPr>
            <w:tcW w:w="5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64"/>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and fees on loans</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61,254</w:t>
            </w:r>
          </w:p>
        </w:tc>
        <w:tc>
          <w:tcPr>
            <w:tcW w:w="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61,325</w:t>
            </w:r>
          </w:p>
        </w:tc>
      </w:tr>
      <w:tr>
        <w:trPr>
          <w:trHeight w:val="252"/>
        </w:trPr>
        <w:tc>
          <w:tcPr>
            <w:tcW w:w="5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 on securities</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6,427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6,427</w:t>
            </w:r>
          </w:p>
        </w:tc>
      </w:tr>
      <w:tr>
        <w:trPr>
          <w:trHeight w:val="258"/>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investments</w:t>
            </w:r>
          </w:p>
        </w:tc>
        <w:tc>
          <w:tcPr>
            <w:tcW w:w="2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1,538</w:t>
            </w:r>
          </w:p>
        </w:tc>
        <w:tc>
          <w:tcPr>
            <w:tcW w:w="4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w:t>
            </w:r>
          </w:p>
        </w:tc>
        <w:tc>
          <w:tcPr>
            <w:tcW w:w="8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1,538</w:t>
            </w:r>
          </w:p>
        </w:tc>
      </w:tr>
      <w:tr>
        <w:trPr>
          <w:trHeight w:val="251"/>
        </w:trPr>
        <w:tc>
          <w:tcPr>
            <w:tcW w:w="53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Interest Income</w:t>
            </w: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69,219</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69,290</w:t>
            </w:r>
          </w:p>
        </w:tc>
      </w:tr>
      <w:tr>
        <w:trPr>
          <w:trHeight w:val="244"/>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52"/>
        </w:trPr>
        <w:tc>
          <w:tcPr>
            <w:tcW w:w="5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Deposits</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22,315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21,972</w:t>
            </w:r>
          </w:p>
        </w:tc>
      </w:tr>
      <w:tr>
        <w:trPr>
          <w:trHeight w:val="258"/>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borrowings and subordinated debt and debentures</w:t>
            </w: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1,957</w:t>
            </w:r>
          </w:p>
        </w:tc>
      </w:tr>
      <w:tr>
        <w:trPr>
          <w:trHeight w:val="251"/>
        </w:trPr>
        <w:tc>
          <w:tcPr>
            <w:tcW w:w="53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Interest Expense</w:t>
            </w:r>
          </w:p>
        </w:tc>
        <w:tc>
          <w:tcPr>
            <w:tcW w:w="26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22,454</w:t>
            </w:r>
          </w:p>
        </w:tc>
        <w:tc>
          <w:tcPr>
            <w:tcW w:w="40" w:type="dxa"/>
            <w:vAlign w:val="bottom"/>
            <w:tcBorders>
              <w:top w:val="single" w:sz="8" w:color="auto"/>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1,818</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(343)</w:t>
            </w:r>
          </w:p>
        </w:tc>
        <w:tc>
          <w:tcPr>
            <w:tcW w:w="80" w:type="dxa"/>
            <w:vAlign w:val="bottom"/>
            <w:tcBorders>
              <w:bottom w:val="single" w:sz="8" w:color="CCEEFF"/>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23,929</w:t>
            </w:r>
          </w:p>
        </w:tc>
      </w:tr>
      <w:tr>
        <w:trPr>
          <w:trHeight w:val="257"/>
        </w:trPr>
        <w:tc>
          <w:tcPr>
            <w:tcW w:w="5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Interest Income</w:t>
            </w: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46,765</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45,361</w:t>
            </w:r>
          </w:p>
        </w:tc>
      </w:tr>
      <w:tr>
        <w:trPr>
          <w:trHeight w:val="252"/>
        </w:trPr>
        <w:tc>
          <w:tcPr>
            <w:tcW w:w="5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1,991</w:t>
            </w:r>
          </w:p>
        </w:tc>
      </w:tr>
      <w:tr>
        <w:trPr>
          <w:trHeight w:val="257"/>
        </w:trPr>
        <w:tc>
          <w:tcPr>
            <w:tcW w:w="536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Interest Income After Provision for Credit Losses</w:t>
            </w: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44,774</w:t>
            </w:r>
          </w:p>
        </w:tc>
        <w:tc>
          <w:tcPr>
            <w:tcW w:w="40" w:type="dxa"/>
            <w:vAlign w:val="bottom"/>
            <w:tcBorders>
              <w:top w:val="single" w:sz="8" w:color="auto"/>
              <w:bottom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(1,475)</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8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bottom w:val="single" w:sz="8" w:color="auto"/>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43,370</w:t>
            </w:r>
          </w:p>
        </w:tc>
      </w:tr>
      <w:tr>
        <w:trPr>
          <w:trHeight w:val="232"/>
        </w:trPr>
        <w:tc>
          <w:tcPr>
            <w:tcW w:w="5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NON-INTEREST INCOME</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64"/>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Interchange income</w:t>
            </w: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4,157</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2"/>
                <w:szCs w:val="22"/>
                <w:color w:val="auto"/>
              </w:rPr>
            </w:pPr>
          </w:p>
        </w:tc>
        <w:tc>
          <w:tcPr>
            <w:tcW w:w="13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4,157</w:t>
            </w:r>
          </w:p>
        </w:tc>
      </w:tr>
      <w:tr>
        <w:trPr>
          <w:trHeight w:val="252"/>
        </w:trPr>
        <w:tc>
          <w:tcPr>
            <w:tcW w:w="5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Service charges on deposit accounts</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3,131</w:t>
            </w:r>
          </w:p>
        </w:tc>
      </w:tr>
      <w:tr>
        <w:trPr>
          <w:trHeight w:val="264"/>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Net gains on mortgage loans</w:t>
            </w: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1,425</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1,474</w:t>
            </w:r>
          </w:p>
        </w:tc>
      </w:tr>
      <w:tr>
        <w:trPr>
          <w:trHeight w:val="252"/>
        </w:trPr>
        <w:tc>
          <w:tcPr>
            <w:tcW w:w="5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Mortgage loan servicing, net</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r>
      <w:tr>
        <w:trPr>
          <w:trHeight w:val="258"/>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2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3,010</w:t>
            </w:r>
          </w:p>
        </w:tc>
        <w:tc>
          <w:tcPr>
            <w:tcW w:w="4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8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3,101</w:t>
            </w:r>
          </w:p>
        </w:tc>
      </w:tr>
      <w:tr>
        <w:trPr>
          <w:trHeight w:val="251"/>
        </w:trPr>
        <w:tc>
          <w:tcPr>
            <w:tcW w:w="53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Non-interest Income</w:t>
            </w: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11,797</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11,937</w:t>
            </w:r>
          </w:p>
        </w:tc>
      </w:tr>
      <w:tr>
        <w:trPr>
          <w:trHeight w:val="244"/>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NON-INTEREST EXPENSE</w:t>
            </w: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52"/>
        </w:trPr>
        <w:tc>
          <w:tcPr>
            <w:tcW w:w="5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Compensation and employee benefits</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21,016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21,125</w:t>
            </w:r>
          </w:p>
        </w:tc>
      </w:tr>
      <w:tr>
        <w:trPr>
          <w:trHeight w:val="264"/>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Data processing</w:t>
            </w: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3,764</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3,784</w:t>
            </w:r>
          </w:p>
        </w:tc>
      </w:tr>
      <w:tr>
        <w:trPr>
          <w:trHeight w:val="252"/>
        </w:trPr>
        <w:tc>
          <w:tcPr>
            <w:tcW w:w="5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Occupancy, net</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2,127</w:t>
            </w:r>
          </w:p>
        </w:tc>
      </w:tr>
      <w:tr>
        <w:trPr>
          <w:trHeight w:val="264"/>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Interchange expense</w:t>
            </w: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1,180</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2"/>
                <w:szCs w:val="22"/>
                <w:color w:val="auto"/>
              </w:rPr>
            </w:pPr>
          </w:p>
        </w:tc>
        <w:tc>
          <w:tcPr>
            <w:tcW w:w="13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1,180</w:t>
            </w:r>
          </w:p>
        </w:tc>
      </w:tr>
      <w:tr>
        <w:trPr>
          <w:trHeight w:val="252"/>
        </w:trPr>
        <w:tc>
          <w:tcPr>
            <w:tcW w:w="5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Furniture, fixtures and equipment</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892</w:t>
            </w:r>
          </w:p>
        </w:tc>
      </w:tr>
      <w:tr>
        <w:trPr>
          <w:trHeight w:val="264"/>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Advertising</w:t>
            </w: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w:t>
            </w:r>
          </w:p>
        </w:tc>
      </w:tr>
      <w:tr>
        <w:trPr>
          <w:trHeight w:val="252"/>
        </w:trPr>
        <w:tc>
          <w:tcPr>
            <w:tcW w:w="5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FDIC deposit insurance</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615</w:t>
            </w:r>
          </w:p>
        </w:tc>
      </w:tr>
      <w:tr>
        <w:trPr>
          <w:trHeight w:val="264"/>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Legal and professional</w:t>
            </w: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682</w:t>
            </w:r>
          </w:p>
        </w:tc>
      </w:tr>
      <w:tr>
        <w:trPr>
          <w:trHeight w:val="252"/>
        </w:trPr>
        <w:tc>
          <w:tcPr>
            <w:tcW w:w="5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Loan and collection</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618</w:t>
            </w:r>
          </w:p>
        </w:tc>
      </w:tr>
      <w:tr>
        <w:trPr>
          <w:trHeight w:val="264"/>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Communications</w:t>
            </w: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w:t>
            </w:r>
          </w:p>
        </w:tc>
      </w:tr>
      <w:tr>
        <w:trPr>
          <w:trHeight w:val="252"/>
        </w:trPr>
        <w:tc>
          <w:tcPr>
            <w:tcW w:w="5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Amortization of other intangibles</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r>
      <w:tr>
        <w:trPr>
          <w:trHeight w:val="258"/>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1,794</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1,996</w:t>
            </w:r>
          </w:p>
        </w:tc>
      </w:tr>
      <w:tr>
        <w:trPr>
          <w:trHeight w:val="251"/>
        </w:trPr>
        <w:tc>
          <w:tcPr>
            <w:tcW w:w="53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Non-interest Expense</w:t>
            </w:r>
          </w:p>
        </w:tc>
        <w:tc>
          <w:tcPr>
            <w:tcW w:w="26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33,649</w:t>
            </w:r>
          </w:p>
        </w:tc>
        <w:tc>
          <w:tcPr>
            <w:tcW w:w="40" w:type="dxa"/>
            <w:vAlign w:val="bottom"/>
            <w:tcBorders>
              <w:top w:val="single" w:sz="8" w:color="auto"/>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517</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80" w:type="dxa"/>
            <w:vAlign w:val="bottom"/>
            <w:tcBorders>
              <w:bottom w:val="single" w:sz="8" w:color="CCEEFF"/>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34,131</w:t>
            </w:r>
          </w:p>
        </w:tc>
      </w:tr>
      <w:tr>
        <w:trPr>
          <w:trHeight w:val="257"/>
        </w:trPr>
        <w:tc>
          <w:tcPr>
            <w:tcW w:w="5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Income (Loss) Before Income Tax</w:t>
            </w: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22,922</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21,176</w:t>
            </w:r>
          </w:p>
        </w:tc>
      </w:tr>
      <w:tr>
        <w:trPr>
          <w:trHeight w:val="252"/>
        </w:trPr>
        <w:tc>
          <w:tcPr>
            <w:tcW w:w="5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4,122</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3,674</w:t>
            </w:r>
          </w:p>
        </w:tc>
      </w:tr>
      <w:tr>
        <w:trPr>
          <w:trHeight w:val="277"/>
        </w:trPr>
        <w:tc>
          <w:tcPr>
            <w:tcW w:w="5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Net Income (Loss)</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18,800</w:t>
            </w:r>
          </w:p>
        </w:tc>
        <w:tc>
          <w:tcPr>
            <w:tcW w:w="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17,502</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39"/>
        </w:trPr>
        <w:tc>
          <w:tcPr>
            <w:tcW w:w="5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32"/>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SEGMENT DISCLOSURES</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58"/>
        </w:trPr>
        <w:tc>
          <w:tcPr>
            <w:tcW w:w="53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Depreciation</w:t>
            </w:r>
          </w:p>
        </w:tc>
        <w:tc>
          <w:tcPr>
            <w:tcW w:w="2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1,125</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1,125</w:t>
            </w:r>
          </w:p>
        </w:tc>
      </w:tr>
      <w:tr>
        <w:trPr>
          <w:trHeight w:val="258"/>
        </w:trPr>
        <w:tc>
          <w:tcPr>
            <w:tcW w:w="5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Amortization</w:t>
            </w: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2"/>
                <w:szCs w:val="22"/>
                <w:color w:val="auto"/>
              </w:rPr>
            </w:pPr>
          </w:p>
        </w:tc>
        <w:tc>
          <w:tcPr>
            <w:tcW w:w="13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w:t>
            </w:r>
          </w:p>
        </w:tc>
      </w:tr>
      <w:tr>
        <w:trPr>
          <w:trHeight w:val="258"/>
        </w:trPr>
        <w:tc>
          <w:tcPr>
            <w:tcW w:w="53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assets</w:t>
            </w:r>
          </w:p>
        </w:tc>
        <w:tc>
          <w:tcPr>
            <w:tcW w:w="2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5,486,851</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538,943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(532,681)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5,493,113</w:t>
            </w:r>
          </w:p>
        </w:tc>
      </w:tr>
    </w:tbl>
    <w:p>
      <w:pPr>
        <w:spacing w:after="0" w:line="73" w:lineRule="exact"/>
        <w:rPr>
          <w:sz w:val="20"/>
          <w:szCs w:val="20"/>
          <w:color w:val="auto"/>
        </w:rPr>
      </w:pPr>
    </w:p>
    <w:p>
      <w:pPr>
        <w:ind w:left="380" w:hanging="377"/>
        <w:spacing w:after="0"/>
        <w:tabs>
          <w:tab w:leader="none" w:pos="38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amounts relating to our parent company and certain insignificant operations.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3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7"/>
                <w:szCs w:val="17"/>
                <w:b w:val="1"/>
                <w:bCs w:val="1"/>
                <w:color w:val="auto"/>
              </w:rPr>
              <w:t>Nine Months Ended September 30, 2026</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25"/>
        </w:trPr>
        <w:tc>
          <w:tcPr>
            <w:tcW w:w="53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Banking</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ind w:left="140"/>
              <w:spacing w:after="0" w:line="225" w:lineRule="exact"/>
              <w:rPr>
                <w:sz w:val="20"/>
                <w:szCs w:val="20"/>
                <w:color w:val="auto"/>
              </w:rPr>
            </w:pPr>
            <w:r>
              <w:rPr>
                <w:rFonts w:ascii="Times New Roman" w:cs="Times New Roman" w:eastAsia="Times New Roman" w:hAnsi="Times New Roman"/>
                <w:sz w:val="17"/>
                <w:szCs w:val="17"/>
                <w:b w:val="1"/>
                <w:bCs w:val="1"/>
                <w:color w:val="auto"/>
              </w:rPr>
              <w:t>Other</w:t>
            </w:r>
            <w:r>
              <w:rPr>
                <w:rFonts w:ascii="Times New Roman" w:cs="Times New Roman" w:eastAsia="Times New Roman" w:hAnsi="Times New Roman"/>
                <w:sz w:val="22"/>
                <w:szCs w:val="22"/>
                <w:b w:val="1"/>
                <w:bCs w:val="1"/>
                <w:color w:val="auto"/>
                <w:vertAlign w:val="superscript"/>
              </w:rPr>
              <w:t>(1)</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Eliminations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44"/>
        </w:trPr>
        <w:tc>
          <w:tcPr>
            <w:tcW w:w="5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80" w:type="dxa"/>
            <w:vAlign w:val="bottom"/>
            <w:gridSpan w:val="5"/>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4"/>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52"/>
        </w:trPr>
        <w:tc>
          <w:tcPr>
            <w:tcW w:w="5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 and fees on loans</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188,655</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w:t>
            </w:r>
          </w:p>
        </w:tc>
        <w:tc>
          <w:tcPr>
            <w:tcW w:w="80" w:type="dxa"/>
            <w:vAlign w:val="bottom"/>
          </w:tcPr>
          <w:p>
            <w:pPr>
              <w:spacing w:after="0"/>
              <w:rPr>
                <w:sz w:val="21"/>
                <w:szCs w:val="21"/>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188,890</w:t>
            </w:r>
          </w:p>
        </w:tc>
      </w:tr>
      <w:tr>
        <w:trPr>
          <w:trHeight w:val="264"/>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on securities</w:t>
            </w: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18,358</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18,358</w:t>
            </w:r>
          </w:p>
        </w:tc>
      </w:tr>
      <w:tr>
        <w:trPr>
          <w:trHeight w:val="252"/>
        </w:trPr>
        <w:tc>
          <w:tcPr>
            <w:tcW w:w="53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Other investments</w:t>
            </w: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3,530</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3,530</w:t>
            </w:r>
          </w:p>
        </w:tc>
      </w:tr>
      <w:tr>
        <w:trPr>
          <w:trHeight w:val="257"/>
        </w:trPr>
        <w:tc>
          <w:tcPr>
            <w:tcW w:w="5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Interest Income</w:t>
            </w: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210,543</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210,778</w:t>
            </w:r>
          </w:p>
        </w:tc>
      </w:tr>
      <w:tr>
        <w:trPr>
          <w:trHeight w:val="232"/>
        </w:trPr>
        <w:tc>
          <w:tcPr>
            <w:tcW w:w="5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64"/>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Deposits</w:t>
            </w: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58,008</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58,008</w:t>
            </w:r>
          </w:p>
        </w:tc>
      </w:tr>
      <w:tr>
        <w:trPr>
          <w:trHeight w:val="252"/>
        </w:trPr>
        <w:tc>
          <w:tcPr>
            <w:tcW w:w="53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Other borrowings and subordinated debt and debentures</w:t>
            </w: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707</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2,756</w:t>
            </w:r>
          </w:p>
        </w:tc>
      </w:tr>
      <w:tr>
        <w:trPr>
          <w:trHeight w:val="251"/>
        </w:trPr>
        <w:tc>
          <w:tcPr>
            <w:tcW w:w="5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Interest Expense</w:t>
            </w: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58,715</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60,764</w:t>
            </w:r>
          </w:p>
        </w:tc>
      </w:tr>
      <w:tr>
        <w:trPr>
          <w:trHeight w:val="251"/>
        </w:trPr>
        <w:tc>
          <w:tcPr>
            <w:tcW w:w="53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Net Interest Income</w:t>
            </w:r>
          </w:p>
        </w:tc>
        <w:tc>
          <w:tcPr>
            <w:tcW w:w="2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151,828</w:t>
            </w: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(2,049)</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235</w:t>
            </w:r>
          </w:p>
        </w:tc>
        <w:tc>
          <w:tcPr>
            <w:tcW w:w="8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150,014</w:t>
            </w:r>
          </w:p>
        </w:tc>
      </w:tr>
      <w:tr>
        <w:trPr>
          <w:trHeight w:val="258"/>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7,886</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7,886</w:t>
            </w:r>
          </w:p>
        </w:tc>
      </w:tr>
      <w:tr>
        <w:trPr>
          <w:trHeight w:val="251"/>
        </w:trPr>
        <w:tc>
          <w:tcPr>
            <w:tcW w:w="53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Net Interest Income After Provision for Credit Losses</w:t>
            </w:r>
          </w:p>
        </w:tc>
        <w:tc>
          <w:tcPr>
            <w:tcW w:w="26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143,942</w:t>
            </w:r>
          </w:p>
        </w:tc>
        <w:tc>
          <w:tcPr>
            <w:tcW w:w="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(2,049)</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235</w:t>
            </w:r>
          </w:p>
        </w:tc>
        <w:tc>
          <w:tcPr>
            <w:tcW w:w="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142,128</w:t>
            </w:r>
          </w:p>
        </w:tc>
      </w:tr>
      <w:tr>
        <w:trPr>
          <w:trHeight w:val="244"/>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NON-INTEREST INCOME</w:t>
            </w: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52"/>
        </w:trPr>
        <w:tc>
          <w:tcPr>
            <w:tcW w:w="5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Interchange income</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11,448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11,448</w:t>
            </w:r>
          </w:p>
        </w:tc>
      </w:tr>
      <w:tr>
        <w:trPr>
          <w:trHeight w:val="264"/>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Service charges on deposit accounts</w:t>
            </w: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9,388</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9,388</w:t>
            </w:r>
          </w:p>
        </w:tc>
      </w:tr>
      <w:tr>
        <w:trPr>
          <w:trHeight w:val="252"/>
        </w:trPr>
        <w:tc>
          <w:tcPr>
            <w:tcW w:w="5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gains on mortgage loans</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3,970</w:t>
            </w:r>
          </w:p>
        </w:tc>
      </w:tr>
      <w:tr>
        <w:trPr>
          <w:trHeight w:val="264"/>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Mortgage loan servicing, net</w:t>
            </w: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8,180</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8,180</w:t>
            </w:r>
          </w:p>
        </w:tc>
      </w:tr>
      <w:tr>
        <w:trPr>
          <w:trHeight w:val="252"/>
        </w:trPr>
        <w:tc>
          <w:tcPr>
            <w:tcW w:w="5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gains on equity securities at fair value</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1,665</w:t>
            </w:r>
          </w:p>
        </w:tc>
      </w:tr>
      <w:tr>
        <w:trPr>
          <w:trHeight w:val="258"/>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2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8,262</w:t>
            </w: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974</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(697)</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8,539</w:t>
            </w:r>
          </w:p>
        </w:tc>
      </w:tr>
      <w:tr>
        <w:trPr>
          <w:trHeight w:val="251"/>
        </w:trPr>
        <w:tc>
          <w:tcPr>
            <w:tcW w:w="53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Non-interest Income</w:t>
            </w: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42,684</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(468)</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43,190</w:t>
            </w:r>
          </w:p>
        </w:tc>
      </w:tr>
      <w:tr>
        <w:trPr>
          <w:trHeight w:val="244"/>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NON-INTEREST EXPENSE</w:t>
            </w: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52"/>
        </w:trPr>
        <w:tc>
          <w:tcPr>
            <w:tcW w:w="5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Compensation and employee benefits</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68,596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68,876</w:t>
            </w:r>
          </w:p>
        </w:tc>
      </w:tr>
      <w:tr>
        <w:trPr>
          <w:trHeight w:val="264"/>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Data processing</w:t>
            </w: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12,802</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12,865</w:t>
            </w:r>
          </w:p>
        </w:tc>
      </w:tr>
      <w:tr>
        <w:trPr>
          <w:trHeight w:val="252"/>
        </w:trPr>
        <w:tc>
          <w:tcPr>
            <w:tcW w:w="5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Occupancy, net</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6,887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6,905</w:t>
            </w:r>
          </w:p>
        </w:tc>
      </w:tr>
      <w:tr>
        <w:trPr>
          <w:trHeight w:val="264"/>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Merger related expense</w:t>
            </w: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2,766</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4,126</w:t>
            </w:r>
          </w:p>
        </w:tc>
      </w:tr>
      <w:tr>
        <w:trPr>
          <w:trHeight w:val="252"/>
        </w:trPr>
        <w:tc>
          <w:tcPr>
            <w:tcW w:w="5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Interchange expense</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3,861</w:t>
            </w:r>
          </w:p>
        </w:tc>
      </w:tr>
      <w:tr>
        <w:trPr>
          <w:trHeight w:val="264"/>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Advertising</w:t>
            </w: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3,121</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3,128</w:t>
            </w:r>
          </w:p>
        </w:tc>
      </w:tr>
      <w:tr>
        <w:trPr>
          <w:trHeight w:val="252"/>
        </w:trPr>
        <w:tc>
          <w:tcPr>
            <w:tcW w:w="5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Furniture, fixtures and equipment</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2,945</w:t>
            </w:r>
          </w:p>
        </w:tc>
      </w:tr>
      <w:tr>
        <w:trPr>
          <w:trHeight w:val="264"/>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Loan and collection</w:t>
            </w: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2,813</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2,813</w:t>
            </w:r>
          </w:p>
        </w:tc>
      </w:tr>
      <w:tr>
        <w:trPr>
          <w:trHeight w:val="252"/>
        </w:trPr>
        <w:tc>
          <w:tcPr>
            <w:tcW w:w="5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FDIC deposit insurance</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2,356</w:t>
            </w:r>
          </w:p>
        </w:tc>
      </w:tr>
      <w:tr>
        <w:trPr>
          <w:trHeight w:val="264"/>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Legal and professional</w:t>
            </w: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1,638</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1,978</w:t>
            </w:r>
          </w:p>
        </w:tc>
      </w:tr>
      <w:tr>
        <w:trPr>
          <w:trHeight w:val="252"/>
        </w:trPr>
        <w:tc>
          <w:tcPr>
            <w:tcW w:w="5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Litigation expense</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1,850</w:t>
            </w:r>
          </w:p>
        </w:tc>
      </w:tr>
      <w:tr>
        <w:trPr>
          <w:trHeight w:val="264"/>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Communications</w:t>
            </w: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1,571</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1,594</w:t>
            </w:r>
          </w:p>
        </w:tc>
      </w:tr>
      <w:tr>
        <w:trPr>
          <w:trHeight w:val="252"/>
        </w:trPr>
        <w:tc>
          <w:tcPr>
            <w:tcW w:w="5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Amortization of other intangibles</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1,147</w:t>
            </w:r>
          </w:p>
        </w:tc>
      </w:tr>
      <w:tr>
        <w:trPr>
          <w:trHeight w:val="258"/>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5,717</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6,435</w:t>
            </w:r>
          </w:p>
        </w:tc>
      </w:tr>
      <w:tr>
        <w:trPr>
          <w:trHeight w:val="251"/>
        </w:trPr>
        <w:tc>
          <w:tcPr>
            <w:tcW w:w="53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Non-interest Expense</w:t>
            </w:r>
          </w:p>
        </w:tc>
        <w:tc>
          <w:tcPr>
            <w:tcW w:w="26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118,068</w:t>
            </w:r>
          </w:p>
        </w:tc>
        <w:tc>
          <w:tcPr>
            <w:tcW w:w="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2,931</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120,879</w:t>
            </w:r>
          </w:p>
        </w:tc>
      </w:tr>
      <w:tr>
        <w:trPr>
          <w:trHeight w:val="257"/>
        </w:trPr>
        <w:tc>
          <w:tcPr>
            <w:tcW w:w="5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Income (Loss) Before Income Tax</w:t>
            </w: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68,558</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64,439</w:t>
            </w:r>
          </w:p>
        </w:tc>
      </w:tr>
      <w:tr>
        <w:trPr>
          <w:trHeight w:val="252"/>
        </w:trPr>
        <w:tc>
          <w:tcPr>
            <w:tcW w:w="5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11,706</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10,909</w:t>
            </w:r>
          </w:p>
        </w:tc>
      </w:tr>
      <w:tr>
        <w:trPr>
          <w:trHeight w:val="277"/>
        </w:trPr>
        <w:tc>
          <w:tcPr>
            <w:tcW w:w="5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Net Income (Loss)</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56,852</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53,530</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39"/>
        </w:trPr>
        <w:tc>
          <w:tcPr>
            <w:tcW w:w="5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32"/>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SEGMENT DISCLOSURES</w:t>
            </w: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58"/>
        </w:trPr>
        <w:tc>
          <w:tcPr>
            <w:tcW w:w="53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Depreciation</w:t>
            </w: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4,161</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4,162</w:t>
            </w:r>
          </w:p>
        </w:tc>
      </w:tr>
      <w:tr>
        <w:trPr>
          <w:trHeight w:val="258"/>
        </w:trPr>
        <w:tc>
          <w:tcPr>
            <w:tcW w:w="5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Amortization</w:t>
            </w: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1,147</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1,147</w:t>
            </w:r>
          </w:p>
        </w:tc>
      </w:tr>
      <w:tr>
        <w:trPr>
          <w:trHeight w:val="258"/>
        </w:trPr>
        <w:tc>
          <w:tcPr>
            <w:tcW w:w="53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assets</w:t>
            </w: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6,364,081</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652,394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(752,843)</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6,263,632</w:t>
            </w:r>
          </w:p>
        </w:tc>
      </w:tr>
    </w:tbl>
    <w:p>
      <w:pPr>
        <w:spacing w:after="0" w:line="73" w:lineRule="exact"/>
        <w:rPr>
          <w:sz w:val="20"/>
          <w:szCs w:val="20"/>
          <w:color w:val="auto"/>
        </w:rPr>
      </w:pPr>
    </w:p>
    <w:p>
      <w:pPr>
        <w:ind w:left="380" w:hanging="377"/>
        <w:spacing w:after="0"/>
        <w:tabs>
          <w:tab w:leader="none" w:pos="38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amounts relating to our parent company and certain insignificant operations.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3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7"/>
                <w:szCs w:val="17"/>
                <w:b w:val="1"/>
                <w:bCs w:val="1"/>
                <w:color w:val="auto"/>
              </w:rPr>
              <w:t>Nine Months Ended September 30, 2025</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25"/>
        </w:trPr>
        <w:tc>
          <w:tcPr>
            <w:tcW w:w="53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Banking</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ind w:left="140"/>
              <w:spacing w:after="0" w:line="225" w:lineRule="exact"/>
              <w:rPr>
                <w:sz w:val="20"/>
                <w:szCs w:val="20"/>
                <w:color w:val="auto"/>
              </w:rPr>
            </w:pPr>
            <w:r>
              <w:rPr>
                <w:rFonts w:ascii="Times New Roman" w:cs="Times New Roman" w:eastAsia="Times New Roman" w:hAnsi="Times New Roman"/>
                <w:sz w:val="17"/>
                <w:szCs w:val="17"/>
                <w:b w:val="1"/>
                <w:bCs w:val="1"/>
                <w:color w:val="auto"/>
              </w:rPr>
              <w:t>Other</w:t>
            </w:r>
            <w:r>
              <w:rPr>
                <w:rFonts w:ascii="Times New Roman" w:cs="Times New Roman" w:eastAsia="Times New Roman" w:hAnsi="Times New Roman"/>
                <w:sz w:val="22"/>
                <w:szCs w:val="22"/>
                <w:b w:val="1"/>
                <w:bCs w:val="1"/>
                <w:color w:val="auto"/>
                <w:vertAlign w:val="superscript"/>
              </w:rPr>
              <w:t>(1)</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Eliminations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38"/>
        </w:trPr>
        <w:tc>
          <w:tcPr>
            <w:tcW w:w="5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80" w:type="dxa"/>
            <w:vAlign w:val="bottom"/>
            <w:gridSpan w:val="5"/>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64"/>
        </w:trPr>
        <w:tc>
          <w:tcPr>
            <w:tcW w:w="5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64"/>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and fees on loans</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178,419</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178,628</w:t>
            </w:r>
          </w:p>
        </w:tc>
      </w:tr>
      <w:tr>
        <w:trPr>
          <w:trHeight w:val="252"/>
        </w:trPr>
        <w:tc>
          <w:tcPr>
            <w:tcW w:w="5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 on securities</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19,802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19,802</w:t>
            </w:r>
          </w:p>
        </w:tc>
      </w:tr>
      <w:tr>
        <w:trPr>
          <w:trHeight w:val="258"/>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investments</w:t>
            </w:r>
          </w:p>
        </w:tc>
        <w:tc>
          <w:tcPr>
            <w:tcW w:w="2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3,882</w:t>
            </w: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1,082</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(1,082)</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3,882</w:t>
            </w:r>
          </w:p>
        </w:tc>
      </w:tr>
      <w:tr>
        <w:trPr>
          <w:trHeight w:val="251"/>
        </w:trPr>
        <w:tc>
          <w:tcPr>
            <w:tcW w:w="53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Interest Income</w:t>
            </w: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202,103</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(873)</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202,312</w:t>
            </w:r>
          </w:p>
        </w:tc>
      </w:tr>
      <w:tr>
        <w:trPr>
          <w:trHeight w:val="244"/>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52"/>
        </w:trPr>
        <w:tc>
          <w:tcPr>
            <w:tcW w:w="5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Deposits</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64,471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63,389</w:t>
            </w:r>
          </w:p>
        </w:tc>
      </w:tr>
      <w:tr>
        <w:trPr>
          <w:trHeight w:val="258"/>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borrowings and subordinated debt and debentures</w:t>
            </w: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5,262</w:t>
            </w:r>
          </w:p>
        </w:tc>
      </w:tr>
      <w:tr>
        <w:trPr>
          <w:trHeight w:val="251"/>
        </w:trPr>
        <w:tc>
          <w:tcPr>
            <w:tcW w:w="53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Interest Expense</w:t>
            </w:r>
          </w:p>
        </w:tc>
        <w:tc>
          <w:tcPr>
            <w:tcW w:w="26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65,056</w:t>
            </w:r>
          </w:p>
        </w:tc>
        <w:tc>
          <w:tcPr>
            <w:tcW w:w="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4,677</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(1,082)</w:t>
            </w:r>
          </w:p>
        </w:tc>
        <w:tc>
          <w:tcPr>
            <w:tcW w:w="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68,651</w:t>
            </w:r>
          </w:p>
        </w:tc>
      </w:tr>
      <w:tr>
        <w:trPr>
          <w:trHeight w:val="257"/>
        </w:trPr>
        <w:tc>
          <w:tcPr>
            <w:tcW w:w="5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Interest Income</w:t>
            </w: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137,047</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133,661</w:t>
            </w:r>
          </w:p>
        </w:tc>
      </w:tr>
      <w:tr>
        <w:trPr>
          <w:trHeight w:val="252"/>
        </w:trPr>
        <w:tc>
          <w:tcPr>
            <w:tcW w:w="5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4,212</w:t>
            </w:r>
          </w:p>
        </w:tc>
      </w:tr>
      <w:tr>
        <w:trPr>
          <w:trHeight w:val="257"/>
        </w:trPr>
        <w:tc>
          <w:tcPr>
            <w:tcW w:w="536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Interest Income After Provision for Credit Losses</w:t>
            </w: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132,835</w:t>
            </w:r>
          </w:p>
        </w:tc>
        <w:tc>
          <w:tcPr>
            <w:tcW w:w="8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(3,595)</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8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129,449</w:t>
            </w:r>
          </w:p>
        </w:tc>
      </w:tr>
      <w:tr>
        <w:trPr>
          <w:trHeight w:val="232"/>
        </w:trPr>
        <w:tc>
          <w:tcPr>
            <w:tcW w:w="5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NON-INTEREST INCOME</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64"/>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Interchange income</w:t>
            </w: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10,674</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10,674</w:t>
            </w:r>
          </w:p>
        </w:tc>
      </w:tr>
      <w:tr>
        <w:trPr>
          <w:trHeight w:val="252"/>
        </w:trPr>
        <w:tc>
          <w:tcPr>
            <w:tcW w:w="5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Service charges on deposit accounts</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8,926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8,926</w:t>
            </w:r>
          </w:p>
        </w:tc>
      </w:tr>
      <w:tr>
        <w:trPr>
          <w:trHeight w:val="264"/>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Net gains on mortgage loans</w:t>
            </w: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5,231</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5,408</w:t>
            </w:r>
          </w:p>
        </w:tc>
      </w:tr>
      <w:tr>
        <w:trPr>
          <w:trHeight w:val="252"/>
        </w:trPr>
        <w:tc>
          <w:tcPr>
            <w:tcW w:w="5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Mortgage loan servicing, net</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r>
      <w:tr>
        <w:trPr>
          <w:trHeight w:val="258"/>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2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8,429</w:t>
            </w: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938</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(617)</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8,750</w:t>
            </w:r>
          </w:p>
        </w:tc>
      </w:tr>
      <w:tr>
        <w:trPr>
          <w:trHeight w:val="251"/>
        </w:trPr>
        <w:tc>
          <w:tcPr>
            <w:tcW w:w="53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Non-interest Income</w:t>
            </w: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33,188</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(440)</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33,686</w:t>
            </w:r>
          </w:p>
        </w:tc>
      </w:tr>
      <w:tr>
        <w:trPr>
          <w:trHeight w:val="244"/>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NON-INTEREST EXPENSE</w:t>
            </w: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52"/>
        </w:trPr>
        <w:tc>
          <w:tcPr>
            <w:tcW w:w="5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Compensation and employee benefits</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62,329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62,631</w:t>
            </w:r>
          </w:p>
        </w:tc>
      </w:tr>
      <w:tr>
        <w:trPr>
          <w:trHeight w:val="264"/>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Data processing</w:t>
            </w: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11,302</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11,360</w:t>
            </w:r>
          </w:p>
        </w:tc>
      </w:tr>
      <w:tr>
        <w:trPr>
          <w:trHeight w:val="252"/>
        </w:trPr>
        <w:tc>
          <w:tcPr>
            <w:tcW w:w="5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Occupancy, net</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6,378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6,396</w:t>
            </w:r>
          </w:p>
        </w:tc>
      </w:tr>
      <w:tr>
        <w:trPr>
          <w:trHeight w:val="264"/>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Interchange expense</w:t>
            </w: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3,476</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3,476</w:t>
            </w:r>
          </w:p>
        </w:tc>
      </w:tr>
      <w:tr>
        <w:trPr>
          <w:trHeight w:val="252"/>
        </w:trPr>
        <w:tc>
          <w:tcPr>
            <w:tcW w:w="5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Furniture, fixtures and equipment</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2,570</w:t>
            </w:r>
          </w:p>
        </w:tc>
      </w:tr>
      <w:tr>
        <w:trPr>
          <w:trHeight w:val="264"/>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Advertising</w:t>
            </w: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2,213</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2,220</w:t>
            </w:r>
          </w:p>
        </w:tc>
      </w:tr>
      <w:tr>
        <w:trPr>
          <w:trHeight w:val="252"/>
        </w:trPr>
        <w:tc>
          <w:tcPr>
            <w:tcW w:w="5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FDIC deposit insurance</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1,963</w:t>
            </w:r>
          </w:p>
        </w:tc>
      </w:tr>
      <w:tr>
        <w:trPr>
          <w:trHeight w:val="264"/>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Legal and professional</w:t>
            </w: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1,325</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1,661</w:t>
            </w:r>
          </w:p>
        </w:tc>
      </w:tr>
      <w:tr>
        <w:trPr>
          <w:trHeight w:val="252"/>
        </w:trPr>
        <w:tc>
          <w:tcPr>
            <w:tcW w:w="5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Loan and collection</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2,148</w:t>
            </w:r>
          </w:p>
        </w:tc>
      </w:tr>
      <w:tr>
        <w:trPr>
          <w:trHeight w:val="264"/>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Communications</w:t>
            </w: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1,507</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1,526</w:t>
            </w:r>
          </w:p>
        </w:tc>
      </w:tr>
      <w:tr>
        <w:trPr>
          <w:trHeight w:val="252"/>
        </w:trPr>
        <w:tc>
          <w:tcPr>
            <w:tcW w:w="5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Amortization of other intangibles</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w:t>
            </w:r>
          </w:p>
        </w:tc>
      </w:tr>
      <w:tr>
        <w:trPr>
          <w:trHeight w:val="258"/>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5,244</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5,839</w:t>
            </w:r>
          </w:p>
        </w:tc>
      </w:tr>
      <w:tr>
        <w:trPr>
          <w:trHeight w:val="251"/>
        </w:trPr>
        <w:tc>
          <w:tcPr>
            <w:tcW w:w="53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Non-interest Expense</w:t>
            </w:r>
          </w:p>
        </w:tc>
        <w:tc>
          <w:tcPr>
            <w:tcW w:w="26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100,818</w:t>
            </w:r>
          </w:p>
        </w:tc>
        <w:tc>
          <w:tcPr>
            <w:tcW w:w="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1,444</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102,155</w:t>
            </w:r>
          </w:p>
        </w:tc>
      </w:tr>
      <w:tr>
        <w:trPr>
          <w:trHeight w:val="257"/>
        </w:trPr>
        <w:tc>
          <w:tcPr>
            <w:tcW w:w="5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Income (Loss) Before Income Tax</w:t>
            </w: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65,205</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60,980</w:t>
            </w:r>
          </w:p>
        </w:tc>
      </w:tr>
      <w:tr>
        <w:trPr>
          <w:trHeight w:val="252"/>
        </w:trPr>
        <w:tc>
          <w:tcPr>
            <w:tcW w:w="5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12,232</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11,011</w:t>
            </w:r>
          </w:p>
        </w:tc>
      </w:tr>
      <w:tr>
        <w:trPr>
          <w:trHeight w:val="277"/>
        </w:trPr>
        <w:tc>
          <w:tcPr>
            <w:tcW w:w="5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Net Income (Loss)</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52,973</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49,969</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91"/>
        </w:trPr>
        <w:tc>
          <w:tcPr>
            <w:tcW w:w="5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2"/>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SEGMENT DISCLOSURES</w:t>
            </w: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58"/>
        </w:trPr>
        <w:tc>
          <w:tcPr>
            <w:tcW w:w="53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Depreciation</w:t>
            </w: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3,721</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3,722</w:t>
            </w:r>
          </w:p>
        </w:tc>
      </w:tr>
      <w:tr>
        <w:trPr>
          <w:trHeight w:val="258"/>
        </w:trPr>
        <w:tc>
          <w:tcPr>
            <w:tcW w:w="5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Amortization</w:t>
            </w: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w:t>
            </w:r>
          </w:p>
        </w:tc>
      </w:tr>
      <w:tr>
        <w:trPr>
          <w:trHeight w:val="258"/>
        </w:trPr>
        <w:tc>
          <w:tcPr>
            <w:tcW w:w="53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assets</w:t>
            </w: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5,486,851</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538,943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(532,681)</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5,493,113</w:t>
            </w:r>
          </w:p>
        </w:tc>
      </w:tr>
    </w:tbl>
    <w:p>
      <w:pPr>
        <w:spacing w:after="0" w:line="73" w:lineRule="exact"/>
        <w:rPr>
          <w:sz w:val="20"/>
          <w:szCs w:val="20"/>
          <w:color w:val="auto"/>
        </w:rPr>
      </w:pPr>
    </w:p>
    <w:p>
      <w:pPr>
        <w:ind w:left="380" w:hanging="377"/>
        <w:spacing w:after="0"/>
        <w:tabs>
          <w:tab w:leader="none" w:pos="38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amounts relating to our parent company and certain insignificant operations.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187" w:lineRule="exact"/>
        <w:rPr>
          <w:sz w:val="20"/>
          <w:szCs w:val="20"/>
          <w:color w:val="auto"/>
        </w:rPr>
      </w:pPr>
    </w:p>
    <w:p>
      <w:pPr>
        <w:ind w:left="380" w:hanging="377"/>
        <w:spacing w:after="0"/>
        <w:tabs>
          <w:tab w:leader="none" w:pos="38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Business Combination</w:t>
      </w:r>
    </w:p>
    <w:p>
      <w:pPr>
        <w:spacing w:after="0" w:line="16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Effective July 1, 2026, we completed the previously disclosed acquisition of HCB Financial Corp. ("HCBFC") and its wholly owned banking subsidiary, Highpoint Community Bank ("HCB"), in accordance with the merger agreement (the "Merger Agreement") between Independent Bank Corporation ("IBCP") and HCBFC, entered into on March 18, 2026. Subject to the terms and conditions of the Merger Agreement, we paid aggregate Merger consideration of approximately $74.9 million, consisting of 1.59 million shares of IBCP common stock and $17.5 million in cash, for all of the shares of HCBFC common stock issued and outstanding. HCBFC merged with and into IBCP, with IBCP continuing as the surviving entity. The newly acquired HCB will operate as a separate bank subsidiary until the fourth quarter of 2026, at which time we plan to consolidate HCB into Independent Bank.</w:t>
      </w:r>
    </w:p>
    <w:p>
      <w:pPr>
        <w:spacing w:after="0" w:line="12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Condensed Consolidated Financial Statements include HCB’s results of operations from July 1, 2026 through September 30, 2026. HCB contributed net interest income of $5.9 million and net income of $1.8 million, excluding merger-related expenses, to our Condensed Consolidated Statements of Operations for both the three and nine month periods ended September 30, 2026.</w:t>
      </w:r>
    </w:p>
    <w:p>
      <w:pPr>
        <w:spacing w:after="0" w:line="10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The transaction was accounted for as a business combination using the acquisition method in accordance with Accounting Standards Codification ("ASC") 805, Business Combinations. Accordingly, the assets acquired, intangible assets identified and liabilities assumed in the HCBFC acquisition were recorded at their estimated fair values as of July 1, 2026. Determining the estimated fair values required management to make significant estimates and assumptions regarding, among other factors, discount rates, expected future cash flows, market conditions, and other future events, all of which are inherently subjective and subject to change. The estimated fair values were based on information available as of the acquisition date and incorporated the assistance of third-party valuation specialists. Under ASC 805, the fair value estimates may be adjusted during the measurement period to reflect new information about facts and circumstances that existed as of the Merger date and that, if known, would have affected the amounts recognized as of that date. The following table summarizes the preliminary fair value of the total consideration transferred and the preliminary fair value of identifiable assets acquired and liabilities assumed as of the effective date of the transaction:</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in thousands)</w:t>
            </w:r>
          </w:p>
        </w:tc>
        <w:tc>
          <w:tcPr>
            <w:tcW w:w="44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Fair Value Estimate</w:t>
            </w:r>
          </w:p>
        </w:tc>
      </w:tr>
      <w:tr>
        <w:trPr>
          <w:trHeight w:val="232"/>
        </w:trPr>
        <w:tc>
          <w:tcPr>
            <w:tcW w:w="6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Consideration:</w:t>
            </w:r>
          </w:p>
        </w:tc>
        <w:tc>
          <w:tcPr>
            <w:tcW w:w="3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58"/>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Cash</w:t>
            </w:r>
          </w:p>
        </w:tc>
        <w:tc>
          <w:tcPr>
            <w:tcW w:w="3460" w:type="dxa"/>
            <w:vAlign w:val="bottom"/>
            <w:gridSpan w:val="2"/>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17,514</w:t>
            </w:r>
          </w:p>
        </w:tc>
      </w:tr>
      <w:tr>
        <w:trPr>
          <w:trHeight w:val="252"/>
        </w:trPr>
        <w:tc>
          <w:tcPr>
            <w:tcW w:w="6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Common stock</w:t>
            </w:r>
          </w:p>
        </w:tc>
        <w:tc>
          <w:tcPr>
            <w:tcW w:w="304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57,347</w:t>
            </w:r>
          </w:p>
        </w:tc>
      </w:tr>
      <w:tr>
        <w:trPr>
          <w:trHeight w:val="277"/>
        </w:trPr>
        <w:tc>
          <w:tcPr>
            <w:tcW w:w="6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Fair value of total consideration transferred</w:t>
            </w:r>
          </w:p>
        </w:tc>
        <w:tc>
          <w:tcPr>
            <w:tcW w:w="3460" w:type="dxa"/>
            <w:vAlign w:val="bottom"/>
            <w:gridSpan w:val="2"/>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74,861</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39"/>
        </w:trPr>
        <w:tc>
          <w:tcPr>
            <w:tcW w:w="68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232"/>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Identifiable assets acquired</w:t>
            </w:r>
          </w:p>
        </w:tc>
        <w:tc>
          <w:tcPr>
            <w:tcW w:w="30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52"/>
        </w:trPr>
        <w:tc>
          <w:tcPr>
            <w:tcW w:w="6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460" w:type="dxa"/>
            <w:vAlign w:val="bottom"/>
            <w:gridSpan w:val="2"/>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149,803</w:t>
            </w:r>
          </w:p>
        </w:tc>
      </w:tr>
      <w:tr>
        <w:trPr>
          <w:trHeight w:val="264"/>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Interest-bearing deposits - time</w:t>
            </w:r>
          </w:p>
        </w:tc>
        <w:tc>
          <w:tcPr>
            <w:tcW w:w="30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1,987</w:t>
            </w:r>
          </w:p>
        </w:tc>
      </w:tr>
      <w:tr>
        <w:trPr>
          <w:trHeight w:val="252"/>
        </w:trPr>
        <w:tc>
          <w:tcPr>
            <w:tcW w:w="6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Securities available for sale</w:t>
            </w:r>
          </w:p>
        </w:tc>
        <w:tc>
          <w:tcPr>
            <w:tcW w:w="30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28,111</w:t>
            </w:r>
          </w:p>
        </w:tc>
      </w:tr>
      <w:tr>
        <w:trPr>
          <w:trHeight w:val="264"/>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Securities held to maturity</w:t>
            </w:r>
          </w:p>
        </w:tc>
        <w:tc>
          <w:tcPr>
            <w:tcW w:w="30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21,181</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Federal Home Loan Bank and Federal Reserve Bank</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6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stock</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1,512</w:t>
            </w:r>
          </w:p>
        </w:tc>
      </w:tr>
      <w:tr>
        <w:trPr>
          <w:trHeight w:val="264"/>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Loans, net</w:t>
            </w:r>
          </w:p>
        </w:tc>
        <w:tc>
          <w:tcPr>
            <w:tcW w:w="30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354,450</w:t>
            </w:r>
          </w:p>
        </w:tc>
      </w:tr>
      <w:tr>
        <w:trPr>
          <w:trHeight w:val="252"/>
        </w:trPr>
        <w:tc>
          <w:tcPr>
            <w:tcW w:w="6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30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11,252</w:t>
            </w:r>
          </w:p>
        </w:tc>
      </w:tr>
      <w:tr>
        <w:trPr>
          <w:trHeight w:val="264"/>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Capitalized mortgage loan servicing rights</w:t>
            </w:r>
          </w:p>
        </w:tc>
        <w:tc>
          <w:tcPr>
            <w:tcW w:w="30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w:t>
            </w:r>
          </w:p>
        </w:tc>
      </w:tr>
      <w:tr>
        <w:trPr>
          <w:trHeight w:val="252"/>
        </w:trPr>
        <w:tc>
          <w:tcPr>
            <w:tcW w:w="6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Bank owned life insurance</w:t>
            </w:r>
          </w:p>
        </w:tc>
        <w:tc>
          <w:tcPr>
            <w:tcW w:w="30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9,437</w:t>
            </w:r>
          </w:p>
        </w:tc>
      </w:tr>
      <w:tr>
        <w:trPr>
          <w:trHeight w:val="264"/>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Accrued income and other assets</w:t>
            </w:r>
          </w:p>
        </w:tc>
        <w:tc>
          <w:tcPr>
            <w:tcW w:w="30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1,818</w:t>
            </w:r>
          </w:p>
        </w:tc>
      </w:tr>
      <w:tr>
        <w:trPr>
          <w:trHeight w:val="252"/>
        </w:trPr>
        <w:tc>
          <w:tcPr>
            <w:tcW w:w="6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Other intangibles, net</w:t>
            </w:r>
          </w:p>
        </w:tc>
        <w:tc>
          <w:tcPr>
            <w:tcW w:w="304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16,668</w:t>
            </w:r>
          </w:p>
        </w:tc>
      </w:tr>
      <w:tr>
        <w:trPr>
          <w:trHeight w:val="251"/>
        </w:trPr>
        <w:tc>
          <w:tcPr>
            <w:tcW w:w="6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identifiable assets acquired</w:t>
            </w:r>
          </w:p>
        </w:tc>
        <w:tc>
          <w:tcPr>
            <w:tcW w:w="304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596,614</w:t>
            </w:r>
          </w:p>
        </w:tc>
      </w:tr>
      <w:tr>
        <w:trPr>
          <w:trHeight w:val="180"/>
        </w:trPr>
        <w:tc>
          <w:tcPr>
            <w:tcW w:w="684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32"/>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Identifiable liabilities assumed</w:t>
            </w:r>
          </w:p>
        </w:tc>
        <w:tc>
          <w:tcPr>
            <w:tcW w:w="30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52"/>
        </w:trPr>
        <w:tc>
          <w:tcPr>
            <w:tcW w:w="6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Deposits</w:t>
            </w:r>
          </w:p>
        </w:tc>
        <w:tc>
          <w:tcPr>
            <w:tcW w:w="30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539,948</w:t>
            </w:r>
          </w:p>
        </w:tc>
      </w:tr>
      <w:tr>
        <w:trPr>
          <w:trHeight w:val="264"/>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borrowings</w:t>
            </w:r>
          </w:p>
        </w:tc>
        <w:tc>
          <w:tcPr>
            <w:tcW w:w="30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w:t>
            </w:r>
          </w:p>
        </w:tc>
      </w:tr>
      <w:tr>
        <w:trPr>
          <w:trHeight w:val="252"/>
        </w:trPr>
        <w:tc>
          <w:tcPr>
            <w:tcW w:w="6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Accrued expenses and other liabilities</w:t>
            </w:r>
          </w:p>
        </w:tc>
        <w:tc>
          <w:tcPr>
            <w:tcW w:w="304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1,724</w:t>
            </w:r>
          </w:p>
        </w:tc>
      </w:tr>
      <w:tr>
        <w:trPr>
          <w:trHeight w:val="251"/>
        </w:trPr>
        <w:tc>
          <w:tcPr>
            <w:tcW w:w="6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identifiable liabilities acquired</w:t>
            </w:r>
          </w:p>
        </w:tc>
        <w:tc>
          <w:tcPr>
            <w:tcW w:w="304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543,672</w:t>
            </w:r>
          </w:p>
        </w:tc>
      </w:tr>
      <w:tr>
        <w:trPr>
          <w:trHeight w:val="180"/>
        </w:trPr>
        <w:tc>
          <w:tcPr>
            <w:tcW w:w="684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64"/>
        </w:trPr>
        <w:tc>
          <w:tcPr>
            <w:tcW w:w="68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identifiable net assets acquired</w:t>
            </w:r>
          </w:p>
        </w:tc>
        <w:tc>
          <w:tcPr>
            <w:tcW w:w="30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52,942</w:t>
            </w:r>
          </w:p>
        </w:tc>
      </w:tr>
      <w:tr>
        <w:trPr>
          <w:trHeight w:val="180"/>
        </w:trPr>
        <w:tc>
          <w:tcPr>
            <w:tcW w:w="684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58"/>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304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21,919</w:t>
            </w:r>
          </w:p>
        </w:tc>
      </w:tr>
    </w:tbl>
    <w:p>
      <w:pPr>
        <w:spacing w:after="0" w:line="3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Loans acquired in the HCBFC acquisition that had not experienced more-than-insignificant deterioration in credit quality since origination were classified as PSL under ASU 2025-08 which we adopted in 2025. At July 1, 2026, these loans had a fair value of $352.4 million and gross contractual amounts receivable of $369.6 million. An initial allowance for credit losses of $4.4 million was recognized through an increase in the loans’ initial amortized cost basis.</w:t>
      </w:r>
    </w:p>
    <w:p>
      <w:pPr>
        <w:spacing w:after="0" w:line="20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Acquired loans that had experienced more-than-insignificant deterioration in credit quality since origination were classified as PCD. At July 1, 2026, these loans, consisting primarily of commercial loans, had a fair value, representing the allocated purchase price, of $2.04 million and a par value of $2.33 million. The difference consisted of an initial allowance for credit losses of $0.11 million and a noncredit discount of $0.18 million. The initial allowance was added to the purchase price to establish an initial amortized cost basis of $2.15 million. See Note #4 for additional information regarding our accounting for acquired loans and the allowance for credit losses.</w:t>
      </w:r>
    </w:p>
    <w:p>
      <w:pPr>
        <w:spacing w:after="0" w:line="1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goodwill recognized in the HCBFC acquisition primarily reflects anticipated operating synergies and the benefits of expanding the Company’s banking presence in Michigan. All goodwill arising from the acquisition was allocated to the Banking reportable segment. None of the goodwill is expected to be deductible for income tax purposes.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estimated fair value of the core deposit intangible was $16.7 million and is being amortized over an estimated useful life of 10 years.</w:t>
      </w:r>
    </w:p>
    <w:p>
      <w:pPr>
        <w:spacing w:after="0" w:line="24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The following table presents supplemental pro-forma information as if the acquisition had occurred at the beginning of 2025. The unaudited pro forma information includes adjustments for interest income on loans acquired, amortization of</w:t>
      </w:r>
    </w:p>
    <w:p>
      <w:pPr>
        <w:spacing w:after="0" w:line="200" w:lineRule="exact"/>
        <w:rPr>
          <w:sz w:val="20"/>
          <w:szCs w:val="20"/>
          <w:color w:val="auto"/>
        </w:rPr>
      </w:pPr>
    </w:p>
    <w:p>
      <w:pPr>
        <w:spacing w:after="0" w:line="31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intangibles arising from the transaction, depreciation expense on property acquired, interest expense on deposits acquired, and the related income tax effects.</w:t>
      </w:r>
    </w:p>
    <w:p>
      <w:pPr>
        <w:spacing w:after="0" w:line="23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pro forma results include $4.2 million of nonrecurring merger related expense in the nine months ended September 30, 2025. No such costs are included in the three months ended September 30, 2025. These merger related expenses are presented before income taxes. The pro forma financial information is not necessarily indicative of the results of operations that would have occurred had the transaction been effected on the assumed dates.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320" w:type="dxa"/>
            <w:vAlign w:val="bottom"/>
            <w:gridSpan w:val="7"/>
          </w:tcPr>
          <w:p>
            <w:pPr>
              <w:ind w:left="260"/>
              <w:spacing w:after="0"/>
              <w:rPr>
                <w:sz w:val="20"/>
                <w:szCs w:val="20"/>
                <w:color w:val="auto"/>
              </w:rPr>
            </w:pPr>
            <w:r>
              <w:rPr>
                <w:rFonts w:ascii="Times New Roman" w:cs="Times New Roman" w:eastAsia="Times New Roman" w:hAnsi="Times New Roman"/>
                <w:sz w:val="17"/>
                <w:szCs w:val="17"/>
                <w:color w:val="auto"/>
              </w:rPr>
              <w:t>Three Months Ended September 30,</w:t>
            </w:r>
          </w:p>
        </w:tc>
      </w:tr>
      <w:tr>
        <w:trPr>
          <w:trHeight w:val="251"/>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 in thousands)</w:t>
            </w:r>
          </w:p>
        </w:tc>
        <w:tc>
          <w:tcPr>
            <w:tcW w:w="39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color w:val="auto"/>
              </w:rPr>
              <w:t>2026</w:t>
            </w: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color w:val="auto"/>
              </w:rPr>
              <w:t>2025</w:t>
            </w:r>
          </w:p>
        </w:tc>
        <w:tc>
          <w:tcPr>
            <w:tcW w:w="20" w:type="dxa"/>
            <w:vAlign w:val="bottom"/>
            <w:tcBorders>
              <w:bottom w:val="single" w:sz="8" w:color="auto"/>
            </w:tcBorders>
          </w:tcPr>
          <w:p>
            <w:pPr>
              <w:spacing w:after="0"/>
              <w:rPr>
                <w:sz w:val="21"/>
                <w:szCs w:val="21"/>
                <w:color w:val="auto"/>
              </w:rPr>
            </w:pPr>
          </w:p>
        </w:tc>
      </w:tr>
      <w:tr>
        <w:trPr>
          <w:trHeight w:val="257"/>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Net Interest Income</w:t>
            </w:r>
          </w:p>
        </w:tc>
        <w:tc>
          <w:tcPr>
            <w:tcW w:w="43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55,143</w:t>
            </w:r>
          </w:p>
        </w:tc>
        <w:tc>
          <w:tcPr>
            <w:tcW w:w="20" w:type="dxa"/>
            <w:vAlign w:val="bottom"/>
            <w:shd w:val="clear" w:color="auto" w:fill="CCEEFF"/>
          </w:tcPr>
          <w:p>
            <w:pPr>
              <w:spacing w:after="0"/>
              <w:rPr>
                <w:sz w:val="22"/>
                <w:szCs w:val="22"/>
                <w:color w:val="auto"/>
              </w:rPr>
            </w:pPr>
          </w:p>
        </w:tc>
        <w:tc>
          <w:tcPr>
            <w:tcW w:w="5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51,317</w:t>
            </w:r>
          </w:p>
        </w:tc>
        <w:tc>
          <w:tcPr>
            <w:tcW w:w="20" w:type="dxa"/>
            <w:vAlign w:val="bottom"/>
            <w:shd w:val="clear" w:color="auto" w:fill="CCEEFF"/>
          </w:tcPr>
          <w:p>
            <w:pPr>
              <w:spacing w:after="0"/>
              <w:rPr>
                <w:sz w:val="22"/>
                <w:szCs w:val="22"/>
                <w:color w:val="auto"/>
              </w:rPr>
            </w:pPr>
          </w:p>
        </w:tc>
      </w:tr>
      <w:tr>
        <w:trPr>
          <w:trHeight w:val="245"/>
        </w:trPr>
        <w:tc>
          <w:tcPr>
            <w:tcW w:w="3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income</w:t>
            </w:r>
          </w:p>
        </w:tc>
        <w:tc>
          <w:tcPr>
            <w:tcW w:w="3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20,613</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19,486</w:t>
            </w:r>
          </w:p>
        </w:tc>
        <w:tc>
          <w:tcPr>
            <w:tcW w:w="20" w:type="dxa"/>
            <w:vAlign w:val="bottom"/>
          </w:tcPr>
          <w:p>
            <w:pPr>
              <w:spacing w:after="0"/>
              <w:rPr>
                <w:sz w:val="21"/>
                <w:szCs w:val="21"/>
                <w:color w:val="auto"/>
              </w:rPr>
            </w:pPr>
          </w:p>
        </w:tc>
      </w:tr>
      <w:tr>
        <w:trPr>
          <w:trHeight w:val="825"/>
        </w:trPr>
        <w:tc>
          <w:tcPr>
            <w:tcW w:w="36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20" w:type="dxa"/>
            <w:vAlign w:val="bottom"/>
            <w:gridSpan w:val="7"/>
          </w:tcPr>
          <w:p>
            <w:pPr>
              <w:ind w:left="260"/>
              <w:spacing w:after="0"/>
              <w:rPr>
                <w:sz w:val="20"/>
                <w:szCs w:val="20"/>
                <w:color w:val="auto"/>
              </w:rPr>
            </w:pPr>
            <w:r>
              <w:rPr>
                <w:rFonts w:ascii="Times New Roman" w:cs="Times New Roman" w:eastAsia="Times New Roman" w:hAnsi="Times New Roman"/>
                <w:sz w:val="17"/>
                <w:szCs w:val="17"/>
                <w:color w:val="auto"/>
              </w:rPr>
              <w:t>Nine Months Ended September 30,</w:t>
            </w:r>
          </w:p>
        </w:tc>
      </w:tr>
      <w:tr>
        <w:trPr>
          <w:trHeight w:val="251"/>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 in thousands)</w:t>
            </w:r>
          </w:p>
        </w:tc>
        <w:tc>
          <w:tcPr>
            <w:tcW w:w="392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color w:val="auto"/>
              </w:rPr>
              <w:t>2026</w:t>
            </w:r>
          </w:p>
        </w:tc>
        <w:tc>
          <w:tcPr>
            <w:tcW w:w="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color w:val="auto"/>
              </w:rPr>
              <w:t>2025</w:t>
            </w:r>
          </w:p>
        </w:tc>
        <w:tc>
          <w:tcPr>
            <w:tcW w:w="20" w:type="dxa"/>
            <w:vAlign w:val="bottom"/>
          </w:tcPr>
          <w:p>
            <w:pPr>
              <w:spacing w:after="0"/>
              <w:rPr>
                <w:sz w:val="21"/>
                <w:szCs w:val="21"/>
                <w:color w:val="auto"/>
              </w:rPr>
            </w:pPr>
          </w:p>
        </w:tc>
      </w:tr>
      <w:tr>
        <w:trPr>
          <w:trHeight w:val="257"/>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Net Interest Income</w:t>
            </w:r>
          </w:p>
        </w:tc>
        <w:tc>
          <w:tcPr>
            <w:tcW w:w="43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161,083</w:t>
            </w:r>
          </w:p>
        </w:tc>
        <w:tc>
          <w:tcPr>
            <w:tcW w:w="20" w:type="dxa"/>
            <w:vAlign w:val="bottom"/>
            <w:shd w:val="clear" w:color="auto" w:fill="CCEEFF"/>
          </w:tcPr>
          <w:p>
            <w:pPr>
              <w:spacing w:after="0"/>
              <w:rPr>
                <w:sz w:val="22"/>
                <w:szCs w:val="22"/>
                <w:color w:val="auto"/>
              </w:rPr>
            </w:pPr>
          </w:p>
        </w:tc>
        <w:tc>
          <w:tcPr>
            <w:tcW w:w="5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151,507</w:t>
            </w:r>
          </w:p>
        </w:tc>
        <w:tc>
          <w:tcPr>
            <w:tcW w:w="20" w:type="dxa"/>
            <w:vAlign w:val="bottom"/>
          </w:tcPr>
          <w:p>
            <w:pPr>
              <w:spacing w:after="0"/>
              <w:rPr>
                <w:sz w:val="22"/>
                <w:szCs w:val="22"/>
                <w:color w:val="auto"/>
              </w:rPr>
            </w:pPr>
          </w:p>
        </w:tc>
      </w:tr>
      <w:tr>
        <w:trPr>
          <w:trHeight w:val="245"/>
        </w:trPr>
        <w:tc>
          <w:tcPr>
            <w:tcW w:w="3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income</w:t>
            </w:r>
          </w:p>
        </w:tc>
        <w:tc>
          <w:tcPr>
            <w:tcW w:w="3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59,526</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51,903</w:t>
            </w:r>
          </w:p>
        </w:tc>
        <w:tc>
          <w:tcPr>
            <w:tcW w:w="20" w:type="dxa"/>
            <w:vAlign w:val="bottom"/>
          </w:tcPr>
          <w:p>
            <w:pPr>
              <w:spacing w:after="0"/>
              <w:rPr>
                <w:sz w:val="21"/>
                <w:szCs w:val="21"/>
                <w:color w:val="auto"/>
              </w:rPr>
            </w:pPr>
          </w:p>
        </w:tc>
      </w:tr>
      <w:tr>
        <w:trPr>
          <w:trHeight w:val="877"/>
        </w:trPr>
        <w:tc>
          <w:tcPr>
            <w:tcW w:w="3620" w:type="dxa"/>
            <w:vAlign w:val="bottom"/>
          </w:tcPr>
          <w:p>
            <w:pPr>
              <w:spacing w:after="0"/>
              <w:rPr>
                <w:sz w:val="24"/>
                <w:szCs w:val="24"/>
                <w:color w:val="auto"/>
              </w:rPr>
            </w:pPr>
          </w:p>
        </w:tc>
        <w:tc>
          <w:tcPr>
            <w:tcW w:w="3920" w:type="dxa"/>
            <w:vAlign w:val="bottom"/>
          </w:tcPr>
          <w:p>
            <w:pPr>
              <w:jc w:val="right"/>
              <w:ind w:right="1594"/>
              <w:spacing w:after="0"/>
              <w:rPr>
                <w:sz w:val="20"/>
                <w:szCs w:val="20"/>
                <w:color w:val="auto"/>
              </w:rPr>
            </w:pPr>
            <w:r>
              <w:rPr>
                <w:rFonts w:ascii="Times New Roman" w:cs="Times New Roman" w:eastAsia="Times New Roman" w:hAnsi="Times New Roman"/>
                <w:sz w:val="17"/>
                <w:szCs w:val="17"/>
                <w:color w:val="auto"/>
              </w:rPr>
              <w:t>74</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3620" w:type="dxa"/>
            <w:vAlign w:val="bottom"/>
            <w:tcBorders>
              <w:bottom w:val="single" w:sz="8" w:color="9A9A9A"/>
            </w:tcBorders>
          </w:tcPr>
          <w:p>
            <w:pPr>
              <w:spacing w:after="0"/>
              <w:rPr>
                <w:sz w:val="9"/>
                <w:szCs w:val="9"/>
                <w:color w:val="auto"/>
              </w:rPr>
            </w:pPr>
          </w:p>
        </w:tc>
        <w:tc>
          <w:tcPr>
            <w:tcW w:w="39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3"/>
          <w:szCs w:val="13"/>
          <w:b w:val="1"/>
          <w:bCs w:val="1"/>
          <w:color w:val="auto"/>
        </w:rPr>
        <w:t>TEM</w:t>
      </w:r>
      <w:r>
        <w:rPr>
          <w:rFonts w:ascii="Times New Roman" w:cs="Times New Roman" w:eastAsia="Times New Roman" w:hAnsi="Times New Roman"/>
          <w:sz w:val="17"/>
          <w:szCs w:val="17"/>
          <w:b w:val="1"/>
          <w:bCs w:val="1"/>
          <w:color w:val="auto"/>
        </w:rPr>
        <w:t xml:space="preserve"> 2.</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w:t>
      </w:r>
      <w:r>
        <w:rPr>
          <w:rFonts w:ascii="Times New Roman" w:cs="Times New Roman" w:eastAsia="Times New Roman" w:hAnsi="Times New Roman"/>
          <w:sz w:val="13"/>
          <w:szCs w:val="13"/>
          <w:b w:val="1"/>
          <w:bCs w:val="1"/>
          <w:color w:val="auto"/>
        </w:rPr>
        <w:t>ANAGEMENT’S</w:t>
      </w:r>
      <w:r>
        <w:rPr>
          <w:rFonts w:ascii="Times New Roman" w:cs="Times New Roman" w:eastAsia="Times New Roman" w:hAnsi="Times New Roman"/>
          <w:sz w:val="17"/>
          <w:szCs w:val="17"/>
          <w:b w:val="1"/>
          <w:bCs w:val="1"/>
          <w:color w:val="auto"/>
        </w:rPr>
        <w:t xml:space="preserve"> D</w:t>
      </w:r>
      <w:r>
        <w:rPr>
          <w:rFonts w:ascii="Times New Roman" w:cs="Times New Roman" w:eastAsia="Times New Roman" w:hAnsi="Times New Roman"/>
          <w:sz w:val="13"/>
          <w:szCs w:val="13"/>
          <w:b w:val="1"/>
          <w:bCs w:val="1"/>
          <w:color w:val="auto"/>
        </w:rPr>
        <w:t>ISCUSSION AND</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3"/>
          <w:szCs w:val="13"/>
          <w:b w:val="1"/>
          <w:bCs w:val="1"/>
          <w:color w:val="auto"/>
        </w:rPr>
        <w:t>NALYSIS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OF </w:t>
      </w: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4"/>
          <w:szCs w:val="14"/>
          <w:b w:val="1"/>
          <w:bCs w:val="1"/>
          <w:color w:val="auto"/>
        </w:rPr>
        <w:t xml:space="preserve">INANCIAL </w:t>
      </w: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4"/>
          <w:szCs w:val="14"/>
          <w:b w:val="1"/>
          <w:bCs w:val="1"/>
          <w:color w:val="auto"/>
        </w:rPr>
        <w:t xml:space="preserve">ONDITION AND </w:t>
      </w:r>
      <w:r>
        <w:rPr>
          <w:rFonts w:ascii="Times New Roman" w:cs="Times New Roman" w:eastAsia="Times New Roman" w:hAnsi="Times New Roman"/>
          <w:sz w:val="17"/>
          <w:szCs w:val="17"/>
          <w:b w:val="1"/>
          <w:bCs w:val="1"/>
          <w:color w:val="auto"/>
        </w:rPr>
        <w:t>R</w:t>
      </w:r>
      <w:r>
        <w:rPr>
          <w:rFonts w:ascii="Times New Roman" w:cs="Times New Roman" w:eastAsia="Times New Roman" w:hAnsi="Times New Roman"/>
          <w:sz w:val="14"/>
          <w:szCs w:val="14"/>
          <w:b w:val="1"/>
          <w:bCs w:val="1"/>
          <w:color w:val="auto"/>
        </w:rPr>
        <w:t xml:space="preserve">ESULTS OF </w:t>
      </w:r>
      <w:r>
        <w:rPr>
          <w:rFonts w:ascii="Times New Roman" w:cs="Times New Roman" w:eastAsia="Times New Roman" w:hAnsi="Times New Roman"/>
          <w:sz w:val="17"/>
          <w:szCs w:val="17"/>
          <w:b w:val="1"/>
          <w:bCs w:val="1"/>
          <w:color w:val="auto"/>
        </w:rPr>
        <w:t>O</w:t>
      </w:r>
      <w:r>
        <w:rPr>
          <w:rFonts w:ascii="Times New Roman" w:cs="Times New Roman" w:eastAsia="Times New Roman" w:hAnsi="Times New Roman"/>
          <w:sz w:val="14"/>
          <w:szCs w:val="14"/>
          <w:b w:val="1"/>
          <w:bCs w:val="1"/>
          <w:color w:val="auto"/>
        </w:rPr>
        <w:t>PERATIONS</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b w:val="1"/>
          <w:bCs w:val="1"/>
          <w:color w:val="auto"/>
        </w:rPr>
        <w:t>Introduction</w:t>
      </w:r>
      <w:r>
        <w:rPr>
          <w:rFonts w:ascii="Times New Roman" w:cs="Times New Roman" w:eastAsia="Times New Roman" w:hAnsi="Times New Roman"/>
          <w:sz w:val="17"/>
          <w:szCs w:val="17"/>
          <w:color w:val="auto"/>
        </w:rPr>
        <w:t>. The following section presents additional information to assess the financial condition and results of operations of Independent Bank Corporation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(“IBCP”), its wholly-owned banks, Independent Bank and Highpoint Community Bank (the “Banks”), and their subsidiaries. This section should be read in conjunction with the interim Condensed Consolidated Financial Statements. We also encourage you to read our 2025 Annual Report on Form 10-K filed with the U.S. Securities and Exchange Commission (“SEC”). That report includes a list of risk factors that you should consider in connection with any decision to buy or sell our securities.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r>
        <w:rPr>
          <w:rFonts w:ascii="Times New Roman" w:cs="Times New Roman" w:eastAsia="Times New Roman" w:hAnsi="Times New Roman"/>
          <w:sz w:val="17"/>
          <w:szCs w:val="17"/>
          <w:color w:val="auto"/>
        </w:rPr>
        <w:t>. We provide banking services to customers located primarily in Michigan’s Lower Peninsula. We also have a loan production office in Fairlawn, Ohio.</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a result, our success depends to a great extent upon the economic conditions in Michigan’s Lower Peninsula.</w:t>
      </w:r>
    </w:p>
    <w:p>
      <w:pPr>
        <w:spacing w:after="0" w:line="2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b w:val="1"/>
          <w:bCs w:val="1"/>
          <w:color w:val="auto"/>
        </w:rPr>
        <w:t xml:space="preserve">Recent Developments. </w:t>
      </w:r>
      <w:r>
        <w:rPr>
          <w:rFonts w:ascii="Times New Roman" w:cs="Times New Roman" w:eastAsia="Times New Roman" w:hAnsi="Times New Roman"/>
          <w:sz w:val="17"/>
          <w:szCs w:val="17"/>
          <w:color w:val="auto"/>
        </w:rPr>
        <w:t>Macroeconomic and market conditions, including interest-rate volatility, inflationary pressures, recessionary concerns, uncertainty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regarding fiscal, trade, regulatory and monetary policy, geopolitical conflicts in the Middle East and elsewhere, volatility in energy and commodity prices, competition for deposits and funding, and conditions affecting customer confidence, continue to create economic uncertainty for our customers, the markets in which we operate and the financial services industry. The extent to which these pressures and other factors may impact our business, results of operations, asset valuations, financial condition, and customers will depend on future developments, which continue to be highly uncertain and difficult to predict. Potential adverse effects may include reduced loan demand, changes in deposit levels or costs, pressure on liquidity and net interest margin, increased borrower delinquencies or defaults, lower collateral values, increased provision for credit losses or allowance for credit losses, and changes in the valuation or recoverability of goodwill, other intangible assets, securities available for sale ("AFS"), securities held to maturity ("HTM"), capitalized mortgage loan servicing rights or deferred tax assets.</w:t>
      </w:r>
    </w:p>
    <w:p>
      <w:pPr>
        <w:spacing w:after="0" w:line="20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On March 18, 2026, we entered into a definitive merger agreement with HCB Financial Corp. ("HCBFC") (the "Merger Agreement") providing for a business combination of Independent Bank Corporation ("IBCP") and HCBFC. On July 1, 2026, HCBFC was merged with and into IBCP, with IBCP as the surviving corporation (the "Merger"). As a result of the Merger, Highpoint Community Bank became a wholly-owned subsidiary of IBCP as of July 1, 2026. IBCP intends to consolidate Highpoint Community Bank with and into Independent Bank (with Independent Bank as the surviving institution) during the fourth quarter of 2026.</w:t>
      </w:r>
    </w:p>
    <w:p>
      <w:pPr>
        <w:spacing w:after="0" w:line="20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We paid aggregate Merger consideration of approximately $74.9 million, consisting of 1.59 million shares of IBCP common stock and $17.5 million in cash, for all of the shares of HCBFC common stock issued and outstanding immediately before the effective time of the Merger.</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Based on a valuation of the assets acquired and liabilities assumed in the Merger, we recorded: $21.9 million of goodwill, a core deposit intangible (“CDI”) of $16.7 million, a discount of $12.9 million on loans and a $2.3 million write-up of property and equipment. The Merger impacted our third quarter 2026 results because of the inclusion of their operations for the first time this quarter as well as merger related expenses. See note #18 to the interim Condensed Consolidated Financial Statements included within this report for further discussion.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 is against this backdrop that we discuss our results of operations and financial condition for the third quarter of 2026 as compared to earlier periods.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w:t>
      </w:r>
      <w:r>
        <w:rPr>
          <w:rFonts w:ascii="Times New Roman" w:cs="Times New Roman" w:eastAsia="Times New Roman" w:hAnsi="Times New Roman"/>
          <w:sz w:val="13"/>
          <w:szCs w:val="13"/>
          <w:b w:val="1"/>
          <w:bCs w:val="1"/>
          <w:color w:val="auto"/>
        </w:rPr>
        <w:t>ESULTS OF</w:t>
      </w:r>
      <w:r>
        <w:rPr>
          <w:rFonts w:ascii="Times New Roman" w:cs="Times New Roman" w:eastAsia="Times New Roman" w:hAnsi="Times New Roman"/>
          <w:sz w:val="17"/>
          <w:szCs w:val="17"/>
          <w:b w:val="1"/>
          <w:bCs w:val="1"/>
          <w:color w:val="auto"/>
        </w:rPr>
        <w:t xml:space="preserve"> O</w:t>
      </w:r>
      <w:r>
        <w:rPr>
          <w:rFonts w:ascii="Times New Roman" w:cs="Times New Roman" w:eastAsia="Times New Roman" w:hAnsi="Times New Roman"/>
          <w:sz w:val="13"/>
          <w:szCs w:val="13"/>
          <w:b w:val="1"/>
          <w:bCs w:val="1"/>
          <w:color w:val="auto"/>
        </w:rPr>
        <w:t>PERATIONS</w:t>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Summary. </w:t>
      </w:r>
      <w:r>
        <w:rPr>
          <w:rFonts w:ascii="Times New Roman" w:cs="Times New Roman" w:eastAsia="Times New Roman" w:hAnsi="Times New Roman"/>
          <w:sz w:val="17"/>
          <w:szCs w:val="17"/>
          <w:color w:val="auto"/>
        </w:rPr>
        <w:t>We recorded net income of $17.9 million and $17.5 million during the three months ended September 30, 2026 and 2025, respectively. The increase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2026 third quarter results as compared to 2025 is due primarily to a $9.9 million increase in net interest income, a $4.0 million favorable change in the fair value due to price of capitalized mortgage loan servicing rights that were partially offset by a $10.6 million increase in non-interest expense and a $2.8 million increase in the provision for credit losses.</w:t>
      </w:r>
    </w:p>
    <w:p>
      <w:pPr>
        <w:spacing w:after="0" w:line="1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recorded net income of $53.5 million and $50.0 million during the nine months ended September 30, 2026 and 2025, respectively. The increase in 2026 year-to-date results as compared to 2025 is primarily due to a $16.4 million increase in net interest income, an $8.5 million favorable change in the fair value due to price of capitalized mortgage loan servicing rights and a $1.7 million gain on equity securities at fair value that were partially offset by an $18.7 million increase in non-interest expense and a $3.7 million increase in the provision for credit losses.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95"/>
        </w:trPr>
        <w:tc>
          <w:tcPr>
            <w:tcW w:w="402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0000FF"/>
              </w:rPr>
              <w:t>Index</w:t>
            </w: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960"/>
        </w:trPr>
        <w:tc>
          <w:tcPr>
            <w:tcW w:w="40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Key performance ratios</w:t>
            </w: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8"/>
        </w:trPr>
        <w:tc>
          <w:tcPr>
            <w:tcW w:w="38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660" w:type="dxa"/>
            <w:vAlign w:val="bottom"/>
            <w:gridSpan w:val="6"/>
          </w:tcPr>
          <w:p>
            <w:pPr>
              <w:ind w:left="560"/>
              <w:spacing w:after="0"/>
              <w:rPr>
                <w:sz w:val="20"/>
                <w:szCs w:val="20"/>
                <w:color w:val="auto"/>
              </w:rPr>
            </w:pPr>
            <w:r>
              <w:rPr>
                <w:rFonts w:ascii="Times New Roman" w:cs="Times New Roman" w:eastAsia="Times New Roman" w:hAnsi="Times New Roman"/>
                <w:sz w:val="17"/>
                <w:szCs w:val="17"/>
                <w:color w:val="auto"/>
              </w:rPr>
              <w:t>Three months ended September 30,</w:t>
            </w:r>
          </w:p>
        </w:tc>
        <w:tc>
          <w:tcPr>
            <w:tcW w:w="340" w:type="dxa"/>
            <w:vAlign w:val="bottom"/>
          </w:tcPr>
          <w:p>
            <w:pPr>
              <w:spacing w:after="0"/>
              <w:rPr>
                <w:sz w:val="22"/>
                <w:szCs w:val="22"/>
                <w:color w:val="auto"/>
              </w:rPr>
            </w:pPr>
          </w:p>
        </w:tc>
        <w:tc>
          <w:tcPr>
            <w:tcW w:w="3220" w:type="dxa"/>
            <w:vAlign w:val="bottom"/>
            <w:gridSpan w:val="4"/>
          </w:tcPr>
          <w:p>
            <w:pPr>
              <w:jc w:val="right"/>
              <w:ind w:right="514"/>
              <w:spacing w:after="0"/>
              <w:rPr>
                <w:sz w:val="20"/>
                <w:szCs w:val="20"/>
                <w:color w:val="auto"/>
              </w:rPr>
            </w:pPr>
            <w:r>
              <w:rPr>
                <w:rFonts w:ascii="Times New Roman" w:cs="Times New Roman" w:eastAsia="Times New Roman" w:hAnsi="Times New Roman"/>
                <w:sz w:val="17"/>
                <w:szCs w:val="17"/>
                <w:color w:val="auto"/>
              </w:rPr>
              <w:t>Nine months ended September 30,</w:t>
            </w:r>
          </w:p>
        </w:tc>
      </w:tr>
      <w:tr>
        <w:trPr>
          <w:trHeight w:val="250"/>
        </w:trPr>
        <w:tc>
          <w:tcPr>
            <w:tcW w:w="38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2026</w:t>
            </w:r>
          </w:p>
        </w:tc>
        <w:tc>
          <w:tcPr>
            <w:tcW w:w="6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color w:val="auto"/>
              </w:rPr>
              <w:t>2026</w:t>
            </w:r>
          </w:p>
        </w:tc>
        <w:tc>
          <w:tcPr>
            <w:tcW w:w="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color w:val="auto"/>
              </w:rPr>
              <w:t>2025</w:t>
            </w:r>
          </w:p>
        </w:tc>
      </w:tr>
      <w:tr>
        <w:trPr>
          <w:trHeight w:val="239"/>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income (annualized) to</w:t>
            </w:r>
          </w:p>
        </w:tc>
        <w:tc>
          <w:tcPr>
            <w:tcW w:w="10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64"/>
        </w:trPr>
        <w:tc>
          <w:tcPr>
            <w:tcW w:w="4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Average assets</w:t>
            </w:r>
          </w:p>
        </w:tc>
        <w:tc>
          <w:tcPr>
            <w:tcW w:w="108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1.14 %</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1.27 %</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1.24 %</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1.24 %</w:t>
            </w:r>
          </w:p>
        </w:tc>
      </w:tr>
      <w:tr>
        <w:trPr>
          <w:trHeight w:val="252"/>
        </w:trPr>
        <w:tc>
          <w:tcPr>
            <w:tcW w:w="40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Average shareholders’ equity</w:t>
            </w:r>
          </w:p>
        </w:tc>
        <w:tc>
          <w:tcPr>
            <w:tcW w:w="10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12.17 %</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14.57 %</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13.32 %</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14.32 %</w:t>
            </w:r>
          </w:p>
        </w:tc>
      </w:tr>
      <w:tr>
        <w:trPr>
          <w:trHeight w:val="264"/>
        </w:trPr>
        <w:tc>
          <w:tcPr>
            <w:tcW w:w="4020" w:type="dxa"/>
            <w:vAlign w:val="bottom"/>
            <w:gridSpan w:val="2"/>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52"/>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income per common share</w:t>
            </w:r>
          </w:p>
        </w:tc>
        <w:tc>
          <w:tcPr>
            <w:tcW w:w="10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64"/>
        </w:trPr>
        <w:tc>
          <w:tcPr>
            <w:tcW w:w="4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Basic</w:t>
            </w:r>
          </w:p>
        </w:tc>
        <w:tc>
          <w:tcPr>
            <w:tcW w:w="1080" w:type="dxa"/>
            <w:vAlign w:val="bottom"/>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0.81</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0.85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2.54</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2.40</w:t>
            </w:r>
          </w:p>
        </w:tc>
      </w:tr>
      <w:tr>
        <w:trPr>
          <w:trHeight w:val="245"/>
        </w:trPr>
        <w:tc>
          <w:tcPr>
            <w:tcW w:w="40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Diluted</w:t>
            </w:r>
          </w:p>
        </w:tc>
        <w:tc>
          <w:tcPr>
            <w:tcW w:w="1080" w:type="dxa"/>
            <w:vAlign w:val="bottom"/>
          </w:tcPr>
          <w:p>
            <w:pPr>
              <w:spacing w:after="0"/>
              <w:rPr>
                <w:sz w:val="21"/>
                <w:szCs w:val="21"/>
                <w:color w:val="auto"/>
              </w:rPr>
            </w:pPr>
          </w:p>
        </w:tc>
        <w:tc>
          <w:tcPr>
            <w:tcW w:w="6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0.80</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0.84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2.51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2.38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Net interest income. </w:t>
      </w:r>
      <w:r>
        <w:rPr>
          <w:rFonts w:ascii="Times New Roman" w:cs="Times New Roman" w:eastAsia="Times New Roman" w:hAnsi="Times New Roman"/>
          <w:sz w:val="17"/>
          <w:szCs w:val="17"/>
          <w:color w:val="auto"/>
        </w:rPr>
        <w:t>Net interest income is the most important source of our earnings and thus is critical in evaluating our results of operations. Changes in our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net interest income are primarily influenced by our level of interest-earning assets and the income or yield that we earn on those assets and the manner and cost of funding our interest-earning assets. Certain macro-economic factors can also influence our net interest income such as the level and direction of interest rates, the difference between short-term and long-term interest rates (the steepness of the yield curve) and the general strength of the economies in which we are doing business. Finally, risk management plays an important role in our level of net interest income. The ineffective management of credit risk and interest-rate risk in particular can adversely impact our net interest income.</w:t>
      </w:r>
    </w:p>
    <w:p>
      <w:pPr>
        <w:spacing w:after="0" w:line="13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net interest income totaled $55.3 million during the third quarter of 2026, an increase of $9.9 million, or 21.8% from the year-ago period. This increase primarily reflects a $659.1 million increase in average interest-earning assets and a 28 basis point increase in both the net interest income as a percent of average interest-earning assets and tax equivalent net interest income as a percent of average interest-earning assets. See Reconciliation of Non-GAAP Financial Measures</w:t>
      </w:r>
    </w:p>
    <w:p>
      <w:pPr>
        <w:spacing w:after="0" w:line="14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For the first nine months of 2026, net interest income totaled $150.0 million, an increase of $16.4 million, or 12.2% from 2025. This increase primarily reflects a $326.4 million increase in average interest-earning assets and a 20 basis point increase in the net interest income as a percent of average interest-earning assets, and a 19 basis point increase in tax equivalent net interest income as a percent of average interest-earning assets. See Reconciliation of Non-GAAP Financial Measures</w:t>
      </w:r>
    </w:p>
    <w:p>
      <w:pPr>
        <w:spacing w:after="0" w:line="3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increase in average interest-earning assets in both the three and nine month periods of 2026 as compared to the same period in 2025 primarily reflects the Merger as well as growth in commercial loans funded from decreases in installment loans and securities held to maturity as well as an increase in deposits.</w:t>
      </w:r>
    </w:p>
    <w:p>
      <w:pPr>
        <w:spacing w:after="0" w:line="1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increase in our net interest margin during the three and nine month periods in 2026 primarily reflects favorable changes in earning-asset and funding mix, including growth in higher-yielding commercial loans and deposits and a decline in wholesale funding. The lower rate environment partially offset these benefits, as declines in earning-asset yields exceeded declines in interest-bearing funding costs. Merger-related loan discount accretion and a greater contribution from non-interest bearing funding sources ("free funds") also contributed to the increases. See Asset/liability management.</w:t>
      </w:r>
    </w:p>
    <w:p>
      <w:pPr>
        <w:spacing w:after="0" w:line="17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Interest and fees on loans include $0.9 million for the third quarter and first nine months of 2026, of accretion of the discount recorded on securities and loans acquired in the Merger. No such accretion related to the Merger was included in the prior year periods.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net interest income is also impacted by our level of non-accrual loans. In the third quarter and first nine months of 2026, non-accrual loans averaged $46.2 million and $40.5 million, respectively. In the third quarter and first nine months of 2025, non-accrual loans averaged $10.8 million and $8.4 million, respectively. In addition, in the third quarter and first nine months of 2026, we had net reversals of $0.05 million and $0.03 million, respectively of unpaid interest on loans placed on or taken off non-accrual or on loans previously charged-off compared to net recoveries of $0.1 million and $0.3 million, respectively, during the same periods in 2025.</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95"/>
        </w:trPr>
        <w:tc>
          <w:tcPr>
            <w:tcW w:w="260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0000FF"/>
              </w:rPr>
              <w:t>Index</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0"/>
        </w:trPr>
        <w:tc>
          <w:tcPr>
            <w:tcW w:w="402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Average Balances and Tax Equivalent Rates</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3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auto"/>
              </w:rPr>
              <w:t>Three Months Ended September 30,</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rPr>
              <w:t>2026</w:t>
            </w: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rPr>
              <w:t>2025</w:t>
            </w: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Average</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Average</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7"/>
                <w:szCs w:val="17"/>
                <w:color w:val="auto"/>
              </w:rPr>
              <w:t>Balance</w:t>
            </w: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Interest</w:t>
            </w:r>
          </w:p>
        </w:tc>
        <w:tc>
          <w:tcPr>
            <w:tcW w:w="14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Rate (2)</w:t>
            </w: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7"/>
                <w:szCs w:val="17"/>
                <w:color w:val="auto"/>
              </w:rPr>
              <w:t>Balance</w:t>
            </w: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7"/>
                <w:szCs w:val="17"/>
                <w:color w:val="auto"/>
              </w:rPr>
              <w:t>Interest</w:t>
            </w:r>
          </w:p>
        </w:tc>
        <w:tc>
          <w:tcPr>
            <w:tcW w:w="14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Rate (2)</w:t>
            </w:r>
          </w:p>
        </w:tc>
        <w:tc>
          <w:tcPr>
            <w:tcW w:w="0" w:type="dxa"/>
            <w:vAlign w:val="bottom"/>
          </w:tcPr>
          <w:p>
            <w:pPr>
              <w:spacing w:after="0"/>
              <w:rPr>
                <w:sz w:val="1"/>
                <w:szCs w:val="1"/>
                <w:color w:val="auto"/>
              </w:rPr>
            </w:pPr>
          </w:p>
        </w:tc>
      </w:tr>
      <w:tr>
        <w:trPr>
          <w:trHeight w:val="244"/>
        </w:trPr>
        <w:tc>
          <w:tcPr>
            <w:tcW w:w="3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60" w:type="dxa"/>
            <w:vAlign w:val="bottom"/>
            <w:gridSpan w:val="5"/>
          </w:tcPr>
          <w:p>
            <w:pPr>
              <w:ind w:left="720"/>
              <w:spacing w:after="0"/>
              <w:rPr>
                <w:sz w:val="20"/>
                <w:szCs w:val="20"/>
                <w:color w:val="auto"/>
              </w:rPr>
            </w:pPr>
            <w:r>
              <w:rPr>
                <w:rFonts w:ascii="Times New Roman" w:cs="Times New Roman" w:eastAsia="Times New Roman" w:hAnsi="Times New Roman"/>
                <w:sz w:val="17"/>
                <w:szCs w:val="17"/>
                <w:color w:val="auto"/>
              </w:rPr>
              <w:t>(Dollars in thousands)</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Taxable loans</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4,792,596</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68,580</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5.69 %</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4,193,925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61,250</w:t>
            </w:r>
          </w:p>
        </w:tc>
        <w:tc>
          <w:tcPr>
            <w:tcW w:w="80" w:type="dxa"/>
            <w:vAlign w:val="bottom"/>
            <w:shd w:val="clear" w:color="auto" w:fill="CCEEFF"/>
          </w:tcPr>
          <w:p>
            <w:pPr>
              <w:spacing w:after="0"/>
              <w:rPr>
                <w:sz w:val="22"/>
                <w:szCs w:val="22"/>
                <w:color w:val="auto"/>
              </w:rPr>
            </w:pPr>
          </w:p>
        </w:tc>
        <w:tc>
          <w:tcPr>
            <w:tcW w:w="14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w w:val="99"/>
              </w:rPr>
              <w:t>5.81 %</w:t>
            </w:r>
          </w:p>
        </w:tc>
        <w:tc>
          <w:tcPr>
            <w:tcW w:w="0" w:type="dxa"/>
            <w:vAlign w:val="bottom"/>
          </w:tcPr>
          <w:p>
            <w:pPr>
              <w:spacing w:after="0"/>
              <w:rPr>
                <w:sz w:val="1"/>
                <w:szCs w:val="1"/>
                <w:color w:val="auto"/>
              </w:rPr>
            </w:pPr>
          </w:p>
        </w:tc>
      </w:tr>
      <w:tr>
        <w:trPr>
          <w:trHeight w:val="252"/>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Tax-exempt loans (1)</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46,816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528</w:t>
            </w:r>
          </w:p>
        </w:tc>
        <w:tc>
          <w:tcPr>
            <w:tcW w:w="100" w:type="dxa"/>
            <w:vAlign w:val="bottom"/>
          </w:tcPr>
          <w:p>
            <w:pPr>
              <w:spacing w:after="0"/>
              <w:rPr>
                <w:sz w:val="21"/>
                <w:szCs w:val="21"/>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4.48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80" w:type="dxa"/>
            <w:vAlign w:val="bottom"/>
          </w:tcPr>
          <w:p>
            <w:pPr>
              <w:spacing w:after="0"/>
              <w:rPr>
                <w:sz w:val="21"/>
                <w:szCs w:val="21"/>
                <w:color w:val="auto"/>
              </w:rPr>
            </w:pPr>
          </w:p>
        </w:tc>
        <w:tc>
          <w:tcPr>
            <w:tcW w:w="144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4.95</w:t>
            </w:r>
          </w:p>
        </w:tc>
        <w:tc>
          <w:tcPr>
            <w:tcW w:w="0" w:type="dxa"/>
            <w:vAlign w:val="bottom"/>
          </w:tcPr>
          <w:p>
            <w:pPr>
              <w:spacing w:after="0"/>
              <w:rPr>
                <w:sz w:val="1"/>
                <w:szCs w:val="1"/>
                <w:color w:val="auto"/>
              </w:rPr>
            </w:pPr>
          </w:p>
        </w:tc>
      </w:tr>
      <w:tr>
        <w:trPr>
          <w:trHeight w:val="264"/>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Taxable securities</w:t>
            </w: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542,637</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3,903</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2.88</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573,333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3,660</w:t>
            </w:r>
          </w:p>
        </w:tc>
        <w:tc>
          <w:tcPr>
            <w:tcW w:w="80" w:type="dxa"/>
            <w:vAlign w:val="bottom"/>
            <w:shd w:val="clear" w:color="auto" w:fill="CCEEFF"/>
          </w:tcPr>
          <w:p>
            <w:pPr>
              <w:spacing w:after="0"/>
              <w:rPr>
                <w:sz w:val="22"/>
                <w:szCs w:val="22"/>
                <w:color w:val="auto"/>
              </w:rPr>
            </w:pPr>
          </w:p>
        </w:tc>
        <w:tc>
          <w:tcPr>
            <w:tcW w:w="14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2.55</w:t>
            </w:r>
          </w:p>
        </w:tc>
        <w:tc>
          <w:tcPr>
            <w:tcW w:w="0" w:type="dxa"/>
            <w:vAlign w:val="bottom"/>
          </w:tcPr>
          <w:p>
            <w:pPr>
              <w:spacing w:after="0"/>
              <w:rPr>
                <w:sz w:val="1"/>
                <w:szCs w:val="1"/>
                <w:color w:val="auto"/>
              </w:rPr>
            </w:pPr>
          </w:p>
        </w:tc>
      </w:tr>
      <w:tr>
        <w:trPr>
          <w:trHeight w:val="265"/>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Tax-exempt securities (1)</w:t>
            </w: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270,329</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3,209</w:t>
            </w:r>
          </w:p>
        </w:tc>
        <w:tc>
          <w:tcPr>
            <w:tcW w:w="100" w:type="dxa"/>
            <w:vAlign w:val="bottom"/>
          </w:tcPr>
          <w:p>
            <w:pPr>
              <w:spacing w:after="0"/>
              <w:rPr>
                <w:sz w:val="23"/>
                <w:szCs w:val="23"/>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4.75</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253,029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3,190</w:t>
            </w:r>
          </w:p>
        </w:tc>
        <w:tc>
          <w:tcPr>
            <w:tcW w:w="80" w:type="dxa"/>
            <w:vAlign w:val="bottom"/>
          </w:tcPr>
          <w:p>
            <w:pPr>
              <w:spacing w:after="0"/>
              <w:rPr>
                <w:sz w:val="23"/>
                <w:szCs w:val="23"/>
                <w:color w:val="auto"/>
              </w:rPr>
            </w:pPr>
          </w:p>
        </w:tc>
        <w:tc>
          <w:tcPr>
            <w:tcW w:w="144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5.04</w:t>
            </w:r>
          </w:p>
        </w:tc>
        <w:tc>
          <w:tcPr>
            <w:tcW w:w="0" w:type="dxa"/>
            <w:vAlign w:val="bottom"/>
          </w:tcPr>
          <w:p>
            <w:pPr>
              <w:spacing w:after="0"/>
              <w:rPr>
                <w:sz w:val="1"/>
                <w:szCs w:val="1"/>
                <w:color w:val="auto"/>
              </w:rPr>
            </w:pPr>
          </w:p>
        </w:tc>
      </w:tr>
      <w:tr>
        <w:trPr>
          <w:trHeight w:val="264"/>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bearing cash</w:t>
            </w: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145,970</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1,349</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3.67</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113,660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1,261</w:t>
            </w:r>
          </w:p>
        </w:tc>
        <w:tc>
          <w:tcPr>
            <w:tcW w:w="80" w:type="dxa"/>
            <w:vAlign w:val="bottom"/>
            <w:shd w:val="clear" w:color="auto" w:fill="CCEEFF"/>
          </w:tcPr>
          <w:p>
            <w:pPr>
              <w:spacing w:after="0"/>
              <w:rPr>
                <w:sz w:val="22"/>
                <w:szCs w:val="22"/>
                <w:color w:val="auto"/>
              </w:rPr>
            </w:pPr>
          </w:p>
        </w:tc>
        <w:tc>
          <w:tcPr>
            <w:tcW w:w="14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4.40</w:t>
            </w:r>
          </w:p>
        </w:tc>
        <w:tc>
          <w:tcPr>
            <w:tcW w:w="0" w:type="dxa"/>
            <w:vAlign w:val="bottom"/>
          </w:tcPr>
          <w:p>
            <w:pPr>
              <w:spacing w:after="0"/>
              <w:rPr>
                <w:sz w:val="1"/>
                <w:szCs w:val="1"/>
                <w:color w:val="auto"/>
              </w:rPr>
            </w:pPr>
          </w:p>
        </w:tc>
      </w:tr>
      <w:tr>
        <w:trPr>
          <w:trHeight w:val="252"/>
        </w:trPr>
        <w:tc>
          <w:tcPr>
            <w:tcW w:w="2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Other investments</w:t>
            </w: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20,452</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100" w:type="dxa"/>
            <w:vAlign w:val="bottom"/>
            <w:tcBorders>
              <w:bottom w:val="single" w:sz="8" w:color="CCEEFF"/>
            </w:tcBorders>
          </w:tcPr>
          <w:p>
            <w:pPr>
              <w:spacing w:after="0"/>
              <w:rPr>
                <w:sz w:val="21"/>
                <w:szCs w:val="21"/>
                <w:color w:val="auto"/>
              </w:rPr>
            </w:pPr>
          </w:p>
        </w:tc>
        <w:tc>
          <w:tcPr>
            <w:tcW w:w="1440" w:type="dxa"/>
            <w:vAlign w:val="bottom"/>
            <w:tcBorders>
              <w:bottom w:val="single" w:sz="8" w:color="CCEEFF"/>
            </w:tcBorders>
          </w:tcPr>
          <w:p>
            <w:pPr>
              <w:ind w:left="920"/>
              <w:spacing w:after="0"/>
              <w:rPr>
                <w:sz w:val="20"/>
                <w:szCs w:val="20"/>
                <w:color w:val="auto"/>
              </w:rPr>
            </w:pPr>
            <w:r>
              <w:rPr>
                <w:rFonts w:ascii="Times New Roman" w:cs="Times New Roman" w:eastAsia="Times New Roman" w:hAnsi="Times New Roman"/>
                <w:sz w:val="17"/>
                <w:szCs w:val="17"/>
                <w:color w:val="auto"/>
              </w:rPr>
              <w:t>6.07</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18,102</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277</w:t>
            </w:r>
          </w:p>
        </w:tc>
        <w:tc>
          <w:tcPr>
            <w:tcW w:w="80" w:type="dxa"/>
            <w:vAlign w:val="bottom"/>
            <w:tcBorders>
              <w:bottom w:val="single" w:sz="8" w:color="CCEEFF"/>
            </w:tcBorders>
          </w:tcPr>
          <w:p>
            <w:pPr>
              <w:spacing w:after="0"/>
              <w:rPr>
                <w:sz w:val="21"/>
                <w:szCs w:val="21"/>
                <w:color w:val="auto"/>
              </w:rPr>
            </w:pPr>
          </w:p>
        </w:tc>
        <w:tc>
          <w:tcPr>
            <w:tcW w:w="1440" w:type="dxa"/>
            <w:vAlign w:val="bottom"/>
            <w:tcBorders>
              <w:bottom w:val="single" w:sz="8" w:color="CCEEFF"/>
            </w:tcBorders>
          </w:tcPr>
          <w:p>
            <w:pPr>
              <w:ind w:left="940"/>
              <w:spacing w:after="0"/>
              <w:rPr>
                <w:sz w:val="20"/>
                <w:szCs w:val="20"/>
                <w:color w:val="auto"/>
              </w:rPr>
            </w:pPr>
            <w:r>
              <w:rPr>
                <w:rFonts w:ascii="Times New Roman" w:cs="Times New Roman" w:eastAsia="Times New Roman" w:hAnsi="Times New Roman"/>
                <w:sz w:val="17"/>
                <w:szCs w:val="17"/>
                <w:color w:val="auto"/>
              </w:rPr>
              <w:t>6.12</w:t>
            </w:r>
          </w:p>
        </w:tc>
        <w:tc>
          <w:tcPr>
            <w:tcW w:w="0" w:type="dxa"/>
            <w:vAlign w:val="bottom"/>
          </w:tcPr>
          <w:p>
            <w:pPr>
              <w:spacing w:after="0"/>
              <w:rPr>
                <w:sz w:val="1"/>
                <w:szCs w:val="1"/>
                <w:color w:val="auto"/>
              </w:rPr>
            </w:pPr>
          </w:p>
        </w:tc>
      </w:tr>
      <w:tr>
        <w:trPr>
          <w:trHeight w:val="257"/>
        </w:trPr>
        <w:tc>
          <w:tcPr>
            <w:tcW w:w="26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Interest Earning Assets</w:t>
            </w: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5,818,800</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77,879</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5.33</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5,159,681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69,733</w:t>
            </w:r>
          </w:p>
        </w:tc>
        <w:tc>
          <w:tcPr>
            <w:tcW w:w="80" w:type="dxa"/>
            <w:vAlign w:val="bottom"/>
            <w:shd w:val="clear" w:color="auto" w:fill="CCEEFF"/>
          </w:tcPr>
          <w:p>
            <w:pPr>
              <w:spacing w:after="0"/>
              <w:rPr>
                <w:sz w:val="22"/>
                <w:szCs w:val="22"/>
                <w:color w:val="auto"/>
              </w:rPr>
            </w:pPr>
          </w:p>
        </w:tc>
        <w:tc>
          <w:tcPr>
            <w:tcW w:w="14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5.38</w:t>
            </w:r>
          </w:p>
        </w:tc>
        <w:tc>
          <w:tcPr>
            <w:tcW w:w="0" w:type="dxa"/>
            <w:vAlign w:val="bottom"/>
          </w:tcPr>
          <w:p>
            <w:pPr>
              <w:spacing w:after="0"/>
              <w:rPr>
                <w:sz w:val="1"/>
                <w:szCs w:val="1"/>
                <w:color w:val="auto"/>
              </w:rPr>
            </w:pPr>
          </w:p>
        </w:tc>
      </w:tr>
      <w:tr>
        <w:trPr>
          <w:trHeight w:val="252"/>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Cash and due from banks</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69,635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58,099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 net</w:t>
            </w:r>
          </w:p>
        </w:tc>
        <w:tc>
          <w:tcPr>
            <w:tcW w:w="2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321,176</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234,143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Total Assets</w:t>
            </w: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6,209,611</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5,451,923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8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Savings and interest-bearing</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checking</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3,418,568</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13,769</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1.60</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2,850,176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13,282</w:t>
            </w:r>
          </w:p>
        </w:tc>
        <w:tc>
          <w:tcPr>
            <w:tcW w:w="80" w:type="dxa"/>
            <w:vAlign w:val="bottom"/>
            <w:shd w:val="clear" w:color="auto" w:fill="CCEEFF"/>
          </w:tcPr>
          <w:p>
            <w:pPr>
              <w:spacing w:after="0"/>
              <w:rPr>
                <w:sz w:val="20"/>
                <w:szCs w:val="20"/>
                <w:color w:val="auto"/>
              </w:rPr>
            </w:pPr>
          </w:p>
        </w:tc>
        <w:tc>
          <w:tcPr>
            <w:tcW w:w="14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1.85</w:t>
            </w:r>
          </w:p>
        </w:tc>
        <w:tc>
          <w:tcPr>
            <w:tcW w:w="0" w:type="dxa"/>
            <w:vAlign w:val="bottom"/>
          </w:tcPr>
          <w:p>
            <w:pPr>
              <w:spacing w:after="0"/>
              <w:rPr>
                <w:sz w:val="1"/>
                <w:szCs w:val="1"/>
                <w:color w:val="auto"/>
              </w:rPr>
            </w:pPr>
          </w:p>
        </w:tc>
      </w:tr>
      <w:tr>
        <w:trPr>
          <w:trHeight w:val="252"/>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Time deposits</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912,690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7,520</w:t>
            </w:r>
          </w:p>
        </w:tc>
        <w:tc>
          <w:tcPr>
            <w:tcW w:w="100" w:type="dxa"/>
            <w:vAlign w:val="bottom"/>
          </w:tcPr>
          <w:p>
            <w:pPr>
              <w:spacing w:after="0"/>
              <w:rPr>
                <w:sz w:val="21"/>
                <w:szCs w:val="21"/>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3.27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930,358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8,690</w:t>
            </w:r>
          </w:p>
        </w:tc>
        <w:tc>
          <w:tcPr>
            <w:tcW w:w="80" w:type="dxa"/>
            <w:vAlign w:val="bottom"/>
          </w:tcPr>
          <w:p>
            <w:pPr>
              <w:spacing w:after="0"/>
              <w:rPr>
                <w:sz w:val="21"/>
                <w:szCs w:val="21"/>
                <w:color w:val="auto"/>
              </w:rPr>
            </w:pPr>
          </w:p>
        </w:tc>
        <w:tc>
          <w:tcPr>
            <w:tcW w:w="144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3.71</w:t>
            </w:r>
          </w:p>
        </w:tc>
        <w:tc>
          <w:tcPr>
            <w:tcW w:w="0" w:type="dxa"/>
            <w:vAlign w:val="bottom"/>
          </w:tcPr>
          <w:p>
            <w:pPr>
              <w:spacing w:after="0"/>
              <w:rPr>
                <w:sz w:val="1"/>
                <w:szCs w:val="1"/>
                <w:color w:val="auto"/>
              </w:rPr>
            </w:pPr>
          </w:p>
        </w:tc>
      </w:tr>
      <w:tr>
        <w:trPr>
          <w:trHeight w:val="222"/>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borrowings and subordinated</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debt</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51,253</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5.96</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81,490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1,957</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9.57</w:t>
            </w:r>
          </w:p>
        </w:tc>
        <w:tc>
          <w:tcPr>
            <w:tcW w:w="0" w:type="dxa"/>
            <w:vAlign w:val="bottom"/>
          </w:tcPr>
          <w:p>
            <w:pPr>
              <w:spacing w:after="0"/>
              <w:rPr>
                <w:sz w:val="1"/>
                <w:szCs w:val="1"/>
                <w:color w:val="auto"/>
              </w:rPr>
            </w:pPr>
          </w:p>
        </w:tc>
      </w:tr>
      <w:tr>
        <w:trPr>
          <w:trHeight w:val="251"/>
        </w:trPr>
        <w:tc>
          <w:tcPr>
            <w:tcW w:w="26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Interest Bearing Liabilities</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4,382,511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22,058</w:t>
            </w:r>
          </w:p>
        </w:tc>
        <w:tc>
          <w:tcPr>
            <w:tcW w:w="100" w:type="dxa"/>
            <w:vAlign w:val="bottom"/>
          </w:tcPr>
          <w:p>
            <w:pPr>
              <w:spacing w:after="0"/>
              <w:rPr>
                <w:sz w:val="21"/>
                <w:szCs w:val="21"/>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2.00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3,862,024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23,929</w:t>
            </w:r>
          </w:p>
        </w:tc>
        <w:tc>
          <w:tcPr>
            <w:tcW w:w="80" w:type="dxa"/>
            <w:vAlign w:val="bottom"/>
          </w:tcPr>
          <w:p>
            <w:pPr>
              <w:spacing w:after="0"/>
              <w:rPr>
                <w:sz w:val="21"/>
                <w:szCs w:val="21"/>
                <w:color w:val="auto"/>
              </w:rPr>
            </w:pPr>
          </w:p>
        </w:tc>
        <w:tc>
          <w:tcPr>
            <w:tcW w:w="144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2.46</w:t>
            </w:r>
          </w:p>
        </w:tc>
        <w:tc>
          <w:tcPr>
            <w:tcW w:w="0" w:type="dxa"/>
            <w:vAlign w:val="bottom"/>
          </w:tcPr>
          <w:p>
            <w:pPr>
              <w:spacing w:after="0"/>
              <w:rPr>
                <w:sz w:val="1"/>
                <w:szCs w:val="1"/>
                <w:color w:val="auto"/>
              </w:rPr>
            </w:pPr>
          </w:p>
        </w:tc>
      </w:tr>
      <w:tr>
        <w:trPr>
          <w:trHeight w:val="264"/>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Non-interest bearing deposits</w:t>
            </w: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1,134,463</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1,005,875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110,640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107,602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Shareholders’ equity</w:t>
            </w:r>
          </w:p>
        </w:tc>
        <w:tc>
          <w:tcPr>
            <w:tcW w:w="2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581,997</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476,422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3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80" w:type="dxa"/>
            <w:vAlign w:val="bottom"/>
            <w:shd w:val="clear" w:color="auto" w:fill="CCEEFF"/>
          </w:tcPr>
          <w:p>
            <w:pPr>
              <w:spacing w:after="0"/>
              <w:rPr>
                <w:sz w:val="19"/>
                <w:szCs w:val="19"/>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liabilities and</w:t>
            </w:r>
          </w:p>
        </w:tc>
        <w:tc>
          <w:tcPr>
            <w:tcW w:w="24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6,209,611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5,451,923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80" w:type="dxa"/>
            <w:vAlign w:val="bottom"/>
            <w:shd w:val="clear" w:color="auto" w:fill="CCEEFF"/>
          </w:tcPr>
          <w:p>
            <w:pPr>
              <w:spacing w:after="0"/>
              <w:rPr>
                <w:sz w:val="21"/>
                <w:szCs w:val="21"/>
                <w:color w:val="auto"/>
              </w:rPr>
            </w:pPr>
          </w:p>
        </w:tc>
        <w:tc>
          <w:tcPr>
            <w:tcW w:w="2220" w:type="dxa"/>
            <w:vAlign w:val="bottom"/>
            <w:shd w:val="clear" w:color="auto" w:fill="CCEEFF"/>
          </w:tcPr>
          <w:p>
            <w:pPr>
              <w:jc w:val="center"/>
              <w:ind w:right="374"/>
              <w:spacing w:after="0"/>
              <w:rPr>
                <w:sz w:val="20"/>
                <w:szCs w:val="20"/>
                <w:color w:val="auto"/>
              </w:rPr>
            </w:pPr>
            <w:r>
              <w:rPr>
                <w:rFonts w:ascii="Times New Roman" w:cs="Times New Roman" w:eastAsia="Times New Roman" w:hAnsi="Times New Roman"/>
                <w:sz w:val="17"/>
                <w:szCs w:val="17"/>
                <w:color w:val="auto"/>
              </w:rPr>
              <w:t>shareholders’ equity</w:t>
            </w:r>
          </w:p>
        </w:tc>
        <w:tc>
          <w:tcPr>
            <w:tcW w:w="240" w:type="dxa"/>
            <w:vAlign w:val="bottom"/>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320" w:type="dxa"/>
            <w:vAlign w:val="bottom"/>
            <w:gridSpan w:val="2"/>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380" w:type="dxa"/>
            <w:vAlign w:val="bottom"/>
            <w:tcBorders>
              <w:bottom w:val="single" w:sz="8" w:color="CCEEFF"/>
            </w:tcBorders>
            <w:shd w:val="clear" w:color="auto" w:fill="CCEEFF"/>
          </w:tcPr>
          <w:p>
            <w:pPr>
              <w:spacing w:after="0"/>
              <w:rPr>
                <w:sz w:val="24"/>
                <w:szCs w:val="24"/>
                <w:color w:val="auto"/>
              </w:rPr>
            </w:pPr>
          </w:p>
        </w:tc>
        <w:tc>
          <w:tcPr>
            <w:tcW w:w="2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Net Interest Income</w:t>
            </w:r>
          </w:p>
        </w:tc>
        <w:tc>
          <w:tcPr>
            <w:tcW w:w="2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55,821</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45,804</w:t>
            </w:r>
          </w:p>
        </w:tc>
        <w:tc>
          <w:tcPr>
            <w:tcW w:w="8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Net Interest Income as a Percent of</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vMerge w:val="restart"/>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3.82 %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vMerge w:val="restart"/>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w w:val="99"/>
              </w:rPr>
              <w:t>3.54 %</w:t>
            </w:r>
          </w:p>
        </w:tc>
        <w:tc>
          <w:tcPr>
            <w:tcW w:w="0" w:type="dxa"/>
            <w:vAlign w:val="bottom"/>
          </w:tcPr>
          <w:p>
            <w:pPr>
              <w:spacing w:after="0"/>
              <w:rPr>
                <w:sz w:val="1"/>
                <w:szCs w:val="1"/>
                <w:color w:val="auto"/>
              </w:rPr>
            </w:pPr>
          </w:p>
        </w:tc>
      </w:tr>
      <w:tr>
        <w:trPr>
          <w:trHeight w:val="243"/>
        </w:trPr>
        <w:tc>
          <w:tcPr>
            <w:tcW w:w="26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Average Interest Earning Assets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w:t>
      </w:r>
    </w:p>
    <w:p>
      <w:pPr>
        <w:spacing w:after="0" w:line="191" w:lineRule="exact"/>
        <w:rPr>
          <w:sz w:val="20"/>
          <w:szCs w:val="20"/>
          <w:color w:val="auto"/>
        </w:rPr>
      </w:pPr>
    </w:p>
    <w:p>
      <w:pPr>
        <w:ind w:left="320" w:hanging="317"/>
        <w:spacing w:after="0" w:line="263" w:lineRule="auto"/>
        <w:tabs>
          <w:tab w:leader="none" w:pos="314"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on tax-exempt loans and securities available for sale is presented on a fully tax equivalent basis assuming a marginal tax rate of 21%. See Reconciliation of Non-GAAP Financial Measures.</w:t>
      </w:r>
    </w:p>
    <w:p>
      <w:pPr>
        <w:ind w:left="300" w:hanging="297"/>
        <w:spacing w:after="0"/>
        <w:tabs>
          <w:tab w:leader="none" w:pos="3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Annualized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95"/>
        </w:trPr>
        <w:tc>
          <w:tcPr>
            <w:tcW w:w="260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0000FF"/>
              </w:rPr>
              <w:t>Index</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57"/>
        </w:trPr>
        <w:tc>
          <w:tcPr>
            <w:tcW w:w="380" w:type="dxa"/>
            <w:vAlign w:val="bottom"/>
            <w:tcBorders>
              <w:top w:val="single" w:sz="8" w:color="0000FF"/>
            </w:tcBorders>
          </w:tcPr>
          <w:p>
            <w:pPr>
              <w:spacing w:after="0"/>
              <w:rPr>
                <w:sz w:val="24"/>
                <w:szCs w:val="24"/>
                <w:color w:val="auto"/>
              </w:rPr>
            </w:pPr>
          </w:p>
        </w:tc>
        <w:tc>
          <w:tcPr>
            <w:tcW w:w="2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40" w:type="dxa"/>
            <w:vAlign w:val="bottom"/>
            <w:gridSpan w:val="5"/>
          </w:tcPr>
          <w:p>
            <w:pPr>
              <w:ind w:left="280"/>
              <w:spacing w:after="0"/>
              <w:rPr>
                <w:sz w:val="20"/>
                <w:szCs w:val="20"/>
                <w:color w:val="auto"/>
              </w:rPr>
            </w:pPr>
            <w:r>
              <w:rPr>
                <w:rFonts w:ascii="Times New Roman" w:cs="Times New Roman" w:eastAsia="Times New Roman" w:hAnsi="Times New Roman"/>
                <w:sz w:val="17"/>
                <w:szCs w:val="17"/>
                <w:color w:val="auto"/>
              </w:rPr>
              <w:t>Nine Months Ended September 30,</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rPr>
              <w:t>2026</w:t>
            </w: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rPr>
              <w:t>2025</w:t>
            </w: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Average</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Average</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7"/>
                <w:szCs w:val="17"/>
                <w:color w:val="auto"/>
              </w:rPr>
              <w:t>Balance</w:t>
            </w: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Interest</w:t>
            </w:r>
          </w:p>
        </w:tc>
        <w:tc>
          <w:tcPr>
            <w:tcW w:w="14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Rate (2)</w:t>
            </w: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7"/>
                <w:szCs w:val="17"/>
                <w:color w:val="auto"/>
              </w:rPr>
              <w:t>Balance</w:t>
            </w: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Interest</w:t>
            </w:r>
          </w:p>
        </w:tc>
        <w:tc>
          <w:tcPr>
            <w:tcW w:w="14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Rate (2)</w:t>
            </w:r>
          </w:p>
        </w:tc>
        <w:tc>
          <w:tcPr>
            <w:tcW w:w="0" w:type="dxa"/>
            <w:vAlign w:val="bottom"/>
          </w:tcPr>
          <w:p>
            <w:pPr>
              <w:spacing w:after="0"/>
              <w:rPr>
                <w:sz w:val="1"/>
                <w:szCs w:val="1"/>
                <w:color w:val="auto"/>
              </w:rPr>
            </w:pPr>
          </w:p>
        </w:tc>
      </w:tr>
      <w:tr>
        <w:trPr>
          <w:trHeight w:val="245"/>
        </w:trPr>
        <w:tc>
          <w:tcPr>
            <w:tcW w:w="3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40" w:type="dxa"/>
            <w:vAlign w:val="bottom"/>
            <w:gridSpan w:val="5"/>
          </w:tcPr>
          <w:p>
            <w:pPr>
              <w:ind w:left="720"/>
              <w:spacing w:after="0"/>
              <w:rPr>
                <w:sz w:val="20"/>
                <w:szCs w:val="20"/>
                <w:color w:val="auto"/>
              </w:rPr>
            </w:pPr>
            <w:r>
              <w:rPr>
                <w:rFonts w:ascii="Times New Roman" w:cs="Times New Roman" w:eastAsia="Times New Roman" w:hAnsi="Times New Roman"/>
                <w:sz w:val="17"/>
                <w:szCs w:val="17"/>
                <w:color w:val="auto"/>
              </w:rPr>
              <w:t>(Dollars in thousands)</w:t>
            </w: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Taxable loans</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4,488,893</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188,305</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5.60 %</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4,123,797</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178,407</w:t>
            </w:r>
          </w:p>
        </w:tc>
        <w:tc>
          <w:tcPr>
            <w:tcW w:w="80" w:type="dxa"/>
            <w:vAlign w:val="bottom"/>
            <w:shd w:val="clear" w:color="auto" w:fill="CCEEFF"/>
          </w:tcPr>
          <w:p>
            <w:pPr>
              <w:spacing w:after="0"/>
              <w:rPr>
                <w:sz w:val="22"/>
                <w:szCs w:val="22"/>
                <w:color w:val="auto"/>
              </w:rPr>
            </w:pPr>
          </w:p>
        </w:tc>
        <w:tc>
          <w:tcPr>
            <w:tcW w:w="14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w w:val="99"/>
              </w:rPr>
              <w:t>5.78 %</w:t>
            </w:r>
          </w:p>
        </w:tc>
        <w:tc>
          <w:tcPr>
            <w:tcW w:w="0" w:type="dxa"/>
            <w:vAlign w:val="bottom"/>
          </w:tcPr>
          <w:p>
            <w:pPr>
              <w:spacing w:after="0"/>
              <w:rPr>
                <w:sz w:val="1"/>
                <w:szCs w:val="1"/>
                <w:color w:val="auto"/>
              </w:rPr>
            </w:pPr>
          </w:p>
        </w:tc>
      </w:tr>
      <w:tr>
        <w:trPr>
          <w:trHeight w:val="252"/>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Tax-exempt loans (1)</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20,814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738</w:t>
            </w:r>
          </w:p>
        </w:tc>
        <w:tc>
          <w:tcPr>
            <w:tcW w:w="100" w:type="dxa"/>
            <w:vAlign w:val="bottom"/>
          </w:tcPr>
          <w:p>
            <w:pPr>
              <w:spacing w:after="0"/>
              <w:rPr>
                <w:sz w:val="21"/>
                <w:szCs w:val="21"/>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4.74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7,141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w:t>
            </w:r>
          </w:p>
        </w:tc>
        <w:tc>
          <w:tcPr>
            <w:tcW w:w="80" w:type="dxa"/>
            <w:vAlign w:val="bottom"/>
          </w:tcPr>
          <w:p>
            <w:pPr>
              <w:spacing w:after="0"/>
              <w:rPr>
                <w:sz w:val="21"/>
                <w:szCs w:val="21"/>
                <w:color w:val="auto"/>
              </w:rPr>
            </w:pPr>
          </w:p>
        </w:tc>
        <w:tc>
          <w:tcPr>
            <w:tcW w:w="144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5.25</w:t>
            </w:r>
          </w:p>
        </w:tc>
        <w:tc>
          <w:tcPr>
            <w:tcW w:w="0" w:type="dxa"/>
            <w:vAlign w:val="bottom"/>
          </w:tcPr>
          <w:p>
            <w:pPr>
              <w:spacing w:after="0"/>
              <w:rPr>
                <w:sz w:val="1"/>
                <w:szCs w:val="1"/>
                <w:color w:val="auto"/>
              </w:rPr>
            </w:pPr>
          </w:p>
        </w:tc>
      </w:tr>
      <w:tr>
        <w:trPr>
          <w:trHeight w:val="264"/>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Taxable securities</w:t>
            </w: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532,310</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10,556</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2.64</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594,769</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11,491</w:t>
            </w:r>
          </w:p>
        </w:tc>
        <w:tc>
          <w:tcPr>
            <w:tcW w:w="80" w:type="dxa"/>
            <w:vAlign w:val="bottom"/>
            <w:shd w:val="clear" w:color="auto" w:fill="CCEEFF"/>
          </w:tcPr>
          <w:p>
            <w:pPr>
              <w:spacing w:after="0"/>
              <w:rPr>
                <w:sz w:val="22"/>
                <w:szCs w:val="22"/>
                <w:color w:val="auto"/>
              </w:rPr>
            </w:pPr>
          </w:p>
        </w:tc>
        <w:tc>
          <w:tcPr>
            <w:tcW w:w="14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2.58</w:t>
            </w:r>
          </w:p>
        </w:tc>
        <w:tc>
          <w:tcPr>
            <w:tcW w:w="0" w:type="dxa"/>
            <w:vAlign w:val="bottom"/>
          </w:tcPr>
          <w:p>
            <w:pPr>
              <w:spacing w:after="0"/>
              <w:rPr>
                <w:sz w:val="1"/>
                <w:szCs w:val="1"/>
                <w:color w:val="auto"/>
              </w:rPr>
            </w:pPr>
          </w:p>
        </w:tc>
      </w:tr>
      <w:tr>
        <w:trPr>
          <w:trHeight w:val="264"/>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Tax-exempt securities (1)</w:t>
            </w: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263,297</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9,098</w:t>
            </w:r>
          </w:p>
        </w:tc>
        <w:tc>
          <w:tcPr>
            <w:tcW w:w="100" w:type="dxa"/>
            <w:vAlign w:val="bottom"/>
          </w:tcPr>
          <w:p>
            <w:pPr>
              <w:spacing w:after="0"/>
              <w:rPr>
                <w:sz w:val="23"/>
                <w:szCs w:val="23"/>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4.61</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257,051</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9,590</w:t>
            </w:r>
          </w:p>
        </w:tc>
        <w:tc>
          <w:tcPr>
            <w:tcW w:w="80" w:type="dxa"/>
            <w:vAlign w:val="bottom"/>
          </w:tcPr>
          <w:p>
            <w:pPr>
              <w:spacing w:after="0"/>
              <w:rPr>
                <w:sz w:val="23"/>
                <w:szCs w:val="23"/>
                <w:color w:val="auto"/>
              </w:rPr>
            </w:pPr>
          </w:p>
        </w:tc>
        <w:tc>
          <w:tcPr>
            <w:tcW w:w="144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4.97</w:t>
            </w:r>
          </w:p>
        </w:tc>
        <w:tc>
          <w:tcPr>
            <w:tcW w:w="0" w:type="dxa"/>
            <w:vAlign w:val="bottom"/>
          </w:tcPr>
          <w:p>
            <w:pPr>
              <w:spacing w:after="0"/>
              <w:rPr>
                <w:sz w:val="1"/>
                <w:szCs w:val="1"/>
                <w:color w:val="auto"/>
              </w:rPr>
            </w:pPr>
          </w:p>
        </w:tc>
      </w:tr>
      <w:tr>
        <w:trPr>
          <w:trHeight w:val="264"/>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bearing cash</w:t>
            </w: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94,467</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2,629</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3.72</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92,263</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3,058</w:t>
            </w:r>
          </w:p>
        </w:tc>
        <w:tc>
          <w:tcPr>
            <w:tcW w:w="80" w:type="dxa"/>
            <w:vAlign w:val="bottom"/>
            <w:shd w:val="clear" w:color="auto" w:fill="CCEEFF"/>
          </w:tcPr>
          <w:p>
            <w:pPr>
              <w:spacing w:after="0"/>
              <w:rPr>
                <w:sz w:val="22"/>
                <w:szCs w:val="22"/>
                <w:color w:val="auto"/>
              </w:rPr>
            </w:pPr>
          </w:p>
        </w:tc>
        <w:tc>
          <w:tcPr>
            <w:tcW w:w="14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4.43</w:t>
            </w:r>
          </w:p>
        </w:tc>
        <w:tc>
          <w:tcPr>
            <w:tcW w:w="0" w:type="dxa"/>
            <w:vAlign w:val="bottom"/>
          </w:tcPr>
          <w:p>
            <w:pPr>
              <w:spacing w:after="0"/>
              <w:rPr>
                <w:sz w:val="1"/>
                <w:szCs w:val="1"/>
                <w:color w:val="auto"/>
              </w:rPr>
            </w:pPr>
          </w:p>
        </w:tc>
      </w:tr>
      <w:tr>
        <w:trPr>
          <w:trHeight w:val="252"/>
        </w:trPr>
        <w:tc>
          <w:tcPr>
            <w:tcW w:w="2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Other investments</w:t>
            </w: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18,385</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901</w:t>
            </w:r>
          </w:p>
        </w:tc>
        <w:tc>
          <w:tcPr>
            <w:tcW w:w="100" w:type="dxa"/>
            <w:vAlign w:val="bottom"/>
            <w:tcBorders>
              <w:bottom w:val="single" w:sz="8" w:color="CCEEFF"/>
            </w:tcBorders>
          </w:tcPr>
          <w:p>
            <w:pPr>
              <w:spacing w:after="0"/>
              <w:rPr>
                <w:sz w:val="21"/>
                <w:szCs w:val="21"/>
                <w:color w:val="auto"/>
              </w:rPr>
            </w:pPr>
          </w:p>
        </w:tc>
        <w:tc>
          <w:tcPr>
            <w:tcW w:w="1440" w:type="dxa"/>
            <w:vAlign w:val="bottom"/>
            <w:tcBorders>
              <w:bottom w:val="single" w:sz="8" w:color="CCEEFF"/>
            </w:tcBorders>
          </w:tcPr>
          <w:p>
            <w:pPr>
              <w:ind w:left="920"/>
              <w:spacing w:after="0"/>
              <w:rPr>
                <w:sz w:val="20"/>
                <w:szCs w:val="20"/>
                <w:color w:val="auto"/>
              </w:rPr>
            </w:pPr>
            <w:r>
              <w:rPr>
                <w:rFonts w:ascii="Times New Roman" w:cs="Times New Roman" w:eastAsia="Times New Roman" w:hAnsi="Times New Roman"/>
                <w:sz w:val="17"/>
                <w:szCs w:val="17"/>
                <w:color w:val="auto"/>
              </w:rPr>
              <w:t>6.53</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16,731</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825</w:t>
            </w:r>
          </w:p>
        </w:tc>
        <w:tc>
          <w:tcPr>
            <w:tcW w:w="80" w:type="dxa"/>
            <w:vAlign w:val="bottom"/>
            <w:tcBorders>
              <w:bottom w:val="single" w:sz="8" w:color="CCEEFF"/>
            </w:tcBorders>
          </w:tcPr>
          <w:p>
            <w:pPr>
              <w:spacing w:after="0"/>
              <w:rPr>
                <w:sz w:val="21"/>
                <w:szCs w:val="21"/>
                <w:color w:val="auto"/>
              </w:rPr>
            </w:pPr>
          </w:p>
        </w:tc>
        <w:tc>
          <w:tcPr>
            <w:tcW w:w="1440" w:type="dxa"/>
            <w:vAlign w:val="bottom"/>
            <w:tcBorders>
              <w:bottom w:val="single" w:sz="8" w:color="CCEEFF"/>
            </w:tcBorders>
          </w:tcPr>
          <w:p>
            <w:pPr>
              <w:ind w:left="940"/>
              <w:spacing w:after="0"/>
              <w:rPr>
                <w:sz w:val="20"/>
                <w:szCs w:val="20"/>
                <w:color w:val="auto"/>
              </w:rPr>
            </w:pPr>
            <w:r>
              <w:rPr>
                <w:rFonts w:ascii="Times New Roman" w:cs="Times New Roman" w:eastAsia="Times New Roman" w:hAnsi="Times New Roman"/>
                <w:sz w:val="17"/>
                <w:szCs w:val="17"/>
                <w:color w:val="auto"/>
              </w:rPr>
              <w:t>6.57</w:t>
            </w:r>
          </w:p>
        </w:tc>
        <w:tc>
          <w:tcPr>
            <w:tcW w:w="0" w:type="dxa"/>
            <w:vAlign w:val="bottom"/>
          </w:tcPr>
          <w:p>
            <w:pPr>
              <w:spacing w:after="0"/>
              <w:rPr>
                <w:sz w:val="1"/>
                <w:szCs w:val="1"/>
                <w:color w:val="auto"/>
              </w:rPr>
            </w:pPr>
          </w:p>
        </w:tc>
      </w:tr>
      <w:tr>
        <w:trPr>
          <w:trHeight w:val="257"/>
        </w:trPr>
        <w:tc>
          <w:tcPr>
            <w:tcW w:w="26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Interest Earning Assets</w:t>
            </w: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5,418,166</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212,227</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5.23</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5,091,752</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203,651</w:t>
            </w:r>
          </w:p>
        </w:tc>
        <w:tc>
          <w:tcPr>
            <w:tcW w:w="80" w:type="dxa"/>
            <w:vAlign w:val="bottom"/>
            <w:shd w:val="clear" w:color="auto" w:fill="CCEEFF"/>
          </w:tcPr>
          <w:p>
            <w:pPr>
              <w:spacing w:after="0"/>
              <w:rPr>
                <w:sz w:val="22"/>
                <w:szCs w:val="22"/>
                <w:color w:val="auto"/>
              </w:rPr>
            </w:pPr>
          </w:p>
        </w:tc>
        <w:tc>
          <w:tcPr>
            <w:tcW w:w="14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5.34</w:t>
            </w:r>
          </w:p>
        </w:tc>
        <w:tc>
          <w:tcPr>
            <w:tcW w:w="0" w:type="dxa"/>
            <w:vAlign w:val="bottom"/>
          </w:tcPr>
          <w:p>
            <w:pPr>
              <w:spacing w:after="0"/>
              <w:rPr>
                <w:sz w:val="1"/>
                <w:szCs w:val="1"/>
                <w:color w:val="auto"/>
              </w:rPr>
            </w:pPr>
          </w:p>
        </w:tc>
      </w:tr>
      <w:tr>
        <w:trPr>
          <w:trHeight w:val="252"/>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Cash and due from banks</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59,597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56,073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 net</w:t>
            </w:r>
          </w:p>
        </w:tc>
        <w:tc>
          <w:tcPr>
            <w:tcW w:w="2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275,955</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237,413</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Total Assets</w:t>
            </w: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5,753,718</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5,385,238</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8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Savings and interest-bearing</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checking</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3,149,161</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37,691</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1.60</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2,827,773</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38,731</w:t>
            </w:r>
          </w:p>
        </w:tc>
        <w:tc>
          <w:tcPr>
            <w:tcW w:w="80" w:type="dxa"/>
            <w:vAlign w:val="bottom"/>
            <w:shd w:val="clear" w:color="auto" w:fill="CCEEFF"/>
          </w:tcPr>
          <w:p>
            <w:pPr>
              <w:spacing w:after="0"/>
              <w:rPr>
                <w:sz w:val="20"/>
                <w:szCs w:val="20"/>
                <w:color w:val="auto"/>
              </w:rPr>
            </w:pPr>
          </w:p>
        </w:tc>
        <w:tc>
          <w:tcPr>
            <w:tcW w:w="14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1.83</w:t>
            </w:r>
          </w:p>
        </w:tc>
        <w:tc>
          <w:tcPr>
            <w:tcW w:w="0" w:type="dxa"/>
            <w:vAlign w:val="bottom"/>
          </w:tcPr>
          <w:p>
            <w:pPr>
              <w:spacing w:after="0"/>
              <w:rPr>
                <w:sz w:val="1"/>
                <w:szCs w:val="1"/>
                <w:color w:val="auto"/>
              </w:rPr>
            </w:pPr>
          </w:p>
        </w:tc>
      </w:tr>
      <w:tr>
        <w:trPr>
          <w:trHeight w:val="252"/>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Time deposits</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842,849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20,317</w:t>
            </w:r>
          </w:p>
        </w:tc>
        <w:tc>
          <w:tcPr>
            <w:tcW w:w="100" w:type="dxa"/>
            <w:vAlign w:val="bottom"/>
          </w:tcPr>
          <w:p>
            <w:pPr>
              <w:spacing w:after="0"/>
              <w:rPr>
                <w:sz w:val="21"/>
                <w:szCs w:val="21"/>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3.22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887,385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24,658</w:t>
            </w:r>
          </w:p>
        </w:tc>
        <w:tc>
          <w:tcPr>
            <w:tcW w:w="80" w:type="dxa"/>
            <w:vAlign w:val="bottom"/>
          </w:tcPr>
          <w:p>
            <w:pPr>
              <w:spacing w:after="0"/>
              <w:rPr>
                <w:sz w:val="21"/>
                <w:szCs w:val="21"/>
                <w:color w:val="auto"/>
              </w:rPr>
            </w:pPr>
          </w:p>
        </w:tc>
        <w:tc>
          <w:tcPr>
            <w:tcW w:w="144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3.72</w:t>
            </w:r>
          </w:p>
        </w:tc>
        <w:tc>
          <w:tcPr>
            <w:tcW w:w="0" w:type="dxa"/>
            <w:vAlign w:val="bottom"/>
          </w:tcPr>
          <w:p>
            <w:pPr>
              <w:spacing w:after="0"/>
              <w:rPr>
                <w:sz w:val="1"/>
                <w:szCs w:val="1"/>
                <w:color w:val="auto"/>
              </w:rPr>
            </w:pPr>
          </w:p>
        </w:tc>
      </w:tr>
      <w:tr>
        <w:trPr>
          <w:trHeight w:val="222"/>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borrowings and subordinated</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debt</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67,004</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5.50</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93,520</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5,262</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7.51</w:t>
            </w:r>
          </w:p>
        </w:tc>
        <w:tc>
          <w:tcPr>
            <w:tcW w:w="0" w:type="dxa"/>
            <w:vAlign w:val="bottom"/>
          </w:tcPr>
          <w:p>
            <w:pPr>
              <w:spacing w:after="0"/>
              <w:rPr>
                <w:sz w:val="1"/>
                <w:szCs w:val="1"/>
                <w:color w:val="auto"/>
              </w:rPr>
            </w:pPr>
          </w:p>
        </w:tc>
      </w:tr>
      <w:tr>
        <w:trPr>
          <w:trHeight w:val="251"/>
        </w:trPr>
        <w:tc>
          <w:tcPr>
            <w:tcW w:w="26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Interest Bearing Liabilities</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4,059,014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60,764</w:t>
            </w:r>
          </w:p>
        </w:tc>
        <w:tc>
          <w:tcPr>
            <w:tcW w:w="100" w:type="dxa"/>
            <w:vAlign w:val="bottom"/>
          </w:tcPr>
          <w:p>
            <w:pPr>
              <w:spacing w:after="0"/>
              <w:rPr>
                <w:sz w:val="21"/>
                <w:szCs w:val="21"/>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2.00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3,808,678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68,651</w:t>
            </w:r>
          </w:p>
        </w:tc>
        <w:tc>
          <w:tcPr>
            <w:tcW w:w="80" w:type="dxa"/>
            <w:vAlign w:val="bottom"/>
          </w:tcPr>
          <w:p>
            <w:pPr>
              <w:spacing w:after="0"/>
              <w:rPr>
                <w:sz w:val="21"/>
                <w:szCs w:val="21"/>
                <w:color w:val="auto"/>
              </w:rPr>
            </w:pPr>
          </w:p>
        </w:tc>
        <w:tc>
          <w:tcPr>
            <w:tcW w:w="144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2.41</w:t>
            </w:r>
          </w:p>
        </w:tc>
        <w:tc>
          <w:tcPr>
            <w:tcW w:w="0" w:type="dxa"/>
            <w:vAlign w:val="bottom"/>
          </w:tcPr>
          <w:p>
            <w:pPr>
              <w:spacing w:after="0"/>
              <w:rPr>
                <w:sz w:val="1"/>
                <w:szCs w:val="1"/>
                <w:color w:val="auto"/>
              </w:rPr>
            </w:pPr>
          </w:p>
        </w:tc>
      </w:tr>
      <w:tr>
        <w:trPr>
          <w:trHeight w:val="264"/>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Non-interest bearing deposits</w:t>
            </w: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1,047,109</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1,001,228</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110,343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108,799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Shareholders’ equity</w:t>
            </w:r>
          </w:p>
        </w:tc>
        <w:tc>
          <w:tcPr>
            <w:tcW w:w="2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537,252</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466,533</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3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80" w:type="dxa"/>
            <w:vAlign w:val="bottom"/>
            <w:shd w:val="clear" w:color="auto" w:fill="CCEEFF"/>
          </w:tcPr>
          <w:p>
            <w:pPr>
              <w:spacing w:after="0"/>
              <w:rPr>
                <w:sz w:val="19"/>
                <w:szCs w:val="19"/>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liabilities and</w:t>
            </w:r>
          </w:p>
        </w:tc>
        <w:tc>
          <w:tcPr>
            <w:tcW w:w="24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5,753,718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5,385,238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80" w:type="dxa"/>
            <w:vAlign w:val="bottom"/>
            <w:shd w:val="clear" w:color="auto" w:fill="CCEEFF"/>
          </w:tcPr>
          <w:p>
            <w:pPr>
              <w:spacing w:after="0"/>
              <w:rPr>
                <w:sz w:val="21"/>
                <w:szCs w:val="21"/>
                <w:color w:val="auto"/>
              </w:rPr>
            </w:pPr>
          </w:p>
        </w:tc>
        <w:tc>
          <w:tcPr>
            <w:tcW w:w="2220" w:type="dxa"/>
            <w:vAlign w:val="bottom"/>
            <w:shd w:val="clear" w:color="auto" w:fill="CCEEFF"/>
          </w:tcPr>
          <w:p>
            <w:pPr>
              <w:jc w:val="center"/>
              <w:ind w:right="374"/>
              <w:spacing w:after="0"/>
              <w:rPr>
                <w:sz w:val="20"/>
                <w:szCs w:val="20"/>
                <w:color w:val="auto"/>
              </w:rPr>
            </w:pPr>
            <w:r>
              <w:rPr>
                <w:rFonts w:ascii="Times New Roman" w:cs="Times New Roman" w:eastAsia="Times New Roman" w:hAnsi="Times New Roman"/>
                <w:sz w:val="17"/>
                <w:szCs w:val="17"/>
                <w:color w:val="auto"/>
              </w:rPr>
              <w:t>shareholders’ equity</w:t>
            </w:r>
          </w:p>
        </w:tc>
        <w:tc>
          <w:tcPr>
            <w:tcW w:w="240" w:type="dxa"/>
            <w:vAlign w:val="bottom"/>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320" w:type="dxa"/>
            <w:vAlign w:val="bottom"/>
            <w:gridSpan w:val="2"/>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380" w:type="dxa"/>
            <w:vAlign w:val="bottom"/>
            <w:tcBorders>
              <w:bottom w:val="single" w:sz="8" w:color="CCEEFF"/>
            </w:tcBorders>
            <w:shd w:val="clear" w:color="auto" w:fill="CCEEFF"/>
          </w:tcPr>
          <w:p>
            <w:pPr>
              <w:spacing w:after="0"/>
              <w:rPr>
                <w:sz w:val="24"/>
                <w:szCs w:val="24"/>
                <w:color w:val="auto"/>
              </w:rPr>
            </w:pPr>
          </w:p>
        </w:tc>
        <w:tc>
          <w:tcPr>
            <w:tcW w:w="2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Net Interest Income</w:t>
            </w:r>
          </w:p>
        </w:tc>
        <w:tc>
          <w:tcPr>
            <w:tcW w:w="2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151,463</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135,000</w:t>
            </w:r>
          </w:p>
        </w:tc>
        <w:tc>
          <w:tcPr>
            <w:tcW w:w="8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Net Interest Income as a Percent of</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vMerge w:val="restart"/>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3.73 %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vMerge w:val="restart"/>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w w:val="99"/>
              </w:rPr>
              <w:t>3.54 %</w:t>
            </w:r>
          </w:p>
        </w:tc>
        <w:tc>
          <w:tcPr>
            <w:tcW w:w="0" w:type="dxa"/>
            <w:vAlign w:val="bottom"/>
          </w:tcPr>
          <w:p>
            <w:pPr>
              <w:spacing w:after="0"/>
              <w:rPr>
                <w:sz w:val="1"/>
                <w:szCs w:val="1"/>
                <w:color w:val="auto"/>
              </w:rPr>
            </w:pPr>
          </w:p>
        </w:tc>
      </w:tr>
      <w:tr>
        <w:trPr>
          <w:trHeight w:val="243"/>
        </w:trPr>
        <w:tc>
          <w:tcPr>
            <w:tcW w:w="26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Average Interest Earning Assets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w:t>
      </w:r>
    </w:p>
    <w:p>
      <w:pPr>
        <w:spacing w:after="0" w:line="178" w:lineRule="exact"/>
        <w:rPr>
          <w:sz w:val="20"/>
          <w:szCs w:val="20"/>
          <w:color w:val="auto"/>
        </w:rPr>
      </w:pPr>
    </w:p>
    <w:p>
      <w:pPr>
        <w:ind w:left="320" w:hanging="317"/>
        <w:spacing w:after="0" w:line="263" w:lineRule="auto"/>
        <w:tabs>
          <w:tab w:leader="none" w:pos="314"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on tax-exempt loans and securities available for sale is presented on a fully tax equivalent basis assuming a marginal tax rate of 21%. See Reconciliation of Non-GAAP Financial Measures.</w:t>
      </w:r>
    </w:p>
    <w:p>
      <w:pPr>
        <w:ind w:left="300" w:hanging="297"/>
        <w:spacing w:after="0"/>
        <w:tabs>
          <w:tab w:leader="none" w:pos="3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95"/>
        </w:trPr>
        <w:tc>
          <w:tcPr>
            <w:tcW w:w="474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0000FF"/>
              </w:rPr>
              <w:t>Index</w:t>
            </w: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960"/>
        </w:trPr>
        <w:tc>
          <w:tcPr>
            <w:tcW w:w="47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Reconciliation of Non-GAAP Financial Measures</w:t>
            </w: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38"/>
        </w:trPr>
        <w:tc>
          <w:tcPr>
            <w:tcW w:w="3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Three Months Ended</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Nine Months Ended</w:t>
            </w:r>
          </w:p>
        </w:tc>
        <w:tc>
          <w:tcPr>
            <w:tcW w:w="840" w:type="dxa"/>
            <w:vAlign w:val="bottom"/>
          </w:tcPr>
          <w:p>
            <w:pPr>
              <w:spacing w:after="0"/>
              <w:rPr>
                <w:sz w:val="24"/>
                <w:szCs w:val="24"/>
                <w:color w:val="auto"/>
              </w:rPr>
            </w:pPr>
          </w:p>
        </w:tc>
      </w:tr>
      <w:tr>
        <w:trPr>
          <w:trHeight w:val="263"/>
        </w:trPr>
        <w:tc>
          <w:tcPr>
            <w:tcW w:w="38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16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7"/>
                <w:szCs w:val="17"/>
                <w:color w:val="auto"/>
              </w:rPr>
              <w:t>September 30, 2026</w:t>
            </w:r>
          </w:p>
        </w:tc>
        <w:tc>
          <w:tcPr>
            <w:tcW w:w="16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7"/>
                <w:szCs w:val="17"/>
                <w:color w:val="auto"/>
              </w:rPr>
              <w:t>September 30, 2025</w:t>
            </w:r>
          </w:p>
        </w:tc>
        <w:tc>
          <w:tcPr>
            <w:tcW w:w="16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7"/>
                <w:szCs w:val="17"/>
                <w:color w:val="auto"/>
              </w:rPr>
              <w:t>September 30, 2026</w:t>
            </w: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September 30, 2025</w:t>
            </w:r>
          </w:p>
        </w:tc>
      </w:tr>
      <w:tr>
        <w:trPr>
          <w:trHeight w:val="232"/>
        </w:trPr>
        <w:tc>
          <w:tcPr>
            <w:tcW w:w="38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(Dollars in thousands)</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45"/>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Net Interest Margin, Fully Taxable Equivalent ("FTE")</w:t>
            </w:r>
          </w:p>
        </w:tc>
        <w:tc>
          <w:tcPr>
            <w:tcW w:w="4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0"/>
        </w:trPr>
        <w:tc>
          <w:tcPr>
            <w:tcW w:w="4740" w:type="dxa"/>
            <w:vAlign w:val="bottom"/>
            <w:gridSpan w:val="2"/>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58"/>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interest income</w:t>
            </w: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55,257</w:t>
            </w:r>
          </w:p>
        </w:tc>
        <w:tc>
          <w:tcPr>
            <w:tcW w:w="8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45,361</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150,014</w:t>
            </w:r>
          </w:p>
        </w:tc>
        <w:tc>
          <w:tcPr>
            <w:tcW w:w="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133,661</w:t>
            </w:r>
          </w:p>
        </w:tc>
      </w:tr>
      <w:tr>
        <w:trPr>
          <w:trHeight w:val="264"/>
        </w:trPr>
        <w:tc>
          <w:tcPr>
            <w:tcW w:w="47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7"/>
                <w:szCs w:val="17"/>
                <w:color w:val="auto"/>
              </w:rPr>
              <w:t>Add: taxable equivalent adjustment</w:t>
            </w: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564</w:t>
            </w:r>
          </w:p>
        </w:tc>
        <w:tc>
          <w:tcPr>
            <w:tcW w:w="8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443</w:t>
            </w: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1,449</w:t>
            </w:r>
          </w:p>
        </w:tc>
        <w:tc>
          <w:tcPr>
            <w:tcW w:w="8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1,339</w:t>
            </w:r>
          </w:p>
        </w:tc>
      </w:tr>
      <w:tr>
        <w:trPr>
          <w:trHeight w:val="283"/>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interest income - taxable equivalent</w:t>
            </w:r>
          </w:p>
        </w:tc>
        <w:tc>
          <w:tcPr>
            <w:tcW w:w="48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55,821</w:t>
            </w:r>
          </w:p>
        </w:tc>
        <w:tc>
          <w:tcPr>
            <w:tcW w:w="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45,804</w:t>
            </w: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55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151,463</w:t>
            </w:r>
          </w:p>
        </w:tc>
        <w:tc>
          <w:tcPr>
            <w:tcW w:w="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135,000</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interest margin (GAAP) (1)</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3.79 %</w:t>
            </w:r>
          </w:p>
        </w:tc>
        <w:tc>
          <w:tcPr>
            <w:tcW w:w="80" w:type="dxa"/>
            <w:vAlign w:val="bottom"/>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3.51 %</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3.70 %</w:t>
            </w:r>
          </w:p>
        </w:tc>
        <w:tc>
          <w:tcPr>
            <w:tcW w:w="80" w:type="dxa"/>
            <w:vAlign w:val="bottom"/>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3.50 %</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74"/>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interest margin (Non-GAAP FTE) (1)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3.82 %</w:t>
            </w:r>
          </w:p>
        </w:tc>
        <w:tc>
          <w:tcPr>
            <w:tcW w:w="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3.54 %</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3.73 %</w:t>
            </w:r>
          </w:p>
        </w:tc>
        <w:tc>
          <w:tcPr>
            <w:tcW w:w="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3.54 %</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Annualized.</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Provision for credit losses. </w:t>
      </w:r>
      <w:r>
        <w:rPr>
          <w:rFonts w:ascii="Times New Roman" w:cs="Times New Roman" w:eastAsia="Times New Roman" w:hAnsi="Times New Roman"/>
          <w:sz w:val="17"/>
          <w:szCs w:val="17"/>
          <w:color w:val="auto"/>
        </w:rPr>
        <w:t>The provision for credit losses was an expense of $4.8 million and an expense of $2.0 million for the three months ended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September 30, 2026 and 2025, respectively. During the nine-month periods ended September 30, 2026 and 2025, the provision for credit losses was an expense of $7.9 million and an expense of $4.2 million, respectively.</w:t>
      </w:r>
    </w:p>
    <w:p>
      <w:pPr>
        <w:spacing w:after="0" w:line="1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provision reflects our assessment of the allowance for credit losses (the “ACL”) taking into consideration factors such as loan growth, loan mix, levels of non-performing and classified loans, economic conditions and loan net charge-offs. While we use relevant information to recognize losses on loans, additional provisions for related losses may be necessary based on changes in economic conditions, customer circumstances and other credit risk factors. See “Portfolio Loans and asset quality” for a discussion of the various components of the ACL and their impact on the provision for credit losses in 2026.</w:t>
      </w:r>
    </w:p>
    <w:p>
      <w:pPr>
        <w:spacing w:after="0" w:line="1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increase in the provision for credit losses expense from the prior year period is primarily due to the commercial portfolios reflecting an increase in specific reserves on certain individually evaluated commercial loan relationships and net loan growth as well as an increase in the reserve on unfunded lending commitments (attributed to an increase in commitments outstanding as well as the mix of new commitments). Partially offsetting these increases was a decrease in net newly allocated losses in the retail loan portfolios reflecting fewer retail loans requiring incremental expected credit loss allocations during the quarter as well as a decrease in the adjustment to allocations based on subjective factors (for the year to date period). That reduction in allocations based on subjective factors reflects our annual CECL model recalibration, which resulted in minimal changes to the quantitative estimate and demonstrated continued model maturity. The reduction also reflected our assessment of current economic conditions, portfolio performance, business survey results, stable collateral values and reduced regulatory risk.</w:t>
      </w:r>
    </w:p>
    <w:p>
      <w:pPr>
        <w:spacing w:after="0" w:line="34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quarter to date and year to date provision for credit losses on securities HTM was a credit of $0.03 million in 2026, compared with a quarter to date and year to date credit of $0.04 million in 2025. See Note #3 to the interim Condensed Consolidated Financial Statements included within this report for further discussion.</w:t>
      </w:r>
    </w:p>
    <w:p>
      <w:pPr>
        <w:spacing w:after="0" w:line="10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Non-interest income. </w:t>
      </w:r>
      <w:r>
        <w:rPr>
          <w:rFonts w:ascii="Times New Roman" w:cs="Times New Roman" w:eastAsia="Times New Roman" w:hAnsi="Times New Roman"/>
          <w:sz w:val="17"/>
          <w:szCs w:val="17"/>
          <w:color w:val="auto"/>
        </w:rPr>
        <w:t>Non-interest income is a significant element in assessing our results of operations. Non-interest income totaled $15.8 million during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third quarter of 2026 compared to $11.9 million in the third quarter of 2025. For the first nine months of 2026, non-interest income totaled $43.2 million compared to $33.7 million for the first nine months of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95"/>
        </w:trPr>
        <w:tc>
          <w:tcPr>
            <w:tcW w:w="504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0000FF"/>
              </w:rPr>
              <w:t>Index</w:t>
            </w: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960"/>
        </w:trPr>
        <w:tc>
          <w:tcPr>
            <w:tcW w:w="5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components of non-interest income are as follows:</w:t>
            </w: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87"/>
        </w:trPr>
        <w:tc>
          <w:tcPr>
            <w:tcW w:w="50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Non-Interest Income</w:t>
            </w: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25"/>
        </w:trPr>
        <w:tc>
          <w:tcPr>
            <w:tcW w:w="3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3140" w:type="dxa"/>
            <w:vAlign w:val="bottom"/>
            <w:gridSpan w:val="6"/>
          </w:tcPr>
          <w:p>
            <w:pPr>
              <w:ind w:left="280"/>
              <w:spacing w:after="0"/>
              <w:rPr>
                <w:sz w:val="20"/>
                <w:szCs w:val="20"/>
                <w:color w:val="auto"/>
              </w:rPr>
            </w:pPr>
            <w:r>
              <w:rPr>
                <w:rFonts w:ascii="Times New Roman" w:cs="Times New Roman" w:eastAsia="Times New Roman" w:hAnsi="Times New Roman"/>
                <w:sz w:val="17"/>
                <w:szCs w:val="17"/>
                <w:color w:val="auto"/>
              </w:rPr>
              <w:t>Three Months Ended September 30,</w:t>
            </w:r>
          </w:p>
        </w:tc>
        <w:tc>
          <w:tcPr>
            <w:tcW w:w="220" w:type="dxa"/>
            <w:vAlign w:val="bottom"/>
          </w:tcPr>
          <w:p>
            <w:pPr>
              <w:spacing w:after="0"/>
              <w:rPr>
                <w:sz w:val="24"/>
                <w:szCs w:val="24"/>
                <w:color w:val="auto"/>
              </w:rPr>
            </w:pPr>
          </w:p>
        </w:tc>
        <w:tc>
          <w:tcPr>
            <w:tcW w:w="2840" w:type="dxa"/>
            <w:vAlign w:val="bottom"/>
            <w:gridSpan w:val="4"/>
          </w:tcPr>
          <w:p>
            <w:pPr>
              <w:jc w:val="right"/>
              <w:ind w:right="234"/>
              <w:spacing w:after="0"/>
              <w:rPr>
                <w:sz w:val="20"/>
                <w:szCs w:val="20"/>
                <w:color w:val="auto"/>
              </w:rPr>
            </w:pPr>
            <w:r>
              <w:rPr>
                <w:rFonts w:ascii="Times New Roman" w:cs="Times New Roman" w:eastAsia="Times New Roman" w:hAnsi="Times New Roman"/>
                <w:sz w:val="17"/>
                <w:szCs w:val="17"/>
                <w:color w:val="auto"/>
              </w:rPr>
              <w:t>Nine Months Ended September 30,</w:t>
            </w:r>
          </w:p>
        </w:tc>
      </w:tr>
      <w:tr>
        <w:trPr>
          <w:trHeight w:val="251"/>
        </w:trPr>
        <w:tc>
          <w:tcPr>
            <w:tcW w:w="380" w:type="dxa"/>
            <w:vAlign w:val="bottom"/>
          </w:tcPr>
          <w:p>
            <w:pPr>
              <w:spacing w:after="0"/>
              <w:rPr>
                <w:sz w:val="21"/>
                <w:szCs w:val="21"/>
                <w:color w:val="auto"/>
              </w:rPr>
            </w:pPr>
          </w:p>
        </w:tc>
        <w:tc>
          <w:tcPr>
            <w:tcW w:w="4660" w:type="dxa"/>
            <w:vAlign w:val="bottom"/>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2026</w:t>
            </w: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2025</w:t>
            </w:r>
          </w:p>
        </w:tc>
        <w:tc>
          <w:tcPr>
            <w:tcW w:w="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2026</w:t>
            </w:r>
          </w:p>
        </w:tc>
        <w:tc>
          <w:tcPr>
            <w:tcW w:w="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2025</w:t>
            </w:r>
          </w:p>
        </w:tc>
      </w:tr>
      <w:tr>
        <w:trPr>
          <w:trHeight w:val="251"/>
        </w:trPr>
        <w:tc>
          <w:tcPr>
            <w:tcW w:w="380" w:type="dxa"/>
            <w:vAlign w:val="bottom"/>
          </w:tcPr>
          <w:p>
            <w:pPr>
              <w:spacing w:after="0"/>
              <w:rPr>
                <w:sz w:val="21"/>
                <w:szCs w:val="21"/>
                <w:color w:val="auto"/>
              </w:rPr>
            </w:pPr>
          </w:p>
        </w:tc>
        <w:tc>
          <w:tcPr>
            <w:tcW w:w="4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0" w:type="dxa"/>
            <w:vAlign w:val="bottom"/>
            <w:gridSpan w:val="5"/>
          </w:tcPr>
          <w:p>
            <w:pPr>
              <w:ind w:left="700"/>
              <w:spacing w:after="0"/>
              <w:rPr>
                <w:sz w:val="20"/>
                <w:szCs w:val="20"/>
                <w:color w:val="auto"/>
              </w:rPr>
            </w:pPr>
            <w:r>
              <w:rPr>
                <w:rFonts w:ascii="Times New Roman" w:cs="Times New Roman" w:eastAsia="Times New Roman" w:hAnsi="Times New Roman"/>
                <w:sz w:val="17"/>
                <w:szCs w:val="17"/>
                <w:color w:val="auto"/>
              </w:rPr>
              <w:t>(In thousands)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4"/>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Interchange income</w:t>
            </w:r>
          </w:p>
        </w:tc>
        <w:tc>
          <w:tcPr>
            <w:tcW w:w="94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4,157</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11,448</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10,674</w:t>
            </w:r>
          </w:p>
        </w:tc>
      </w:tr>
      <w:tr>
        <w:trPr>
          <w:trHeight w:val="252"/>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Service charges on deposit accounts</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9,388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8,926</w:t>
            </w:r>
          </w:p>
        </w:tc>
      </w:tr>
      <w:tr>
        <w:trPr>
          <w:trHeight w:val="264"/>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gains (losses) on assets</w:t>
            </w:r>
          </w:p>
        </w:tc>
        <w:tc>
          <w:tcPr>
            <w:tcW w:w="9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2"/>
        </w:trPr>
        <w:tc>
          <w:tcPr>
            <w:tcW w:w="50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Mortgage loans</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5,408</w:t>
            </w:r>
          </w:p>
        </w:tc>
      </w:tr>
      <w:tr>
        <w:trPr>
          <w:trHeight w:val="264"/>
        </w:trPr>
        <w:tc>
          <w:tcPr>
            <w:tcW w:w="5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Equity securities at fair value</w:t>
            </w:r>
          </w:p>
        </w:tc>
        <w:tc>
          <w:tcPr>
            <w:tcW w:w="9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1,665</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2"/>
        </w:trPr>
        <w:tc>
          <w:tcPr>
            <w:tcW w:w="50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Securities available for sale</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w:t>
            </w:r>
          </w:p>
        </w:tc>
      </w:tr>
      <w:tr>
        <w:trPr>
          <w:trHeight w:val="264"/>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Mortgage loan servicing, net</w:t>
            </w:r>
          </w:p>
        </w:tc>
        <w:tc>
          <w:tcPr>
            <w:tcW w:w="9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8,180</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r>
      <w:tr>
        <w:trPr>
          <w:trHeight w:val="252"/>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Investment and insurance commissions</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2,504</w:t>
            </w:r>
          </w:p>
        </w:tc>
      </w:tr>
      <w:tr>
        <w:trPr>
          <w:trHeight w:val="264"/>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Bank owned life insurance</w:t>
            </w:r>
          </w:p>
        </w:tc>
        <w:tc>
          <w:tcPr>
            <w:tcW w:w="9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1,097</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881</w:t>
            </w:r>
          </w:p>
        </w:tc>
      </w:tr>
      <w:tr>
        <w:trPr>
          <w:trHeight w:val="252"/>
        </w:trPr>
        <w:tc>
          <w:tcPr>
            <w:tcW w:w="5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9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1,909</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5,298</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5,720</w:t>
            </w:r>
          </w:p>
        </w:tc>
      </w:tr>
      <w:tr>
        <w:trPr>
          <w:trHeight w:val="276"/>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non-interest income</w:t>
            </w:r>
          </w:p>
        </w:tc>
        <w:tc>
          <w:tcPr>
            <w:tcW w:w="940" w:type="dxa"/>
            <w:vAlign w:val="bottom"/>
            <w:tcBorders>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15,808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11,937</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43,190</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33,686</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46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Interchange income increased on a comparative quarterly and year-to-date basis in 2026 as compared to 2025. The quarterly and year-to-date increases were primarily due to an increase in volume of these transactions. The volume of transactions were favorably impacted by the Merger during these periods.</w:t>
      </w:r>
    </w:p>
    <w:p>
      <w:pPr>
        <w:spacing w:after="0" w:line="11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Service charges on deposit accounts increased on a comparative quarterly and year-to-date basis in 2026 as compared to 2025. The quarterly and year-to-date increases were principally due to the impact of the Merger and increases in treasury management fees.</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20" w:type="dxa"/>
            <w:vAlign w:val="bottom"/>
          </w:tcPr>
          <w:p>
            <w:pPr>
              <w:spacing w:after="0"/>
              <w:rPr>
                <w:sz w:val="20"/>
                <w:szCs w:val="20"/>
                <w:color w:val="auto"/>
              </w:rPr>
            </w:pPr>
            <w:r>
              <w:rPr>
                <w:rFonts w:ascii="Times New Roman" w:cs="Times New Roman" w:eastAsia="Times New Roman" w:hAnsi="Times New Roman"/>
                <w:sz w:val="17"/>
                <w:szCs w:val="17"/>
                <w:color w:val="auto"/>
              </w:rPr>
              <w:t>Mortgage loan activity is summarized as follows:</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74"/>
        </w:trPr>
        <w:tc>
          <w:tcPr>
            <w:tcW w:w="46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Mortgage Loan Activity</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51"/>
        </w:trPr>
        <w:tc>
          <w:tcPr>
            <w:tcW w:w="4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20" w:type="dxa"/>
            <w:vAlign w:val="bottom"/>
            <w:gridSpan w:val="3"/>
          </w:tcPr>
          <w:p>
            <w:pPr>
              <w:jc w:val="right"/>
              <w:ind w:right="334"/>
              <w:spacing w:after="0"/>
              <w:rPr>
                <w:sz w:val="20"/>
                <w:szCs w:val="20"/>
                <w:color w:val="auto"/>
              </w:rPr>
            </w:pPr>
            <w:r>
              <w:rPr>
                <w:rFonts w:ascii="Times New Roman" w:cs="Times New Roman" w:eastAsia="Times New Roman" w:hAnsi="Times New Roman"/>
                <w:sz w:val="17"/>
                <w:szCs w:val="17"/>
                <w:color w:val="auto"/>
              </w:rPr>
              <w:t>Three Months Ended September 30,</w:t>
            </w:r>
          </w:p>
        </w:tc>
        <w:tc>
          <w:tcPr>
            <w:tcW w:w="280" w:type="dxa"/>
            <w:vAlign w:val="bottom"/>
          </w:tcPr>
          <w:p>
            <w:pPr>
              <w:spacing w:after="0"/>
              <w:rPr>
                <w:sz w:val="24"/>
                <w:szCs w:val="24"/>
                <w:color w:val="auto"/>
              </w:rPr>
            </w:pPr>
          </w:p>
        </w:tc>
        <w:tc>
          <w:tcPr>
            <w:tcW w:w="2900" w:type="dxa"/>
            <w:vAlign w:val="bottom"/>
            <w:gridSpan w:val="3"/>
          </w:tcPr>
          <w:p>
            <w:pPr>
              <w:jc w:val="right"/>
              <w:ind w:right="274"/>
              <w:spacing w:after="0"/>
              <w:rPr>
                <w:sz w:val="20"/>
                <w:szCs w:val="20"/>
                <w:color w:val="auto"/>
              </w:rPr>
            </w:pPr>
            <w:r>
              <w:rPr>
                <w:rFonts w:ascii="Times New Roman" w:cs="Times New Roman" w:eastAsia="Times New Roman" w:hAnsi="Times New Roman"/>
                <w:sz w:val="17"/>
                <w:szCs w:val="17"/>
                <w:color w:val="auto"/>
              </w:rPr>
              <w:t>Nine Months Ended September 30,</w:t>
            </w:r>
          </w:p>
        </w:tc>
      </w:tr>
      <w:tr>
        <w:trPr>
          <w:trHeight w:val="277"/>
        </w:trPr>
        <w:tc>
          <w:tcPr>
            <w:tcW w:w="46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color w:val="auto"/>
              </w:rPr>
              <w:t>2026</w:t>
            </w:r>
          </w:p>
        </w:tc>
        <w:tc>
          <w:tcPr>
            <w:tcW w:w="4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color w:val="auto"/>
              </w:rPr>
              <w:t>2025</w:t>
            </w:r>
          </w:p>
        </w:tc>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color w:val="auto"/>
              </w:rPr>
              <w:t>2026</w:t>
            </w: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2025</w:t>
            </w:r>
          </w:p>
        </w:tc>
      </w:tr>
      <w:tr>
        <w:trPr>
          <w:trHeight w:val="251"/>
        </w:trPr>
        <w:tc>
          <w:tcPr>
            <w:tcW w:w="4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960" w:type="dxa"/>
            <w:vAlign w:val="bottom"/>
            <w:gridSpan w:val="3"/>
          </w:tcPr>
          <w:p>
            <w:pPr>
              <w:jc w:val="right"/>
              <w:ind w:right="894"/>
              <w:spacing w:after="0"/>
              <w:rPr>
                <w:sz w:val="20"/>
                <w:szCs w:val="20"/>
                <w:color w:val="auto"/>
              </w:rPr>
            </w:pPr>
            <w:r>
              <w:rPr>
                <w:rFonts w:ascii="Times New Roman" w:cs="Times New Roman" w:eastAsia="Times New Roman" w:hAnsi="Times New Roman"/>
                <w:sz w:val="17"/>
                <w:szCs w:val="17"/>
                <w:color w:val="auto"/>
              </w:rPr>
              <w:t>(Dollars in thousands)</w:t>
            </w: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64"/>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Mortgage loans originated</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136,027</w:t>
            </w:r>
          </w:p>
        </w:tc>
        <w:tc>
          <w:tcPr>
            <w:tcW w:w="4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145,561</w:t>
            </w:r>
          </w:p>
        </w:tc>
        <w:tc>
          <w:tcPr>
            <w:tcW w:w="2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412,022</w:t>
            </w:r>
          </w:p>
        </w:tc>
        <w:tc>
          <w:tcPr>
            <w:tcW w:w="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401,184</w:t>
            </w:r>
          </w:p>
        </w:tc>
      </w:tr>
      <w:tr>
        <w:trPr>
          <w:trHeight w:val="252"/>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Mortgage loans sold (1)</w:t>
            </w:r>
          </w:p>
        </w:tc>
        <w:tc>
          <w:tcPr>
            <w:tcW w:w="240" w:type="dxa"/>
            <w:vAlign w:val="bottom"/>
          </w:tcPr>
          <w:p>
            <w:pPr>
              <w:spacing w:after="0"/>
              <w:rPr>
                <w:sz w:val="21"/>
                <w:szCs w:val="21"/>
                <w:color w:val="auto"/>
              </w:rPr>
            </w:pPr>
          </w:p>
        </w:tc>
        <w:tc>
          <w:tcPr>
            <w:tcW w:w="1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102,311</w:t>
            </w:r>
          </w:p>
        </w:tc>
        <w:tc>
          <w:tcPr>
            <w:tcW w:w="400" w:type="dxa"/>
            <w:vAlign w:val="bottom"/>
          </w:tcPr>
          <w:p>
            <w:pPr>
              <w:spacing w:after="0"/>
              <w:rPr>
                <w:sz w:val="21"/>
                <w:szCs w:val="21"/>
                <w:color w:val="auto"/>
              </w:rPr>
            </w:pPr>
          </w:p>
        </w:tc>
        <w:tc>
          <w:tcPr>
            <w:tcW w:w="12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101,615</w:t>
            </w:r>
          </w:p>
        </w:tc>
        <w:tc>
          <w:tcPr>
            <w:tcW w:w="280" w:type="dxa"/>
            <w:vAlign w:val="bottom"/>
          </w:tcPr>
          <w:p>
            <w:pPr>
              <w:spacing w:after="0"/>
              <w:rPr>
                <w:sz w:val="21"/>
                <w:szCs w:val="21"/>
                <w:color w:val="auto"/>
              </w:rPr>
            </w:pPr>
          </w:p>
        </w:tc>
        <w:tc>
          <w:tcPr>
            <w:tcW w:w="14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284,053</w:t>
            </w:r>
          </w:p>
        </w:tc>
        <w:tc>
          <w:tcPr>
            <w:tcW w:w="380" w:type="dxa"/>
            <w:vAlign w:val="bottom"/>
          </w:tcPr>
          <w:p>
            <w:pPr>
              <w:spacing w:after="0"/>
              <w:rPr>
                <w:sz w:val="21"/>
                <w:szCs w:val="21"/>
                <w:color w:val="auto"/>
              </w:rPr>
            </w:pPr>
          </w:p>
        </w:tc>
        <w:tc>
          <w:tcPr>
            <w:tcW w:w="11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279,593</w:t>
            </w:r>
          </w:p>
        </w:tc>
      </w:tr>
      <w:tr>
        <w:trPr>
          <w:trHeight w:val="264"/>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gains on mortgage loans (2)</w:t>
            </w: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1,011</w:t>
            </w:r>
          </w:p>
        </w:tc>
        <w:tc>
          <w:tcPr>
            <w:tcW w:w="4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1,474</w:t>
            </w:r>
          </w:p>
        </w:tc>
        <w:tc>
          <w:tcPr>
            <w:tcW w:w="28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3,970</w:t>
            </w: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5,408</w:t>
            </w: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gains as a percent of mortgage loans sold ("Loan Sales</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42"/>
        </w:trPr>
        <w:tc>
          <w:tcPr>
            <w:tcW w:w="46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Margin")</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0.99 %</w:t>
            </w: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1.45 %</w:t>
            </w: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1.40 %</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1.93 %</w:t>
            </w:r>
          </w:p>
        </w:tc>
      </w:tr>
      <w:tr>
        <w:trPr>
          <w:trHeight w:val="277"/>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adjustments included in the Loan Sales Margin</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(0.48)</w:t>
            </w:r>
          </w:p>
        </w:tc>
        <w:tc>
          <w:tcPr>
            <w:tcW w:w="4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0.03</w:t>
            </w:r>
          </w:p>
        </w:tc>
        <w:tc>
          <w:tcPr>
            <w:tcW w:w="2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(0.01)</w:t>
            </w: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0.32</w:t>
            </w:r>
          </w:p>
        </w:tc>
      </w:tr>
    </w:tbl>
    <w:p>
      <w:pPr>
        <w:spacing w:after="0" w:line="246" w:lineRule="exact"/>
        <w:rPr>
          <w:sz w:val="20"/>
          <w:szCs w:val="20"/>
          <w:color w:val="auto"/>
        </w:rPr>
      </w:pPr>
    </w:p>
    <w:p>
      <w:pPr>
        <w:ind w:left="320" w:hanging="317"/>
        <w:spacing w:after="0"/>
        <w:tabs>
          <w:tab w:leader="none" w:pos="229"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Mortgage loan sales in the third quarters of 2026 and 2025 include $2.2 million and $4.5 million, respectively, of portfolio loan transactions. Mortgage loan sales during the first </w:t>
      </w:r>
      <w:r>
        <w:rPr>
          <w:rFonts w:ascii="Times New Roman" w:cs="Times New Roman" w:eastAsia="Times New Roman" w:hAnsi="Times New Roman"/>
          <w:sz w:val="17"/>
          <w:szCs w:val="17"/>
          <w:color w:val="auto"/>
        </w:rPr>
        <w:t xml:space="preserve">nine </w:t>
      </w:r>
      <w:r>
        <w:rPr>
          <w:rFonts w:ascii="Times New Roman" w:cs="Times New Roman" w:eastAsia="Times New Roman" w:hAnsi="Times New Roman"/>
          <w:sz w:val="15"/>
          <w:szCs w:val="15"/>
          <w:color w:val="auto"/>
        </w:rPr>
        <w:t>months of 2026 and 2025 include $5.2 million and $19.9 million, respectively, of portfolio loan transactions. These transactions were performed for interest rate risk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purposes.</w:t>
      </w:r>
    </w:p>
    <w:p>
      <w:pPr>
        <w:spacing w:after="0" w:line="352" w:lineRule="exact"/>
        <w:rPr>
          <w:rFonts w:ascii="Times New Roman" w:cs="Times New Roman" w:eastAsia="Times New Roman" w:hAnsi="Times New Roman"/>
          <w:sz w:val="15"/>
          <w:szCs w:val="15"/>
          <w:color w:val="auto"/>
        </w:rPr>
      </w:pPr>
    </w:p>
    <w:p>
      <w:pPr>
        <w:ind w:left="320" w:hanging="317"/>
        <w:spacing w:after="0" w:line="287" w:lineRule="auto"/>
        <w:tabs>
          <w:tab w:leader="none" w:pos="41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 xml:space="preserve">Net gains on mortgage loans in the third quarters of 2026 and 2025 include net gains of $0.03 million and $0.07 million, respectively, from portfolio loan transactions. </w:t>
      </w:r>
      <w:r>
        <w:rPr>
          <w:rFonts w:ascii="Times New Roman" w:cs="Times New Roman" w:eastAsia="Times New Roman" w:hAnsi="Times New Roman"/>
          <w:sz w:val="15"/>
          <w:szCs w:val="15"/>
          <w:color w:val="auto"/>
        </w:rPr>
        <w:t>Net gains during the first</w:t>
      </w:r>
      <w:r>
        <w:rPr>
          <w:rFonts w:ascii="Times New Roman" w:cs="Times New Roman" w:eastAsia="Times New Roman" w:hAnsi="Times New Roman"/>
          <w:sz w:val="17"/>
          <w:szCs w:val="17"/>
          <w:color w:val="auto"/>
        </w:rPr>
        <w:t xml:space="preserve"> nine </w:t>
      </w:r>
      <w:r>
        <w:rPr>
          <w:rFonts w:ascii="Times New Roman" w:cs="Times New Roman" w:eastAsia="Times New Roman" w:hAnsi="Times New Roman"/>
          <w:sz w:val="15"/>
          <w:szCs w:val="15"/>
          <w:color w:val="auto"/>
        </w:rPr>
        <w:t>months of 2026 and 2025 were $0.1 million and $0.4 million, respectively.</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Mortgage loans originated during the third quarter of 2026 declined from the same period last year due in part to an increase in interest rates. The increase in mortgage loans originated for the year to date period ended September 30, 2026 as compared to 2025 was primarily driven by higher refinance activity during the first quarter of 2026 as mortgage rates declined through early 2026.</w:t>
      </w:r>
    </w:p>
    <w:p>
      <w:pPr>
        <w:spacing w:after="0" w:line="14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volume of loans sold is dependent upon our ability to originate mortgage loans as well as the demand for fixed-rate obligations and other loans that we choose to not put into portfolio because of our established interest-rate risk parameters. (See “Portfolio Loans and asset quality.”) Net gains on mortgage loans are also dependent upon economic and competitive factors as well as our ability to effectively manage exposure to changes in interest rates and thus can often be a volatile part of our overall revenues.</w:t>
      </w:r>
    </w:p>
    <w:p>
      <w:pPr>
        <w:spacing w:after="0" w:line="13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Net gains on mortgage loans totaled $1.0 million and $1.5 million during the third quarters of 2026 and 2025, respectively. For the first nine months of 2026 and 2025, net gains on mortgage loans totaled $4.0 million and $5.4 million, respectively.</w:t>
      </w:r>
    </w:p>
    <w:p>
      <w:pPr>
        <w:spacing w:after="0" w:line="1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Loan Sales Margin is impacted by several factors including competition and the manner in which the loan is sold. Net gains on mortgage loans are also impacted by recording fair value accounting adjustments. Excluding these fair value accounting adjustments, the Loan Sales Margin would have been 1.47% and 1.42% in the third quarters of 2026 and 2025, respectively and 1.41% and 1.61% in the first nine months of 2026 and 2025, respectively. The contraction of the Loan Sales Margin during the first nine months of 2026 was primarily due to competitive pressure which had a negative impact on our pricing margins.</w:t>
      </w:r>
    </w:p>
    <w:p>
      <w:pPr>
        <w:spacing w:after="0" w:line="6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gains on equity securities at fair value during the quarterly and year-to-date periods in 2026 resulted from the sale of certain Visa Inc. Class C shares. See note #13 to the interim Condensed Consolidated Financial Statements included within this report for further discussion.</w:t>
      </w:r>
    </w:p>
    <w:p>
      <w:pPr>
        <w:spacing w:after="0" w:line="4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recorded a net loss of $0.13 million and $0.36 million on the sale of securities AFS for the first nine months of 2026 and 2025, respectively. We recorded no credit related charges in either 2026 or 2025 on securities AFS. See “Securities” below and note #3 to the interim Condensed Consolidated Financial Statements.</w:t>
      </w:r>
    </w:p>
    <w:p>
      <w:pPr>
        <w:spacing w:after="0" w:line="11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Mortgage loan servicing, net, generated income of $4.1 million and $0.1 million in the third quarters of 2026 and 2025, respectively. For the first nine months of 2026 and 2025, mortgage loan servicing, net, generated income (expense) of $8.2 million and $(0.1) million, respectively. The significant variances in mortgage loan servicing, net are primarily due to changes in the fair value of capitalized mortgage loan servicing rights associated with changes in interest rates and the associated expected future prepayment levels and expected float rates.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Mortgage loan servicing, net activity is summarized in the following table: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0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Mortgage Servicing Revenue</w:t>
            </w: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438"/>
        </w:trPr>
        <w:tc>
          <w:tcPr>
            <w:tcW w:w="5000" w:type="dxa"/>
            <w:vAlign w:val="bottom"/>
          </w:tcPr>
          <w:p>
            <w:pPr>
              <w:spacing w:after="0"/>
              <w:rPr>
                <w:sz w:val="24"/>
                <w:szCs w:val="24"/>
                <w:color w:val="auto"/>
              </w:rPr>
            </w:pPr>
          </w:p>
        </w:tc>
        <w:tc>
          <w:tcPr>
            <w:tcW w:w="3140" w:type="dxa"/>
            <w:vAlign w:val="bottom"/>
            <w:gridSpan w:val="6"/>
          </w:tcPr>
          <w:p>
            <w:pPr>
              <w:ind w:left="280"/>
              <w:spacing w:after="0"/>
              <w:rPr>
                <w:sz w:val="20"/>
                <w:szCs w:val="20"/>
                <w:color w:val="auto"/>
              </w:rPr>
            </w:pPr>
            <w:r>
              <w:rPr>
                <w:rFonts w:ascii="Times New Roman" w:cs="Times New Roman" w:eastAsia="Times New Roman" w:hAnsi="Times New Roman"/>
                <w:sz w:val="17"/>
                <w:szCs w:val="17"/>
                <w:color w:val="auto"/>
              </w:rPr>
              <w:t>Three Months Ended September 30,</w:t>
            </w:r>
          </w:p>
        </w:tc>
        <w:tc>
          <w:tcPr>
            <w:tcW w:w="220" w:type="dxa"/>
            <w:vAlign w:val="bottom"/>
          </w:tcPr>
          <w:p>
            <w:pPr>
              <w:spacing w:after="0"/>
              <w:rPr>
                <w:sz w:val="24"/>
                <w:szCs w:val="24"/>
                <w:color w:val="auto"/>
              </w:rPr>
            </w:pPr>
          </w:p>
        </w:tc>
        <w:tc>
          <w:tcPr>
            <w:tcW w:w="2880" w:type="dxa"/>
            <w:vAlign w:val="bottom"/>
            <w:gridSpan w:val="4"/>
          </w:tcPr>
          <w:p>
            <w:pPr>
              <w:jc w:val="right"/>
              <w:ind w:right="254"/>
              <w:spacing w:after="0"/>
              <w:rPr>
                <w:sz w:val="20"/>
                <w:szCs w:val="20"/>
                <w:color w:val="auto"/>
              </w:rPr>
            </w:pPr>
            <w:r>
              <w:rPr>
                <w:rFonts w:ascii="Times New Roman" w:cs="Times New Roman" w:eastAsia="Times New Roman" w:hAnsi="Times New Roman"/>
                <w:sz w:val="17"/>
                <w:szCs w:val="17"/>
                <w:color w:val="auto"/>
              </w:rPr>
              <w:t>Nine Months Ended September 30,</w:t>
            </w:r>
          </w:p>
        </w:tc>
      </w:tr>
      <w:tr>
        <w:trPr>
          <w:trHeight w:val="276"/>
        </w:trPr>
        <w:tc>
          <w:tcPr>
            <w:tcW w:w="5000" w:type="dxa"/>
            <w:vAlign w:val="bottom"/>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2026</w:t>
            </w: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2026</w:t>
            </w: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2025</w:t>
            </w:r>
          </w:p>
        </w:tc>
      </w:tr>
      <w:tr>
        <w:trPr>
          <w:trHeight w:val="252"/>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Mortgage loan servicing, net:</w:t>
            </w: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20" w:type="dxa"/>
            <w:vAlign w:val="bottom"/>
            <w:gridSpan w:val="5"/>
          </w:tcPr>
          <w:p>
            <w:pPr>
              <w:ind w:left="720"/>
              <w:spacing w:after="0"/>
              <w:rPr>
                <w:sz w:val="20"/>
                <w:szCs w:val="20"/>
                <w:color w:val="auto"/>
              </w:rPr>
            </w:pPr>
            <w:r>
              <w:rPr>
                <w:rFonts w:ascii="Times New Roman" w:cs="Times New Roman" w:eastAsia="Times New Roman" w:hAnsi="Times New Roman"/>
                <w:sz w:val="17"/>
                <w:szCs w:val="17"/>
                <w:color w:val="auto"/>
              </w:rPr>
              <w:t>(In thousands)</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64"/>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Revenue, net</w:t>
            </w:r>
          </w:p>
        </w:tc>
        <w:tc>
          <w:tcPr>
            <w:tcW w:w="92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1,646</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4,907</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5,145</w:t>
            </w:r>
          </w:p>
        </w:tc>
      </w:tr>
      <w:tr>
        <w:trPr>
          <w:trHeight w:val="252"/>
        </w:trPr>
        <w:tc>
          <w:tcPr>
            <w:tcW w:w="50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Fair value change due to price</w:t>
            </w: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6,216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(2,328)</w:t>
            </w:r>
          </w:p>
        </w:tc>
      </w:tr>
      <w:tr>
        <w:trPr>
          <w:trHeight w:val="264"/>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Fair value change due to pay-downs</w:t>
            </w: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(1,017)</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(2,943)</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(2,656)</w:t>
            </w:r>
          </w:p>
        </w:tc>
      </w:tr>
      <w:tr>
        <w:trPr>
          <w:trHeight w:val="252"/>
        </w:trPr>
        <w:tc>
          <w:tcPr>
            <w:tcW w:w="50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Loss on sale of originated servicing rights</w:t>
            </w:r>
          </w:p>
        </w:tc>
        <w:tc>
          <w:tcPr>
            <w:tcW w:w="920" w:type="dxa"/>
            <w:vAlign w:val="bottom"/>
          </w:tcPr>
          <w:p>
            <w:pPr>
              <w:spacing w:after="0"/>
              <w:rPr>
                <w:sz w:val="21"/>
                <w:szCs w:val="21"/>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w:t>
            </w:r>
          </w:p>
        </w:tc>
      </w:tr>
      <w:tr>
        <w:trPr>
          <w:trHeight w:val="282"/>
        </w:trPr>
        <w:tc>
          <w:tcPr>
            <w:tcW w:w="5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920" w:type="dxa"/>
            <w:vAlign w:val="bottom"/>
            <w:tcBorders>
              <w:top w:val="single" w:sz="8" w:color="auto"/>
              <w:bottom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4,074</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8,180</w:t>
            </w:r>
          </w:p>
        </w:tc>
        <w:tc>
          <w:tcPr>
            <w:tcW w:w="80" w:type="dxa"/>
            <w:vAlign w:val="bottom"/>
            <w:tcBorders>
              <w:top w:val="single" w:sz="8" w:color="auto"/>
              <w:bottom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836"/>
        </w:trPr>
        <w:tc>
          <w:tcPr>
            <w:tcW w:w="5000" w:type="dxa"/>
            <w:vAlign w:val="bottom"/>
          </w:tcPr>
          <w:p>
            <w:pPr>
              <w:spacing w:after="0"/>
              <w:rPr>
                <w:sz w:val="24"/>
                <w:szCs w:val="24"/>
                <w:color w:val="auto"/>
              </w:rPr>
            </w:pPr>
          </w:p>
        </w:tc>
        <w:tc>
          <w:tcPr>
            <w:tcW w:w="9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81</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08"/>
        </w:trPr>
        <w:tc>
          <w:tcPr>
            <w:tcW w:w="50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95"/>
        </w:trPr>
        <w:tc>
          <w:tcPr>
            <w:tcW w:w="498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0000FF"/>
              </w:rPr>
              <w:t>Index</w:t>
            </w: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55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960"/>
        </w:trPr>
        <w:tc>
          <w:tcPr>
            <w:tcW w:w="58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Activity related to capitalized mortgage loan servicing rights is as follows: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87"/>
        </w:trPr>
        <w:tc>
          <w:tcPr>
            <w:tcW w:w="49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Capitalized Mortgage Loan Servicing Rights</w:t>
            </w: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38"/>
        </w:trPr>
        <w:tc>
          <w:tcPr>
            <w:tcW w:w="3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3060" w:type="dxa"/>
            <w:vAlign w:val="bottom"/>
            <w:gridSpan w:val="6"/>
          </w:tcPr>
          <w:p>
            <w:pPr>
              <w:ind w:left="260"/>
              <w:spacing w:after="0"/>
              <w:rPr>
                <w:sz w:val="20"/>
                <w:szCs w:val="20"/>
                <w:color w:val="auto"/>
              </w:rPr>
            </w:pPr>
            <w:r>
              <w:rPr>
                <w:rFonts w:ascii="Times New Roman" w:cs="Times New Roman" w:eastAsia="Times New Roman" w:hAnsi="Times New Roman"/>
                <w:sz w:val="17"/>
                <w:szCs w:val="17"/>
                <w:color w:val="auto"/>
              </w:rPr>
              <w:t>Three months ended September 30,</w:t>
            </w:r>
          </w:p>
        </w:tc>
        <w:tc>
          <w:tcPr>
            <w:tcW w:w="260" w:type="dxa"/>
            <w:vAlign w:val="bottom"/>
          </w:tcPr>
          <w:p>
            <w:pPr>
              <w:spacing w:after="0"/>
              <w:rPr>
                <w:sz w:val="24"/>
                <w:szCs w:val="24"/>
                <w:color w:val="auto"/>
              </w:rPr>
            </w:pPr>
          </w:p>
        </w:tc>
        <w:tc>
          <w:tcPr>
            <w:tcW w:w="2940" w:type="dxa"/>
            <w:vAlign w:val="bottom"/>
            <w:gridSpan w:val="4"/>
          </w:tcPr>
          <w:p>
            <w:pPr>
              <w:jc w:val="right"/>
              <w:ind w:right="314"/>
              <w:spacing w:after="0"/>
              <w:rPr>
                <w:sz w:val="20"/>
                <w:szCs w:val="20"/>
                <w:color w:val="auto"/>
              </w:rPr>
            </w:pPr>
            <w:r>
              <w:rPr>
                <w:rFonts w:ascii="Times New Roman" w:cs="Times New Roman" w:eastAsia="Times New Roman" w:hAnsi="Times New Roman"/>
                <w:sz w:val="17"/>
                <w:szCs w:val="17"/>
                <w:color w:val="auto"/>
              </w:rPr>
              <w:t>Nine months ended September 30,</w:t>
            </w:r>
          </w:p>
        </w:tc>
      </w:tr>
      <w:tr>
        <w:trPr>
          <w:trHeight w:val="277"/>
        </w:trPr>
        <w:tc>
          <w:tcPr>
            <w:tcW w:w="3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2026</w:t>
            </w: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2025</w:t>
            </w: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color w:val="auto"/>
              </w:rPr>
              <w:t>2026</w:t>
            </w: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2025</w:t>
            </w:r>
          </w:p>
        </w:tc>
      </w:tr>
      <w:tr>
        <w:trPr>
          <w:trHeight w:val="251"/>
        </w:trPr>
        <w:tc>
          <w:tcPr>
            <w:tcW w:w="38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980" w:type="dxa"/>
            <w:vAlign w:val="bottom"/>
            <w:gridSpan w:val="5"/>
          </w:tcPr>
          <w:p>
            <w:pPr>
              <w:jc w:val="center"/>
              <w:ind w:right="440"/>
              <w:spacing w:after="0"/>
              <w:rPr>
                <w:sz w:val="20"/>
                <w:szCs w:val="20"/>
                <w:color w:val="auto"/>
              </w:rPr>
            </w:pPr>
            <w:r>
              <w:rPr>
                <w:rFonts w:ascii="Times New Roman" w:cs="Times New Roman" w:eastAsia="Times New Roman" w:hAnsi="Times New Roman"/>
                <w:sz w:val="17"/>
                <w:szCs w:val="17"/>
                <w:color w:val="auto"/>
              </w:rPr>
              <w:t>(In thousands)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64"/>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90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33,949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32,053</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center"/>
              <w:ind w:right="34"/>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31,493</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46,796</w:t>
            </w:r>
          </w:p>
        </w:tc>
      </w:tr>
      <w:tr>
        <w:trPr>
          <w:trHeight w:val="252"/>
        </w:trPr>
        <w:tc>
          <w:tcPr>
            <w:tcW w:w="49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Originated servicing rights capitalized</w:t>
            </w:r>
          </w:p>
        </w:tc>
        <w:tc>
          <w:tcPr>
            <w:tcW w:w="9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2,766</w:t>
            </w:r>
          </w:p>
        </w:tc>
      </w:tr>
      <w:tr>
        <w:trPr>
          <w:trHeight w:val="264"/>
        </w:trPr>
        <w:tc>
          <w:tcPr>
            <w:tcW w:w="4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Change in fair value</w:t>
            </w:r>
          </w:p>
        </w:tc>
        <w:tc>
          <w:tcPr>
            <w:tcW w:w="90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(1,479)</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3,273</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(4,984)</w:t>
            </w:r>
          </w:p>
        </w:tc>
      </w:tr>
      <w:tr>
        <w:trPr>
          <w:trHeight w:val="252"/>
        </w:trPr>
        <w:tc>
          <w:tcPr>
            <w:tcW w:w="49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Sale of originated servicing rights (1)</w:t>
            </w:r>
          </w:p>
        </w:tc>
        <w:tc>
          <w:tcPr>
            <w:tcW w:w="900" w:type="dxa"/>
            <w:vAlign w:val="bottom"/>
          </w:tcPr>
          <w:p>
            <w:pPr>
              <w:spacing w:after="0"/>
              <w:rPr>
                <w:sz w:val="21"/>
                <w:szCs w:val="21"/>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(12,823)</w:t>
            </w:r>
          </w:p>
        </w:tc>
      </w:tr>
      <w:tr>
        <w:trPr>
          <w:trHeight w:val="264"/>
        </w:trPr>
        <w:tc>
          <w:tcPr>
            <w:tcW w:w="4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Loss on sale of originated servicing rights (1)</w:t>
            </w:r>
          </w:p>
        </w:tc>
        <w:tc>
          <w:tcPr>
            <w:tcW w:w="90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w:t>
            </w:r>
          </w:p>
        </w:tc>
      </w:tr>
      <w:tr>
        <w:trPr>
          <w:trHeight w:val="252"/>
        </w:trPr>
        <w:tc>
          <w:tcPr>
            <w:tcW w:w="49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Servicing rights acquired</w:t>
            </w:r>
          </w:p>
        </w:tc>
        <w:tc>
          <w:tcPr>
            <w:tcW w:w="9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83"/>
        </w:trPr>
        <w:tc>
          <w:tcPr>
            <w:tcW w:w="4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end of period</w:t>
            </w:r>
          </w:p>
        </w:tc>
        <w:tc>
          <w:tcPr>
            <w:tcW w:w="900" w:type="dxa"/>
            <w:vAlign w:val="bottom"/>
            <w:tcBorders>
              <w:bottom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37,839</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31,522</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center"/>
              <w:ind w:right="34"/>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37,839</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31,522</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jc w:val="both"/>
        <w:ind w:left="320" w:hanging="317"/>
        <w:spacing w:after="0" w:line="253" w:lineRule="auto"/>
        <w:tabs>
          <w:tab w:leader="none" w:pos="463"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31, 2025 we sold $931.6 million of mortgage loan servicing rights (26.3% of total servicing portfolio) and transferred the servicing on March 3, 2025. This sale represented approximately $13.1 million (27.9%) of the total capitalized mortgage loan servicing right asset. Transaction expenses relating to this sale were approximately $0.2 million and were expensed in 2025.</w:t>
      </w:r>
    </w:p>
    <w:p>
      <w:pPr>
        <w:spacing w:after="0" w:line="15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At September 30, 2026, we were servicing approximately $2.63 billion in mortgage loans for others on which servicing rights have been capitalized. This servicing portfolio had a weighted average coupon rate of 4.63% and a weighted average service fee of approximately 25.6 basis points. Capitalized mortgage loan servicing rights at September 30, 2026 totaled $37.8 million, representing approximately 144.0 basis points on the related amount of mortgage loans serviced for others.</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Investment and insurance commissions in the table above decreased by $0.3 million and $0.2 million in the third quarter and first nine months of 2026, respectively, compared to the same prior year periods. The decreases were due in part to our wealth management program’s transition between broker-dealer platforms temporarily reduced commission-generating activity.</w:t>
      </w:r>
    </w:p>
    <w:p>
      <w:pPr>
        <w:spacing w:after="0" w:line="16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Other income in the table above decreased by $0.2 million and $0.4 million in the third quarter and first nine months of 2026, respectively, compared to the same prior year periods. These decreases were primarily due to lower commercial loan swap fees.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Non-interest expense. </w:t>
      </w:r>
      <w:r>
        <w:rPr>
          <w:rFonts w:ascii="Times New Roman" w:cs="Times New Roman" w:eastAsia="Times New Roman" w:hAnsi="Times New Roman"/>
          <w:sz w:val="17"/>
          <w:szCs w:val="17"/>
          <w:color w:val="auto"/>
        </w:rPr>
        <w:t>Non-interest expense is an important component of our results of operations. We strive to efficiently manage our cost structure.</w:t>
      </w:r>
    </w:p>
    <w:p>
      <w:pPr>
        <w:spacing w:after="0" w:line="18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Non-interest expense increased by $10.6 million to $44.8 million and increased by $18.7 million to $120.9 million during the three- and nine-month periods ended September 30, 2026, respectively, compared to the same periods in 2025.</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95"/>
        </w:trPr>
        <w:tc>
          <w:tcPr>
            <w:tcW w:w="532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0000FF"/>
              </w:rPr>
              <w:t>Index</w:t>
            </w: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960"/>
        </w:trPr>
        <w:tc>
          <w:tcPr>
            <w:tcW w:w="5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components of non-interest expense are as follows:</w:t>
            </w: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87"/>
        </w:trPr>
        <w:tc>
          <w:tcPr>
            <w:tcW w:w="53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Non-Interest Expense</w:t>
            </w: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38"/>
        </w:trPr>
        <w:tc>
          <w:tcPr>
            <w:tcW w:w="3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3160" w:type="dxa"/>
            <w:vAlign w:val="bottom"/>
            <w:gridSpan w:val="6"/>
          </w:tcPr>
          <w:p>
            <w:pPr>
              <w:ind w:left="300"/>
              <w:spacing w:after="0"/>
              <w:rPr>
                <w:sz w:val="20"/>
                <w:szCs w:val="20"/>
                <w:color w:val="auto"/>
              </w:rPr>
            </w:pPr>
            <w:r>
              <w:rPr>
                <w:rFonts w:ascii="Times New Roman" w:cs="Times New Roman" w:eastAsia="Times New Roman" w:hAnsi="Times New Roman"/>
                <w:sz w:val="17"/>
                <w:szCs w:val="17"/>
                <w:color w:val="auto"/>
              </w:rPr>
              <w:t>Three Months Ended September 30,</w:t>
            </w:r>
          </w:p>
        </w:tc>
        <w:tc>
          <w:tcPr>
            <w:tcW w:w="140" w:type="dxa"/>
            <w:vAlign w:val="bottom"/>
          </w:tcPr>
          <w:p>
            <w:pPr>
              <w:spacing w:after="0"/>
              <w:rPr>
                <w:sz w:val="24"/>
                <w:szCs w:val="24"/>
                <w:color w:val="auto"/>
              </w:rPr>
            </w:pPr>
          </w:p>
        </w:tc>
        <w:tc>
          <w:tcPr>
            <w:tcW w:w="2620" w:type="dxa"/>
            <w:vAlign w:val="bottom"/>
            <w:gridSpan w:val="4"/>
          </w:tcPr>
          <w:p>
            <w:pPr>
              <w:jc w:val="right"/>
              <w:ind w:right="94"/>
              <w:spacing w:after="0"/>
              <w:rPr>
                <w:sz w:val="20"/>
                <w:szCs w:val="20"/>
                <w:color w:val="auto"/>
              </w:rPr>
            </w:pPr>
            <w:r>
              <w:rPr>
                <w:rFonts w:ascii="Times New Roman" w:cs="Times New Roman" w:eastAsia="Times New Roman" w:hAnsi="Times New Roman"/>
                <w:sz w:val="17"/>
                <w:szCs w:val="17"/>
                <w:color w:val="auto"/>
              </w:rPr>
              <w:t>Nine Months Ended September 30,</w:t>
            </w:r>
          </w:p>
        </w:tc>
      </w:tr>
      <w:tr>
        <w:trPr>
          <w:trHeight w:val="277"/>
        </w:trPr>
        <w:tc>
          <w:tcPr>
            <w:tcW w:w="3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2026</w:t>
            </w: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2026</w:t>
            </w: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2025</w:t>
            </w:r>
          </w:p>
        </w:tc>
      </w:tr>
      <w:tr>
        <w:trPr>
          <w:trHeight w:val="251"/>
        </w:trPr>
        <w:tc>
          <w:tcPr>
            <w:tcW w:w="380" w:type="dxa"/>
            <w:vAlign w:val="bottom"/>
          </w:tcPr>
          <w:p>
            <w:pPr>
              <w:spacing w:after="0"/>
              <w:rPr>
                <w:sz w:val="21"/>
                <w:szCs w:val="21"/>
                <w:color w:val="auto"/>
              </w:rPr>
            </w:pPr>
          </w:p>
        </w:tc>
        <w:tc>
          <w:tcPr>
            <w:tcW w:w="49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60" w:type="dxa"/>
            <w:vAlign w:val="bottom"/>
            <w:gridSpan w:val="5"/>
          </w:tcPr>
          <w:p>
            <w:pPr>
              <w:ind w:left="560"/>
              <w:spacing w:after="0"/>
              <w:rPr>
                <w:sz w:val="20"/>
                <w:szCs w:val="20"/>
                <w:color w:val="auto"/>
              </w:rPr>
            </w:pPr>
            <w:r>
              <w:rPr>
                <w:rFonts w:ascii="Times New Roman" w:cs="Times New Roman" w:eastAsia="Times New Roman" w:hAnsi="Times New Roman"/>
                <w:sz w:val="17"/>
                <w:szCs w:val="17"/>
                <w:color w:val="auto"/>
              </w:rPr>
              <w:t>(In thousands)</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64"/>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Compensation</w:t>
            </w:r>
          </w:p>
        </w:tc>
        <w:tc>
          <w:tcPr>
            <w:tcW w:w="94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15,643</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13,916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44,014</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40,723</w:t>
            </w:r>
          </w:p>
        </w:tc>
      </w:tr>
      <w:tr>
        <w:trPr>
          <w:trHeight w:val="252"/>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Performance-based compensation</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4,640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12,296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9,979</w:t>
            </w:r>
          </w:p>
        </w:tc>
      </w:tr>
      <w:tr>
        <w:trPr>
          <w:trHeight w:val="264"/>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Payroll taxes and employee benefits</w:t>
            </w:r>
          </w:p>
        </w:tc>
        <w:tc>
          <w:tcPr>
            <w:tcW w:w="94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4,204</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4,309</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12,566</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11,929</w:t>
            </w:r>
          </w:p>
        </w:tc>
      </w:tr>
      <w:tr>
        <w:trPr>
          <w:trHeight w:val="244"/>
        </w:trPr>
        <w:tc>
          <w:tcPr>
            <w:tcW w:w="53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Compensation and employee benefits</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24,487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68,876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62,631</w:t>
            </w:r>
          </w:p>
        </w:tc>
      </w:tr>
      <w:tr>
        <w:trPr>
          <w:trHeight w:val="264"/>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Data processing</w:t>
            </w:r>
          </w:p>
        </w:tc>
        <w:tc>
          <w:tcPr>
            <w:tcW w:w="94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4,761</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12,865</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11,360</w:t>
            </w:r>
          </w:p>
        </w:tc>
      </w:tr>
      <w:tr>
        <w:trPr>
          <w:trHeight w:val="252"/>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Occupancy, net</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6,905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6,396</w:t>
            </w:r>
          </w:p>
        </w:tc>
      </w:tr>
      <w:tr>
        <w:trPr>
          <w:trHeight w:val="264"/>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Merger related expense</w:t>
            </w:r>
          </w:p>
        </w:tc>
        <w:tc>
          <w:tcPr>
            <w:tcW w:w="94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3,457</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4,126</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2"/>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Interchange expense</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3,476</w:t>
            </w:r>
          </w:p>
        </w:tc>
      </w:tr>
      <w:tr>
        <w:trPr>
          <w:trHeight w:val="264"/>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Advertising</w:t>
            </w:r>
          </w:p>
        </w:tc>
        <w:tc>
          <w:tcPr>
            <w:tcW w:w="94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738</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3,128</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2,220</w:t>
            </w:r>
          </w:p>
        </w:tc>
      </w:tr>
      <w:tr>
        <w:trPr>
          <w:trHeight w:val="252"/>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Furniture, fixtures and equipment</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2,570</w:t>
            </w:r>
          </w:p>
        </w:tc>
      </w:tr>
      <w:tr>
        <w:trPr>
          <w:trHeight w:val="264"/>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Loan and collection</w:t>
            </w:r>
          </w:p>
        </w:tc>
        <w:tc>
          <w:tcPr>
            <w:tcW w:w="94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1,023</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2,813</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2,148</w:t>
            </w:r>
          </w:p>
        </w:tc>
      </w:tr>
      <w:tr>
        <w:trPr>
          <w:trHeight w:val="252"/>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FDIC deposit insurance</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1,963</w:t>
            </w:r>
          </w:p>
        </w:tc>
      </w:tr>
      <w:tr>
        <w:trPr>
          <w:trHeight w:val="264"/>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Legal and professional</w:t>
            </w:r>
          </w:p>
        </w:tc>
        <w:tc>
          <w:tcPr>
            <w:tcW w:w="94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774</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1,978</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1,661</w:t>
            </w:r>
          </w:p>
        </w:tc>
      </w:tr>
      <w:tr>
        <w:trPr>
          <w:trHeight w:val="252"/>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Litigation expense</w:t>
            </w:r>
          </w:p>
        </w:tc>
        <w:tc>
          <w:tcPr>
            <w:tcW w:w="940" w:type="dxa"/>
            <w:vAlign w:val="bottom"/>
          </w:tcPr>
          <w:p>
            <w:pPr>
              <w:spacing w:after="0"/>
              <w:rPr>
                <w:sz w:val="21"/>
                <w:szCs w:val="21"/>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4"/>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Communications</w:t>
            </w:r>
          </w:p>
        </w:tc>
        <w:tc>
          <w:tcPr>
            <w:tcW w:w="94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1,594</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1,526</w:t>
            </w:r>
          </w:p>
        </w:tc>
      </w:tr>
      <w:tr>
        <w:trPr>
          <w:trHeight w:val="252"/>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Taxes, licenses and fees</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951</w:t>
            </w:r>
          </w:p>
        </w:tc>
      </w:tr>
      <w:tr>
        <w:trPr>
          <w:trHeight w:val="264"/>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of other intangibles</w:t>
            </w:r>
          </w:p>
        </w:tc>
        <w:tc>
          <w:tcPr>
            <w:tcW w:w="94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917</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1,147</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w:t>
            </w:r>
          </w:p>
        </w:tc>
      </w:tr>
      <w:tr>
        <w:trPr>
          <w:trHeight w:val="252"/>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 fees</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773</w:t>
            </w:r>
          </w:p>
        </w:tc>
      </w:tr>
      <w:tr>
        <w:trPr>
          <w:trHeight w:val="264"/>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gains (losses) on other real estate and repossessed assets</w:t>
            </w:r>
          </w:p>
        </w:tc>
        <w:tc>
          <w:tcPr>
            <w:tcW w:w="94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r>
      <w:tr>
        <w:trPr>
          <w:trHeight w:val="252"/>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Recovery for loss reimbursement on sold loans</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64"/>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94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1,435</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1,362</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4,349</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4,214</w:t>
            </w:r>
          </w:p>
        </w:tc>
      </w:tr>
      <w:tr>
        <w:trPr>
          <w:trHeight w:val="245"/>
        </w:trPr>
        <w:tc>
          <w:tcPr>
            <w:tcW w:w="53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Total non-interest expense</w:t>
            </w:r>
          </w:p>
        </w:tc>
        <w:tc>
          <w:tcPr>
            <w:tcW w:w="94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44,759</w:t>
            </w:r>
          </w:p>
        </w:tc>
        <w:tc>
          <w:tcPr>
            <w:tcW w:w="80" w:type="dxa"/>
            <w:vAlign w:val="bottom"/>
          </w:tcPr>
          <w:p>
            <w:pPr>
              <w:spacing w:after="0"/>
              <w:rPr>
                <w:sz w:val="21"/>
                <w:szCs w:val="21"/>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34,131</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120,879</w:t>
            </w: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102,155</w:t>
            </w:r>
          </w:p>
        </w:tc>
      </w:tr>
      <w:tr>
        <w:trPr>
          <w:trHeight w:val="25"/>
        </w:trPr>
        <w:tc>
          <w:tcPr>
            <w:tcW w:w="380" w:type="dxa"/>
            <w:vAlign w:val="bottom"/>
          </w:tcPr>
          <w:p>
            <w:pPr>
              <w:spacing w:after="0"/>
              <w:rPr>
                <w:sz w:val="2"/>
                <w:szCs w:val="2"/>
                <w:color w:val="auto"/>
              </w:rPr>
            </w:pPr>
          </w:p>
        </w:tc>
        <w:tc>
          <w:tcPr>
            <w:tcW w:w="49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4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Compensation and employee benefits expenses, in total, increased $3.4 million on a quarterly comparative basis and increased $6.2 million for the first nine months of 2026 compared to the same periods in 2025.</w:t>
      </w:r>
    </w:p>
    <w:p>
      <w:pPr>
        <w:spacing w:after="0" w:line="11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Compensation expense increased by $1.7 million and $3.3 million in the third quarter and first nine months of 2026, respectively, compared to the same periods in 2025. These comparative increases in 2026 were primarily due to the Merger, salary increases that were predominantly effective on January 1, 2026, and additional commercial lending and support staff that were partially offset by a decrease in mortgage lending and other retail personnel.</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Performance-based compensation increased by $1.7 million and $2.3 million in the third quarter and first nine months of 2026, respectively, compared to the same periods in 2025. The increase is due in part to both higher expected incentive compensation payout for salaried and hourly employees and long term share based incentives as well as the impact of the Merger.</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Payroll taxes and employee benefits increased (decreased) by $(0.1) million and $0.6 million in the third quarter and first nine months of 2026, respectively, compared to the same periods in 2025. The decrease during the third quarter was due primarily to a decrease in employee medical insurance cost that was partially offset by the impact of the Merger. The increase during the first nine months was due primarily to the impact of the Merger as well as higher retirement and payroll tax (due to higher payroll costs) expenses.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Data processing expense increased by $1.0 million and $1.5 million in the third quarter and first nine months of 2026, respectively, compared to the same prior year periods due in part to the impact of the Merger, core data processor annual asset growth and CPI related cost increases as well as new solutions implemented during this time frame.</w:t>
      </w:r>
    </w:p>
    <w:p>
      <w:pPr>
        <w:spacing w:after="0" w:line="1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Occupancy expense increased by $0.3 million and $0.5 million in the third quarter and first nine months of 2026, respectively, compared to the same prior year periods due in part to the impact of the Merger.</w:t>
      </w:r>
    </w:p>
    <w:p>
      <w:pPr>
        <w:spacing w:after="0" w:line="11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Merger related expenses of $3.5 million and $4.1 million in the third quarter and first nine months of 2026 reflect change in control related payments, investment banker fees, legal, professional, regulatory, valuation, and other direct transaction costs associated with the Merger.</w:t>
      </w:r>
    </w:p>
    <w:p>
      <w:pPr>
        <w:spacing w:after="0" w:line="11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Advertising expense increased by $0.2 million and $0.9 million in the third quarter and first nine months of 2026, respectively, compared to the same prior year periods due to higher customer acquisition marketing costs (year to date), higher out-of-home advertising campaigns (year to date) and higher strategic sponsorship costs.</w:t>
      </w:r>
    </w:p>
    <w:p>
      <w:pPr>
        <w:spacing w:after="0" w:line="1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Furniture, fixtures and equipment expense increased by $0.2 million and $0.4 million in the third quarter and first nine months of 2026, respectively, compared to the same prior year periods due in part to the impact of the Merger.</w:t>
      </w:r>
    </w:p>
    <w:p>
      <w:pPr>
        <w:spacing w:after="0" w:line="11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Loan and collection expense increased by $0.4 million and $0.7 million in the third quarter and first nine months of 2026, respectively, compared to the same prior year periods due primarily to higher legal fees associated with collection and workout activities.</w:t>
      </w:r>
    </w:p>
    <w:p>
      <w:pPr>
        <w:spacing w:after="0" w:line="10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amortization of other intangible assets primarily reflects amortization of the core deposit intangible and non-compete agreement recognized in connection with the Merger. We had remaining unamortized intangible assets of $17.0 million and $1.0 million at September 30, 2026 and December 31, 2025, respectively. See note #7 to the Condensed Consolidated Financial Statements for a schedule of future amortization of other intangible assets.</w:t>
      </w:r>
    </w:p>
    <w:p>
      <w:pPr>
        <w:spacing w:after="0" w:line="1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Income tax expense. </w:t>
      </w:r>
      <w:r>
        <w:rPr>
          <w:rFonts w:ascii="Times New Roman" w:cs="Times New Roman" w:eastAsia="Times New Roman" w:hAnsi="Times New Roman"/>
          <w:sz w:val="17"/>
          <w:szCs w:val="17"/>
          <w:color w:val="auto"/>
        </w:rPr>
        <w:t>We recorded an income tax expense of $3.6 million and $10.9 million in the third quarter and the first nine months of 2026, respectively.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compares to an income tax expense of $3.7 million and $11.0 million in the third quarter and the first nine months of 2025, respectively. The changes in expense for the first nine months of 2026 compared to the same period in 2025 is primarily due to changes in pretax income as well as an increase in certain tax credits recognized during 2026.</w:t>
      </w:r>
    </w:p>
    <w:p>
      <w:pPr>
        <w:spacing w:after="0" w:line="1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actual income tax expense is different than the amount computed by applying our statutory income tax rate to our income before income tax primarily due to tax-exempt interest income, tax-exempt income from the increase in the cash surrender value on life insurance, differences in the value of stock awards that vest and stock options that are exercised as compared to the initial fair values that were expensed and certain tax credit investments.</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assess whether a valuation allowance should be established against our deferred tax assets based on the consideration of all available evidence using a “more likely than not” standard. The ultimate realization of this asset is primarily based on generating future income. We concluded at September 30, 2026 and 2025 and at December 31, 2025, that the realization of substantially all of our deferred tax assets continues to be more likely than not.</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3"/>
          <w:szCs w:val="13"/>
          <w:b w:val="1"/>
          <w:bCs w:val="1"/>
          <w:color w:val="auto"/>
        </w:rPr>
        <w:t>INANCIAL</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3"/>
          <w:szCs w:val="13"/>
          <w:b w:val="1"/>
          <w:bCs w:val="1"/>
          <w:color w:val="auto"/>
        </w:rPr>
        <w:t>ONDITION</w:t>
      </w:r>
    </w:p>
    <w:p>
      <w:pPr>
        <w:spacing w:after="0" w:line="19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b w:val="1"/>
          <w:bCs w:val="1"/>
          <w:color w:val="auto"/>
        </w:rPr>
        <w:t xml:space="preserve">Summary. </w:t>
      </w:r>
      <w:r>
        <w:rPr>
          <w:rFonts w:ascii="Times New Roman" w:cs="Times New Roman" w:eastAsia="Times New Roman" w:hAnsi="Times New Roman"/>
          <w:sz w:val="17"/>
          <w:szCs w:val="17"/>
          <w:color w:val="auto"/>
        </w:rPr>
        <w:t>Our total assets increased by $757.9 million during the first nine months of 2026. Loans, excluding loans held for sale, were $4.90 billion 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September 30, 2026, compared to $4.28 billion at December 31, 2025. Commercial loans and mortgage loans increased while installment loans decreased during the first nine months of 2026. (See “Portfolio Loans and asset quality.”) Securities available for sale and securities held to maturity together totaled $812.5 million at September 30, 2026, an increase of $7.1 million since December 31, 2025. These balances were impacted by the Merger. See Note #18 to the interim Condensed Consolidated Financial Statements included within this report for further discussion.</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Deposits totaled $5.52 billion at September 30, 2026, an increase of $759.7 million from December 31, 2025. Deposits associated with the Merger totaled $543.5 million at September 30, 2026. The remaining $216.2 million increase reflected organic growth in reciprocal deposits ($77.5 million), savings and interest-bearing checking deposits ($107.9 million), non-interest-bearing deposits ($36.0 million) and time deposits ($12.9 million), partially offset by an $18.1 million decrease in brokered time deposits.</w:t>
      </w:r>
    </w:p>
    <w:p>
      <w:pPr>
        <w:spacing w:after="0" w:line="12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 xml:space="preserve">Securities. </w:t>
      </w:r>
      <w:r>
        <w:rPr>
          <w:rFonts w:ascii="Times New Roman" w:cs="Times New Roman" w:eastAsia="Times New Roman" w:hAnsi="Times New Roman"/>
          <w:sz w:val="17"/>
          <w:szCs w:val="17"/>
          <w:color w:val="auto"/>
        </w:rPr>
        <w:t>We maintain diversified securities portfolios, which include obligations of U.S. government-sponsored agencies, securities issued by states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political subdivisions, residential and commercial mortgage-backed securities,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asset-backed securities, corporate securities, trust preferred securities and foreign government securities (that are denominated in U.S. dollars). We regularly evaluate asset/liability management needs and attempt to maintain a portfolio structure that provides sufficient liquidity and cash flow.</w:t>
      </w:r>
    </w:p>
    <w:p>
      <w:pPr>
        <w:spacing w:after="0" w:line="1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believe that the unrealized losses on securities AFS are temporary in nature and are expected to be recovered within a reasonable time period. Based upon our liquidity and capital resources (as explained in more detail below under "Liquidity and capital resources"), we believe that we have the ability to hold securities with unrealized losses to maturity or until such time as the unrealized losses reverse. (See “Asset/liability management.”)</w:t>
      </w:r>
    </w:p>
    <w:p>
      <w:pPr>
        <w:spacing w:after="0" w:line="1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On April 1, 2022, we transferred certain securities AFS with an amortized cost and unrealized loss at the date of transfer of $418.1 million and $26.5 million, respectively to securities HTM. The transfer was made at fair value, with the unrealized loss becoming part of the purchase discount which will be accreted over the remaining life of the securities. The other comprehensive loss component is separated from the remaining available for sale securities and is accreted over the remaining life of the securities transferred. Based upon our liquidity and capital resources (as explained in more detail below under "Liquidity and capital resources"), we believe that we have the ability and intent to hold these securities until they mature, at which time we expect to receive all of the remaining amortized cost basis for these securities.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Securities Available for Sale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Amortized</w:t>
            </w:r>
          </w:p>
        </w:tc>
        <w:tc>
          <w:tcPr>
            <w:tcW w:w="14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7"/>
                <w:szCs w:val="17"/>
                <w:color w:val="auto"/>
              </w:rPr>
              <w:t>Unrealized</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514"/>
              <w:spacing w:after="0"/>
              <w:rPr>
                <w:sz w:val="20"/>
                <w:szCs w:val="20"/>
                <w:color w:val="auto"/>
              </w:rPr>
            </w:pPr>
            <w:r>
              <w:rPr>
                <w:rFonts w:ascii="Times New Roman" w:cs="Times New Roman" w:eastAsia="Times New Roman" w:hAnsi="Times New Roman"/>
                <w:sz w:val="17"/>
                <w:szCs w:val="17"/>
                <w:color w:val="auto"/>
              </w:rPr>
              <w:t>Fair</w:t>
            </w:r>
          </w:p>
        </w:tc>
        <w:tc>
          <w:tcPr>
            <w:tcW w:w="0" w:type="dxa"/>
            <w:vAlign w:val="bottom"/>
          </w:tcPr>
          <w:p>
            <w:pPr>
              <w:spacing w:after="0"/>
              <w:rPr>
                <w:sz w:val="1"/>
                <w:szCs w:val="1"/>
                <w:color w:val="auto"/>
              </w:rPr>
            </w:pPr>
          </w:p>
        </w:tc>
      </w:tr>
      <w:tr>
        <w:trPr>
          <w:trHeight w:val="232"/>
        </w:trPr>
        <w:tc>
          <w:tcPr>
            <w:tcW w:w="2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Cost</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Gains</w:t>
            </w:r>
          </w:p>
        </w:tc>
        <w:tc>
          <w:tcPr>
            <w:tcW w:w="5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Losses</w:t>
            </w: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Value</w:t>
            </w:r>
          </w:p>
        </w:tc>
        <w:tc>
          <w:tcPr>
            <w:tcW w:w="0" w:type="dxa"/>
            <w:vAlign w:val="bottom"/>
          </w:tcPr>
          <w:p>
            <w:pPr>
              <w:spacing w:after="0"/>
              <w:rPr>
                <w:sz w:val="1"/>
                <w:szCs w:val="1"/>
                <w:color w:val="auto"/>
              </w:rPr>
            </w:pPr>
          </w:p>
        </w:tc>
      </w:tr>
      <w:tr>
        <w:trPr>
          <w:trHeight w:val="225"/>
        </w:trPr>
        <w:tc>
          <w:tcPr>
            <w:tcW w:w="2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Securities available for sale</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(In thousands)</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September 30, 2026</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65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589,169</w:t>
            </w:r>
          </w:p>
        </w:tc>
        <w:tc>
          <w:tcPr>
            <w:tcW w:w="880" w:type="dxa"/>
            <w:vAlign w:val="bottom"/>
            <w:gridSpan w:val="2"/>
            <w:shd w:val="clear" w:color="auto" w:fill="CCEEFF"/>
          </w:tcPr>
          <w:p>
            <w:pPr>
              <w:jc w:val="center"/>
              <w:ind w:right="394"/>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493</w:t>
            </w:r>
          </w:p>
        </w:tc>
        <w:tc>
          <w:tcPr>
            <w:tcW w:w="5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70,046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519,616</w:t>
            </w:r>
          </w:p>
        </w:tc>
        <w:tc>
          <w:tcPr>
            <w:tcW w:w="0" w:type="dxa"/>
            <w:vAlign w:val="bottom"/>
          </w:tcPr>
          <w:p>
            <w:pPr>
              <w:spacing w:after="0"/>
              <w:rPr>
                <w:sz w:val="1"/>
                <w:szCs w:val="1"/>
                <w:color w:val="auto"/>
              </w:rPr>
            </w:pPr>
          </w:p>
        </w:tc>
      </w:tr>
      <w:tr>
        <w:trPr>
          <w:trHeight w:val="232"/>
        </w:trPr>
        <w:tc>
          <w:tcPr>
            <w:tcW w:w="2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December 31, 2025</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546,863</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430</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51,384</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495,909</w:t>
            </w:r>
          </w:p>
        </w:tc>
        <w:tc>
          <w:tcPr>
            <w:tcW w:w="0" w:type="dxa"/>
            <w:vAlign w:val="bottom"/>
          </w:tcPr>
          <w:p>
            <w:pPr>
              <w:spacing w:after="0"/>
              <w:rPr>
                <w:sz w:val="1"/>
                <w:szCs w:val="1"/>
                <w:color w:val="auto"/>
              </w:rPr>
            </w:pPr>
          </w:p>
        </w:tc>
      </w:tr>
      <w:tr>
        <w:trPr>
          <w:trHeight w:val="464"/>
        </w:trPr>
        <w:tc>
          <w:tcPr>
            <w:tcW w:w="2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Securities Held to Maturity</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2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center"/>
              <w:ind w:right="94"/>
              <w:spacing w:after="0"/>
              <w:rPr>
                <w:sz w:val="20"/>
                <w:szCs w:val="20"/>
                <w:color w:val="auto"/>
              </w:rPr>
            </w:pPr>
            <w:r>
              <w:rPr>
                <w:rFonts w:ascii="Times New Roman" w:cs="Times New Roman" w:eastAsia="Times New Roman" w:hAnsi="Times New Roman"/>
                <w:sz w:val="17"/>
                <w:szCs w:val="17"/>
                <w:color w:val="auto"/>
              </w:rPr>
              <w:t>Transferred</w:t>
            </w: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80" w:type="dxa"/>
            <w:vAlign w:val="bottom"/>
            <w:gridSpan w:val="3"/>
            <w:vMerge w:val="restart"/>
          </w:tcPr>
          <w:p>
            <w:pPr>
              <w:jc w:val="right"/>
              <w:ind w:right="474"/>
              <w:spacing w:after="0"/>
              <w:rPr>
                <w:sz w:val="20"/>
                <w:szCs w:val="20"/>
                <w:color w:val="auto"/>
              </w:rPr>
            </w:pPr>
            <w:r>
              <w:rPr>
                <w:rFonts w:ascii="Times New Roman" w:cs="Times New Roman" w:eastAsia="Times New Roman" w:hAnsi="Times New Roman"/>
                <w:sz w:val="17"/>
                <w:szCs w:val="17"/>
                <w:color w:val="auto"/>
              </w:rPr>
              <w:t>Unrecognized</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194"/>
              <w:spacing w:after="0" w:line="186" w:lineRule="exact"/>
              <w:rPr>
                <w:sz w:val="20"/>
                <w:szCs w:val="20"/>
                <w:color w:val="auto"/>
              </w:rPr>
            </w:pPr>
            <w:r>
              <w:rPr>
                <w:rFonts w:ascii="Times New Roman" w:cs="Times New Roman" w:eastAsia="Times New Roman" w:hAnsi="Times New Roman"/>
                <w:sz w:val="17"/>
                <w:szCs w:val="17"/>
                <w:color w:val="auto"/>
              </w:rPr>
              <w:t>Carrying</w:t>
            </w:r>
          </w:p>
        </w:tc>
        <w:tc>
          <w:tcPr>
            <w:tcW w:w="240" w:type="dxa"/>
            <w:vAlign w:val="bottom"/>
          </w:tcPr>
          <w:p>
            <w:pPr>
              <w:spacing w:after="0"/>
              <w:rPr>
                <w:sz w:val="16"/>
                <w:szCs w:val="16"/>
                <w:color w:val="auto"/>
              </w:rPr>
            </w:pPr>
          </w:p>
        </w:tc>
        <w:tc>
          <w:tcPr>
            <w:tcW w:w="1100" w:type="dxa"/>
            <w:vAlign w:val="bottom"/>
          </w:tcPr>
          <w:p>
            <w:pPr>
              <w:jc w:val="center"/>
              <w:ind w:right="114"/>
              <w:spacing w:after="0" w:line="186" w:lineRule="exact"/>
              <w:rPr>
                <w:sz w:val="20"/>
                <w:szCs w:val="20"/>
                <w:color w:val="auto"/>
              </w:rPr>
            </w:pPr>
            <w:r>
              <w:rPr>
                <w:rFonts w:ascii="Times New Roman" w:cs="Times New Roman" w:eastAsia="Times New Roman" w:hAnsi="Times New Roman"/>
                <w:sz w:val="17"/>
                <w:szCs w:val="17"/>
                <w:color w:val="auto"/>
                <w:w w:val="99"/>
              </w:rPr>
              <w:t>Unrealized</w:t>
            </w: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80" w:type="dxa"/>
            <w:vAlign w:val="bottom"/>
            <w:gridSpan w:val="3"/>
          </w:tcPr>
          <w:p>
            <w:pPr>
              <w:jc w:val="center"/>
              <w:spacing w:after="0" w:line="186" w:lineRule="exact"/>
              <w:rPr>
                <w:sz w:val="20"/>
                <w:szCs w:val="20"/>
                <w:color w:val="auto"/>
              </w:rPr>
            </w:pPr>
            <w:r>
              <w:rPr>
                <w:rFonts w:ascii="Times New Roman" w:cs="Times New Roman" w:eastAsia="Times New Roman" w:hAnsi="Times New Roman"/>
                <w:sz w:val="17"/>
                <w:szCs w:val="17"/>
                <w:color w:val="auto"/>
              </w:rPr>
              <w:t>Amortized</w:t>
            </w:r>
          </w:p>
        </w:tc>
        <w:tc>
          <w:tcPr>
            <w:tcW w:w="2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Value</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7"/>
                <w:szCs w:val="17"/>
                <w:color w:val="auto"/>
              </w:rPr>
              <w:t>Loss (1)</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ACL</w:t>
            </w:r>
          </w:p>
        </w:tc>
        <w:tc>
          <w:tcPr>
            <w:tcW w:w="6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center"/>
              <w:ind w:right="434"/>
              <w:spacing w:after="0"/>
              <w:rPr>
                <w:sz w:val="20"/>
                <w:szCs w:val="20"/>
                <w:color w:val="auto"/>
              </w:rPr>
            </w:pPr>
            <w:r>
              <w:rPr>
                <w:rFonts w:ascii="Times New Roman" w:cs="Times New Roman" w:eastAsia="Times New Roman" w:hAnsi="Times New Roman"/>
                <w:sz w:val="17"/>
                <w:szCs w:val="17"/>
                <w:color w:val="auto"/>
              </w:rPr>
              <w:t>Cost</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7"/>
                <w:szCs w:val="17"/>
                <w:color w:val="auto"/>
              </w:rPr>
              <w:t>Gains</w:t>
            </w: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Losses</w:t>
            </w: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Fair Value</w:t>
            </w:r>
          </w:p>
        </w:tc>
        <w:tc>
          <w:tcPr>
            <w:tcW w:w="0" w:type="dxa"/>
            <w:vAlign w:val="bottom"/>
          </w:tcPr>
          <w:p>
            <w:pPr>
              <w:spacing w:after="0"/>
              <w:rPr>
                <w:sz w:val="1"/>
                <w:szCs w:val="1"/>
                <w:color w:val="auto"/>
              </w:rPr>
            </w:pPr>
          </w:p>
        </w:tc>
      </w:tr>
      <w:tr>
        <w:trPr>
          <w:trHeight w:val="225"/>
        </w:trPr>
        <w:tc>
          <w:tcPr>
            <w:tcW w:w="2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80" w:type="dxa"/>
            <w:vAlign w:val="bottom"/>
            <w:gridSpan w:val="3"/>
          </w:tcPr>
          <w:p>
            <w:pPr>
              <w:jc w:val="right"/>
              <w:ind w:right="74"/>
              <w:spacing w:after="0"/>
              <w:rPr>
                <w:sz w:val="20"/>
                <w:szCs w:val="20"/>
                <w:color w:val="auto"/>
              </w:rPr>
            </w:pPr>
            <w:r>
              <w:rPr>
                <w:rFonts w:ascii="Times New Roman" w:cs="Times New Roman" w:eastAsia="Times New Roman" w:hAnsi="Times New Roman"/>
                <w:sz w:val="17"/>
                <w:szCs w:val="17"/>
                <w:color w:val="auto"/>
              </w:rPr>
              <w:t>(In thousands)</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Securities held to maturity</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September 30, 2026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292,884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10,914</w:t>
            </w:r>
          </w:p>
        </w:tc>
        <w:tc>
          <w:tcPr>
            <w:tcW w:w="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center"/>
              <w:ind w:left="574"/>
              <w:spacing w:after="0"/>
              <w:rPr>
                <w:sz w:val="20"/>
                <w:szCs w:val="20"/>
                <w:color w:val="auto"/>
              </w:rPr>
            </w:pPr>
            <w:r>
              <w:rPr>
                <w:rFonts w:ascii="Times New Roman" w:cs="Times New Roman" w:eastAsia="Times New Roman" w:hAnsi="Times New Roman"/>
                <w:sz w:val="17"/>
                <w:szCs w:val="17"/>
                <w:color w:val="auto"/>
              </w:rPr>
              <w:t>61</w:t>
            </w:r>
          </w:p>
        </w:tc>
        <w:tc>
          <w:tcPr>
            <w:tcW w:w="60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303,859</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14</w:t>
            </w:r>
          </w:p>
        </w:tc>
        <w:tc>
          <w:tcPr>
            <w:tcW w:w="2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47,624</w:t>
            </w:r>
          </w:p>
        </w:tc>
        <w:tc>
          <w:tcPr>
            <w:tcW w:w="80" w:type="dxa"/>
            <w:vAlign w:val="bottom"/>
            <w:shd w:val="clear" w:color="auto" w:fill="CCEEFF"/>
          </w:tcPr>
          <w:p>
            <w:pPr>
              <w:spacing w:after="0"/>
              <w:rPr>
                <w:sz w:val="20"/>
                <w:szCs w:val="20"/>
                <w:color w:val="auto"/>
              </w:rPr>
            </w:pPr>
          </w:p>
        </w:tc>
        <w:tc>
          <w:tcPr>
            <w:tcW w:w="2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256,249</w:t>
            </w:r>
          </w:p>
        </w:tc>
        <w:tc>
          <w:tcPr>
            <w:tcW w:w="0" w:type="dxa"/>
            <w:vAlign w:val="bottom"/>
          </w:tcPr>
          <w:p>
            <w:pPr>
              <w:spacing w:after="0"/>
              <w:rPr>
                <w:sz w:val="1"/>
                <w:szCs w:val="1"/>
                <w:color w:val="auto"/>
              </w:rPr>
            </w:pPr>
          </w:p>
        </w:tc>
      </w:tr>
      <w:tr>
        <w:trPr>
          <w:trHeight w:val="232"/>
        </w:trPr>
        <w:tc>
          <w:tcPr>
            <w:tcW w:w="2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December 31, 2025</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309,523</w:t>
            </w:r>
          </w:p>
        </w:tc>
        <w:tc>
          <w:tcPr>
            <w:tcW w:w="240" w:type="dxa"/>
            <w:vAlign w:val="bottom"/>
          </w:tcPr>
          <w:p>
            <w:pPr>
              <w:spacing w:after="0"/>
              <w:rPr>
                <w:sz w:val="20"/>
                <w:szCs w:val="20"/>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12,982</w:t>
            </w:r>
          </w:p>
        </w:tc>
        <w:tc>
          <w:tcPr>
            <w:tcW w:w="380" w:type="dxa"/>
            <w:vAlign w:val="bottom"/>
          </w:tcPr>
          <w:p>
            <w:pPr>
              <w:spacing w:after="0"/>
              <w:rPr>
                <w:sz w:val="20"/>
                <w:szCs w:val="20"/>
                <w:color w:val="auto"/>
              </w:rPr>
            </w:pPr>
          </w:p>
        </w:tc>
        <w:tc>
          <w:tcPr>
            <w:tcW w:w="840" w:type="dxa"/>
            <w:vAlign w:val="bottom"/>
          </w:tcPr>
          <w:p>
            <w:pPr>
              <w:jc w:val="center"/>
              <w:ind w:left="574"/>
              <w:spacing w:after="0"/>
              <w:rPr>
                <w:sz w:val="20"/>
                <w:szCs w:val="20"/>
                <w:color w:val="auto"/>
              </w:rPr>
            </w:pPr>
            <w:r>
              <w:rPr>
                <w:rFonts w:ascii="Times New Roman" w:cs="Times New Roman" w:eastAsia="Times New Roman" w:hAnsi="Times New Roman"/>
                <w:sz w:val="17"/>
                <w:szCs w:val="17"/>
                <w:color w:val="auto"/>
              </w:rPr>
              <w:t>92</w:t>
            </w:r>
          </w:p>
        </w:tc>
        <w:tc>
          <w:tcPr>
            <w:tcW w:w="600" w:type="dxa"/>
            <w:vAlign w:val="bottom"/>
          </w:tcPr>
          <w:p>
            <w:pPr>
              <w:spacing w:after="0"/>
              <w:rPr>
                <w:sz w:val="20"/>
                <w:szCs w:val="20"/>
                <w:color w:val="auto"/>
              </w:rPr>
            </w:pPr>
          </w:p>
        </w:tc>
        <w:tc>
          <w:tcPr>
            <w:tcW w:w="8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322,597</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36</w:t>
            </w:r>
          </w:p>
        </w:tc>
        <w:tc>
          <w:tcPr>
            <w:tcW w:w="2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39,803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282,830</w:t>
            </w:r>
          </w:p>
        </w:tc>
        <w:tc>
          <w:tcPr>
            <w:tcW w:w="0" w:type="dxa"/>
            <w:vAlign w:val="bottom"/>
          </w:tcPr>
          <w:p>
            <w:pPr>
              <w:spacing w:after="0"/>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Represents the remaining unrealized loss to be accreted on securities that were transferred from AFS to HTM on April 1, 2022.</w:t>
      </w:r>
    </w:p>
    <w:p>
      <w:pPr>
        <w:spacing w:after="0" w:line="1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Securities AFS in unrealized loss positions are evaluated quarterly for impairment related to credit losses. For securities AFS in an unrealized loss position, we first assess whether we intend to sell, or it is more likely than not that we will be required to sell the security before recovery of its amortized cost basis. If either of the criteria regarding intent or requirement to sell is met, the security’s amortized cost basis is written down to fair value through earnings. For securities AFS that do not meet these criteria, we evaluate whether the decline in fair value has resulted from credit losses or other factors. In making this assessment, we consider the extent to which fair value is less than amortized cost, adverse conditions specifically related to the security and the issuer and the impact of changes in market interest rates on the market value of the security, among other factors. If this assessment indicates that a credit loss exists, we compare the present value of cash flows expected to be collected from the security with the amortized cost basis of the security. If the present value of cash flows expected to be collected is less than the amortized cost basis for the security, a credit loss exists and an ACL is recorded, limited to the amount that the fair value of the security is less than its amortized cost basis. Any impairment that has not been recorded through an ACL is recognized in other comprehensive income (loss), net of applicable taxes. No ACL for securities AFS was needed at September 30, 2026 and December 31, 2025. The increase in unrealized losses during the first nine months of 2026 primarily reflected higher U.S. Treasury yields. During 2026 the Treasury curve flattened, with two- to five-year rates rising 125 to 140 basis points, compared with increases of 90 to 110 basis points on seven- to ten-year rates. Credit spreads were generally stable. Tax-exempt municipal securities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underperformed Treasuries as municipal-to-taxable yield ratios widened, particularly for maturities of 10 to 15 years. See note #3 to the interim Condensed Consolidated Financial Statements included within this report for further discussion.</w:t>
      </w:r>
    </w:p>
    <w:p>
      <w:pPr>
        <w:spacing w:after="0" w:line="1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For securities HTM an ACL is maintained at a level which represents our best estimate of expected credit losses. This ACL is a contra asset valuation account that is deducted from the carrying amount of securities HTM to present the net amount expected to be collected. Securities HTM are charged off against the ACL when deemed uncollectible. Adjustments to the ACL are reported in our interim Condensed Consolidated Statements of Operations in provision for credit losses. We measure expected credit losses on securities HTM on a collective basis by major security type with each type sharing similar risk characteristics. With regard to U.S. Government-sponsored agency and mortgage-backed securities (residential and commercial), all these securities are issued by a U.S. government-sponsored entity and have an implicit or explicit government guarantee; therefore, no allowance for credit losses has been recorded for these securities. With regard to obligations of states and political subdivisions, private label-mortgage-backed, corporate and trust preferred securities HTM, we consider (1) issuer bond ratings,</w:t>
      </w:r>
    </w:p>
    <w:p>
      <w:pPr>
        <w:spacing w:after="0" w:line="1" w:lineRule="exact"/>
        <w:rPr>
          <w:sz w:val="20"/>
          <w:szCs w:val="20"/>
          <w:color w:val="auto"/>
        </w:rPr>
      </w:pPr>
    </w:p>
    <w:p>
      <w:pPr>
        <w:jc w:val="both"/>
        <w:ind w:firstLine="3"/>
        <w:spacing w:after="0" w:line="259" w:lineRule="auto"/>
        <w:tabs>
          <w:tab w:leader="none" w:pos="262"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historical loss rates for given bond ratings, (3) the financial condition of the issuer, and (4) whether issuers continue to make timely principal and interest payments under the contractual terms of the securities. See note #3 to the interim Condensed Consolidated Financial Statements included within this report for further discussion.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Sales of securities available for sale were as follows (See “Non-interest income.”):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2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Sales of Securities Available for Sale</w:t>
            </w: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38"/>
        </w:trPr>
        <w:tc>
          <w:tcPr>
            <w:tcW w:w="5200" w:type="dxa"/>
            <w:vAlign w:val="bottom"/>
          </w:tcPr>
          <w:p>
            <w:pPr>
              <w:spacing w:after="0"/>
              <w:rPr>
                <w:sz w:val="24"/>
                <w:szCs w:val="24"/>
                <w:color w:val="auto"/>
              </w:rPr>
            </w:pPr>
          </w:p>
        </w:tc>
        <w:tc>
          <w:tcPr>
            <w:tcW w:w="306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auto"/>
              </w:rPr>
              <w:t>Three Months Ended September 30,</w:t>
            </w:r>
          </w:p>
        </w:tc>
        <w:tc>
          <w:tcPr>
            <w:tcW w:w="200" w:type="dxa"/>
            <w:vAlign w:val="bottom"/>
          </w:tcPr>
          <w:p>
            <w:pPr>
              <w:spacing w:after="0"/>
              <w:rPr>
                <w:sz w:val="24"/>
                <w:szCs w:val="24"/>
                <w:color w:val="auto"/>
              </w:rPr>
            </w:pPr>
          </w:p>
        </w:tc>
        <w:tc>
          <w:tcPr>
            <w:tcW w:w="2780" w:type="dxa"/>
            <w:vAlign w:val="bottom"/>
            <w:gridSpan w:val="4"/>
          </w:tcPr>
          <w:p>
            <w:pPr>
              <w:jc w:val="right"/>
              <w:ind w:right="194"/>
              <w:spacing w:after="0"/>
              <w:rPr>
                <w:sz w:val="20"/>
                <w:szCs w:val="20"/>
                <w:color w:val="auto"/>
              </w:rPr>
            </w:pPr>
            <w:r>
              <w:rPr>
                <w:rFonts w:ascii="Times New Roman" w:cs="Times New Roman" w:eastAsia="Times New Roman" w:hAnsi="Times New Roman"/>
                <w:sz w:val="17"/>
                <w:szCs w:val="17"/>
                <w:color w:val="auto"/>
              </w:rPr>
              <w:t>Nine Months Ended September 30,</w:t>
            </w:r>
          </w:p>
        </w:tc>
      </w:tr>
      <w:tr>
        <w:trPr>
          <w:trHeight w:val="257"/>
        </w:trPr>
        <w:tc>
          <w:tcPr>
            <w:tcW w:w="52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2026</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2025</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2026</w:t>
            </w:r>
          </w:p>
        </w:tc>
        <w:tc>
          <w:tcPr>
            <w:tcW w:w="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2025</w:t>
            </w:r>
          </w:p>
        </w:tc>
      </w:tr>
      <w:tr>
        <w:trPr>
          <w:trHeight w:val="225"/>
        </w:trPr>
        <w:tc>
          <w:tcPr>
            <w:tcW w:w="5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(In thousands)</w:t>
            </w: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(In thousands)</w:t>
            </w:r>
          </w:p>
        </w:tc>
        <w:tc>
          <w:tcPr>
            <w:tcW w:w="940" w:type="dxa"/>
            <w:vAlign w:val="bottom"/>
          </w:tcPr>
          <w:p>
            <w:pPr>
              <w:spacing w:after="0"/>
              <w:rPr>
                <w:sz w:val="19"/>
                <w:szCs w:val="19"/>
                <w:color w:val="auto"/>
              </w:rPr>
            </w:pPr>
          </w:p>
        </w:tc>
      </w:tr>
      <w:tr>
        <w:trPr>
          <w:trHeight w:val="23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Proceeds</w:t>
            </w:r>
          </w:p>
        </w:tc>
        <w:tc>
          <w:tcPr>
            <w:tcW w:w="90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19,263</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4,225</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24,813</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30,581</w:t>
            </w:r>
          </w:p>
        </w:tc>
      </w:tr>
      <w:tr>
        <w:trPr>
          <w:trHeight w:val="232"/>
        </w:trPr>
        <w:tc>
          <w:tcPr>
            <w:tcW w:w="52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Gross gains</w:t>
            </w:r>
          </w:p>
        </w:tc>
        <w:tc>
          <w:tcPr>
            <w:tcW w:w="9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32"/>
        </w:trPr>
        <w:tc>
          <w:tcPr>
            <w:tcW w:w="5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Gross losses</w:t>
            </w:r>
          </w:p>
        </w:tc>
        <w:tc>
          <w:tcPr>
            <w:tcW w:w="9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8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w:t>
            </w:r>
          </w:p>
        </w:tc>
      </w:tr>
      <w:tr>
        <w:trPr>
          <w:trHeight w:val="225"/>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gains (losses)</w:t>
            </w:r>
          </w:p>
        </w:tc>
        <w:tc>
          <w:tcPr>
            <w:tcW w:w="90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(355)</w:t>
            </w:r>
          </w:p>
        </w:tc>
      </w:tr>
      <w:tr>
        <w:trPr>
          <w:trHeight w:val="20"/>
        </w:trPr>
        <w:tc>
          <w:tcPr>
            <w:tcW w:w="5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Merger did not have a significant impact on our securities portfolios. $17.8 million of the proceeds from sales of securities available for sale in the table above relate to securities acquired in the Merger and subsequently sold after July 1, 2026. These sales were done to augment market yield and modestly reduce duration while maintaining liquidity metrics.</w:t>
      </w:r>
    </w:p>
    <w:p>
      <w:pPr>
        <w:spacing w:after="0" w:line="13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Portfolio Loans and asset quality. </w:t>
      </w:r>
      <w:r>
        <w:rPr>
          <w:rFonts w:ascii="Times New Roman" w:cs="Times New Roman" w:eastAsia="Times New Roman" w:hAnsi="Times New Roman"/>
          <w:sz w:val="17"/>
          <w:szCs w:val="17"/>
          <w:color w:val="auto"/>
        </w:rPr>
        <w:t>In addition to the communities served by our Banks' branch and loan production office network, our principal lending markets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also include nearby communities and metropolitan areas. Subject to established underwriting criteria, we also may participate in commercial lending transactions with certain non-affiliated banks and make whole loan purchases from other financial institutions.</w:t>
      </w:r>
    </w:p>
    <w:p>
      <w:pPr>
        <w:spacing w:after="0" w:line="1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senior management and board of directors of our Banks retain authority and responsibility for credit decisions and we have adopted uniform underwriting standards. Our loan committee structure and the loan review process attempt to provide requisite controls and promote compliance with such established underwriting standards. However, there can be no assurance that our lending procedures and the use of uniform underwriting standards will prevent us from incurring significant credit losses in our lending activities.</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generally retain loans that may be profitably funded within established risk parameters. (See “Asset/liability management.”) As a result, we may hold adjustable-rate conventional and fixed rate jumbo mortgage loans as Portfolio Loans, while 15- and 30-year fixed-rate non-jumbo mortgage loans are generally sold to mitigate exposure to changes in interest rates. (See “Non-interest income" and “Asset/liability management.”).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95"/>
        </w:trPr>
        <w:tc>
          <w:tcPr>
            <w:tcW w:w="818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0000FF"/>
              </w:rPr>
              <w:t>Index</w:t>
            </w: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0"/>
        </w:trPr>
        <w:tc>
          <w:tcPr>
            <w:tcW w:w="8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 summary of our Portfolio Loans follows: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38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September 30,</w:t>
            </w:r>
          </w:p>
        </w:tc>
        <w:tc>
          <w:tcPr>
            <w:tcW w:w="180" w:type="dxa"/>
            <w:vAlign w:val="bottom"/>
          </w:tcPr>
          <w:p>
            <w:pPr>
              <w:spacing w:after="0"/>
              <w:rPr>
                <w:sz w:val="24"/>
                <w:szCs w:val="24"/>
                <w:color w:val="auto"/>
              </w:rPr>
            </w:pPr>
          </w:p>
        </w:tc>
        <w:tc>
          <w:tcPr>
            <w:tcW w:w="130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December 31,</w:t>
            </w: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78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2026</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2025</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7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80" w:type="dxa"/>
            <w:vAlign w:val="bottom"/>
            <w:gridSpan w:val="4"/>
          </w:tcPr>
          <w:p>
            <w:pPr>
              <w:jc w:val="right"/>
              <w:ind w:right="934"/>
              <w:spacing w:after="0"/>
              <w:rPr>
                <w:sz w:val="20"/>
                <w:szCs w:val="20"/>
                <w:color w:val="auto"/>
              </w:rPr>
            </w:pPr>
            <w:r>
              <w:rPr>
                <w:rFonts w:ascii="Times New Roman" w:cs="Times New Roman" w:eastAsia="Times New Roman" w:hAnsi="Times New Roman"/>
                <w:sz w:val="17"/>
                <w:szCs w:val="17"/>
                <w:color w:val="auto"/>
              </w:rPr>
              <w:t>(In thousands)</w:t>
            </w:r>
          </w:p>
        </w:tc>
        <w:tc>
          <w:tcPr>
            <w:tcW w:w="0" w:type="dxa"/>
            <w:vAlign w:val="bottom"/>
          </w:tcPr>
          <w:p>
            <w:pPr>
              <w:spacing w:after="0"/>
              <w:rPr>
                <w:sz w:val="1"/>
                <w:szCs w:val="1"/>
                <w:color w:val="auto"/>
              </w:rPr>
            </w:pPr>
          </w:p>
        </w:tc>
      </w:tr>
      <w:tr>
        <w:trPr>
          <w:trHeight w:val="232"/>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Real estate(1)</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Residential first mortgages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1,391,959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1,285,781</w:t>
            </w:r>
          </w:p>
        </w:tc>
        <w:tc>
          <w:tcPr>
            <w:tcW w:w="0" w:type="dxa"/>
            <w:vAlign w:val="bottom"/>
          </w:tcPr>
          <w:p>
            <w:pPr>
              <w:spacing w:after="0"/>
              <w:rPr>
                <w:sz w:val="1"/>
                <w:szCs w:val="1"/>
                <w:color w:val="auto"/>
              </w:rPr>
            </w:pPr>
          </w:p>
        </w:tc>
      </w:tr>
      <w:tr>
        <w:trPr>
          <w:trHeight w:val="232"/>
        </w:trPr>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Non farm non residential</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1,585,847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1,248,883</w:t>
            </w:r>
          </w:p>
        </w:tc>
        <w:tc>
          <w:tcPr>
            <w:tcW w:w="0" w:type="dxa"/>
            <w:vAlign w:val="bottom"/>
          </w:tcPr>
          <w:p>
            <w:pPr>
              <w:spacing w:after="0"/>
              <w:rPr>
                <w:sz w:val="1"/>
                <w:szCs w:val="1"/>
                <w:color w:val="auto"/>
              </w:rPr>
            </w:pPr>
          </w:p>
        </w:tc>
      </w:tr>
      <w:tr>
        <w:trPr>
          <w:trHeight w:val="232"/>
        </w:trPr>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Construction and land development</w:t>
            </w: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278,828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273,582</w:t>
            </w:r>
          </w:p>
        </w:tc>
        <w:tc>
          <w:tcPr>
            <w:tcW w:w="0" w:type="dxa"/>
            <w:vAlign w:val="bottom"/>
          </w:tcPr>
          <w:p>
            <w:pPr>
              <w:spacing w:after="0"/>
              <w:rPr>
                <w:sz w:val="1"/>
                <w:szCs w:val="1"/>
                <w:color w:val="auto"/>
              </w:rPr>
            </w:pPr>
          </w:p>
        </w:tc>
      </w:tr>
      <w:tr>
        <w:trPr>
          <w:trHeight w:val="232"/>
        </w:trPr>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Residential home equity and other junior mortgages</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245,698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211,646</w:t>
            </w:r>
          </w:p>
        </w:tc>
        <w:tc>
          <w:tcPr>
            <w:tcW w:w="0" w:type="dxa"/>
            <w:vAlign w:val="bottom"/>
          </w:tcPr>
          <w:p>
            <w:pPr>
              <w:spacing w:after="0"/>
              <w:rPr>
                <w:sz w:val="1"/>
                <w:szCs w:val="1"/>
                <w:color w:val="auto"/>
              </w:rPr>
            </w:pPr>
          </w:p>
        </w:tc>
      </w:tr>
      <w:tr>
        <w:trPr>
          <w:trHeight w:val="232"/>
        </w:trPr>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Multifamily residential</w:t>
            </w: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131,385</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123,210</w:t>
            </w:r>
          </w:p>
        </w:tc>
        <w:tc>
          <w:tcPr>
            <w:tcW w:w="0" w:type="dxa"/>
            <w:vAlign w:val="bottom"/>
          </w:tcPr>
          <w:p>
            <w:pPr>
              <w:spacing w:after="0"/>
              <w:rPr>
                <w:sz w:val="1"/>
                <w:szCs w:val="1"/>
                <w:color w:val="auto"/>
              </w:rPr>
            </w:pPr>
          </w:p>
        </w:tc>
      </w:tr>
      <w:tr>
        <w:trPr>
          <w:trHeight w:val="232"/>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Consumer</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516,452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533,807</w:t>
            </w:r>
          </w:p>
        </w:tc>
        <w:tc>
          <w:tcPr>
            <w:tcW w:w="0" w:type="dxa"/>
            <w:vAlign w:val="bottom"/>
          </w:tcPr>
          <w:p>
            <w:pPr>
              <w:spacing w:after="0"/>
              <w:rPr>
                <w:sz w:val="1"/>
                <w:szCs w:val="1"/>
                <w:color w:val="auto"/>
              </w:rPr>
            </w:pPr>
          </w:p>
        </w:tc>
      </w:tr>
      <w:tr>
        <w:trPr>
          <w:trHeight w:val="232"/>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Commercial</w:t>
            </w: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743,636</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595,856</w:t>
            </w:r>
          </w:p>
        </w:tc>
        <w:tc>
          <w:tcPr>
            <w:tcW w:w="0" w:type="dxa"/>
            <w:vAlign w:val="bottom"/>
          </w:tcPr>
          <w:p>
            <w:pPr>
              <w:spacing w:after="0"/>
              <w:rPr>
                <w:sz w:val="1"/>
                <w:szCs w:val="1"/>
                <w:color w:val="auto"/>
              </w:rPr>
            </w:pPr>
          </w:p>
        </w:tc>
      </w:tr>
      <w:tr>
        <w:trPr>
          <w:trHeight w:val="232"/>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Agricultural</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3,344</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3,520</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loans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4,897,149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4,276,285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color w:val="auto"/>
              </w:rPr>
              <w:t>_________________________________</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818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 Includes both residential and non-residential commercial loans secured by real estate.</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Portfolio Loans totaled $4.90 billion at September 30, 2026, an increase of $620.9 million from December 31, 2025. Loans associated with the Merger totaled $366.7 million at September 30, 2026. The remaining $254.2 million increase primarily reflected organic growth related to commercial lending.</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9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Non-performing assets</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373"/>
        </w:trPr>
        <w:tc>
          <w:tcPr>
            <w:tcW w:w="7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September 30,</w:t>
            </w:r>
          </w:p>
        </w:tc>
        <w:tc>
          <w:tcPr>
            <w:tcW w:w="220" w:type="dxa"/>
            <w:vAlign w:val="bottom"/>
          </w:tcPr>
          <w:p>
            <w:pPr>
              <w:spacing w:after="0"/>
              <w:rPr>
                <w:sz w:val="24"/>
                <w:szCs w:val="24"/>
                <w:color w:val="auto"/>
              </w:rPr>
            </w:pPr>
          </w:p>
        </w:tc>
        <w:tc>
          <w:tcPr>
            <w:tcW w:w="138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December 31,</w:t>
            </w:r>
          </w:p>
        </w:tc>
      </w:tr>
      <w:tr>
        <w:trPr>
          <w:trHeight w:val="228"/>
        </w:trPr>
        <w:tc>
          <w:tcPr>
            <w:tcW w:w="79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color w:val="auto"/>
              </w:rPr>
              <w:t>2026</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2025</w:t>
            </w:r>
          </w:p>
        </w:tc>
      </w:tr>
      <w:tr>
        <w:trPr>
          <w:trHeight w:val="229"/>
        </w:trPr>
        <w:tc>
          <w:tcPr>
            <w:tcW w:w="7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80" w:type="dxa"/>
            <w:vAlign w:val="bottom"/>
            <w:gridSpan w:val="4"/>
          </w:tcPr>
          <w:p>
            <w:pPr>
              <w:jc w:val="right"/>
              <w:ind w:right="794"/>
              <w:spacing w:after="0"/>
              <w:rPr>
                <w:sz w:val="20"/>
                <w:szCs w:val="20"/>
                <w:color w:val="auto"/>
              </w:rPr>
            </w:pPr>
            <w:r>
              <w:rPr>
                <w:rFonts w:ascii="Times New Roman" w:cs="Times New Roman" w:eastAsia="Times New Roman" w:hAnsi="Times New Roman"/>
                <w:sz w:val="17"/>
                <w:szCs w:val="17"/>
                <w:color w:val="auto"/>
              </w:rPr>
              <w:t>(Dollars in thousands)</w:t>
            </w:r>
          </w:p>
        </w:tc>
      </w:tr>
      <w:tr>
        <w:trPr>
          <w:trHeight w:val="23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Non-accrual loans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50,277</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33,074</w:t>
            </w: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Loans 90 days or more past due and still accruing interest</w:t>
            </w:r>
          </w:p>
        </w:tc>
        <w:tc>
          <w:tcPr>
            <w:tcW w:w="200" w:type="dxa"/>
            <w:vAlign w:val="bottom"/>
          </w:tcPr>
          <w:p>
            <w:pPr>
              <w:spacing w:after="0"/>
              <w:rPr>
                <w:sz w:val="20"/>
                <w:szCs w:val="20"/>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3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r>
      <w:tr>
        <w:trPr>
          <w:trHeight w:val="225"/>
        </w:trPr>
        <w:tc>
          <w:tcPr>
            <w:tcW w:w="7960" w:type="dxa"/>
            <w:vAlign w:val="bottom"/>
            <w:tcBorders>
              <w:top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Subtotal</w:t>
            </w:r>
          </w:p>
        </w:tc>
        <w:tc>
          <w:tcPr>
            <w:tcW w:w="20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50,277</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33,074</w:t>
            </w:r>
          </w:p>
        </w:tc>
      </w:tr>
      <w:tr>
        <w:trPr>
          <w:trHeight w:val="232"/>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Government guaranteed loans</w:t>
            </w: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11,116</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9,947</w:t>
            </w:r>
          </w:p>
        </w:tc>
      </w:tr>
      <w:tr>
        <w:trPr>
          <w:trHeight w:val="225"/>
        </w:trPr>
        <w:tc>
          <w:tcPr>
            <w:tcW w:w="79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 non-performing loans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39,161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23,127</w:t>
            </w:r>
          </w:p>
        </w:tc>
      </w:tr>
      <w:tr>
        <w:trPr>
          <w:trHeight w:val="232"/>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real estate and repossessed assets, net</w:t>
            </w: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759</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896</w:t>
            </w:r>
          </w:p>
        </w:tc>
      </w:tr>
      <w:tr>
        <w:trPr>
          <w:trHeight w:val="250"/>
        </w:trPr>
        <w:tc>
          <w:tcPr>
            <w:tcW w:w="79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 non-performing assets</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39,920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24,023</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 a percent of Portfolio Loans</w:t>
            </w: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32"/>
        </w:trPr>
        <w:tc>
          <w:tcPr>
            <w:tcW w:w="79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Non-performing loans</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0.80 %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0.54 %</w:t>
            </w:r>
          </w:p>
        </w:tc>
      </w:tr>
      <w:tr>
        <w:trPr>
          <w:trHeight w:val="232"/>
        </w:trPr>
        <w:tc>
          <w:tcPr>
            <w:tcW w:w="7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Allowance for credit losses</w:t>
            </w: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1.51</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1.48</w:t>
            </w: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Non-performing assets to total assets</w:t>
            </w:r>
          </w:p>
        </w:tc>
        <w:tc>
          <w:tcPr>
            <w:tcW w:w="200" w:type="dxa"/>
            <w:vAlign w:val="bottom"/>
          </w:tcPr>
          <w:p>
            <w:pPr>
              <w:spacing w:after="0"/>
              <w:rPr>
                <w:sz w:val="20"/>
                <w:szCs w:val="20"/>
                <w:color w:val="auto"/>
              </w:rPr>
            </w:pPr>
          </w:p>
        </w:tc>
        <w:tc>
          <w:tcPr>
            <w:tcW w:w="14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0.64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0.44</w:t>
            </w:r>
          </w:p>
        </w:tc>
      </w:tr>
      <w:tr>
        <w:trPr>
          <w:trHeight w:val="23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Allowance for credit losses as a percent of non-performing loans</w:t>
            </w: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188.26 %</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274.33 %</w:t>
            </w:r>
          </w:p>
        </w:tc>
      </w:tr>
    </w:tbl>
    <w:p>
      <w:pPr>
        <w:spacing w:after="0" w:line="24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Non-performing loans have increased as a percent of Portfolio Loans since year-end 2025, primarily due to the addition of four commercial relationships during the first nine months of 2026. See note #4.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real estate and repossessed assets totaled $0.76 million and $0.90 million at September 30, 2026, and December 31, 2025, respectively.</w:t>
      </w:r>
    </w:p>
    <w:p>
      <w:pPr>
        <w:spacing w:after="0" w:line="19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will place a loan that is 90 days or more past due on non-accrual, unless we believe the loan is both well secured and in the process of collection. Accordingly, we have determined that the collection of the accrued and unpaid interest on any loans that are 90 days or more past due and still accruing interest is probable.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reflect activity in our ACL on loans, securities HTM and unfunded lending commitments as well as the allocation of our ACL on loans.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Allowance for credit losses on loans, securities HTM and unfunded lending commitments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gridSpan w:val="5"/>
          </w:tcPr>
          <w:p>
            <w:pPr>
              <w:jc w:val="center"/>
              <w:ind w:right="60"/>
              <w:spacing w:after="0"/>
              <w:rPr>
                <w:sz w:val="20"/>
                <w:szCs w:val="20"/>
                <w:color w:val="auto"/>
              </w:rPr>
            </w:pPr>
            <w:r>
              <w:rPr>
                <w:rFonts w:ascii="Times New Roman" w:cs="Times New Roman" w:eastAsia="Times New Roman" w:hAnsi="Times New Roman"/>
                <w:sz w:val="17"/>
                <w:szCs w:val="17"/>
                <w:color w:val="auto"/>
              </w:rPr>
              <w:t>Nine months ended September 30,</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2"/>
        </w:trPr>
        <w:tc>
          <w:tcPr>
            <w:tcW w:w="34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2026</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2025</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173"/>
        </w:trPr>
        <w:tc>
          <w:tcPr>
            <w:tcW w:w="3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200"/>
              <w:spacing w:after="0" w:line="173" w:lineRule="exact"/>
              <w:rPr>
                <w:sz w:val="20"/>
                <w:szCs w:val="20"/>
                <w:color w:val="auto"/>
              </w:rPr>
            </w:pPr>
            <w:r>
              <w:rPr>
                <w:rFonts w:ascii="Times New Roman" w:cs="Times New Roman" w:eastAsia="Times New Roman" w:hAnsi="Times New Roman"/>
                <w:sz w:val="17"/>
                <w:szCs w:val="17"/>
                <w:color w:val="auto"/>
              </w:rPr>
              <w:t>Securities</w:t>
            </w:r>
          </w:p>
        </w:tc>
        <w:tc>
          <w:tcPr>
            <w:tcW w:w="120" w:type="dxa"/>
            <w:vAlign w:val="bottom"/>
          </w:tcPr>
          <w:p>
            <w:pPr>
              <w:spacing w:after="0"/>
              <w:rPr>
                <w:sz w:val="15"/>
                <w:szCs w:val="15"/>
                <w:color w:val="auto"/>
              </w:rPr>
            </w:pPr>
          </w:p>
        </w:tc>
        <w:tc>
          <w:tcPr>
            <w:tcW w:w="1380" w:type="dxa"/>
            <w:vAlign w:val="bottom"/>
            <w:gridSpan w:val="2"/>
          </w:tcPr>
          <w:p>
            <w:pPr>
              <w:jc w:val="center"/>
              <w:ind w:right="220"/>
              <w:spacing w:after="0" w:line="173" w:lineRule="exact"/>
              <w:rPr>
                <w:sz w:val="20"/>
                <w:szCs w:val="20"/>
                <w:color w:val="auto"/>
              </w:rPr>
            </w:pPr>
            <w:r>
              <w:rPr>
                <w:rFonts w:ascii="Times New Roman" w:cs="Times New Roman" w:eastAsia="Times New Roman" w:hAnsi="Times New Roman"/>
                <w:sz w:val="17"/>
                <w:szCs w:val="17"/>
                <w:color w:val="auto"/>
                <w:w w:val="99"/>
              </w:rPr>
              <w:t>Unfunded</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200"/>
              <w:spacing w:after="0" w:line="173" w:lineRule="exact"/>
              <w:rPr>
                <w:sz w:val="20"/>
                <w:szCs w:val="20"/>
                <w:color w:val="auto"/>
              </w:rPr>
            </w:pPr>
            <w:r>
              <w:rPr>
                <w:rFonts w:ascii="Times New Roman" w:cs="Times New Roman" w:eastAsia="Times New Roman" w:hAnsi="Times New Roman"/>
                <w:sz w:val="17"/>
                <w:szCs w:val="17"/>
                <w:color w:val="auto"/>
              </w:rPr>
              <w:t>Securities</w:t>
            </w:r>
          </w:p>
        </w:tc>
        <w:tc>
          <w:tcPr>
            <w:tcW w:w="240" w:type="dxa"/>
            <w:vAlign w:val="bottom"/>
          </w:tcPr>
          <w:p>
            <w:pPr>
              <w:spacing w:after="0"/>
              <w:rPr>
                <w:sz w:val="15"/>
                <w:szCs w:val="15"/>
                <w:color w:val="auto"/>
              </w:rPr>
            </w:pPr>
          </w:p>
        </w:tc>
        <w:tc>
          <w:tcPr>
            <w:tcW w:w="1160" w:type="dxa"/>
            <w:vAlign w:val="bottom"/>
          </w:tcPr>
          <w:p>
            <w:pPr>
              <w:jc w:val="right"/>
              <w:ind w:right="274"/>
              <w:spacing w:after="0" w:line="173" w:lineRule="exact"/>
              <w:rPr>
                <w:sz w:val="20"/>
                <w:szCs w:val="20"/>
                <w:color w:val="auto"/>
              </w:rPr>
            </w:pPr>
            <w:r>
              <w:rPr>
                <w:rFonts w:ascii="Times New Roman" w:cs="Times New Roman" w:eastAsia="Times New Roman" w:hAnsi="Times New Roman"/>
                <w:sz w:val="17"/>
                <w:szCs w:val="17"/>
                <w:color w:val="auto"/>
              </w:rPr>
              <w:t>Unfunded</w:t>
            </w:r>
          </w:p>
        </w:tc>
      </w:tr>
      <w:tr>
        <w:trPr>
          <w:trHeight w:val="232"/>
        </w:trPr>
        <w:tc>
          <w:tcPr>
            <w:tcW w:w="34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Loans</w:t>
            </w: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HTM</w:t>
            </w: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Commitments(1)</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7"/>
                <w:szCs w:val="17"/>
                <w:color w:val="auto"/>
              </w:rPr>
              <w:t>Loans</w:t>
            </w: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HTM</w:t>
            </w: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Commitments (1)</w:t>
            </w:r>
          </w:p>
        </w:tc>
      </w:tr>
      <w:tr>
        <w:trPr>
          <w:trHeight w:val="225"/>
        </w:trPr>
        <w:tc>
          <w:tcPr>
            <w:tcW w:w="3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gridSpan w:val="5"/>
          </w:tcPr>
          <w:p>
            <w:pPr>
              <w:jc w:val="center"/>
              <w:ind w:right="80"/>
              <w:spacing w:after="0"/>
              <w:rPr>
                <w:sz w:val="20"/>
                <w:szCs w:val="20"/>
                <w:color w:val="auto"/>
              </w:rPr>
            </w:pPr>
            <w:r>
              <w:rPr>
                <w:rFonts w:ascii="Times New Roman" w:cs="Times New Roman" w:eastAsia="Times New Roman" w:hAnsi="Times New Roman"/>
                <w:sz w:val="17"/>
                <w:szCs w:val="17"/>
                <w:color w:val="auto"/>
              </w:rPr>
              <w:t>(Dollars in thousands)</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2"/>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63,445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center"/>
              <w:ind w:left="474"/>
              <w:spacing w:after="0"/>
              <w:rPr>
                <w:sz w:val="20"/>
                <w:szCs w:val="20"/>
                <w:color w:val="auto"/>
              </w:rPr>
            </w:pPr>
            <w:r>
              <w:rPr>
                <w:rFonts w:ascii="Times New Roman" w:cs="Times New Roman" w:eastAsia="Times New Roman" w:hAnsi="Times New Roman"/>
                <w:sz w:val="17"/>
                <w:szCs w:val="17"/>
                <w:color w:val="auto"/>
                <w:w w:val="93"/>
              </w:rPr>
              <w:t>92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59,379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5,131</w:t>
            </w:r>
          </w:p>
        </w:tc>
      </w:tr>
      <w:tr>
        <w:trPr>
          <w:trHeight w:val="232"/>
        </w:trPr>
        <w:tc>
          <w:tcPr>
            <w:tcW w:w="3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Additions (deductions)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32"/>
        </w:trPr>
        <w:tc>
          <w:tcPr>
            <w:tcW w:w="3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6,574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center"/>
              <w:ind w:left="454"/>
              <w:spacing w:after="0"/>
              <w:rPr>
                <w:sz w:val="20"/>
                <w:szCs w:val="20"/>
                <w:color w:val="auto"/>
              </w:rPr>
            </w:pPr>
            <w:r>
              <w:rPr>
                <w:rFonts w:ascii="Times New Roman" w:cs="Times New Roman" w:eastAsia="Times New Roman" w:hAnsi="Times New Roman"/>
                <w:sz w:val="17"/>
                <w:szCs w:val="17"/>
                <w:color w:val="auto"/>
              </w:rPr>
              <w:t>(31)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4,252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34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Recoveries credited to allowance</w:t>
            </w:r>
          </w:p>
        </w:tc>
        <w:tc>
          <w:tcPr>
            <w:tcW w:w="260" w:type="dxa"/>
            <w:vAlign w:val="bottom"/>
          </w:tcPr>
          <w:p>
            <w:pPr>
              <w:spacing w:after="0"/>
              <w:rPr>
                <w:sz w:val="20"/>
                <w:szCs w:val="20"/>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1,691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center"/>
              <w:ind w:left="394"/>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1,604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3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Assets charged against the allowance</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(2,538)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center"/>
              <w:ind w:left="394"/>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(2,776)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34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Initial allowance on purchased seasoned loans</w:t>
            </w:r>
          </w:p>
        </w:tc>
        <w:tc>
          <w:tcPr>
            <w:tcW w:w="260" w:type="dxa"/>
            <w:vAlign w:val="bottom"/>
          </w:tcPr>
          <w:p>
            <w:pPr>
              <w:spacing w:after="0"/>
              <w:rPr>
                <w:sz w:val="20"/>
                <w:szCs w:val="20"/>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4,445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center"/>
              <w:ind w:left="394"/>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80"/>
        </w:trPr>
        <w:tc>
          <w:tcPr>
            <w:tcW w:w="348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7"/>
                <w:szCs w:val="17"/>
                <w:color w:val="auto"/>
              </w:rPr>
              <w:t>Initial allowance on purchased credit</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32"/>
        </w:trPr>
        <w:tc>
          <w:tcPr>
            <w:tcW w:w="3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deteriorated loans</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center"/>
              <w:ind w:left="394"/>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3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Additions included in non-interest expense</w:t>
            </w:r>
          </w:p>
        </w:tc>
        <w:tc>
          <w:tcPr>
            <w:tcW w:w="2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960" w:type="dxa"/>
            <w:vAlign w:val="bottom"/>
            <w:gridSpan w:val="2"/>
          </w:tcPr>
          <w:p>
            <w:pPr>
              <w:jc w:val="center"/>
              <w:ind w:left="394"/>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w:t>
            </w:r>
          </w:p>
        </w:tc>
      </w:tr>
      <w:tr>
        <w:trPr>
          <w:trHeight w:val="250"/>
        </w:trPr>
        <w:tc>
          <w:tcPr>
            <w:tcW w:w="3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end of period</w:t>
            </w: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73,724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jc w:val="center"/>
              <w:ind w:left="474"/>
              <w:spacing w:after="0"/>
              <w:rPr>
                <w:sz w:val="20"/>
                <w:szCs w:val="20"/>
                <w:color w:val="auto"/>
              </w:rPr>
            </w:pPr>
            <w:r>
              <w:rPr>
                <w:rFonts w:ascii="Times New Roman" w:cs="Times New Roman" w:eastAsia="Times New Roman" w:hAnsi="Times New Roman"/>
                <w:sz w:val="17"/>
                <w:szCs w:val="17"/>
                <w:color w:val="auto"/>
                <w:w w:val="93"/>
              </w:rPr>
              <w:t>61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62,459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4,941</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3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0"/>
        </w:trPr>
        <w:tc>
          <w:tcPr>
            <w:tcW w:w="34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Net loans charged against the allowance to</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32"/>
        </w:trPr>
        <w:tc>
          <w:tcPr>
            <w:tcW w:w="3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average Portfolio Loans</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0.03 %</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0.04 %</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bl>
    <w:p>
      <w:pPr>
        <w:spacing w:after="0" w:line="190" w:lineRule="exact"/>
        <w:rPr>
          <w:sz w:val="20"/>
          <w:szCs w:val="20"/>
          <w:color w:val="auto"/>
        </w:rPr>
      </w:pPr>
    </w:p>
    <w:p>
      <w:pPr>
        <w:ind w:firstLine="3"/>
        <w:spacing w:after="0" w:line="287" w:lineRule="auto"/>
        <w:tabs>
          <w:tab w:leader="none" w:pos="271"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Beginning in the fourth quarter of 2025, we began classifying the provision for unfunded lending commitments in the provision for credit losses in the Consolidated Statements of Operations.</w:t>
      </w:r>
    </w:p>
    <w:p>
      <w:pPr>
        <w:spacing w:after="0" w:line="6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Initial allowances of approximately $4.6 million and $0.06 million were recognized on loans and unfunded commitments, respectively due to the Merger. See Note #18 to the interim Condensed Consolidated Financial Statements included within this report for further discussion.</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Allocation of the Allowance for Credit Losses on Loans</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73"/>
        </w:trPr>
        <w:tc>
          <w:tcPr>
            <w:tcW w:w="8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September 30,</w:t>
            </w:r>
          </w:p>
        </w:tc>
        <w:tc>
          <w:tcPr>
            <w:tcW w:w="180" w:type="dxa"/>
            <w:vAlign w:val="bottom"/>
          </w:tcPr>
          <w:p>
            <w:pPr>
              <w:spacing w:after="0"/>
              <w:rPr>
                <w:sz w:val="24"/>
                <w:szCs w:val="24"/>
                <w:color w:val="auto"/>
              </w:rPr>
            </w:pPr>
          </w:p>
        </w:tc>
        <w:tc>
          <w:tcPr>
            <w:tcW w:w="130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December 31,</w:t>
            </w:r>
          </w:p>
        </w:tc>
      </w:tr>
      <w:tr>
        <w:trPr>
          <w:trHeight w:val="228"/>
        </w:trPr>
        <w:tc>
          <w:tcPr>
            <w:tcW w:w="8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2026</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2025</w:t>
            </w:r>
          </w:p>
        </w:tc>
      </w:tr>
      <w:tr>
        <w:trPr>
          <w:trHeight w:val="229"/>
        </w:trPr>
        <w:tc>
          <w:tcPr>
            <w:tcW w:w="8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80" w:type="dxa"/>
            <w:vAlign w:val="bottom"/>
            <w:gridSpan w:val="4"/>
          </w:tcPr>
          <w:p>
            <w:pPr>
              <w:jc w:val="right"/>
              <w:ind w:right="674"/>
              <w:spacing w:after="0"/>
              <w:rPr>
                <w:sz w:val="20"/>
                <w:szCs w:val="20"/>
                <w:color w:val="auto"/>
              </w:rPr>
            </w:pPr>
            <w:r>
              <w:rPr>
                <w:rFonts w:ascii="Times New Roman" w:cs="Times New Roman" w:eastAsia="Times New Roman" w:hAnsi="Times New Roman"/>
                <w:sz w:val="17"/>
                <w:szCs w:val="17"/>
                <w:color w:val="auto"/>
              </w:rPr>
              <w:t>(Dollars in thousands)</w:t>
            </w:r>
          </w:p>
        </w:tc>
      </w:tr>
      <w:tr>
        <w:trPr>
          <w:trHeight w:val="23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Specific allocations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12,952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6,776</w:t>
            </w:r>
          </w:p>
        </w:tc>
      </w:tr>
      <w:tr>
        <w:trPr>
          <w:trHeight w:val="232"/>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Pooled analysis allocations</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51,652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45,789</w:t>
            </w:r>
          </w:p>
        </w:tc>
      </w:tr>
      <w:tr>
        <w:trPr>
          <w:trHeight w:val="23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Additional allocations based on subjective factors</w:t>
            </w:r>
          </w:p>
        </w:tc>
        <w:tc>
          <w:tcPr>
            <w:tcW w:w="1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9,120</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10,880</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73,724</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63,445</w:t>
            </w:r>
          </w:p>
        </w:tc>
      </w:tr>
      <w:tr>
        <w:trPr>
          <w:trHeight w:val="20"/>
        </w:trPr>
        <w:tc>
          <w:tcPr>
            <w:tcW w:w="8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Some loans will not be repaid in full. Therefore, an ACL on loans is maintained at a level which represents our best estimate of expected credit losses. Our ACL on loans is comprised of three principal elements: (i) specific analysis of individual loans identified during the review of the loan portfolio, (ii) pooled analysis of loans with similar risk characteristics based on historical experience, adjusted for current conditions, reasonable and supportable forecasts, and expected prepayments, and (iii) additional allowances based on subjective factors, including local and general economic business factors and trends, portfolio concentrations and changes in the size and/or the general terms of the loan portfolios. See note #4 to the interim Condensed Consolidated Financial Statements included within this report for further discussion on the ACL on loans.</w:t>
      </w:r>
    </w:p>
    <w:p>
      <w:pPr>
        <w:spacing w:after="0" w:line="13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While we use relevant information to recognize losses on loans, additional provisions for related losses may be necessary based on changes in economic conditions, customer circumstances and other credit risk factors.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ACL increased $10.3 million to $73.7 million at September 30, 2026 from $63.4 million at December 31, 2025, and was equal to 1.51% and 1.48% of total Portfolio Loans at September 30, 2026 and December 31, 2025, respectively.</w:t>
      </w:r>
    </w:p>
    <w:p>
      <w:pPr>
        <w:spacing w:after="0" w:line="1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Merger accounts for $4.6 million of this increase. In addition, since December 31, 2025, the ACL related to specific loans increased $6.18 million due primarily to additional individually evaluated commercial loan relationships and higher reserves on certain existing individually evaluated commercial loan relationships. Pooled analysis allocations increased primarily due to commercial loan growth and modest changes in portfolio risk characteristics, partially offset by model recalibration and updated economic assumptions that reduced expected losses within certain retail loan portfolios. Additional allocations based on subjective factors decreased due to the impact of continued maturity of the ACL model and updates to current economic factors impacting the quantitative estimate..</w:t>
      </w:r>
    </w:p>
    <w:p>
      <w:pPr>
        <w:spacing w:after="0" w:line="34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Deposits and borrowings. </w:t>
      </w:r>
      <w:r>
        <w:rPr>
          <w:rFonts w:ascii="Times New Roman" w:cs="Times New Roman" w:eastAsia="Times New Roman" w:hAnsi="Times New Roman"/>
          <w:sz w:val="17"/>
          <w:szCs w:val="17"/>
          <w:color w:val="auto"/>
        </w:rPr>
        <w:t>Historically, the loyalty of our customer base has allowed us to price deposits competitively, contributing to a net interest margin that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generally compares favorably to our peers. However, we still face a significant amount of competition for deposits within many of the markets served by our branch network, which limits our ability to materially increase deposits without adversely impacting the weighted-average cost of core deposits.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To attract new core deposits, we have implemented various account acquisition strategies as well as branch staff sales training. Account acquisition initiatives have historically generated increases in customer relationships. Over the past several years, we have also expanded our treasury management products and services for commercial businesses and municipalities or other governmental units and have also increased our sales calling efforts in order to attract additional deposit relationships from these sectors. We view long-term core deposit growth as an important objective. Core deposits generally provide a more stable and lower cost source of funds than alternative sources such as short-term borrowings. (See “Liquidity and capital resources.”)</w:t>
      </w:r>
    </w:p>
    <w:p>
      <w:pPr>
        <w:spacing w:after="0" w:line="14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Deposits totaled $5.52 billion and $4.76 billion at September 30, 2026, and December 31, 2025, respectively. Deposits associated with the Merger totaled $543.5 million at September 30, 2026. The remaining $216.2 million increase reflected organic growth in reciprocal deposits ($77.5 million), savings and interest-bearing checking deposits ($107.9 million), non-interest-bearing deposits ($36.0 million) and time deposits ($12.9 million), partially offset by an $18.1 million decrease in brokered time deposits. Reciprocal deposits totaled $1.052 billion and $974.9 million at September 30, 2026 and December 31, 2025, respectively. These deposits represent demand, money market and time deposits from our customers that have been placed through IntraFi Network. This service allows our customers to access multi-million dollar FDIC deposit insurance on deposit balances greater than the standard FDIC insurance maximum.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cannot be sure that we will be able to maintain our current level of core deposits. In particular, those deposits that are uninsured may be susceptible to outflow.</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Data relating to our deposit portfolios (excluding brokered time) follows: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7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rPr>
              <w:t>September 30,</w:t>
            </w:r>
          </w:p>
        </w:tc>
        <w:tc>
          <w:tcPr>
            <w:tcW w:w="320" w:type="dxa"/>
            <w:vAlign w:val="bottom"/>
          </w:tcPr>
          <w:p>
            <w:pPr>
              <w:spacing w:after="0"/>
              <w:rPr>
                <w:sz w:val="16"/>
                <w:szCs w:val="16"/>
                <w:color w:val="auto"/>
              </w:rPr>
            </w:pPr>
          </w:p>
        </w:tc>
        <w:tc>
          <w:tcPr>
            <w:tcW w:w="158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December 31,</w:t>
            </w:r>
          </w:p>
        </w:tc>
      </w:tr>
      <w:tr>
        <w:trPr>
          <w:trHeight w:val="223"/>
        </w:trPr>
        <w:tc>
          <w:tcPr>
            <w:tcW w:w="7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7"/>
                <w:szCs w:val="17"/>
                <w:color w:val="auto"/>
              </w:rPr>
              <w:t>2026</w:t>
            </w: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color w:val="auto"/>
              </w:rPr>
              <w:t>2025</w:t>
            </w:r>
          </w:p>
        </w:tc>
      </w:tr>
      <w:tr>
        <w:trPr>
          <w:trHeight w:val="225"/>
        </w:trPr>
        <w:tc>
          <w:tcPr>
            <w:tcW w:w="7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560" w:type="dxa"/>
            <w:vAlign w:val="bottom"/>
            <w:gridSpan w:val="3"/>
          </w:tcPr>
          <w:p>
            <w:pPr>
              <w:jc w:val="right"/>
              <w:ind w:right="1054"/>
              <w:spacing w:after="0"/>
              <w:rPr>
                <w:sz w:val="20"/>
                <w:szCs w:val="20"/>
                <w:color w:val="auto"/>
              </w:rPr>
            </w:pPr>
            <w:r>
              <w:rPr>
                <w:rFonts w:ascii="Times New Roman" w:cs="Times New Roman" w:eastAsia="Times New Roman" w:hAnsi="Times New Roman"/>
                <w:sz w:val="17"/>
                <w:szCs w:val="17"/>
                <w:color w:val="auto"/>
              </w:rPr>
              <w:t>(Dollars in thousands)</w:t>
            </w:r>
          </w:p>
        </w:tc>
      </w:tr>
      <w:tr>
        <w:trPr>
          <w:trHeight w:val="232"/>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Uninsured deposits (1)</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1,500,438</w:t>
            </w:r>
          </w:p>
        </w:tc>
        <w:tc>
          <w:tcPr>
            <w:tcW w:w="3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1,175,893</w:t>
            </w:r>
          </w:p>
        </w:tc>
      </w:tr>
      <w:tr>
        <w:trPr>
          <w:trHeight w:val="232"/>
        </w:trPr>
        <w:tc>
          <w:tcPr>
            <w:tcW w:w="73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Uninsured deposits as a percentage of deposits</w:t>
            </w:r>
          </w:p>
        </w:tc>
        <w:tc>
          <w:tcPr>
            <w:tcW w:w="2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27.2 %</w:t>
            </w:r>
          </w:p>
        </w:tc>
        <w:tc>
          <w:tcPr>
            <w:tcW w:w="3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24.8 %</w:t>
            </w:r>
          </w:p>
        </w:tc>
      </w:tr>
      <w:tr>
        <w:trPr>
          <w:trHeight w:val="232"/>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Average deposit account size</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23.55</w:t>
            </w:r>
          </w:p>
        </w:tc>
        <w:tc>
          <w:tcPr>
            <w:tcW w:w="3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22.51</w:t>
            </w:r>
          </w:p>
        </w:tc>
      </w:tr>
      <w:tr>
        <w:trPr>
          <w:trHeight w:val="232"/>
        </w:trPr>
        <w:tc>
          <w:tcPr>
            <w:tcW w:w="73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Balance of top 100 largest depositors</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1,311,707</w:t>
            </w:r>
          </w:p>
        </w:tc>
        <w:tc>
          <w:tcPr>
            <w:tcW w:w="3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1,156,014</w:t>
            </w:r>
          </w:p>
        </w:tc>
      </w:tr>
      <w:tr>
        <w:trPr>
          <w:trHeight w:val="232"/>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Balance of top 100 depositors as a percentage of deposits, excluding brokered time deposits</w:t>
            </w: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23.8 %</w:t>
            </w:r>
          </w:p>
        </w:tc>
        <w:tc>
          <w:tcPr>
            <w:tcW w:w="3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24.4 %</w:t>
            </w:r>
          </w:p>
        </w:tc>
      </w:tr>
    </w:tbl>
    <w:p>
      <w:pPr>
        <w:spacing w:after="0" w:line="241" w:lineRule="exact"/>
        <w:rPr>
          <w:sz w:val="20"/>
          <w:szCs w:val="20"/>
          <w:color w:val="auto"/>
        </w:rPr>
      </w:pPr>
    </w:p>
    <w:p>
      <w:pPr>
        <w:ind w:firstLine="3"/>
        <w:spacing w:after="0" w:line="287" w:lineRule="auto"/>
        <w:tabs>
          <w:tab w:leader="none" w:pos="274"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amounts exclude intercompany related deposits of $33.9 million and $47.0 million at September 30, 2026 and December 31, 2025, respectively. Uninsured deposits reported in our Call Report at September 30, 2026 and December 31, 2025 totaled $1.534 billion and $1.223 billion, respectively.</w:t>
      </w:r>
    </w:p>
    <w:p>
      <w:pPr>
        <w:spacing w:after="0" w:line="12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We have also implemented strategies that incorporate using federal funds purchased, other borrowings and Brokered CDs to fund a portion of our interest-earning assets. The use of such alternate sources of funds supplements our core deposits and is also an integral part of our asset/liability management efforts.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borrowings, comprised primarily of FHLB borrowings, totaled $4.0 million and $77.0 million at September 30, 2026, and December 31, 2025, respectively.</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As described above, we have utilized wholesale funding, including federal funds purchased, FHLB and FRB borrowings and Brokered CDs to augment our core deposits and fund a portion of our assets. At September 30, 2026, our use of such wholesale funding sources (including reciprocal deposits) amounted to approximately $1.06 billion, or 19.1% of total funding (deposits and all borrowings, excluding subordinated debentures). Because wholesale funding sources are affected by general market conditions, the availability of such funding may be dependent on the confidence these sources have in our financial condition and operations. The continued availability to us of these funding sources is not certain, and Brokered CDs may be difficult for us to retain or replace at attractive rates as they mature. Our liquidity may be constrained if we are unable to renew our wholesale funding sources or if adequate financing is not available in the future at acceptable rates of interest or at all. Our financial performance could also be affected if we are unable to maintain our access to funding sources or if we are required to rely more heavily on more expensive funding sources. In such case, our net interest income and results of operations could be adversely affected.</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historically employed derivative financial instruments to manage our exposure to changes in interest rates. During the first nine months of 2026 and 2025, we entered into $109.1 million and $117.9 million (aggregate notional amounts), respectively, of interest rate swaps with commercial loan customers, which were offset with interest rate swaps that were entered into with a broker-dealer. We recorded $0.94 million and $1.39 million of fee income related to these transactions during the first nine months of 2026 and 2025, respectively. See note #6 to the interim Condensed Consolidated Financial Statements included within this report for more information on our derivative financial instruments.</w:t>
      </w:r>
    </w:p>
    <w:p>
      <w:pPr>
        <w:spacing w:after="0" w:line="1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Liquidity and capital resources. </w:t>
      </w:r>
      <w:r>
        <w:rPr>
          <w:rFonts w:ascii="Times New Roman" w:cs="Times New Roman" w:eastAsia="Times New Roman" w:hAnsi="Times New Roman"/>
          <w:sz w:val="17"/>
          <w:szCs w:val="17"/>
          <w:color w:val="auto"/>
        </w:rPr>
        <w:t>Liquidity risk is the risk of being unable to timely meet obligations as they come due at a reasonable funding cost or without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incurring unacceptable losses. Our liquidity management involves the measurement and monitoring of a variety of sources and uses of funds. Our interim Condensed Consolidated Statements of Cash Flows categorize these sources and uses into operating, investing and financing activities. We primarily focus our liquidity management on maintaining adequate levels of liquid assets (primarily funds on deposit with the FRB and certain securities AFS) as well as developing access to a variety of borrowing sources to supplement our deposit gathering activities and provide funds for purchasing securities or originating Portfolio Loans as well as to be able to respond to unforeseen liquidity needs.</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primary sources of funds include our deposit base, secured advances from the FHLB and FRB, federal funds purchased, borrowing facilities with other banks, and access to the capital markets (for Brokered CDs). At September 30, 2026, in addition to liquidity available from our normal operating, funding and investing activities we had unused credit lines with the FHLB and FRB of approximately $858.9 million and $1.132 billion, respectively. We also had approximately $463.8 million in fair value of unpledged securities AFS and HTM at September 30, 2026, which could be pledged for an estimated additional borrowing capacity at the FHLB and FRB of approximately $437.9 million.</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At September 30, 2026, we had $894.6 million of time deposits that mature in the next 12 months. Historically, a majority of these maturing time deposits are renewed by our customers. Additionally, $4.59 billion of our deposits at September 30, 2026, were in account types from which the customer could withdraw the funds on demand. Changes in the balances of deposits that can be withdrawn upon demand are usually predictable and the total balances of these accounts have generally grown or have been stable over time as a result of our marketing and promotional activities. However, there can be no assurance that historical patterns of renewing time deposits or overall growth or stability in deposits will continue in the future.</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have developed contingency funding plans that stress test our liquidity needs that may arise from certain events such as an adverse change in our financial metrics (for example, credit quality or regulatory capital ratios). Our liquidity management also includes periodic monitoring that measures quick assets (defined generally as highly liquid or short-term assets) to total deposits and borrowings, short-term liability dependence and basic surplus (defined as liquid assets less volatile liabilities to total assets). Policy limits have been established for our various liquidity measurements and are monitored on a quarterly basis. In addition, we also prepare cash flow forecasts that include a variety of different scenarios.</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believe that we currently have adequate liquidity at our Banks because of our cash and cash equivalents, our portfolio of securities AFS, our access to secured advances from the FHLB and FRB and our ability to issue Brokered CDs.</w:t>
      </w:r>
    </w:p>
    <w:p>
      <w:pPr>
        <w:spacing w:after="0" w:line="1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also believe that the available cash on hand at the parent company of approximately $33.2 million as of September 30, 2026, provides sufficient liquidity resources at the parent company to meet operating expenses, to make interest payments on the subordinated debentures and, along with dividends from the Banks, to pay projected cash dividends on our common stock.</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Effective management of capital resources is critical to our mission to create value for our shareholders. In addition to common stock, our capital structure also currently includes cumulative trust preferred securities.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95"/>
        </w:trPr>
        <w:tc>
          <w:tcPr>
            <w:tcW w:w="510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0000FF"/>
              </w:rPr>
              <w:t>Index</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960"/>
        </w:trPr>
        <w:tc>
          <w:tcPr>
            <w:tcW w:w="51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Capitalization</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86"/>
        </w:trPr>
        <w:tc>
          <w:tcPr>
            <w:tcW w:w="38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00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September</w:t>
            </w:r>
          </w:p>
        </w:tc>
        <w:tc>
          <w:tcPr>
            <w:tcW w:w="100" w:type="dxa"/>
            <w:vAlign w:val="bottom"/>
          </w:tcPr>
          <w:p>
            <w:pPr>
              <w:spacing w:after="0"/>
              <w:rPr>
                <w:sz w:val="24"/>
                <w:szCs w:val="24"/>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December</w:t>
            </w:r>
          </w:p>
        </w:tc>
      </w:tr>
      <w:tr>
        <w:trPr>
          <w:trHeight w:val="168"/>
        </w:trPr>
        <w:tc>
          <w:tcPr>
            <w:tcW w:w="38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54"/>
              <w:spacing w:after="0" w:line="167" w:lineRule="exact"/>
              <w:rPr>
                <w:sz w:val="20"/>
                <w:szCs w:val="20"/>
                <w:color w:val="auto"/>
              </w:rPr>
            </w:pPr>
            <w:r>
              <w:rPr>
                <w:rFonts w:ascii="Times New Roman" w:cs="Times New Roman" w:eastAsia="Times New Roman" w:hAnsi="Times New Roman"/>
                <w:sz w:val="17"/>
                <w:szCs w:val="17"/>
                <w:color w:val="auto"/>
              </w:rPr>
              <w:t>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74"/>
              <w:spacing w:after="0" w:line="167" w:lineRule="exact"/>
              <w:rPr>
                <w:sz w:val="20"/>
                <w:szCs w:val="20"/>
                <w:color w:val="auto"/>
              </w:rPr>
            </w:pPr>
            <w:r>
              <w:rPr>
                <w:rFonts w:ascii="Times New Roman" w:cs="Times New Roman" w:eastAsia="Times New Roman" w:hAnsi="Times New Roman"/>
                <w:sz w:val="17"/>
                <w:szCs w:val="17"/>
                <w:color w:val="auto"/>
              </w:rPr>
              <w:t>31,</w:t>
            </w:r>
          </w:p>
        </w:tc>
      </w:tr>
      <w:tr>
        <w:trPr>
          <w:trHeight w:val="228"/>
        </w:trPr>
        <w:tc>
          <w:tcPr>
            <w:tcW w:w="38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2026</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2025</w:t>
            </w:r>
          </w:p>
        </w:tc>
      </w:tr>
      <w:tr>
        <w:trPr>
          <w:trHeight w:val="229"/>
        </w:trPr>
        <w:tc>
          <w:tcPr>
            <w:tcW w:w="38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gridSpan w:val="4"/>
          </w:tcPr>
          <w:p>
            <w:pPr>
              <w:jc w:val="right"/>
              <w:ind w:right="374"/>
              <w:spacing w:after="0"/>
              <w:rPr>
                <w:sz w:val="20"/>
                <w:szCs w:val="20"/>
                <w:color w:val="auto"/>
              </w:rPr>
            </w:pPr>
            <w:r>
              <w:rPr>
                <w:rFonts w:ascii="Times New Roman" w:cs="Times New Roman" w:eastAsia="Times New Roman" w:hAnsi="Times New Roman"/>
                <w:sz w:val="17"/>
                <w:szCs w:val="17"/>
                <w:color w:val="auto"/>
              </w:rPr>
              <w:t>(In thousands)</w:t>
            </w:r>
          </w:p>
        </w:tc>
      </w:tr>
      <w:tr>
        <w:trPr>
          <w:trHeight w:val="232"/>
        </w:trPr>
        <w:tc>
          <w:tcPr>
            <w:tcW w:w="5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Subordinated debentures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39,915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39,864</w:t>
            </w:r>
          </w:p>
        </w:tc>
      </w:tr>
      <w:tr>
        <w:trPr>
          <w:trHeight w:val="232"/>
        </w:trPr>
        <w:tc>
          <w:tcPr>
            <w:tcW w:w="5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Amount not qualifying as regulatory capital</w:t>
            </w: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(1,224)</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(1,224)</w:t>
            </w:r>
          </w:p>
        </w:tc>
      </w:tr>
      <w:tr>
        <w:trPr>
          <w:trHeight w:val="225"/>
        </w:trPr>
        <w:tc>
          <w:tcPr>
            <w:tcW w:w="5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Amount qualifying as regulatory capital</w:t>
            </w: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38,691</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38,640</w:t>
            </w:r>
          </w:p>
        </w:tc>
      </w:tr>
      <w:tr>
        <w:trPr>
          <w:trHeight w:val="212"/>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Shareholders’ equity</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2"/>
        </w:trPr>
        <w:tc>
          <w:tcPr>
            <w:tcW w:w="5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Common stock</w:t>
            </w: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361,741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307,845</w:t>
            </w:r>
          </w:p>
        </w:tc>
      </w:tr>
      <w:tr>
        <w:trPr>
          <w:trHeight w:val="232"/>
        </w:trPr>
        <w:tc>
          <w:tcPr>
            <w:tcW w:w="51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Retained earnings</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288,569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252,794</w:t>
            </w:r>
          </w:p>
        </w:tc>
      </w:tr>
      <w:tr>
        <w:trPr>
          <w:trHeight w:val="232"/>
        </w:trPr>
        <w:tc>
          <w:tcPr>
            <w:tcW w:w="5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(73,014)</w:t>
            </w:r>
          </w:p>
        </w:tc>
        <w:tc>
          <w:tcPr>
            <w:tcW w:w="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(57,688)</w:t>
            </w:r>
          </w:p>
        </w:tc>
      </w:tr>
      <w:tr>
        <w:trPr>
          <w:trHeight w:val="225"/>
        </w:trPr>
        <w:tc>
          <w:tcPr>
            <w:tcW w:w="380" w:type="dxa"/>
            <w:vAlign w:val="bottom"/>
            <w:tcBorders>
              <w:bottom w:val="single" w:sz="8" w:color="CCEEFF"/>
            </w:tcBorders>
          </w:tcPr>
          <w:p>
            <w:pPr>
              <w:spacing w:after="0"/>
              <w:rPr>
                <w:sz w:val="19"/>
                <w:szCs w:val="19"/>
                <w:color w:val="auto"/>
              </w:rPr>
            </w:pPr>
          </w:p>
        </w:tc>
        <w:tc>
          <w:tcPr>
            <w:tcW w:w="47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Total shareholders’ equity</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577,296</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502,951</w:t>
            </w: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capitalization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615,987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541,591</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currently have four special purpose entities with $39.9 million of outstanding cumulative trust preferred securities as of September 30, 2026. These special purpose entities issued common securities and provided cash to our parent company that in turn issued subordinated debentures to these special purpose entities equal to the trust preferred securities and common securities. The subordinated debentures represent the sole asset of the special purpose entities. The common securities and subordinated debentures are included in our interim Condensed Consolidated Statements of Financial Condition.</w:t>
      </w:r>
    </w:p>
    <w:p>
      <w:pPr>
        <w:spacing w:after="0" w:line="13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FRB has issued rules regarding trust preferred securities as a component of the Tier 1 capital of bank holding companies. The aggregate amount of trust preferred securities (and certain other capital elements) are limited to 25 percent of Tier 1 capital elements, net of goodwill (net of any associated deferred tax liability). The amount of trust preferred securities and certain other elements in excess of the limit can be included in Tier 2 capital, subject to restrictions. At the parent company, all of these securities qualified as Tier 1 capital at September 30, 2026, and December 31, 2025.</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Common shareholders’ equity increased to $577.3 million at September 30, 2026, from $503.0 million at December 31, 2025. The increase is primarily due to common stock issued in the Merger and earnings retention. Our ratio of common equity to assets was 9.22% and 9.14% at September 30, 2026, and December 31, 2025, respectively. Our tangible common equity (“TCE”) totaled $510.0 million and $473.7 million, respectively, at those same dates. Our ratio of TCE to tangible assets was 8.23% and 8.65% at September 30, 2026, and December 31, 2025, respectively. TCE and the ratio of TCE to tangible assets are non-GAAP measures. TCE represents total common equity less goodwill and other intangible assets.</w:t>
      </w:r>
    </w:p>
    <w:p>
      <w:pPr>
        <w:spacing w:after="0" w:line="1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December 2025, our Board of Directors authorized a 2026 share repurchase plan. Under the terms of the 2026 share repurchase plan, we are authorized to buy back up to 1,100,000, or approximately 5% of our outstanding common stock. During the first nine months of 2026, we repurchased 119,425 shares of common stock for an aggregate purchase price of $4.16 million. During the first nine months of 2025, we repurchased 266,008 shares of common stock, for an aggregate purchase price of $7.77 million.</w:t>
      </w:r>
    </w:p>
    <w:p>
      <w:pPr>
        <w:spacing w:after="0" w:line="13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currently pay a quarterly cash dividend on our common stock. These dividends totaled $0.84 per share and $0.78 per share in the first nine months of 2026 and 2025, respectively. We generally favor a dividend payout ratio between 30% and 50% of net income.</w:t>
      </w:r>
    </w:p>
    <w:p>
      <w:pPr>
        <w:spacing w:after="0" w:line="11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of September 30, 2026 and December 31, 2025, our Banks continued to meet the requirements to be considered “well-capitalized” under federal regulatory standards (also see note #10 to the interim Condensed Consolidated Financial Statements included within this report).</w:t>
      </w:r>
    </w:p>
    <w:p>
      <w:pPr>
        <w:spacing w:after="0" w:line="12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 xml:space="preserve">Asset/liability management. </w:t>
      </w:r>
      <w:r>
        <w:rPr>
          <w:rFonts w:ascii="Times New Roman" w:cs="Times New Roman" w:eastAsia="Times New Roman" w:hAnsi="Times New Roman"/>
          <w:sz w:val="17"/>
          <w:szCs w:val="17"/>
          <w:color w:val="auto"/>
        </w:rPr>
        <w:t>Interest-rate risk is created by differences in the cash flow characteristics of our assets and liabilities. Options embedded in certain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financial instruments, including caps on adjustable-rate loans as well as borrowers’ rights to prepay fixed-rate loans, also create interest-rate risk.</w:t>
      </w:r>
    </w:p>
    <w:p>
      <w:pPr>
        <w:spacing w:after="0" w:line="10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asset/liability management efforts identify and evaluate opportunities to structure our assets and liabilities in a manner that is consistent with our mission to maintain profitable financial leverage within established risk parameters. We evaluate various opportunities and alternate asset/liability management strategies carefully and consider the likely impact on our risk profile as well as the anticipated contribution to earnings. The marginal cost of funds is a principal consideration in the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implementation of our asset/liability management strategies, but such evaluations further consider interest-rate and liquidity risk as well as other pertinent factors.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established parameters for interest-rate risk. We regularly monitor our interest-rate risk and report at least quarterly to our board of directors.</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employ simulation analyses to monitor our interest-rate risk profile and evaluate potential changes in our net interest income and economic value that result from changes in interest rates. The purpose of these simulations is to identify sources of interest-rate risk. The simulations do not anticipate any actions that we might initiate in response to changes in interest rates and, accordingly, the simulations do not provide a reliable forecast of anticipated results. The simulations are predicated on immediate, permanent and parallel shifts in interest rates and generally assume that current loan and deposit pricing relationships remain constant. The simulations further incorporate assumptions relating to changes in customer behavior, including changes in prepayment rates on certain assets and liabilities. The Merger did not have a material impact to the changes under these simulations. At September 30, 2026, our longer term interest rate risk measure based on changes in economic value indicates exposure to rising rates. Interest rate sensitivity under this measure has decreased modestly from December 31, 2025 due to a decline in asset duration and a higher base value. Asset duration declined due to a shift in the asset mix to shorter duration loans (primarily variable rate commercial loans). In addition, at September 30, 2026 our simulation base-rate scenario for economic value increased from December 31, 2025. Much of this increase was due to the Merger. This base case economic value also benefited from an increase in the equity due to positive earnings; a favorable shift in the asset mix out of investments and retail loans into variable rate commercial loans; and a favorable shift in the funding mix to an increase in low cost / low priced non-maturity deposits. We are carefully monitoring the change in our funding mix as well as the composition of our earning assets and the impact of potential future changes in interest rates on our changes in economic value and changes in net interest income. As a result, we may add some longer-term borrowings, may utilize derivatives (interest rate swaps, interest rate caps and interest rate floors) and may continue to sell some fixed rate jumbo and other portfolio mortgage loans in the future.</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ECONOMIC VALUE, NET INTEREST INCOME AND NET INTEREST MARGIN</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center"/>
              <w:ind w:right="334"/>
              <w:spacing w:after="0"/>
              <w:rPr>
                <w:sz w:val="20"/>
                <w:szCs w:val="20"/>
                <w:color w:val="auto"/>
              </w:rPr>
            </w:pPr>
            <w:r>
              <w:rPr>
                <w:rFonts w:ascii="Times New Roman" w:cs="Times New Roman" w:eastAsia="Times New Roman" w:hAnsi="Times New Roman"/>
                <w:sz w:val="17"/>
                <w:szCs w:val="17"/>
                <w:b w:val="1"/>
                <w:bCs w:val="1"/>
                <w:color w:val="auto"/>
              </w:rPr>
              <w:t>Net</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6"/>
        </w:trPr>
        <w:tc>
          <w:tcPr>
            <w:tcW w:w="2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Economic</w:t>
            </w:r>
          </w:p>
        </w:tc>
        <w:tc>
          <w:tcPr>
            <w:tcW w:w="1320" w:type="dxa"/>
            <w:vAlign w:val="bottom"/>
          </w:tcPr>
          <w:p>
            <w:pPr>
              <w:ind w:left="300"/>
              <w:spacing w:after="0"/>
              <w:rPr>
                <w:sz w:val="20"/>
                <w:szCs w:val="20"/>
                <w:color w:val="auto"/>
              </w:rPr>
            </w:pPr>
            <w:r>
              <w:rPr>
                <w:rFonts w:ascii="Times New Roman" w:cs="Times New Roman" w:eastAsia="Times New Roman" w:hAnsi="Times New Roman"/>
                <w:sz w:val="17"/>
                <w:szCs w:val="17"/>
                <w:b w:val="1"/>
                <w:bCs w:val="1"/>
                <w:color w:val="auto"/>
              </w:rPr>
              <w:t>Percent</w:t>
            </w:r>
          </w:p>
        </w:tc>
        <w:tc>
          <w:tcPr>
            <w:tcW w:w="240" w:type="dxa"/>
            <w:vAlign w:val="bottom"/>
          </w:tcPr>
          <w:p>
            <w:pPr>
              <w:spacing w:after="0"/>
              <w:rPr>
                <w:sz w:val="17"/>
                <w:szCs w:val="17"/>
                <w:color w:val="auto"/>
              </w:rPr>
            </w:pPr>
          </w:p>
        </w:tc>
        <w:tc>
          <w:tcPr>
            <w:tcW w:w="1320" w:type="dxa"/>
            <w:vAlign w:val="bottom"/>
          </w:tcPr>
          <w:p>
            <w:pPr>
              <w:jc w:val="center"/>
              <w:ind w:right="334"/>
              <w:spacing w:after="0"/>
              <w:rPr>
                <w:sz w:val="20"/>
                <w:szCs w:val="20"/>
                <w:color w:val="auto"/>
              </w:rPr>
            </w:pPr>
            <w:r>
              <w:rPr>
                <w:rFonts w:ascii="Times New Roman" w:cs="Times New Roman" w:eastAsia="Times New Roman" w:hAnsi="Times New Roman"/>
                <w:sz w:val="17"/>
                <w:szCs w:val="17"/>
                <w:b w:val="1"/>
                <w:bCs w:val="1"/>
                <w:color w:val="auto"/>
              </w:rPr>
              <w:t>Interest</w:t>
            </w:r>
          </w:p>
        </w:tc>
        <w:tc>
          <w:tcPr>
            <w:tcW w:w="1360" w:type="dxa"/>
            <w:vAlign w:val="bottom"/>
            <w:gridSpan w:val="2"/>
          </w:tcPr>
          <w:p>
            <w:pPr>
              <w:ind w:left="280"/>
              <w:spacing w:after="0"/>
              <w:rPr>
                <w:sz w:val="20"/>
                <w:szCs w:val="20"/>
                <w:color w:val="auto"/>
              </w:rPr>
            </w:pPr>
            <w:r>
              <w:rPr>
                <w:rFonts w:ascii="Times New Roman" w:cs="Times New Roman" w:eastAsia="Times New Roman" w:hAnsi="Times New Roman"/>
                <w:sz w:val="17"/>
                <w:szCs w:val="17"/>
                <w:b w:val="1"/>
                <w:bCs w:val="1"/>
                <w:color w:val="auto"/>
              </w:rPr>
              <w:t>Percent</w:t>
            </w:r>
          </w:p>
        </w:tc>
        <w:tc>
          <w:tcPr>
            <w:tcW w:w="1520" w:type="dxa"/>
            <w:vAlign w:val="bottom"/>
            <w:gridSpan w:val="2"/>
          </w:tcPr>
          <w:p>
            <w:pPr>
              <w:ind w:left="280"/>
              <w:spacing w:after="0"/>
              <w:rPr>
                <w:sz w:val="20"/>
                <w:szCs w:val="20"/>
                <w:color w:val="auto"/>
              </w:rPr>
            </w:pPr>
            <w:r>
              <w:rPr>
                <w:rFonts w:ascii="Times New Roman" w:cs="Times New Roman" w:eastAsia="Times New Roman" w:hAnsi="Times New Roman"/>
                <w:sz w:val="17"/>
                <w:szCs w:val="17"/>
                <w:b w:val="1"/>
                <w:bCs w:val="1"/>
                <w:color w:val="auto"/>
              </w:rPr>
              <w:t>Net Interest</w:t>
            </w:r>
          </w:p>
        </w:tc>
        <w:tc>
          <w:tcPr>
            <w:tcW w:w="1400" w:type="dxa"/>
            <w:vAlign w:val="bottom"/>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Percent</w:t>
            </w:r>
          </w:p>
        </w:tc>
      </w:tr>
      <w:tr>
        <w:trPr>
          <w:trHeight w:val="252"/>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Change in Interest Rates</w:t>
            </w:r>
          </w:p>
        </w:tc>
        <w:tc>
          <w:tcPr>
            <w:tcW w:w="200" w:type="dxa"/>
            <w:vAlign w:val="bottom"/>
          </w:tcPr>
          <w:p>
            <w:pPr>
              <w:spacing w:after="0"/>
              <w:rPr>
                <w:sz w:val="21"/>
                <w:szCs w:val="21"/>
                <w:color w:val="auto"/>
              </w:rPr>
            </w:pPr>
          </w:p>
        </w:tc>
        <w:tc>
          <w:tcPr>
            <w:tcW w:w="130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Value(1)</w:t>
            </w:r>
          </w:p>
        </w:tc>
        <w:tc>
          <w:tcPr>
            <w:tcW w:w="1320" w:type="dxa"/>
            <w:vAlign w:val="bottom"/>
          </w:tcPr>
          <w:p>
            <w:pPr>
              <w:ind w:left="28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240" w:type="dxa"/>
            <w:vAlign w:val="bottom"/>
          </w:tcPr>
          <w:p>
            <w:pPr>
              <w:spacing w:after="0"/>
              <w:rPr>
                <w:sz w:val="21"/>
                <w:szCs w:val="21"/>
                <w:color w:val="auto"/>
              </w:rPr>
            </w:pPr>
          </w:p>
        </w:tc>
        <w:tc>
          <w:tcPr>
            <w:tcW w:w="1320" w:type="dxa"/>
            <w:vAlign w:val="bottom"/>
          </w:tcPr>
          <w:p>
            <w:pPr>
              <w:jc w:val="center"/>
              <w:ind w:right="334"/>
              <w:spacing w:after="0"/>
              <w:rPr>
                <w:sz w:val="20"/>
                <w:szCs w:val="20"/>
                <w:color w:val="auto"/>
              </w:rPr>
            </w:pPr>
            <w:r>
              <w:rPr>
                <w:rFonts w:ascii="Times New Roman" w:cs="Times New Roman" w:eastAsia="Times New Roman" w:hAnsi="Times New Roman"/>
                <w:sz w:val="17"/>
                <w:szCs w:val="17"/>
                <w:b w:val="1"/>
                <w:bCs w:val="1"/>
                <w:color w:val="auto"/>
              </w:rPr>
              <w:t>Income(2)</w:t>
            </w:r>
          </w:p>
        </w:tc>
        <w:tc>
          <w:tcPr>
            <w:tcW w:w="1360" w:type="dxa"/>
            <w:vAlign w:val="bottom"/>
            <w:gridSpan w:val="2"/>
          </w:tcPr>
          <w:p>
            <w:pPr>
              <w:ind w:left="28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520" w:type="dxa"/>
            <w:vAlign w:val="bottom"/>
            <w:gridSpan w:val="2"/>
          </w:tcPr>
          <w:p>
            <w:pPr>
              <w:ind w:left="340"/>
              <w:spacing w:after="0"/>
              <w:rPr>
                <w:sz w:val="20"/>
                <w:szCs w:val="20"/>
                <w:color w:val="auto"/>
              </w:rPr>
            </w:pPr>
            <w:r>
              <w:rPr>
                <w:rFonts w:ascii="Times New Roman" w:cs="Times New Roman" w:eastAsia="Times New Roman" w:hAnsi="Times New Roman"/>
                <w:sz w:val="17"/>
                <w:szCs w:val="17"/>
                <w:b w:val="1"/>
                <w:bCs w:val="1"/>
                <w:color w:val="auto"/>
              </w:rPr>
              <w:t>Margin(3)</w:t>
            </w:r>
          </w:p>
        </w:tc>
        <w:tc>
          <w:tcPr>
            <w:tcW w:w="1400" w:type="dxa"/>
            <w:vAlign w:val="bottom"/>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Change</w:t>
            </w:r>
          </w:p>
        </w:tc>
      </w:tr>
      <w:tr>
        <w:trPr>
          <w:trHeight w:val="225"/>
        </w:trPr>
        <w:tc>
          <w:tcPr>
            <w:tcW w:w="25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2880" w:type="dxa"/>
            <w:vAlign w:val="bottom"/>
            <w:tcBorders>
              <w:top w:val="single" w:sz="8" w:color="auto"/>
            </w:tcBorders>
            <w:gridSpan w:val="3"/>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r>
      <w:tr>
        <w:trPr>
          <w:trHeight w:val="232"/>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September 30, 2026</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32"/>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200 basis point rise</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890,400</w:t>
            </w:r>
          </w:p>
        </w:tc>
        <w:tc>
          <w:tcPr>
            <w:tcW w:w="13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(3.45)%</w:t>
            </w:r>
          </w:p>
        </w:tc>
        <w:tc>
          <w:tcPr>
            <w:tcW w:w="2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242,500</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3.72 %</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w w:val="99"/>
              </w:rPr>
              <w:t>4.12 %</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3.78 %</w:t>
            </w:r>
          </w:p>
        </w:tc>
      </w:tr>
      <w:tr>
        <w:trPr>
          <w:trHeight w:val="232"/>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100 basis point rise</w:t>
            </w:r>
          </w:p>
        </w:tc>
        <w:tc>
          <w:tcPr>
            <w:tcW w:w="200" w:type="dxa"/>
            <w:vAlign w:val="bottom"/>
          </w:tcPr>
          <w:p>
            <w:pPr>
              <w:spacing w:after="0"/>
              <w:rPr>
                <w:sz w:val="20"/>
                <w:szCs w:val="20"/>
                <w:color w:val="auto"/>
              </w:rPr>
            </w:pPr>
          </w:p>
        </w:tc>
        <w:tc>
          <w:tcPr>
            <w:tcW w:w="13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910,000</w:t>
            </w:r>
          </w:p>
        </w:tc>
        <w:tc>
          <w:tcPr>
            <w:tcW w:w="132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(1.32)</w:t>
            </w:r>
          </w:p>
        </w:tc>
        <w:tc>
          <w:tcPr>
            <w:tcW w:w="240" w:type="dxa"/>
            <w:vAlign w:val="bottom"/>
          </w:tcPr>
          <w:p>
            <w:pPr>
              <w:spacing w:after="0"/>
              <w:rPr>
                <w:sz w:val="20"/>
                <w:szCs w:val="20"/>
                <w:color w:val="auto"/>
              </w:rPr>
            </w:pPr>
          </w:p>
        </w:tc>
        <w:tc>
          <w:tcPr>
            <w:tcW w:w="13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238,400</w:t>
            </w:r>
          </w:p>
        </w:tc>
        <w:tc>
          <w:tcPr>
            <w:tcW w:w="12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1.97</w:t>
            </w:r>
          </w:p>
        </w:tc>
        <w:tc>
          <w:tcPr>
            <w:tcW w:w="100" w:type="dxa"/>
            <w:vAlign w:val="bottom"/>
          </w:tcPr>
          <w:p>
            <w:pPr>
              <w:spacing w:after="0"/>
              <w:rPr>
                <w:sz w:val="20"/>
                <w:szCs w:val="20"/>
                <w:color w:val="auto"/>
              </w:rPr>
            </w:pPr>
          </w:p>
        </w:tc>
        <w:tc>
          <w:tcPr>
            <w:tcW w:w="142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4.05</w:t>
            </w:r>
          </w:p>
        </w:tc>
        <w:tc>
          <w:tcPr>
            <w:tcW w:w="100" w:type="dxa"/>
            <w:vAlign w:val="bottom"/>
          </w:tcPr>
          <w:p>
            <w:pPr>
              <w:spacing w:after="0"/>
              <w:rPr>
                <w:sz w:val="20"/>
                <w:szCs w:val="20"/>
                <w:color w:val="auto"/>
              </w:rPr>
            </w:pPr>
          </w:p>
        </w:tc>
        <w:tc>
          <w:tcPr>
            <w:tcW w:w="14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2.02</w:t>
            </w:r>
          </w:p>
        </w:tc>
      </w:tr>
      <w:tr>
        <w:trPr>
          <w:trHeight w:val="232"/>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Base-rate scenario</w:t>
            </w: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922,200</w:t>
            </w:r>
          </w:p>
        </w:tc>
        <w:tc>
          <w:tcPr>
            <w:tcW w:w="132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233,800</w:t>
            </w: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3.97</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100 basis point decline</w:t>
            </w:r>
          </w:p>
        </w:tc>
        <w:tc>
          <w:tcPr>
            <w:tcW w:w="200" w:type="dxa"/>
            <w:vAlign w:val="bottom"/>
          </w:tcPr>
          <w:p>
            <w:pPr>
              <w:spacing w:after="0"/>
              <w:rPr>
                <w:sz w:val="20"/>
                <w:szCs w:val="20"/>
                <w:color w:val="auto"/>
              </w:rPr>
            </w:pPr>
          </w:p>
        </w:tc>
        <w:tc>
          <w:tcPr>
            <w:tcW w:w="13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929,700</w:t>
            </w:r>
          </w:p>
        </w:tc>
        <w:tc>
          <w:tcPr>
            <w:tcW w:w="13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0.81</w:t>
            </w:r>
          </w:p>
        </w:tc>
        <w:tc>
          <w:tcPr>
            <w:tcW w:w="240" w:type="dxa"/>
            <w:vAlign w:val="bottom"/>
          </w:tcPr>
          <w:p>
            <w:pPr>
              <w:spacing w:after="0"/>
              <w:rPr>
                <w:sz w:val="20"/>
                <w:szCs w:val="20"/>
                <w:color w:val="auto"/>
              </w:rPr>
            </w:pPr>
          </w:p>
        </w:tc>
        <w:tc>
          <w:tcPr>
            <w:tcW w:w="13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232,300</w:t>
            </w:r>
          </w:p>
        </w:tc>
        <w:tc>
          <w:tcPr>
            <w:tcW w:w="1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(0.64)</w:t>
            </w:r>
          </w:p>
        </w:tc>
        <w:tc>
          <w:tcPr>
            <w:tcW w:w="100" w:type="dxa"/>
            <w:vAlign w:val="bottom"/>
          </w:tcPr>
          <w:p>
            <w:pPr>
              <w:spacing w:after="0"/>
              <w:rPr>
                <w:sz w:val="20"/>
                <w:szCs w:val="20"/>
                <w:color w:val="auto"/>
              </w:rPr>
            </w:pPr>
          </w:p>
        </w:tc>
        <w:tc>
          <w:tcPr>
            <w:tcW w:w="142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3.95</w:t>
            </w:r>
          </w:p>
        </w:tc>
        <w:tc>
          <w:tcPr>
            <w:tcW w:w="100" w:type="dxa"/>
            <w:vAlign w:val="bottom"/>
          </w:tcPr>
          <w:p>
            <w:pPr>
              <w:spacing w:after="0"/>
              <w:rPr>
                <w:sz w:val="20"/>
                <w:szCs w:val="20"/>
                <w:color w:val="auto"/>
              </w:rPr>
            </w:pPr>
          </w:p>
        </w:tc>
        <w:tc>
          <w:tcPr>
            <w:tcW w:w="14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(0.50)</w:t>
            </w:r>
          </w:p>
        </w:tc>
      </w:tr>
      <w:tr>
        <w:trPr>
          <w:trHeight w:val="232"/>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200 basis point decline</w:t>
            </w: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925,300</w:t>
            </w:r>
          </w:p>
        </w:tc>
        <w:tc>
          <w:tcPr>
            <w:tcW w:w="132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0.34</w:t>
            </w: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230,400</w:t>
            </w:r>
          </w:p>
        </w:tc>
        <w:tc>
          <w:tcPr>
            <w:tcW w:w="1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(1.45)</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3.91</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(1.51)</w:t>
            </w:r>
          </w:p>
        </w:tc>
      </w:tr>
      <w:tr>
        <w:trPr>
          <w:trHeight w:val="258"/>
        </w:trPr>
        <w:tc>
          <w:tcPr>
            <w:tcW w:w="2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32"/>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r>
        <w:trPr>
          <w:trHeight w:val="232"/>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200 basis point rise</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693,900</w:t>
            </w:r>
          </w:p>
        </w:tc>
        <w:tc>
          <w:tcPr>
            <w:tcW w:w="132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(4.75)%</w:t>
            </w:r>
          </w:p>
        </w:tc>
        <w:tc>
          <w:tcPr>
            <w:tcW w:w="2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202,200</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3.01 %</w:t>
            </w:r>
          </w:p>
        </w:tc>
        <w:tc>
          <w:tcPr>
            <w:tcW w:w="100" w:type="dxa"/>
            <w:vAlign w:val="bottom"/>
          </w:tcPr>
          <w:p>
            <w:pPr>
              <w:spacing w:after="0"/>
              <w:rPr>
                <w:sz w:val="20"/>
                <w:szCs w:val="20"/>
                <w:color w:val="auto"/>
              </w:rPr>
            </w:pPr>
          </w:p>
        </w:tc>
        <w:tc>
          <w:tcPr>
            <w:tcW w:w="1420" w:type="dxa"/>
            <w:vAlign w:val="bottom"/>
          </w:tcPr>
          <w:p>
            <w:pPr>
              <w:ind w:left="920"/>
              <w:spacing w:after="0"/>
              <w:rPr>
                <w:sz w:val="20"/>
                <w:szCs w:val="20"/>
                <w:color w:val="auto"/>
              </w:rPr>
            </w:pPr>
            <w:r>
              <w:rPr>
                <w:rFonts w:ascii="Times New Roman" w:cs="Times New Roman" w:eastAsia="Times New Roman" w:hAnsi="Times New Roman"/>
                <w:sz w:val="17"/>
                <w:szCs w:val="17"/>
                <w:color w:val="auto"/>
                <w:w w:val="99"/>
              </w:rPr>
              <w:t>3.89 %</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3.18 %</w:t>
            </w:r>
          </w:p>
        </w:tc>
      </w:tr>
      <w:tr>
        <w:trPr>
          <w:trHeight w:val="232"/>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100 basis point rise</w:t>
            </w: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712,800</w:t>
            </w:r>
          </w:p>
        </w:tc>
        <w:tc>
          <w:tcPr>
            <w:tcW w:w="13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(2.16)</w:t>
            </w: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198,900</w:t>
            </w:r>
          </w:p>
        </w:tc>
        <w:tc>
          <w:tcPr>
            <w:tcW w:w="12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1.32</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3.82</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1.33</w:t>
            </w:r>
          </w:p>
        </w:tc>
      </w:tr>
      <w:tr>
        <w:trPr>
          <w:trHeight w:val="232"/>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Base-rate scenario</w:t>
            </w:r>
          </w:p>
        </w:tc>
        <w:tc>
          <w:tcPr>
            <w:tcW w:w="200" w:type="dxa"/>
            <w:vAlign w:val="bottom"/>
          </w:tcPr>
          <w:p>
            <w:pPr>
              <w:spacing w:after="0"/>
              <w:rPr>
                <w:sz w:val="20"/>
                <w:szCs w:val="20"/>
                <w:color w:val="auto"/>
              </w:rPr>
            </w:pPr>
          </w:p>
        </w:tc>
        <w:tc>
          <w:tcPr>
            <w:tcW w:w="13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728,500</w:t>
            </w:r>
          </w:p>
        </w:tc>
        <w:tc>
          <w:tcPr>
            <w:tcW w:w="13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13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196,300</w:t>
            </w: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3.77</w:t>
            </w:r>
          </w:p>
        </w:tc>
        <w:tc>
          <w:tcPr>
            <w:tcW w:w="100" w:type="dxa"/>
            <w:vAlign w:val="bottom"/>
          </w:tcPr>
          <w:p>
            <w:pPr>
              <w:spacing w:after="0"/>
              <w:rPr>
                <w:sz w:val="20"/>
                <w:szCs w:val="20"/>
                <w:color w:val="auto"/>
              </w:rPr>
            </w:pPr>
          </w:p>
        </w:tc>
        <w:tc>
          <w:tcPr>
            <w:tcW w:w="14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100 basis point decline</w:t>
            </w: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731,700</w:t>
            </w:r>
          </w:p>
        </w:tc>
        <w:tc>
          <w:tcPr>
            <w:tcW w:w="132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0.44</w:t>
            </w: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194,100</w:t>
            </w:r>
          </w:p>
        </w:tc>
        <w:tc>
          <w:tcPr>
            <w:tcW w:w="1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(1.12)</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3.73</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(1.06)</w:t>
            </w:r>
          </w:p>
        </w:tc>
      </w:tr>
      <w:tr>
        <w:trPr>
          <w:trHeight w:val="232"/>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200 basis point decline</w:t>
            </w:r>
          </w:p>
        </w:tc>
        <w:tc>
          <w:tcPr>
            <w:tcW w:w="200" w:type="dxa"/>
            <w:vAlign w:val="bottom"/>
          </w:tcPr>
          <w:p>
            <w:pPr>
              <w:spacing w:after="0"/>
              <w:rPr>
                <w:sz w:val="20"/>
                <w:szCs w:val="20"/>
                <w:color w:val="auto"/>
              </w:rPr>
            </w:pPr>
          </w:p>
        </w:tc>
        <w:tc>
          <w:tcPr>
            <w:tcW w:w="13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714,300</w:t>
            </w:r>
          </w:p>
        </w:tc>
        <w:tc>
          <w:tcPr>
            <w:tcW w:w="132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(1.95)</w:t>
            </w:r>
          </w:p>
        </w:tc>
        <w:tc>
          <w:tcPr>
            <w:tcW w:w="240" w:type="dxa"/>
            <w:vAlign w:val="bottom"/>
          </w:tcPr>
          <w:p>
            <w:pPr>
              <w:spacing w:after="0"/>
              <w:rPr>
                <w:sz w:val="20"/>
                <w:szCs w:val="20"/>
                <w:color w:val="auto"/>
              </w:rPr>
            </w:pPr>
          </w:p>
        </w:tc>
        <w:tc>
          <w:tcPr>
            <w:tcW w:w="13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191,300</w:t>
            </w:r>
          </w:p>
        </w:tc>
        <w:tc>
          <w:tcPr>
            <w:tcW w:w="1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(2.55)</w:t>
            </w:r>
          </w:p>
        </w:tc>
        <w:tc>
          <w:tcPr>
            <w:tcW w:w="100" w:type="dxa"/>
            <w:vAlign w:val="bottom"/>
          </w:tcPr>
          <w:p>
            <w:pPr>
              <w:spacing w:after="0"/>
              <w:rPr>
                <w:sz w:val="20"/>
                <w:szCs w:val="20"/>
                <w:color w:val="auto"/>
              </w:rPr>
            </w:pPr>
          </w:p>
        </w:tc>
        <w:tc>
          <w:tcPr>
            <w:tcW w:w="142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3.68</w:t>
            </w:r>
          </w:p>
        </w:tc>
        <w:tc>
          <w:tcPr>
            <w:tcW w:w="100" w:type="dxa"/>
            <w:vAlign w:val="bottom"/>
          </w:tcPr>
          <w:p>
            <w:pPr>
              <w:spacing w:after="0"/>
              <w:rPr>
                <w:sz w:val="20"/>
                <w:szCs w:val="20"/>
                <w:color w:val="auto"/>
              </w:rPr>
            </w:pPr>
          </w:p>
        </w:tc>
        <w:tc>
          <w:tcPr>
            <w:tcW w:w="14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(2.39)</w:t>
            </w:r>
          </w:p>
        </w:tc>
      </w:tr>
    </w:tbl>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w:t>
      </w:r>
    </w:p>
    <w:p>
      <w:pPr>
        <w:spacing w:after="0" w:line="178" w:lineRule="exact"/>
        <w:rPr>
          <w:sz w:val="20"/>
          <w:szCs w:val="20"/>
          <w:color w:val="auto"/>
        </w:rPr>
      </w:pPr>
    </w:p>
    <w:p>
      <w:pPr>
        <w:jc w:val="both"/>
        <w:ind w:left="320" w:hanging="317"/>
        <w:spacing w:after="0" w:line="260" w:lineRule="auto"/>
        <w:tabs>
          <w:tab w:leader="none" w:pos="314"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Simulation analyses calculate the change in the net present value of our assets and liabilities, including debt and related financial derivative instruments, under parallel shifts in interest rates by discounting the estimated future cash flows using a market-based discount rate. Cash flow estimates incorporate anticipated changes in prepayment speeds and other embedded options.</w:t>
      </w:r>
    </w:p>
    <w:p>
      <w:pPr>
        <w:jc w:val="both"/>
        <w:ind w:left="320" w:hanging="317"/>
        <w:spacing w:after="0" w:line="253" w:lineRule="auto"/>
        <w:tabs>
          <w:tab w:leader="none" w:pos="314"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Simulation analyses calculate the change in net interest income under immediate parallel shifts in interest rates over the next twelve months, based upon a static interim Condensed Consolidated Statement of Financial Condition, which includes debt and related financial derivative instruments, and do not consider loan fees or loan origination costs.</w:t>
      </w:r>
    </w:p>
    <w:p>
      <w:pPr>
        <w:ind w:left="320" w:hanging="317"/>
        <w:spacing w:after="0" w:line="266" w:lineRule="auto"/>
        <w:tabs>
          <w:tab w:leader="none" w:pos="314"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Simulation analyses calculate the change in tax equivalent net interest income as a percent of average interest-earning assets (the “net interest margin”) under immediate parallel shifts in interest rates over the next twelve months, based</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382" w:lineRule="exact"/>
        <w:rPr>
          <w:sz w:val="20"/>
          <w:szCs w:val="20"/>
          <w:color w:val="auto"/>
        </w:rPr>
      </w:pPr>
    </w:p>
    <w:p>
      <w:pPr>
        <w:ind w:left="320"/>
        <w:spacing w:after="0" w:line="287" w:lineRule="auto"/>
        <w:rPr>
          <w:sz w:val="20"/>
          <w:szCs w:val="20"/>
          <w:color w:val="auto"/>
        </w:rPr>
      </w:pPr>
      <w:r>
        <w:rPr>
          <w:rFonts w:ascii="Times New Roman" w:cs="Times New Roman" w:eastAsia="Times New Roman" w:hAnsi="Times New Roman"/>
          <w:sz w:val="17"/>
          <w:szCs w:val="17"/>
          <w:color w:val="auto"/>
        </w:rPr>
        <w:t>upon a static interim Condensed Consolidated Statement of Financial Condition, which includes debt and related financial derivative instruments, and do not consider loan fees or loan origination costs.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w:t>
      </w:r>
      <w:r>
        <w:rPr>
          <w:rFonts w:ascii="Times New Roman" w:cs="Times New Roman" w:eastAsia="Times New Roman" w:hAnsi="Times New Roman"/>
          <w:sz w:val="13"/>
          <w:szCs w:val="13"/>
          <w:b w:val="1"/>
          <w:bCs w:val="1"/>
          <w:color w:val="auto"/>
        </w:rPr>
        <w:t>ITIGATION</w:t>
      </w:r>
      <w:r>
        <w:rPr>
          <w:rFonts w:ascii="Times New Roman" w:cs="Times New Roman" w:eastAsia="Times New Roman" w:hAnsi="Times New Roman"/>
          <w:sz w:val="17"/>
          <w:szCs w:val="17"/>
          <w:b w:val="1"/>
          <w:bCs w:val="1"/>
          <w:color w:val="auto"/>
        </w:rPr>
        <w:t xml:space="preserve"> M</w:t>
      </w:r>
      <w:r>
        <w:rPr>
          <w:rFonts w:ascii="Times New Roman" w:cs="Times New Roman" w:eastAsia="Times New Roman" w:hAnsi="Times New Roman"/>
          <w:sz w:val="13"/>
          <w:szCs w:val="13"/>
          <w:b w:val="1"/>
          <w:bCs w:val="1"/>
          <w:color w:val="auto"/>
        </w:rPr>
        <w:t>ATTERS</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are involved in various litigation matters in the ordinary course of business, which currently include three putative class action complaints brought against Independent Bank alleging that its practice of charging overdraft and other fees was not consistent with the disclosures Independent Bank made to consumers. These lawsuits are similar to lawsuits that have recently been filed against other financial institutions pertaining to overdraft fee disclosures. No class has been certified in any of the putative class action complaints brought against Independent Bank, and we believe we have valid defenses to each of the claims that have been made. These three actions are being coordinated for pre-trial and other purposes.</w:t>
      </w:r>
    </w:p>
    <w:p>
      <w:pPr>
        <w:spacing w:after="0" w:line="12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During the quarter ended June 30, 2026, Independent Bank reached an agreement in principle to resolve these coordinated actions for $1.85 million, subject to the negotiation, execution, and delivery of definitive settlement documentation and preliminary and final approval by the court. There can be no assurance that definitive settlement documentation will be executed, that the court will approve the proposed settlement on its current or any other terms, or that the proposed settlement will become final and non-appealable. The proposed settlement does not constitute an admission of liability or wrongdoing by the Company or Independent Bank, and the Company and Independent Bank continue to deny the allegations. If the proposed settlement is not finalized or approved, we intend to continue to defend the actions vigorously.</w:t>
      </w:r>
    </w:p>
    <w:p>
      <w:pPr>
        <w:spacing w:after="0" w:line="1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 of September 30, 2026, we had accrued $1.85 million for losses we consider probable and reasonably estimable with respect to these matters. The accrual is reflected as Litigation Expense in the interim condensed consolidated statement of operations and in accrued expenses and other liabilities in the interim condensed consolidated statements of financial condition. Because of the inherent uncertainty of litigation and the fact that the proposed settlement remains subject to definitive documentation and court approval, it is reasonably possible that our ultimate loss could differ from the amount accrued.</w:t>
      </w:r>
    </w:p>
    <w:p>
      <w:pPr>
        <w:spacing w:after="0" w:line="37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 xml:space="preserve">Accounting standards update. </w:t>
      </w:r>
      <w:r>
        <w:rPr>
          <w:rFonts w:ascii="Times New Roman" w:cs="Times New Roman" w:eastAsia="Times New Roman" w:hAnsi="Times New Roman"/>
          <w:sz w:val="17"/>
          <w:szCs w:val="17"/>
          <w:color w:val="auto"/>
        </w:rPr>
        <w:t>See note #2 to the interim Condensed Consolidated Financial Statements included elsewhere in this report for details on recently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issued accounting pronouncements and their impact on our interim condensed consolidated financial statements.</w:t>
      </w:r>
    </w:p>
    <w:p>
      <w:pPr>
        <w:spacing w:after="0" w:line="10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Fair valuation of financial instruments. </w:t>
      </w:r>
      <w:r>
        <w:rPr>
          <w:rFonts w:ascii="Times New Roman" w:cs="Times New Roman" w:eastAsia="Times New Roman" w:hAnsi="Times New Roman"/>
          <w:sz w:val="17"/>
          <w:szCs w:val="17"/>
          <w:color w:val="auto"/>
        </w:rPr>
        <w:t>Financial Accounting Standards Board (“FASB”) Accounting Standards Codification (“ASC”) Topic 820 - “Fair Value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Measurements and Disclosures” (“FASB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utilize fair value measurements to record fair value adjustments to certain financial instruments and to determine fair value disclosures. FASB ASC Topic 820 differentiates between those assets and liabilities required to be carried at fair value at every reporting period (“recurring”) and those assets and liabilities that are only required to be adjusted to fair value under certain circumstances (“nonrecurring”). Equity securities at fair value, securities AFS, loans held for sale, carried at fair value, derivatives and capitalized mortgage loan servicing rights are financial instruments recorded at fair value on a recurring basis. Additionally, from time to time, we may be required to record at fair value other financial assets on a nonrecurring basis, such as loans held for investment and certain other assets. These nonrecurring fair value adjustments typically involve application of lower of cost or fair value accounting or write-downs of individual assets. See note #11 to the interim Condensed Consolidated Financial Statements included within this report for a complete discussion on our use of fair value measurements on financial instruments and the related measurement techniques.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3"/>
          <w:szCs w:val="13"/>
          <w:b w:val="1"/>
          <w:bCs w:val="1"/>
          <w:color w:val="auto"/>
        </w:rPr>
        <w:t>RITICAL</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3"/>
          <w:szCs w:val="13"/>
          <w:b w:val="1"/>
          <w:bCs w:val="1"/>
          <w:color w:val="auto"/>
        </w:rPr>
        <w:t>CCOUNTING</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3"/>
          <w:szCs w:val="13"/>
          <w:b w:val="1"/>
          <w:bCs w:val="1"/>
          <w:color w:val="auto"/>
        </w:rPr>
        <w:t>OLICIES</w:t>
      </w:r>
    </w:p>
    <w:p>
      <w:pPr>
        <w:spacing w:after="0" w:line="18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Our accounting and reporting policies are in accordance with accounting principles generally accepted in the United States of America and conform to general practices within the banking industry. Accounting and reporting policies for the ACL, capitalized mortgage loan servicing rights, and the valuation of assets acquired and liabilities assumed in business combinations are deemed critical since they involve the use of estimates and require significant management judgments. Application of assumptions different than those that we have used could result in material changes in our consolidated financial position or results of operations.</w:t>
      </w:r>
    </w:p>
    <w:p>
      <w:pPr>
        <w:spacing w:after="0" w:line="34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acquisition of HCB Financial Corp. on July 1, 2026 required significant estimates and judgments in determining the acquisition-date fair values of assets acquired and liabilities assumed, particularly acquired loans and the core deposit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intangible. Significant assumptions used in these valuations included expected cash flows, credit losses, prepayment speeds and discount rates for acquired loans, and deposit attrition, servicing costs, alternative funding costs and discount rates for the core deposit intangible. Changes in these assumptions could materially affect the amounts assigned to acquired assets and goodwill and the related subsequent recognition of income and expense. See note #18 to the interim consolidated financial statements for additional information.</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Other than the business combination estimates discussed above, there have been no material changes to our critical accounting policies as disclosed in our Annual Report on Form 10-K for the year ended December 31, 2025.</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3.</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Q</w:t>
      </w:r>
      <w:r>
        <w:rPr>
          <w:rFonts w:ascii="Times New Roman" w:cs="Times New Roman" w:eastAsia="Times New Roman" w:hAnsi="Times New Roman"/>
          <w:sz w:val="13"/>
          <w:szCs w:val="13"/>
          <w:b w:val="1"/>
          <w:bCs w:val="1"/>
          <w:color w:val="auto"/>
        </w:rPr>
        <w:t>UANTITATIVE AND</w:t>
      </w:r>
      <w:r>
        <w:rPr>
          <w:rFonts w:ascii="Times New Roman" w:cs="Times New Roman" w:eastAsia="Times New Roman" w:hAnsi="Times New Roman"/>
          <w:sz w:val="17"/>
          <w:szCs w:val="17"/>
          <w:b w:val="1"/>
          <w:bCs w:val="1"/>
          <w:color w:val="auto"/>
        </w:rPr>
        <w:t xml:space="preserve"> Q</w:t>
      </w:r>
      <w:r>
        <w:rPr>
          <w:rFonts w:ascii="Times New Roman" w:cs="Times New Roman" w:eastAsia="Times New Roman" w:hAnsi="Times New Roman"/>
          <w:sz w:val="13"/>
          <w:szCs w:val="13"/>
          <w:b w:val="1"/>
          <w:bCs w:val="1"/>
          <w:color w:val="auto"/>
        </w:rPr>
        <w:t>UALITATIVE</w:t>
      </w:r>
      <w:r>
        <w:rPr>
          <w:rFonts w:ascii="Times New Roman" w:cs="Times New Roman" w:eastAsia="Times New Roman" w:hAnsi="Times New Roman"/>
          <w:sz w:val="17"/>
          <w:szCs w:val="17"/>
          <w:b w:val="1"/>
          <w:bCs w:val="1"/>
          <w:color w:val="auto"/>
        </w:rPr>
        <w:t xml:space="preserve"> D</w:t>
      </w:r>
      <w:r>
        <w:rPr>
          <w:rFonts w:ascii="Times New Roman" w:cs="Times New Roman" w:eastAsia="Times New Roman" w:hAnsi="Times New Roman"/>
          <w:sz w:val="13"/>
          <w:szCs w:val="13"/>
          <w:b w:val="1"/>
          <w:bCs w:val="1"/>
          <w:color w:val="auto"/>
        </w:rPr>
        <w:t>ISCLOSURES ABOUT</w:t>
      </w:r>
      <w:r>
        <w:rPr>
          <w:rFonts w:ascii="Times New Roman" w:cs="Times New Roman" w:eastAsia="Times New Roman" w:hAnsi="Times New Roman"/>
          <w:sz w:val="17"/>
          <w:szCs w:val="17"/>
          <w:b w:val="1"/>
          <w:bCs w:val="1"/>
          <w:color w:val="auto"/>
        </w:rPr>
        <w:t xml:space="preserve"> M</w:t>
      </w:r>
      <w:r>
        <w:rPr>
          <w:rFonts w:ascii="Times New Roman" w:cs="Times New Roman" w:eastAsia="Times New Roman" w:hAnsi="Times New Roman"/>
          <w:sz w:val="13"/>
          <w:szCs w:val="13"/>
          <w:b w:val="1"/>
          <w:bCs w:val="1"/>
          <w:color w:val="auto"/>
        </w:rPr>
        <w:t>ARKET</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3"/>
          <w:szCs w:val="13"/>
          <w:b w:val="1"/>
          <w:bCs w:val="1"/>
          <w:color w:val="auto"/>
        </w:rPr>
        <w:t>ISK</w:t>
      </w:r>
    </w:p>
    <w:p>
      <w:pPr>
        <w:spacing w:after="0" w:line="18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See applicable disclosures set forth in “Management’s Discussion and Analysis of Financial Condition and Results of Operations” in Item 2 under the caption “Asset/liability management.”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4.</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3"/>
          <w:szCs w:val="13"/>
          <w:b w:val="1"/>
          <w:bCs w:val="1"/>
          <w:color w:val="auto"/>
        </w:rPr>
        <w:t>ONTROLS AND</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3"/>
          <w:szCs w:val="13"/>
          <w:b w:val="1"/>
          <w:bCs w:val="1"/>
          <w:color w:val="auto"/>
        </w:rPr>
        <w:t>ROCEDURES</w:t>
      </w:r>
    </w:p>
    <w:p>
      <w:pPr>
        <w:spacing w:after="0" w:line="182" w:lineRule="exact"/>
        <w:rPr>
          <w:sz w:val="20"/>
          <w:szCs w:val="20"/>
          <w:color w:val="auto"/>
        </w:rPr>
      </w:pPr>
    </w:p>
    <w:p>
      <w:pPr>
        <w:ind w:left="300" w:hanging="297"/>
        <w:spacing w:after="0"/>
        <w:tabs>
          <w:tab w:leader="none" w:pos="30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Evaluation of Disclosure Controls and Procedures.</w:t>
      </w:r>
    </w:p>
    <w:p>
      <w:pPr>
        <w:spacing w:after="0" w:line="178" w:lineRule="exact"/>
        <w:rPr>
          <w:rFonts w:ascii="Times New Roman" w:cs="Times New Roman" w:eastAsia="Times New Roman" w:hAnsi="Times New Roman"/>
          <w:sz w:val="17"/>
          <w:szCs w:val="17"/>
          <w:color w:val="auto"/>
        </w:rPr>
      </w:pPr>
    </w:p>
    <w:p>
      <w:pPr>
        <w:jc w:val="both"/>
        <w:ind w:left="320"/>
        <w:spacing w:after="0" w:line="27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the participation of management, our chief executive officer and chief financial officer, after evaluating the effectiveness of our disclosure controls and procedures (as defined in Exchange Act Rules 13a – 15(e) and 15d – 15(e)) for the period ended September 30, 2026, have concluded that, as of such date, our disclosure controls and procedures were effective.</w:t>
      </w:r>
    </w:p>
    <w:p>
      <w:pPr>
        <w:spacing w:after="0" w:line="139"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Internal Controls.</w:t>
      </w:r>
    </w:p>
    <w:p>
      <w:pPr>
        <w:spacing w:after="0" w:line="178" w:lineRule="exact"/>
        <w:rPr>
          <w:rFonts w:ascii="Times New Roman" w:cs="Times New Roman" w:eastAsia="Times New Roman" w:hAnsi="Times New Roman"/>
          <w:sz w:val="17"/>
          <w:szCs w:val="17"/>
          <w:color w:val="auto"/>
        </w:rPr>
      </w:pPr>
    </w:p>
    <w:p>
      <w:pPr>
        <w:ind w:left="320"/>
        <w:spacing w:after="0" w:line="28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quarter ended September 30, 2026, there were no changes in our internal control over financial reporting that materially affected, or are reasonably likely to materially affect, our internal control over financial reporting.</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II</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Risk Factors</w:t>
      </w:r>
    </w:p>
    <w:p>
      <w:pPr>
        <w:spacing w:after="0" w:line="16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There have been no material changes to the risk factors disclosed in Item 1A. Risk Factors of our Annual Report on Form 10-K for the year ended December 31, 2025, as updated by Part II, Item 1A. Risk Factors in each of our Quarterly Reports on Form 10-Q for the quarters ended March 31, 2026, and June 30, 2026.</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 Unregistered Sales of Equity Securities and Use of Proceeds</w:t>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Company maintains a Deferred Compensation and Stock Purchase Plan for Non-Employee Directors (the "Plan") pursuant to which non-employee directors can elect to receive shares of the Company's common stock in lieu of fees otherwise payable to the director for his or her service as a director. A director can elect to receive shares on a current basis or to defer receipt of the shares, in which case the shares are issued to a trust to be held for the account of the director and then generally distributed to the director after his or her retirement from the Board. Pursuant to this Plan, during the third quarter of 2026, the Company issued 285 shares of common stock to non-employee directors on a current basis and 1,726 shares of common stock to the trust for distribution to directors on a deferred basis. 1,264 shares were issued on July 1, 2026 representing aggregate fees of $0.05 million and 462 shares were issued on July 31, 2026 representing aggregate fees of $0.02 million. The shares on a current basis were issued at a price of $36.07 per share and the shares on a deferred basis were issued at prices of $32.46 per share (July 1, 2026) and $34.37 per share (July 31, 2026), representing 90% of the fair value of the shares on the credit date. The price per share was the consolidated closing bid price per share of the Company's common stock as of the date of issuance, as determined in accordance with NASDAQ Marketplace Rules. The Company issued the shares pursuant to an exemption from registration under Section 4(2) of the Securities Act of 1933 due to the fact that the issuance of the shares was made on a private basis pursuant to the Plan.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certain information relating to repurchases of common stock for the three-months ended September 30, 2026:</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9"/>
              </w:rPr>
              <w:t>Total Number of</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Remaining</w:t>
            </w:r>
          </w:p>
        </w:tc>
      </w:tr>
      <w:tr>
        <w:trPr>
          <w:trHeight w:val="206"/>
        </w:trPr>
        <w:tc>
          <w:tcPr>
            <w:tcW w:w="5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Shares Purchased</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Number of</w:t>
            </w:r>
          </w:p>
        </w:tc>
      </w:tr>
      <w:tr>
        <w:trPr>
          <w:trHeight w:val="206"/>
        </w:trPr>
        <w:tc>
          <w:tcPr>
            <w:tcW w:w="5140" w:type="dxa"/>
            <w:vAlign w:val="bottom"/>
          </w:tcPr>
          <w:p>
            <w:pPr>
              <w:spacing w:after="0"/>
              <w:rPr>
                <w:sz w:val="17"/>
                <w:szCs w:val="17"/>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9"/>
              </w:rPr>
              <w:t>Total Number of</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as Part of a</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Shares Authorized</w:t>
            </w:r>
          </w:p>
        </w:tc>
      </w:tr>
      <w:tr>
        <w:trPr>
          <w:trHeight w:val="206"/>
        </w:trPr>
        <w:tc>
          <w:tcPr>
            <w:tcW w:w="5140" w:type="dxa"/>
            <w:vAlign w:val="bottom"/>
          </w:tcPr>
          <w:p>
            <w:pPr>
              <w:spacing w:after="0"/>
              <w:rPr>
                <w:sz w:val="17"/>
                <w:szCs w:val="17"/>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Shares Purchased</w:t>
            </w:r>
          </w:p>
        </w:tc>
        <w:tc>
          <w:tcPr>
            <w:tcW w:w="160" w:type="dxa"/>
            <w:vAlign w:val="bottom"/>
          </w:tcPr>
          <w:p>
            <w:pPr>
              <w:spacing w:after="0"/>
              <w:rPr>
                <w:sz w:val="17"/>
                <w:szCs w:val="17"/>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Average Price</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Publicly</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for Purchase</w:t>
            </w:r>
          </w:p>
        </w:tc>
      </w:tr>
      <w:tr>
        <w:trPr>
          <w:trHeight w:val="248"/>
        </w:trPr>
        <w:tc>
          <w:tcPr>
            <w:tcW w:w="5140" w:type="dxa"/>
            <w:vAlign w:val="bottom"/>
            <w:tcBorders>
              <w:bottom w:val="single" w:sz="8" w:color="auto"/>
            </w:tcBorders>
          </w:tcPr>
          <w:p>
            <w:pPr>
              <w:ind w:left="2360"/>
              <w:spacing w:after="0"/>
              <w:rPr>
                <w:sz w:val="20"/>
                <w:szCs w:val="20"/>
                <w:color w:val="auto"/>
              </w:rPr>
            </w:pPr>
            <w:r>
              <w:rPr>
                <w:rFonts w:ascii="Times New Roman" w:cs="Times New Roman" w:eastAsia="Times New Roman" w:hAnsi="Times New Roman"/>
                <w:sz w:val="17"/>
                <w:szCs w:val="17"/>
                <w:color w:val="auto"/>
              </w:rPr>
              <w:t>Period</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Paid Per Share</w:t>
            </w:r>
          </w:p>
        </w:tc>
        <w:tc>
          <w:tcPr>
            <w:tcW w:w="8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Announced Plan</w:t>
            </w:r>
          </w:p>
        </w:tc>
        <w:tc>
          <w:tcPr>
            <w:tcW w:w="8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Under the Plan</w:t>
            </w:r>
          </w:p>
        </w:tc>
      </w:tr>
      <w:tr>
        <w:trPr>
          <w:trHeight w:val="225"/>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July 2026</w:t>
            </w: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1,100,000</w:t>
            </w:r>
          </w:p>
        </w:tc>
      </w:tr>
      <w:tr>
        <w:trPr>
          <w:trHeight w:val="232"/>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August 2026</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119,520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34.79</w:t>
            </w:r>
          </w:p>
        </w:tc>
        <w:tc>
          <w:tcPr>
            <w:tcW w:w="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119,425</w:t>
            </w:r>
          </w:p>
        </w:tc>
        <w:tc>
          <w:tcPr>
            <w:tcW w:w="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980,575</w:t>
            </w:r>
          </w:p>
        </w:tc>
      </w:tr>
      <w:tr>
        <w:trPr>
          <w:trHeight w:val="232"/>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September 2026</w:t>
            </w: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980,575</w:t>
            </w:r>
          </w:p>
        </w:tc>
      </w:tr>
      <w:tr>
        <w:trPr>
          <w:trHeight w:val="225"/>
        </w:trPr>
        <w:tc>
          <w:tcPr>
            <w:tcW w:w="5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119,520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34.79</w:t>
            </w:r>
          </w:p>
        </w:tc>
        <w:tc>
          <w:tcPr>
            <w:tcW w:w="8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119,425</w:t>
            </w:r>
          </w:p>
        </w:tc>
        <w:tc>
          <w:tcPr>
            <w:tcW w:w="8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980,575</w:t>
            </w:r>
          </w:p>
        </w:tc>
      </w:tr>
      <w:tr>
        <w:trPr>
          <w:trHeight w:val="20"/>
        </w:trPr>
        <w:tc>
          <w:tcPr>
            <w:tcW w:w="51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ind w:left="320" w:hanging="317"/>
        <w:spacing w:after="0" w:line="271" w:lineRule="auto"/>
        <w:tabs>
          <w:tab w:leader="none" w:pos="267"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August amount includes 95 shares withheld from the shares that would otherwise have been issued to certain officers in order to satisfy the tax withholding obligations resulting from the vesting of restricted stock.</w:t>
      </w:r>
    </w:p>
    <w:p>
      <w:pPr>
        <w:spacing w:after="0" w:line="164" w:lineRule="exact"/>
        <w:rPr>
          <w:sz w:val="20"/>
          <w:szCs w:val="20"/>
          <w:color w:val="auto"/>
        </w:rPr>
      </w:pPr>
    </w:p>
    <w:p>
      <w:pPr>
        <w:ind w:right="320"/>
        <w:spacing w:after="0" w:line="271" w:lineRule="auto"/>
        <w:rPr>
          <w:sz w:val="20"/>
          <w:szCs w:val="20"/>
          <w:color w:val="auto"/>
        </w:rPr>
      </w:pPr>
      <w:r>
        <w:rPr>
          <w:rFonts w:ascii="Times New Roman" w:cs="Times New Roman" w:eastAsia="Times New Roman" w:hAnsi="Times New Roman"/>
          <w:sz w:val="17"/>
          <w:szCs w:val="17"/>
          <w:color w:val="auto"/>
        </w:rPr>
        <w:t>As announced on December 16, 2025, the Board of Directors of the Company authorized the 2026 share repurchase plan. This plan authorizes the Company to purchase up to 1,100,000 shares through December 31, 2026.</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Other Information</w:t>
      </w:r>
    </w:p>
    <w:p>
      <w:pPr>
        <w:spacing w:after="0" w:line="165" w:lineRule="exact"/>
        <w:rPr>
          <w:sz w:val="20"/>
          <w:szCs w:val="20"/>
          <w:color w:val="auto"/>
        </w:rPr>
      </w:pPr>
    </w:p>
    <w:p>
      <w:pPr>
        <w:spacing w:after="0" w:line="221" w:lineRule="exact"/>
        <w:rPr>
          <w:sz w:val="20"/>
          <w:szCs w:val="20"/>
          <w:color w:val="auto"/>
        </w:rPr>
      </w:pPr>
      <w:r>
        <w:rPr>
          <w:rFonts w:ascii="Times New Roman" w:cs="Times New Roman" w:eastAsia="Times New Roman" w:hAnsi="Times New Roman"/>
          <w:sz w:val="17"/>
          <w:szCs w:val="17"/>
          <w:color w:val="auto"/>
        </w:rPr>
        <w:t>During the period covered by this Quarterly Report on Form 10-Q, no director or officer of the Company adopted, modified, or terminated a "Rule 10b5-1 Trading Arrangement" or "Non-Rule 10b5</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 Trading Arrangement," as each term is defined in Item 408(a) of Regulation S-K.</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Exhibits</w:t>
      </w:r>
    </w:p>
    <w:p>
      <w:pPr>
        <w:spacing w:after="0" w:line="243" w:lineRule="exact"/>
        <w:rPr>
          <w:sz w:val="20"/>
          <w:szCs w:val="20"/>
          <w:color w:val="auto"/>
        </w:rPr>
      </w:pPr>
    </w:p>
    <w:p>
      <w:pPr>
        <w:ind w:left="920" w:hanging="561"/>
        <w:spacing w:after="0"/>
        <w:tabs>
          <w:tab w:leader="none" w:pos="9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exhibits (listed by number corresponding to the Exhibit Table as Item 601 in Regulation S-K) are filed with this report:</w:t>
      </w:r>
    </w:p>
    <w:p>
      <w:pPr>
        <w:spacing w:after="0" w:line="36" w:lineRule="exact"/>
        <w:rPr>
          <w:rFonts w:ascii="Times New Roman" w:cs="Times New Roman" w:eastAsia="Times New Roman" w:hAnsi="Times New Roman"/>
          <w:sz w:val="17"/>
          <w:szCs w:val="17"/>
          <w:color w:val="auto"/>
        </w:rPr>
      </w:pPr>
    </w:p>
    <w:p>
      <w:pPr>
        <w:ind w:left="9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FF"/>
        </w:rPr>
        <w:t>10.1</w:t>
      </w:r>
      <w:r>
        <w:rPr>
          <w:rFonts w:ascii="Times New Roman" w:cs="Times New Roman" w:eastAsia="Times New Roman" w:hAnsi="Times New Roman"/>
          <w:sz w:val="17"/>
          <w:szCs w:val="17"/>
          <w:color w:val="auto"/>
        </w:rPr>
        <w:t>Form of Indemnity Agreement entered into by Independent Bank Corporation with each of its directors.</w:t>
      </w:r>
    </w:p>
    <w:p>
      <w:pPr>
        <w:spacing w:after="0" w:line="36" w:lineRule="exact"/>
        <w:rPr>
          <w:rFonts w:ascii="Times New Roman" w:cs="Times New Roman" w:eastAsia="Times New Roman" w:hAnsi="Times New Roman"/>
          <w:sz w:val="17"/>
          <w:szCs w:val="17"/>
          <w:color w:val="auto"/>
        </w:rPr>
      </w:pPr>
    </w:p>
    <w:p>
      <w:pPr>
        <w:ind w:left="1600" w:hanging="683"/>
        <w:spacing w:after="0" w:line="23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FF"/>
        </w:rPr>
        <w:t>31.1</w:t>
      </w:r>
      <w:r>
        <w:rPr>
          <w:rFonts w:ascii="Times New Roman" w:cs="Times New Roman" w:eastAsia="Times New Roman" w:hAnsi="Times New Roman"/>
          <w:sz w:val="17"/>
          <w:szCs w:val="17"/>
          <w:color w:val="auto"/>
        </w:rPr>
        <w:t>Certificate of the Chief Executive Officer of Independent Bank Corporation pursuant to Section 302 of the Sarbanes-Oxley Act of 2002 (18 U.S.C. 1350).</w:t>
      </w:r>
    </w:p>
    <w:p>
      <w:pPr>
        <w:spacing w:after="0" w:line="23" w:lineRule="exact"/>
        <w:rPr>
          <w:rFonts w:ascii="Times New Roman" w:cs="Times New Roman" w:eastAsia="Times New Roman" w:hAnsi="Times New Roman"/>
          <w:sz w:val="17"/>
          <w:szCs w:val="17"/>
          <w:color w:val="auto"/>
        </w:rPr>
      </w:pPr>
    </w:p>
    <w:p>
      <w:pPr>
        <w:ind w:left="1600" w:hanging="683"/>
        <w:spacing w:after="0" w:line="23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FF"/>
        </w:rPr>
        <w:t>31.2</w:t>
      </w:r>
      <w:r>
        <w:rPr>
          <w:rFonts w:ascii="Times New Roman" w:cs="Times New Roman" w:eastAsia="Times New Roman" w:hAnsi="Times New Roman"/>
          <w:sz w:val="17"/>
          <w:szCs w:val="17"/>
          <w:color w:val="auto"/>
        </w:rPr>
        <w:t>Certificate of the Chief Financial Officer of Independent Bank Corporation pursuant to Section 302 of the Sarbanes-Oxley Act of 2002 (18 U.S.C. 1350).</w:t>
      </w:r>
    </w:p>
    <w:p>
      <w:pPr>
        <w:spacing w:after="0" w:line="23" w:lineRule="exact"/>
        <w:rPr>
          <w:rFonts w:ascii="Times New Roman" w:cs="Times New Roman" w:eastAsia="Times New Roman" w:hAnsi="Times New Roman"/>
          <w:sz w:val="17"/>
          <w:szCs w:val="17"/>
          <w:color w:val="auto"/>
        </w:rPr>
      </w:pPr>
    </w:p>
    <w:p>
      <w:pPr>
        <w:ind w:left="1600" w:hanging="683"/>
        <w:spacing w:after="0" w:line="23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FF"/>
        </w:rPr>
        <w:t>32.1</w:t>
      </w:r>
      <w:r>
        <w:rPr>
          <w:rFonts w:ascii="Times New Roman" w:cs="Times New Roman" w:eastAsia="Times New Roman" w:hAnsi="Times New Roman"/>
          <w:sz w:val="17"/>
          <w:szCs w:val="17"/>
          <w:color w:val="auto"/>
        </w:rPr>
        <w:t>Certificate of the Chief Executive Officer of Independent Bank Corporation pursuant to Section 906 of the Sarbanes-Oxley Act of 2002 (18 U.S.C. 1350).</w:t>
      </w:r>
    </w:p>
    <w:p>
      <w:pPr>
        <w:spacing w:after="0" w:line="23" w:lineRule="exact"/>
        <w:rPr>
          <w:rFonts w:ascii="Times New Roman" w:cs="Times New Roman" w:eastAsia="Times New Roman" w:hAnsi="Times New Roman"/>
          <w:sz w:val="17"/>
          <w:szCs w:val="17"/>
          <w:color w:val="auto"/>
        </w:rPr>
      </w:pPr>
    </w:p>
    <w:p>
      <w:pPr>
        <w:ind w:left="1600" w:hanging="683"/>
        <w:spacing w:after="0" w:line="23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FF"/>
        </w:rPr>
        <w:t>32.2</w:t>
      </w:r>
      <w:r>
        <w:rPr>
          <w:rFonts w:ascii="Times New Roman" w:cs="Times New Roman" w:eastAsia="Times New Roman" w:hAnsi="Times New Roman"/>
          <w:sz w:val="17"/>
          <w:szCs w:val="17"/>
          <w:color w:val="auto"/>
        </w:rPr>
        <w:t>Certificate of the Chief Financial Officer of Independent Bank Corporation pursuant to Section 906 of the Sarbanes-Oxley Act of 2002 (18 U.S.C.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-1185545</wp:posOffset>
            </wp:positionV>
            <wp:extent cx="7138670" cy="1473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8670" cy="1473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-776605</wp:posOffset>
            </wp:positionV>
            <wp:extent cx="7138670" cy="262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8670" cy="262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-252730</wp:posOffset>
            </wp:positionV>
            <wp:extent cx="7138670" cy="262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8670" cy="262255"/>
                    </a:xfrm>
                    <a:prstGeom prst="rect">
                      <a:avLst/>
                    </a:prstGeom>
                    <a:noFill/>
                  </pic:spPr>
                </pic:pic>
              </a:graphicData>
            </a:graphic>
          </wp:anchor>
        </w:drawing>
      </w:r>
    </w:p>
    <w:p>
      <w:pPr>
        <w:spacing w:after="0" w:line="3" w:lineRule="exact"/>
        <w:rPr>
          <w:sz w:val="20"/>
          <w:szCs w:val="20"/>
          <w:color w:val="auto"/>
        </w:rPr>
      </w:pPr>
    </w:p>
    <w:p>
      <w:pPr>
        <w:ind w:left="1600" w:hanging="677"/>
        <w:spacing w:after="0" w:line="239" w:lineRule="auto"/>
        <w:tabs>
          <w:tab w:leader="none" w:pos="160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 Inline XBRL Instance Document (the instance document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7138670" cy="1473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pacing w:after="0" w:line="3" w:lineRule="exact"/>
        <w:rPr>
          <w:sz w:val="20"/>
          <w:szCs w:val="20"/>
          <w:color w:val="auto"/>
        </w:rPr>
      </w:pPr>
    </w:p>
    <w:p>
      <w:pPr>
        <w:ind w:left="1600" w:hanging="677"/>
        <w:spacing w:after="0"/>
        <w:tabs>
          <w:tab w:leader="none" w:pos="160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SCH Inline XBRL Taxonomy Extension Schema Document</w:t>
      </w:r>
    </w:p>
    <w:p>
      <w:pPr>
        <w:spacing w:after="0" w:line="37" w:lineRule="exact"/>
        <w:rPr>
          <w:sz w:val="20"/>
          <w:szCs w:val="20"/>
          <w:color w:val="auto"/>
        </w:rPr>
      </w:pPr>
    </w:p>
    <w:p>
      <w:pPr>
        <w:ind w:left="1600" w:hanging="677"/>
        <w:spacing w:after="0"/>
        <w:tabs>
          <w:tab w:leader="none" w:pos="160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CAL Inline XBRL Taxonomy Extension Calculation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473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pacing w:after="0" w:line="17" w:lineRule="exact"/>
        <w:rPr>
          <w:sz w:val="20"/>
          <w:szCs w:val="20"/>
          <w:color w:val="auto"/>
        </w:rPr>
      </w:pPr>
    </w:p>
    <w:p>
      <w:pPr>
        <w:ind w:left="1600" w:hanging="677"/>
        <w:spacing w:after="0"/>
        <w:tabs>
          <w:tab w:leader="none" w:pos="16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 Inline XBRL Taxonomy Extension Definition Linkbase Document</w:t>
      </w:r>
    </w:p>
    <w:p>
      <w:pPr>
        <w:spacing w:after="0" w:line="37" w:lineRule="exact"/>
        <w:rPr>
          <w:sz w:val="20"/>
          <w:szCs w:val="20"/>
          <w:color w:val="auto"/>
        </w:rPr>
      </w:pPr>
    </w:p>
    <w:p>
      <w:pPr>
        <w:ind w:left="1600" w:hanging="677"/>
        <w:spacing w:after="0"/>
        <w:tabs>
          <w:tab w:leader="none" w:pos="160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LAB Inline XBRL Taxonomy Extension Label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473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pacing w:after="0" w:line="17" w:lineRule="exact"/>
        <w:rPr>
          <w:sz w:val="20"/>
          <w:szCs w:val="20"/>
          <w:color w:val="auto"/>
        </w:rPr>
      </w:pPr>
    </w:p>
    <w:p>
      <w:pPr>
        <w:ind w:left="1600" w:hanging="677"/>
        <w:spacing w:after="0"/>
        <w:tabs>
          <w:tab w:leader="none" w:pos="160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 Inline XBRL Taxonomy Extension Presentation Linkbase Document</w:t>
      </w:r>
    </w:p>
    <w:p>
      <w:pPr>
        <w:spacing w:after="0" w:line="37" w:lineRule="exact"/>
        <w:rPr>
          <w:sz w:val="20"/>
          <w:szCs w:val="20"/>
          <w:color w:val="auto"/>
        </w:rPr>
      </w:pPr>
    </w:p>
    <w:p>
      <w:pPr>
        <w:ind w:left="1600" w:hanging="677"/>
        <w:spacing w:after="0"/>
        <w:tabs>
          <w:tab w:leader="none" w:pos="160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(formatted as inline XBRL and contained in Exhibit 101)</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68" w:lineRule="exact"/>
        <w:rPr>
          <w:rFonts w:ascii="Times New Roman" w:cs="Times New Roman" w:eastAsia="Times New Roman" w:hAnsi="Times New Roman"/>
          <w:sz w:val="17"/>
          <w:szCs w:val="17"/>
          <w:color w:val="auto"/>
        </w:rPr>
      </w:pPr>
    </w:p>
    <w:p>
      <w:pPr>
        <w:ind w:left="5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SIGNATURES</w:t>
      </w:r>
    </w:p>
    <w:p>
      <w:pPr>
        <w:spacing w:after="0" w:line="19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64" w:lineRule="exact"/>
        <w:rPr>
          <w:sz w:val="20"/>
          <w:szCs w:val="20"/>
          <w:color w:val="auto"/>
        </w:rPr>
      </w:pPr>
    </w:p>
    <w:p>
      <w:pPr>
        <w:ind w:left="20"/>
        <w:spacing w:after="0"/>
        <w:tabs>
          <w:tab w:leader="none" w:pos="2280" w:val="left"/>
          <w:tab w:leader="none" w:pos="6000" w:val="left"/>
          <w:tab w:leader="none" w:pos="820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November 4, 2026</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Gavin A. Mohr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17145</wp:posOffset>
            </wp:positionV>
            <wp:extent cx="678624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786245" cy="8255"/>
                    </a:xfrm>
                    <a:prstGeom prst="rect">
                      <a:avLst/>
                    </a:prstGeom>
                    <a:noFill/>
                  </pic:spPr>
                </pic:pic>
              </a:graphicData>
            </a:graphic>
          </wp:anchor>
        </w:drawing>
      </w:r>
    </w:p>
    <w:p>
      <w:pPr>
        <w:spacing w:after="0" w:line="29"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7"/>
          <w:szCs w:val="17"/>
          <w:color w:val="auto"/>
        </w:rPr>
        <w:t>Gavin A. Mohr, Principal Financial Officer</w:t>
      </w:r>
    </w:p>
    <w:p>
      <w:pPr>
        <w:spacing w:after="0" w:line="294" w:lineRule="exact"/>
        <w:rPr>
          <w:sz w:val="20"/>
          <w:szCs w:val="20"/>
          <w:color w:val="auto"/>
        </w:rPr>
      </w:pPr>
    </w:p>
    <w:p>
      <w:pPr>
        <w:ind w:left="20"/>
        <w:spacing w:after="0"/>
        <w:tabs>
          <w:tab w:leader="none" w:pos="2280" w:val="left"/>
          <w:tab w:leader="none" w:pos="6000" w:val="left"/>
          <w:tab w:leader="none" w:pos="798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November 4, 2026</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James J. Twarozynski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17145</wp:posOffset>
            </wp:positionV>
            <wp:extent cx="678624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786245" cy="8255"/>
                    </a:xfrm>
                    <a:prstGeom prst="rect">
                      <a:avLst/>
                    </a:prstGeom>
                    <a:noFill/>
                  </pic:spPr>
                </pic:pic>
              </a:graphicData>
            </a:graphic>
          </wp:anchor>
        </w:drawing>
      </w:r>
    </w:p>
    <w:p>
      <w:pPr>
        <w:spacing w:after="0" w:line="29"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7"/>
          <w:szCs w:val="17"/>
          <w:color w:val="auto"/>
        </w:rPr>
        <w:t>James J. Twarozynski,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98</w:t>
      </w:r>
    </w:p>
    <w:p>
      <w:pPr>
        <w:sectPr>
          <w:pgSz w:w="11900" w:h="16838" w:orient="portrait"/>
          <w:cols w:equalWidth="0" w:num="1">
            <w:col w:w="11240"/>
          </w:cols>
          <w:pgMar w:left="320" w:top="119" w:right="339" w:bottom="1440" w:gutter="0" w:footer="0" w:header="0"/>
        </w:sectPr>
      </w:pPr>
    </w:p>
    <w:bookmarkStart w:id="99" w:name="page100"/>
    <w:bookmarkEnd w:id="99"/>
    <w:p>
      <w:pPr>
        <w:spacing w:after="0" w:line="1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color w:val="auto"/>
        </w:rPr>
        <w:t>INDEMNITY AGREEMENT</w:t>
      </w:r>
    </w:p>
    <w:p>
      <w:pPr>
        <w:spacing w:after="0" w:line="236" w:lineRule="exact"/>
        <w:rPr>
          <w:sz w:val="20"/>
          <w:szCs w:val="20"/>
          <w:color w:val="auto"/>
        </w:rPr>
      </w:pPr>
    </w:p>
    <w:p>
      <w:pPr>
        <w:ind w:firstLine="619"/>
        <w:spacing w:after="0" w:line="286" w:lineRule="auto"/>
        <w:rPr>
          <w:sz w:val="20"/>
          <w:szCs w:val="20"/>
          <w:color w:val="auto"/>
        </w:rPr>
      </w:pPr>
      <w:r>
        <w:rPr>
          <w:rFonts w:ascii="Times New Roman" w:cs="Times New Roman" w:eastAsia="Times New Roman" w:hAnsi="Times New Roman"/>
          <w:sz w:val="21"/>
          <w:szCs w:val="21"/>
          <w:color w:val="auto"/>
        </w:rPr>
        <w:t>This INDEMNITY AGREEMENT (the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xml:space="preserve">”), effective as of [•], 2026, is entered into by and between </w:t>
      </w:r>
      <w:r>
        <w:rPr>
          <w:rFonts w:ascii="Times New Roman" w:cs="Times New Roman" w:eastAsia="Times New Roman" w:hAnsi="Times New Roman"/>
          <w:sz w:val="21"/>
          <w:szCs w:val="21"/>
          <w:b w:val="1"/>
          <w:bCs w:val="1"/>
          <w:color w:val="auto"/>
        </w:rPr>
        <w:t>Independent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Bank Corporation</w:t>
      </w:r>
      <w:r>
        <w:rPr>
          <w:rFonts w:ascii="Times New Roman" w:cs="Times New Roman" w:eastAsia="Times New Roman" w:hAnsi="Times New Roman"/>
          <w:sz w:val="21"/>
          <w:szCs w:val="21"/>
          <w:color w:val="auto"/>
        </w:rPr>
        <w:t>, a Michigan corporation (the “</w:t>
      </w:r>
      <w:r>
        <w:rPr>
          <w:rFonts w:ascii="Times New Roman" w:cs="Times New Roman" w:eastAsia="Times New Roman" w:hAnsi="Times New Roman"/>
          <w:sz w:val="21"/>
          <w:szCs w:val="21"/>
          <w:u w:val="single" w:color="auto"/>
          <w:color w:val="auto"/>
        </w:rPr>
        <w:t>Corporation</w:t>
      </w:r>
      <w:r>
        <w:rPr>
          <w:rFonts w:ascii="Times New Roman" w:cs="Times New Roman" w:eastAsia="Times New Roman" w:hAnsi="Times New Roman"/>
          <w:sz w:val="21"/>
          <w:szCs w:val="21"/>
          <w:color w:val="auto"/>
        </w:rPr>
        <w:t>”), and [•] (the “</w:t>
      </w:r>
      <w:r>
        <w:rPr>
          <w:rFonts w:ascii="Times New Roman" w:cs="Times New Roman" w:eastAsia="Times New Roman" w:hAnsi="Times New Roman"/>
          <w:sz w:val="21"/>
          <w:szCs w:val="21"/>
          <w:u w:val="single" w:color="auto"/>
          <w:color w:val="auto"/>
        </w:rPr>
        <w:t>Indemnitee</w:t>
      </w:r>
      <w:r>
        <w:rPr>
          <w:rFonts w:ascii="Times New Roman" w:cs="Times New Roman" w:eastAsia="Times New Roman" w:hAnsi="Times New Roman"/>
          <w:sz w:val="21"/>
          <w:szCs w:val="21"/>
          <w:color w:val="auto"/>
        </w:rPr>
        <w:t>”).</w:t>
      </w:r>
    </w:p>
    <w:p>
      <w:pPr>
        <w:spacing w:after="0" w:line="1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u w:val="single" w:color="auto"/>
          <w:color w:val="auto"/>
        </w:rPr>
        <w:t>Background</w:t>
      </w:r>
    </w:p>
    <w:p>
      <w:pPr>
        <w:spacing w:after="0" w:line="236" w:lineRule="exact"/>
        <w:rPr>
          <w:sz w:val="20"/>
          <w:szCs w:val="20"/>
          <w:color w:val="auto"/>
        </w:rPr>
      </w:pPr>
    </w:p>
    <w:p>
      <w:pPr>
        <w:jc w:val="both"/>
        <w:ind w:firstLine="622"/>
        <w:spacing w:after="0" w:line="253" w:lineRule="auto"/>
        <w:tabs>
          <w:tab w:leader="none" w:pos="1232"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Board of Directors of the Corporation (the “</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recognizes that uncertainties relating to statutory indemnification and the availability and coverage of adequate insurance have increased the difficulty of attracting and retaining competent and experienced persons as directors. The Board has determined that it would be detrimental to the best interests of the Corporation’s shareholders if it were unable to attract and retain such persons as directors and that the Corporation should act to assure them that they will be provided with adequate protection.</w:t>
      </w:r>
    </w:p>
    <w:p>
      <w:pPr>
        <w:spacing w:after="0" w:line="196" w:lineRule="exact"/>
        <w:rPr>
          <w:rFonts w:ascii="Times New Roman" w:cs="Times New Roman" w:eastAsia="Times New Roman" w:hAnsi="Times New Roman"/>
          <w:sz w:val="21"/>
          <w:szCs w:val="21"/>
          <w:color w:val="auto"/>
        </w:rPr>
      </w:pPr>
    </w:p>
    <w:p>
      <w:pPr>
        <w:jc w:val="both"/>
        <w:ind w:firstLine="622"/>
        <w:spacing w:after="0" w:line="253" w:lineRule="auto"/>
        <w:tabs>
          <w:tab w:leader="none" w:pos="1233"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Board has further concluded that, to retain and attract such persons as directors and to encourage them to take business risks necessary for the success of the Corporation, and in light of potential limitations of director liability insurance, it is reasonable, prudent, and necessary for the Corporation to obligate itself contractually to indemnify, hold harmless, and advance expenses on behalf of such persons to the fullest extent permitted by applicable law, so that they will serve or continue to serve the Corporation free from undue concern that they will not be so indemnified.</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Agreement</w:t>
      </w:r>
    </w:p>
    <w:p>
      <w:pPr>
        <w:spacing w:after="0" w:line="232" w:lineRule="exact"/>
        <w:rPr>
          <w:sz w:val="20"/>
          <w:szCs w:val="20"/>
          <w:color w:val="auto"/>
        </w:rPr>
      </w:pPr>
    </w:p>
    <w:p>
      <w:pPr>
        <w:ind w:firstLine="619"/>
        <w:spacing w:after="0" w:line="273" w:lineRule="auto"/>
        <w:rPr>
          <w:sz w:val="20"/>
          <w:szCs w:val="20"/>
          <w:color w:val="auto"/>
        </w:rPr>
      </w:pPr>
      <w:r>
        <w:rPr>
          <w:rFonts w:ascii="Times New Roman" w:cs="Times New Roman" w:eastAsia="Times New Roman" w:hAnsi="Times New Roman"/>
          <w:sz w:val="21"/>
          <w:szCs w:val="21"/>
          <w:color w:val="auto"/>
        </w:rPr>
        <w:t>Therefore</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in order to induce Indemnitee to serve or continue to serve the Corporation as a director, and in consideration of the mutual covenants set forth in this Agreement, the parties agree as follows:</w:t>
      </w:r>
    </w:p>
    <w:p>
      <w:pPr>
        <w:spacing w:after="0" w:line="173" w:lineRule="exact"/>
        <w:rPr>
          <w:sz w:val="20"/>
          <w:szCs w:val="20"/>
          <w:color w:val="auto"/>
        </w:rPr>
      </w:pPr>
    </w:p>
    <w:p>
      <w:pPr>
        <w:ind w:left="980" w:hanging="358"/>
        <w:spacing w:after="0"/>
        <w:tabs>
          <w:tab w:leader="none" w:pos="980"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Definitions</w:t>
      </w:r>
      <w:r>
        <w:rPr>
          <w:rFonts w:ascii="Times New Roman" w:cs="Times New Roman" w:eastAsia="Times New Roman" w:hAnsi="Times New Roman"/>
          <w:sz w:val="21"/>
          <w:szCs w:val="21"/>
          <w:color w:val="auto"/>
        </w:rPr>
        <w:t>. Certain terms used in this Agreement are defined as follows:</w:t>
      </w:r>
    </w:p>
    <w:p>
      <w:pPr>
        <w:spacing w:after="0" w:line="248" w:lineRule="exact"/>
        <w:rPr>
          <w:rFonts w:ascii="Times New Roman" w:cs="Times New Roman" w:eastAsia="Times New Roman" w:hAnsi="Times New Roman"/>
          <w:sz w:val="21"/>
          <w:szCs w:val="21"/>
          <w:color w:val="auto"/>
        </w:rPr>
      </w:pPr>
    </w:p>
    <w:p>
      <w:pPr>
        <w:jc w:val="both"/>
        <w:ind w:firstLine="1241"/>
        <w:spacing w:after="0" w:line="249" w:lineRule="auto"/>
        <w:tabs>
          <w:tab w:leader="none" w:pos="1853"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Claim</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Claim</w:t>
      </w:r>
      <w:r>
        <w:rPr>
          <w:rFonts w:ascii="Times New Roman" w:cs="Times New Roman" w:eastAsia="Times New Roman" w:hAnsi="Times New Roman"/>
          <w:sz w:val="21"/>
          <w:szCs w:val="21"/>
          <w:color w:val="auto"/>
        </w:rPr>
        <w:t>” includes any threatened, pending, or completed action, suit, derivative action, arbitration,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counterclaim, cross-claim, or proceeding, or any inquiry or investigation, whether civil, criminal, administrative, or investigative and whether formal or informal, related to or arising from: (i) any actual or alleged act or omission of Indemnitee as a director of the Corporation or another corporation or enterprise where Indemnitee is or was serving at the request of the Corporation; or (ii) the fact that Indemnitee is or was a director of the Corporation or is or was serving at the request of the Corporation as a director of another corporation or enterprise; or (iii) the fact that Indemnitee serves or served in any capacity with respect to any employee compensation or benefit plan of the Corporation or any Subsidiary or any actual or alleged acts or omissions in such capacity. For purposes of this Agreement, Indemnitee’s service as a director, officer, employee, trustee, or agent of any Subsidiary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5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1"/>
          <w:szCs w:val="21"/>
          <w:color w:val="auto"/>
        </w:rPr>
        <w:t>deemed to be service at the request of the Corporation. For the avoidance of doubt, a Claim includes any such proceeding, whether instituted by or on behalf of the Corporation or any other party.</w:t>
      </w:r>
    </w:p>
    <w:p>
      <w:pPr>
        <w:spacing w:after="0" w:line="190" w:lineRule="exact"/>
        <w:rPr>
          <w:sz w:val="20"/>
          <w:szCs w:val="20"/>
          <w:color w:val="auto"/>
        </w:rPr>
      </w:pPr>
    </w:p>
    <w:p>
      <w:pPr>
        <w:jc w:val="both"/>
        <w:ind w:firstLine="1241"/>
        <w:spacing w:after="0" w:line="249" w:lineRule="auto"/>
        <w:tabs>
          <w:tab w:leader="none" w:pos="1852"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Expenses.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Expenses</w:t>
      </w:r>
      <w:r>
        <w:rPr>
          <w:rFonts w:ascii="Times New Roman" w:cs="Times New Roman" w:eastAsia="Times New Roman" w:hAnsi="Times New Roman"/>
          <w:sz w:val="21"/>
          <w:szCs w:val="21"/>
          <w:color w:val="auto"/>
        </w:rPr>
        <w:t>” include attorneys’ fees and all other costs, expenses, and obligations actually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reasonably paid or incurred in connection with investigating, defending, participating, or being a witness in, or preparing to defend, participate, or be a witness in, any Claim or appeal therefrom, including court costs, transcript costs, fees of experts and consultants, travel expenses, duplicating costs, printing and binding costs, telephone charges, postage, delivery service fees, and any federal, state, local, or foreign taxes imposed on Indemnitee as a result of the actual or deemed receipt of any payments under this Agreement. Expenses also shall include costs and expenses incurred in connection with any appeal resulting from any Claim, including the premium, security for, and other costs relating to any bond or its equivalent, and costs and expenses incurred by Indemnitee in connection with the interpretation, enforcement, or defense of Indemnitee’s rights under this Agreement by litigation or otherwise.</w:t>
      </w:r>
    </w:p>
    <w:p>
      <w:pPr>
        <w:spacing w:after="0" w:line="200"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Change in Control. </w:t>
      </w:r>
      <w:r>
        <w:rPr>
          <w:rFonts w:ascii="Times New Roman" w:cs="Times New Roman" w:eastAsia="Times New Roman" w:hAnsi="Times New Roman"/>
          <w:sz w:val="21"/>
          <w:szCs w:val="21"/>
          <w:color w:val="auto"/>
        </w:rPr>
        <w:t>A “</w:t>
      </w: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shall be deemed to have occurred if:</w:t>
      </w:r>
    </w:p>
    <w:p>
      <w:pPr>
        <w:spacing w:after="0" w:line="239" w:lineRule="exact"/>
        <w:rPr>
          <w:rFonts w:ascii="Times New Roman" w:cs="Times New Roman" w:eastAsia="Times New Roman" w:hAnsi="Times New Roman"/>
          <w:sz w:val="21"/>
          <w:szCs w:val="21"/>
          <w:color w:val="auto"/>
        </w:rPr>
      </w:pPr>
    </w:p>
    <w:p>
      <w:pPr>
        <w:jc w:val="both"/>
        <w:ind w:left="620" w:firstLine="1240"/>
        <w:spacing w:after="0" w:line="251" w:lineRule="auto"/>
        <w:tabs>
          <w:tab w:leader="none" w:pos="2465"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“person” (as such term is used in Sections 13(d) and 14(d) of the Securities Exchange Act of 1934, as amended (the “</w:t>
      </w:r>
      <w:r>
        <w:rPr>
          <w:rFonts w:ascii="Times New Roman" w:cs="Times New Roman" w:eastAsia="Times New Roman" w:hAnsi="Times New Roman"/>
          <w:sz w:val="21"/>
          <w:szCs w:val="21"/>
          <w:u w:val="single" w:color="auto"/>
          <w:color w:val="auto"/>
        </w:rPr>
        <w:t>1934 Act</w:t>
      </w:r>
      <w:r>
        <w:rPr>
          <w:rFonts w:ascii="Times New Roman" w:cs="Times New Roman" w:eastAsia="Times New Roman" w:hAnsi="Times New Roman"/>
          <w:sz w:val="21"/>
          <w:szCs w:val="21"/>
          <w:color w:val="auto"/>
        </w:rPr>
        <w:t>”)), other than a trustee or other fiduciary holding securities under any employee benefit plan of the Corporation or a corporation owned directly or indirectly by the shareholders of the Corporation in substantially the same proportions as their ownership of stock in the Corporation, after the date of this Agreement, becomes the “beneficial owner” (as defined in Rule 13d-3 under the 1934 Act), directly or indirectly, of shares having twenty percent (20%) or more of the total voting power of the securities of the Corporation issued and outstanding; or</w:t>
      </w:r>
    </w:p>
    <w:p>
      <w:pPr>
        <w:spacing w:after="0" w:line="199" w:lineRule="exact"/>
        <w:rPr>
          <w:rFonts w:ascii="Times New Roman" w:cs="Times New Roman" w:eastAsia="Times New Roman" w:hAnsi="Times New Roman"/>
          <w:sz w:val="21"/>
          <w:szCs w:val="21"/>
          <w:color w:val="auto"/>
        </w:rPr>
      </w:pPr>
    </w:p>
    <w:p>
      <w:pPr>
        <w:jc w:val="both"/>
        <w:ind w:left="620" w:firstLine="1240"/>
        <w:spacing w:after="0" w:line="253" w:lineRule="auto"/>
        <w:tabs>
          <w:tab w:leader="none" w:pos="2471"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shareholders of the Corporation approve a merger or consolidation of the Corporation with any other corporation (other than a merger or consolidation which would result in the then outstanding common stock of the Corporation continuing to represent at least eighty percent (80%) of the total voting power of the surviving entity), or the shareholders of the Corporation approve a plan of complete liquidation of the Corporation or an agreement for the sale or disposition of all or substantially all of the Corporation’s assets; or</w:t>
      </w:r>
    </w:p>
    <w:p>
      <w:pPr>
        <w:spacing w:after="0" w:line="196" w:lineRule="exact"/>
        <w:rPr>
          <w:rFonts w:ascii="Times New Roman" w:cs="Times New Roman" w:eastAsia="Times New Roman" w:hAnsi="Times New Roman"/>
          <w:sz w:val="21"/>
          <w:szCs w:val="21"/>
          <w:color w:val="auto"/>
        </w:rPr>
      </w:pPr>
    </w:p>
    <w:p>
      <w:pPr>
        <w:jc w:val="both"/>
        <w:ind w:left="620" w:firstLine="1240"/>
        <w:spacing w:after="0" w:line="262" w:lineRule="auto"/>
        <w:tabs>
          <w:tab w:leader="none" w:pos="2476"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individuals who, as of the date of this Agreement, constitute the members of the Board (the “</w:t>
      </w:r>
      <w:r>
        <w:rPr>
          <w:rFonts w:ascii="Times New Roman" w:cs="Times New Roman" w:eastAsia="Times New Roman" w:hAnsi="Times New Roman"/>
          <w:sz w:val="21"/>
          <w:szCs w:val="21"/>
          <w:u w:val="single" w:color="auto"/>
          <w:color w:val="auto"/>
        </w:rPr>
        <w:t>Incumbent Directors</w:t>
      </w:r>
      <w:r>
        <w:rPr>
          <w:rFonts w:ascii="Times New Roman" w:cs="Times New Roman" w:eastAsia="Times New Roman" w:hAnsi="Times New Roman"/>
          <w:sz w:val="21"/>
          <w:szCs w:val="21"/>
          <w:color w:val="auto"/>
        </w:rPr>
        <w:t>”) and any individual who thereafter becomes a director of the Corporation and whose election, or nomination for election by the Corporation’s shareholders, was approved by a vote of at least a majority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Incumbent Directors then in office cease for any reason to constitute at least a majority of the members of the Board.</w:t>
      </w:r>
    </w:p>
    <w:p>
      <w:pPr>
        <w:spacing w:after="0" w:line="232" w:lineRule="exact"/>
        <w:rPr>
          <w:sz w:val="20"/>
          <w:szCs w:val="20"/>
          <w:color w:val="auto"/>
        </w:rPr>
      </w:pPr>
    </w:p>
    <w:p>
      <w:pPr>
        <w:jc w:val="both"/>
        <w:ind w:firstLine="1241"/>
        <w:spacing w:after="0" w:line="264" w:lineRule="auto"/>
        <w:tabs>
          <w:tab w:leader="none" w:pos="1852" w:val="left"/>
        </w:tabs>
        <w:numPr>
          <w:ilvl w:val="1"/>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Subsidiary</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Subsidiary</w:t>
      </w:r>
      <w:r>
        <w:rPr>
          <w:rFonts w:ascii="Times New Roman" w:cs="Times New Roman" w:eastAsia="Times New Roman" w:hAnsi="Times New Roman"/>
          <w:sz w:val="21"/>
          <w:szCs w:val="21"/>
          <w:color w:val="auto"/>
        </w:rPr>
        <w:t>” means any corporation or other entity of which the Corporation owns, directly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indirectly, securities representing more than fifty percent (50%) of the voting power for the election of directors or other managing authority, or which is otherwise controlled, directly or indirectly, by the Corporation.</w:t>
      </w:r>
    </w:p>
    <w:p>
      <w:pPr>
        <w:spacing w:after="0" w:line="182" w:lineRule="exact"/>
        <w:rPr>
          <w:rFonts w:ascii="Times New Roman" w:cs="Times New Roman" w:eastAsia="Times New Roman" w:hAnsi="Times New Roman"/>
          <w:sz w:val="21"/>
          <w:szCs w:val="21"/>
          <w:color w:val="auto"/>
        </w:rPr>
      </w:pPr>
    </w:p>
    <w:p>
      <w:pPr>
        <w:jc w:val="both"/>
        <w:ind w:firstLine="622"/>
        <w:spacing w:after="0" w:line="258" w:lineRule="auto"/>
        <w:tabs>
          <w:tab w:leader="none" w:pos="1018"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Agreement to Serve</w:t>
      </w:r>
      <w:r>
        <w:rPr>
          <w:rFonts w:ascii="Times New Roman" w:cs="Times New Roman" w:eastAsia="Times New Roman" w:hAnsi="Times New Roman"/>
          <w:sz w:val="21"/>
          <w:szCs w:val="21"/>
          <w:color w:val="auto"/>
        </w:rPr>
        <w:t>. Indemnitee agrees to serve or continue to serve as a director of the Corporation to the best of his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her ability so long as he or she is duly elected and qualified in accordance with the Articles of Incorporation and Bylaws of the Corporation, or until his or her earlier resignation or removal.</w:t>
      </w:r>
    </w:p>
    <w:p>
      <w:pPr>
        <w:spacing w:after="0" w:line="201" w:lineRule="exact"/>
        <w:rPr>
          <w:rFonts w:ascii="Times New Roman" w:cs="Times New Roman" w:eastAsia="Times New Roman" w:hAnsi="Times New Roman"/>
          <w:sz w:val="21"/>
          <w:szCs w:val="21"/>
          <w:color w:val="auto"/>
        </w:rPr>
      </w:pPr>
    </w:p>
    <w:p>
      <w:pPr>
        <w:ind w:left="980" w:hanging="358"/>
        <w:spacing w:after="0"/>
        <w:tabs>
          <w:tab w:leader="none" w:pos="98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Condition Precedent to Indemnification; Defense of Claims</w:t>
      </w:r>
      <w:r>
        <w:rPr>
          <w:rFonts w:ascii="Times New Roman" w:cs="Times New Roman" w:eastAsia="Times New Roman" w:hAnsi="Times New Roman"/>
          <w:sz w:val="21"/>
          <w:szCs w:val="21"/>
          <w:color w:val="auto"/>
        </w:rPr>
        <w:t>.</w:t>
      </w:r>
    </w:p>
    <w:p>
      <w:pPr>
        <w:spacing w:after="0" w:line="235" w:lineRule="exact"/>
        <w:rPr>
          <w:rFonts w:ascii="Times New Roman" w:cs="Times New Roman" w:eastAsia="Times New Roman" w:hAnsi="Times New Roman"/>
          <w:sz w:val="21"/>
          <w:szCs w:val="21"/>
          <w:color w:val="auto"/>
        </w:rPr>
      </w:pPr>
    </w:p>
    <w:p>
      <w:pPr>
        <w:jc w:val="both"/>
        <w:ind w:firstLine="1241"/>
        <w:spacing w:after="0" w:line="252" w:lineRule="auto"/>
        <w:tabs>
          <w:tab w:leader="none" w:pos="1853"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Notice. </w:t>
      </w:r>
      <w:r>
        <w:rPr>
          <w:rFonts w:ascii="Times New Roman" w:cs="Times New Roman" w:eastAsia="Times New Roman" w:hAnsi="Times New Roman"/>
          <w:sz w:val="21"/>
          <w:szCs w:val="21"/>
          <w:color w:val="auto"/>
        </w:rPr>
        <w:t>Indemnitee, as a condition precedent to indemnification under this Agreement, shall tender written notice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to the Corporation as soon as practicable of any Claim made against him or her for which indemnification will or likely will be sought under the terms of this Agreement. In addition, Indemnitee shall give the Corporation such information and cooperation as may be reasonably necessary and requested by the Corporation. The failure by Indemnitee to timely provide such notice to the Corporation shall not relieve the Corporation from any liability under this Agreement unless the Corporation was materially and adversely affected by such failure.</w:t>
      </w:r>
    </w:p>
    <w:p>
      <w:pPr>
        <w:spacing w:after="0" w:line="193" w:lineRule="exact"/>
        <w:rPr>
          <w:rFonts w:ascii="Times New Roman" w:cs="Times New Roman" w:eastAsia="Times New Roman" w:hAnsi="Times New Roman"/>
          <w:sz w:val="21"/>
          <w:szCs w:val="21"/>
          <w:color w:val="auto"/>
        </w:rPr>
      </w:pPr>
    </w:p>
    <w:p>
      <w:pPr>
        <w:jc w:val="both"/>
        <w:ind w:firstLine="1241"/>
        <w:spacing w:after="0" w:line="248" w:lineRule="auto"/>
        <w:tabs>
          <w:tab w:leader="none" w:pos="1852"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Defense. </w:t>
      </w:r>
      <w:r>
        <w:rPr>
          <w:rFonts w:ascii="Times New Roman" w:cs="Times New Roman" w:eastAsia="Times New Roman" w:hAnsi="Times New Roman"/>
          <w:sz w:val="21"/>
          <w:szCs w:val="21"/>
          <w:color w:val="auto"/>
        </w:rPr>
        <w:t>The provisions of this Section 3(b) shall apply with respect to the defense of any Claim.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Corporation shall have the right, upon written notice to Indemnitee, to assume the defense of any Claim with counsel selected by the Corporation and reasonably satisfactory to Indemnitee. Notwithstanding the foregoing, Indemnitee shall have the right to employ separate counsel, and the Corporation shall advance and indemnify the Expenses of such counsel, if (i) the Corporation has not assumed the defense within a reasonable period after notice of the Claim, (ii) Indemnitee reasonably concludes that there is an actual or potential conflict of interest between the Corporation and Indemnitee with respect to such Claim, or (iii) the Claim includes both the Corporation and Indemnitee and Indemnitee reasonably concludes that joint representation would be inappropriate. The Corporation shall not be liable for the Expenses of more than one separate firm of attorneys for Indemnitee in connection with any single Claim, except to the extent the Corporation has consented in writing to the employment of additional counsel.</w:t>
      </w:r>
    </w:p>
    <w:p>
      <w:pPr>
        <w:spacing w:after="0" w:line="216" w:lineRule="exact"/>
        <w:rPr>
          <w:rFonts w:ascii="Times New Roman" w:cs="Times New Roman" w:eastAsia="Times New Roman" w:hAnsi="Times New Roman"/>
          <w:sz w:val="21"/>
          <w:szCs w:val="21"/>
          <w:color w:val="auto"/>
        </w:rPr>
      </w:pPr>
    </w:p>
    <w:p>
      <w:pPr>
        <w:ind w:firstLine="622"/>
        <w:spacing w:after="0" w:line="273" w:lineRule="auto"/>
        <w:tabs>
          <w:tab w:leader="none" w:pos="1018"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Indemnification in General</w:t>
      </w:r>
      <w:r>
        <w:rPr>
          <w:rFonts w:ascii="Times New Roman" w:cs="Times New Roman" w:eastAsia="Times New Roman" w:hAnsi="Times New Roman"/>
          <w:sz w:val="21"/>
          <w:szCs w:val="21"/>
          <w:color w:val="auto"/>
        </w:rPr>
        <w:t>. Except as provided in Section 5 and subject to the terms and conditions of this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Corporation agrees to indemnify Indemnitee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53" w:lineRule="exact"/>
        <w:rPr>
          <w:sz w:val="20"/>
          <w:szCs w:val="20"/>
          <w:color w:val="auto"/>
        </w:rPr>
      </w:pPr>
    </w:p>
    <w:p>
      <w:pPr>
        <w:jc w:val="both"/>
        <w:ind w:firstLine="1241"/>
        <w:spacing w:after="0" w:line="257" w:lineRule="auto"/>
        <w:tabs>
          <w:tab w:leader="none" w:pos="1853" w:val="left"/>
        </w:tabs>
        <w:numPr>
          <w:ilvl w:val="1"/>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Duty to Indemnify. </w:t>
      </w:r>
      <w:r>
        <w:rPr>
          <w:rFonts w:ascii="Times New Roman" w:cs="Times New Roman" w:eastAsia="Times New Roman" w:hAnsi="Times New Roman"/>
          <w:sz w:val="21"/>
          <w:szCs w:val="21"/>
          <w:color w:val="auto"/>
        </w:rPr>
        <w:t>In the event Indemnitee was, is, or becomes a party to or witness or other participant in, or is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threatened to be made a party to or witness or other participant in, a Claim, the Corporation shall indemnify Indemnitee, to the fullest extent permitted by applicable law, against any and all Expenses, judgments, fines, penalties, and amounts paid in settlement of such Claim.</w:t>
      </w:r>
    </w:p>
    <w:p>
      <w:pPr>
        <w:spacing w:after="0" w:line="190" w:lineRule="exact"/>
        <w:rPr>
          <w:rFonts w:ascii="Times New Roman" w:cs="Times New Roman" w:eastAsia="Times New Roman" w:hAnsi="Times New Roman"/>
          <w:sz w:val="21"/>
          <w:szCs w:val="21"/>
          <w:color w:val="auto"/>
        </w:rPr>
      </w:pPr>
    </w:p>
    <w:p>
      <w:pPr>
        <w:jc w:val="both"/>
        <w:ind w:firstLine="1241"/>
        <w:spacing w:after="0" w:line="261" w:lineRule="auto"/>
        <w:tabs>
          <w:tab w:leader="none" w:pos="1852"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Determination as to Standard of Conduct. </w:t>
      </w:r>
      <w:r>
        <w:rPr>
          <w:rFonts w:ascii="Times New Roman" w:cs="Times New Roman" w:eastAsia="Times New Roman" w:hAnsi="Times New Roman"/>
          <w:sz w:val="20"/>
          <w:szCs w:val="20"/>
          <w:color w:val="auto"/>
        </w:rPr>
        <w:t>The Corporation shall indemnify Indemnitee as soon as practicable,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but in any event not later than thirty (30) days after written demand is presented to the Corporation, unless a determination is made by the Board by a majority vote of a quorum of disinterested directors that Indemnitee did not act in good faith or did not act in a manner which he or she believed to be in or not opposed to the best interests of the Corporation or its shareholders or, with respect to any criminal action or proceeding, that Indemnitee had reasonable cause to believe his or her conduct was unlawful. In the event a quorum of disinterested directors is not obtainable, the Board shall promptly direct that the determination of entitlement to indemnification be made by a majority vote of a committee of the Board of Directors, consisting of not less than two disinterested directors, or by independent legal counsel in a written opinion. In making any determination with respect to entitlement to indemnification hereunder, the person or persons making such determination shall, to the fullest extent not prohibited by law, presume that Indemnitee is entitled to indemnification under this Agreement if Indemnitee has submitted a request for indemnification, and the Corporation shall have the burden of proof to overcome that presumption in connection with any determination contrary to that presumption. If such determination is not made within thirty (30) days after written demand for indemnification is presented to the Corporation (such thirty (30) day period is to be extended for a reasonable time, not to exceed an additional thirty (30) days, if the person or persons making such determination in good faith require such additional time to obtain or evaluate information relating to their determination), Indemnitee shall (i) to the fullest extent permitted by applicable law, be deemed to have satisfied the applicable standard of conduct and shall be entitled to such indemnification, or (ii) if the result in clause (i) is contrary to applicable law, to seek de novo judicial or arbitral relief.</w:t>
      </w:r>
    </w:p>
    <w:p>
      <w:pPr>
        <w:spacing w:after="0" w:line="188" w:lineRule="exact"/>
        <w:rPr>
          <w:rFonts w:ascii="Times New Roman" w:cs="Times New Roman" w:eastAsia="Times New Roman" w:hAnsi="Times New Roman"/>
          <w:sz w:val="20"/>
          <w:szCs w:val="20"/>
          <w:color w:val="auto"/>
        </w:rPr>
      </w:pPr>
    </w:p>
    <w:p>
      <w:pPr>
        <w:jc w:val="both"/>
        <w:ind w:firstLine="1241"/>
        <w:spacing w:after="0" w:line="257" w:lineRule="auto"/>
        <w:tabs>
          <w:tab w:leader="none" w:pos="1853" w:val="left"/>
        </w:tabs>
        <w:numPr>
          <w:ilvl w:val="1"/>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Determination Following Change in Control</w:t>
      </w:r>
      <w:r>
        <w:rPr>
          <w:rFonts w:ascii="Times New Roman" w:cs="Times New Roman" w:eastAsia="Times New Roman" w:hAnsi="Times New Roman"/>
          <w:sz w:val="21"/>
          <w:szCs w:val="21"/>
          <w:color w:val="auto"/>
        </w:rPr>
        <w:t>. Notwithstanding Section 4(b) above, following a Change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Control, if any determination is required by applicable law as a condition to Indemnitee’s entitlement to indemnification under this Agreement, such determination shall be made in a written opinion by independent legal counsel that, to the fullest extent permitted by applicable law, is selected by Indemnitee.</w:t>
      </w:r>
    </w:p>
    <w:p>
      <w:pPr>
        <w:spacing w:after="0" w:line="190" w:lineRule="exact"/>
        <w:rPr>
          <w:rFonts w:ascii="Times New Roman" w:cs="Times New Roman" w:eastAsia="Times New Roman" w:hAnsi="Times New Roman"/>
          <w:sz w:val="21"/>
          <w:szCs w:val="21"/>
          <w:color w:val="auto"/>
        </w:rPr>
      </w:pPr>
    </w:p>
    <w:p>
      <w:pPr>
        <w:ind w:left="980" w:hanging="358"/>
        <w:spacing w:after="0"/>
        <w:tabs>
          <w:tab w:leader="none" w:pos="980"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Successful Defense; Liability to Corporation</w:t>
      </w:r>
      <w:r>
        <w:rPr>
          <w:rFonts w:ascii="Times New Roman" w:cs="Times New Roman" w:eastAsia="Times New Roman" w:hAnsi="Times New Roman"/>
          <w:sz w:val="21"/>
          <w:szCs w:val="21"/>
          <w:color w:val="auto"/>
        </w:rPr>
        <w:t>.</w:t>
      </w:r>
    </w:p>
    <w:p>
      <w:pPr>
        <w:spacing w:after="0" w:line="235" w:lineRule="exact"/>
        <w:rPr>
          <w:rFonts w:ascii="Times New Roman" w:cs="Times New Roman" w:eastAsia="Times New Roman" w:hAnsi="Times New Roman"/>
          <w:sz w:val="21"/>
          <w:szCs w:val="21"/>
          <w:color w:val="auto"/>
        </w:rPr>
      </w:pPr>
    </w:p>
    <w:p>
      <w:pPr>
        <w:jc w:val="both"/>
        <w:ind w:firstLine="1241"/>
        <w:spacing w:after="0" w:line="253" w:lineRule="auto"/>
        <w:tabs>
          <w:tab w:leader="none" w:pos="1853" w:val="left"/>
        </w:tabs>
        <w:numPr>
          <w:ilvl w:val="1"/>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Successful Defense. </w:t>
      </w:r>
      <w:r>
        <w:rPr>
          <w:rFonts w:ascii="Times New Roman" w:cs="Times New Roman" w:eastAsia="Times New Roman" w:hAnsi="Times New Roman"/>
          <w:sz w:val="21"/>
          <w:szCs w:val="21"/>
          <w:color w:val="auto"/>
        </w:rPr>
        <w:t>To the extent Indemnitee is successful on the merits or otherwise in defense of any Claim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any claim, issue, or matter therein, the Corporation shall indemnify Indemnitee against all Expenses actually and reasonably incurred by Indemnitee in connection therewith. This right of indemnification is mandatory and shall not require any determination pursuant to Section 4(b).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385" w:lineRule="exact"/>
        <w:rPr>
          <w:sz w:val="20"/>
          <w:szCs w:val="20"/>
          <w:color w:val="auto"/>
        </w:rPr>
      </w:pPr>
    </w:p>
    <w:p>
      <w:pPr>
        <w:jc w:val="both"/>
        <w:ind w:firstLine="1241"/>
        <w:spacing w:after="0" w:line="257" w:lineRule="auto"/>
        <w:tabs>
          <w:tab w:leader="none" w:pos="1852"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Determination of Liability to Corporation. </w:t>
      </w:r>
      <w:r>
        <w:rPr>
          <w:rFonts w:ascii="Times New Roman" w:cs="Times New Roman" w:eastAsia="Times New Roman" w:hAnsi="Times New Roman"/>
          <w:sz w:val="21"/>
          <w:szCs w:val="21"/>
          <w:color w:val="auto"/>
        </w:rPr>
        <w:t>Subject to Section 6, in the event Indemnitee is found liable to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Corporation as to any Claim brought by or in the right of the Corporation, the Corporation shall indemnify Indemnitee only to the extent that the court in which the Claim was brought, or another court of competent jurisdiction, determines that Indemnitee is fairly and reasonably entitled to indemnification in view of all relevant circumstances.</w:t>
      </w:r>
    </w:p>
    <w:p>
      <w:pPr>
        <w:spacing w:after="0" w:line="190" w:lineRule="exact"/>
        <w:rPr>
          <w:rFonts w:ascii="Times New Roman" w:cs="Times New Roman" w:eastAsia="Times New Roman" w:hAnsi="Times New Roman"/>
          <w:sz w:val="21"/>
          <w:szCs w:val="21"/>
          <w:color w:val="auto"/>
        </w:rPr>
      </w:pPr>
    </w:p>
    <w:p>
      <w:pPr>
        <w:jc w:val="both"/>
        <w:ind w:firstLine="622"/>
        <w:spacing w:after="0" w:line="248" w:lineRule="auto"/>
        <w:tabs>
          <w:tab w:leader="none" w:pos="1109"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Limitations on Indemnification</w:t>
      </w:r>
      <w:r>
        <w:rPr>
          <w:rFonts w:ascii="Times New Roman" w:cs="Times New Roman" w:eastAsia="Times New Roman" w:hAnsi="Times New Roman"/>
          <w:sz w:val="21"/>
          <w:szCs w:val="21"/>
          <w:color w:val="auto"/>
        </w:rPr>
        <w:t>. The Corporation shall not be liable under this Agreement to make any payment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connection with any Claim made against Indemnitee: (a) to the extent payment has actually been received by or on behalf of Indemnitee under a valid and collectible insurance policy, except for any excess beyond the amount of payment actually received under such insurance policy; (b) to the extent Indemnitee has actually received indemnification, advancement, reimbursement, or other payment from the Corporation otherwise than pursuant to this Agreement or from any other source for the same Expenses or other amounts; (c) for an accounting of profits made from the purchase or sale by Indemnitee of securities of the Corporation, within the meaning of Section 16(b) of the 1934 Act or similar provisions of any state law; (d) for any reimbursement of the Corporation by Indemnitee of any bonus or other incentive-based or equity-based compensation pursuant to any clawback policy adopted by the Corporation or any of its Subsidiaries to comply with the 1934 Act or other applicable law or exchange listing standards; or (e) for which payment of indemnification by the Corporation is otherwise prohibited by applicable law. Notwithstanding anything to the contrary in this Agreement, Indemnitee shall not be entitled to receive duplicative payment for the same Expenses or other amounts, and the total amount of Expenses advanced or indemnified from all sources combined shall not exceed the amount of actual Expenses incurred by Indemnitee. Except as provided in Section 8 and except for any counterclaim, cross-claim, third-party claim, or other defensive action asserted by Indemnitee in response to a Claim, the Corporation shall not be liable under this Agreement to make any payment in connection with any action initiated by Indemnitee against the Corporation or any director or officer of the Corporation, unless the Corporation has joined in or consented to the initiation of such action.</w:t>
      </w:r>
    </w:p>
    <w:p>
      <w:pPr>
        <w:spacing w:after="0" w:line="197" w:lineRule="exact"/>
        <w:rPr>
          <w:rFonts w:ascii="Times New Roman" w:cs="Times New Roman" w:eastAsia="Times New Roman" w:hAnsi="Times New Roman"/>
          <w:sz w:val="21"/>
          <w:szCs w:val="21"/>
          <w:color w:val="auto"/>
        </w:rPr>
      </w:pPr>
    </w:p>
    <w:p>
      <w:pPr>
        <w:ind w:left="980" w:hanging="358"/>
        <w:spacing w:after="0"/>
        <w:tabs>
          <w:tab w:leader="none" w:pos="980"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Advancement of Expenses; Reasonableness of Expenses</w:t>
      </w:r>
      <w:r>
        <w:rPr>
          <w:rFonts w:ascii="Times New Roman" w:cs="Times New Roman" w:eastAsia="Times New Roman" w:hAnsi="Times New Roman"/>
          <w:sz w:val="21"/>
          <w:szCs w:val="21"/>
          <w:color w:val="auto"/>
        </w:rPr>
        <w:t>.</w:t>
      </w:r>
    </w:p>
    <w:p>
      <w:pPr>
        <w:spacing w:after="0" w:line="248" w:lineRule="exact"/>
        <w:rPr>
          <w:rFonts w:ascii="Times New Roman" w:cs="Times New Roman" w:eastAsia="Times New Roman" w:hAnsi="Times New Roman"/>
          <w:sz w:val="21"/>
          <w:szCs w:val="21"/>
          <w:color w:val="auto"/>
        </w:rPr>
      </w:pPr>
    </w:p>
    <w:p>
      <w:pPr>
        <w:jc w:val="both"/>
        <w:ind w:firstLine="1241"/>
        <w:spacing w:after="0" w:line="250" w:lineRule="auto"/>
        <w:tabs>
          <w:tab w:leader="none" w:pos="1853"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Advancement. </w:t>
      </w:r>
      <w:r>
        <w:rPr>
          <w:rFonts w:ascii="Times New Roman" w:cs="Times New Roman" w:eastAsia="Times New Roman" w:hAnsi="Times New Roman"/>
          <w:sz w:val="21"/>
          <w:szCs w:val="21"/>
          <w:color w:val="auto"/>
        </w:rPr>
        <w:t>If requested by Indemnitee, the Corporation shall pay (within ten (10) days of such written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request) any and all Expenses incurred by Indemnitee in defending or investigating any Claim, in advance of the final disposition of a Claim, upon the receipt of (a) a written affirmation by Indemnitee of Indemnitee’s good-faith belief that Indemnitee has met the applicable standard of conduct set forth in this Agreement, and (b) a written undertaking by Indemnitee to repay any such amounts if it is ultimately determined that Indemnitee is not entitled to indemnification by the Corporation. Such undertaking shall be an unlimited obligation of the Indemnitee but shall be unsecured and interest-free and shall be accepted without reference to the financial ability of Indemnitee to make repayment.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53" w:lineRule="exact"/>
        <w:rPr>
          <w:sz w:val="20"/>
          <w:szCs w:val="20"/>
          <w:color w:val="auto"/>
        </w:rPr>
      </w:pPr>
    </w:p>
    <w:p>
      <w:pPr>
        <w:jc w:val="both"/>
        <w:ind w:firstLine="1241"/>
        <w:spacing w:after="0" w:line="248" w:lineRule="auto"/>
        <w:tabs>
          <w:tab w:leader="none" w:pos="1852"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Reasonableness Determination. </w:t>
      </w:r>
      <w:r>
        <w:rPr>
          <w:rFonts w:ascii="Times New Roman" w:cs="Times New Roman" w:eastAsia="Times New Roman" w:hAnsi="Times New Roman"/>
          <w:sz w:val="21"/>
          <w:szCs w:val="21"/>
          <w:color w:val="auto"/>
        </w:rPr>
        <w:t>For purposes of any provision of this Agreement requiring payment,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advancement, reimbursement, or indemnification of Expenses, Expenses submitted by Indemnitee shall be presumed to have been actually and reasonably incurred if supported by invoices, statements, or a certification of Indemnitee’s counsel that such Expenses were incurred in good faith in connection with a covered Claim or other covered matter and are reasonable in counsel’s good-faith judgment. The Corporation may not deny, delay, condition, or reduce payment or advancement based on reasonableness unless it objects in writing within ten (10) days after receipt of Indemnitee’s request and identifies the specific disputed amounts and basis for objection. Any undisputed portion shall be paid when due, and any disputed portion shall be resolved promptly, at the Corporation’s expense, by independent legal counsel applying the presumption in favor of Indemnitee. The Corporation shall not require disclosure of privileged, work-product, or defense-strategy information as a condition to payment or advancement, provided that Indemnitee shall be obligated to provide other information as reasonably requested by the Corporation.</w:t>
      </w:r>
    </w:p>
    <w:p>
      <w:pPr>
        <w:spacing w:after="0" w:line="5"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Savings Clause. </w:t>
      </w:r>
      <w:r>
        <w:rPr>
          <w:rFonts w:ascii="Times New Roman" w:cs="Times New Roman" w:eastAsia="Times New Roman" w:hAnsi="Times New Roman"/>
          <w:sz w:val="21"/>
          <w:szCs w:val="21"/>
          <w:color w:val="auto"/>
        </w:rPr>
        <w:t>Nothing in this Section requires payment of any amount finally determined to be prohibited by</w:t>
      </w:r>
    </w:p>
    <w:p>
      <w:pPr>
        <w:spacing w:after="0" w:line="3"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applicable law.</w:t>
      </w:r>
    </w:p>
    <w:p>
      <w:pPr>
        <w:spacing w:after="0" w:line="209" w:lineRule="exact"/>
        <w:rPr>
          <w:rFonts w:ascii="Times New Roman" w:cs="Times New Roman" w:eastAsia="Times New Roman" w:hAnsi="Times New Roman"/>
          <w:sz w:val="21"/>
          <w:szCs w:val="21"/>
          <w:color w:val="auto"/>
        </w:rPr>
      </w:pPr>
    </w:p>
    <w:p>
      <w:pPr>
        <w:jc w:val="both"/>
        <w:ind w:firstLine="622"/>
        <w:spacing w:after="0" w:line="248" w:lineRule="auto"/>
        <w:tabs>
          <w:tab w:leader="none" w:pos="1225"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Indemnification for Additional Expenses</w:t>
      </w:r>
      <w:r>
        <w:rPr>
          <w:rFonts w:ascii="Times New Roman" w:cs="Times New Roman" w:eastAsia="Times New Roman" w:hAnsi="Times New Roman"/>
          <w:sz w:val="21"/>
          <w:szCs w:val="21"/>
          <w:color w:val="auto"/>
        </w:rPr>
        <w:t>. The Corporation shall, to the fullest extent permitted by applicable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law, indemnify Indemnitee against Expenses reasonably incurred by Indemnitee in any action, whether brought by Indemnitee, the Corporation, an insurer, or any other person and whether by litigation, arbitration, or otherwise, to (a) enforce or defend Indemnitee’s rights to indemnification, advancement of Expenses, contribution, reimbursement, or any other payment or protection from the Corporation under this Agreement, the Corporation’s Articles of Incorporation, Bylaws, or applicable law; or (b) recover under any insurance policy maintained by the Corporation or any of its Subsidiaries; provided that Indemnitee shall be entitled to indemnification under this Section only to the extent Indemnitee is successful in whole or in part in such action or such Expenses are otherwise required to be indemnified under applicable law. Upon receipt of any undertaking required by applicable law, the Corporation shall advance Expenses reasonably incurred in connection with any action described in this Section within ten (10) days after written request; provided that Indemnitee shall reimburse the Corporation for any Expenses advanced or paid under this Section to the extent that a final, non-appealable adjudication determines that Indemnitee is not entitled to indemnification for such Expenses under this Section or applicable law. If Indemnitee is successful with respect to only a portion of any action described in this Section, the Corporation shall indemnify and advance only the portion of Expenses that is reasonably allocable to the successful or otherwise indemnifiable portion of such action, to the fullest extent permitted by applicable law.</w:t>
      </w:r>
    </w:p>
    <w:p>
      <w:pPr>
        <w:spacing w:after="0" w:line="206" w:lineRule="exact"/>
        <w:rPr>
          <w:rFonts w:ascii="Times New Roman" w:cs="Times New Roman" w:eastAsia="Times New Roman" w:hAnsi="Times New Roman"/>
          <w:sz w:val="21"/>
          <w:szCs w:val="21"/>
          <w:color w:val="auto"/>
        </w:rPr>
      </w:pPr>
    </w:p>
    <w:p>
      <w:pPr>
        <w:jc w:val="both"/>
        <w:ind w:firstLine="622"/>
        <w:spacing w:after="0" w:line="258" w:lineRule="auto"/>
        <w:tabs>
          <w:tab w:leader="none" w:pos="1057"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Enforcement by Indemnitee</w:t>
      </w:r>
      <w:r>
        <w:rPr>
          <w:rFonts w:ascii="Times New Roman" w:cs="Times New Roman" w:eastAsia="Times New Roman" w:hAnsi="Times New Roman"/>
          <w:sz w:val="21"/>
          <w:szCs w:val="21"/>
          <w:color w:val="auto"/>
        </w:rPr>
        <w:t>. In the event of any dispute between Indemnitee and the Corporation as to entitlement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indemnification or advancement of Expenses pursuant to this Agreement, Indemnitee shall be entitled to bring an action in any court of competent jurisdiction, including the circuit courts of the State of Michigan, to enforce his or her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5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0"/>
          <w:szCs w:val="20"/>
          <w:color w:val="auto"/>
        </w:rPr>
        <w:t>under this Agreement. Alternatively, at Indemnitee’s option, Indemnitee may seek an award in arbitration to be conducted by a single arbitrator pursuant to the Commercial Arbitration Rules of the American Arbitration Association. Any judicial proceeding or arbitration to enforce this Agreement shall be conducted as a de novo proceeding in which the Corporation shall bear the burden of proving that Indemnitee is not entitled to indemnification or advancement of Expenses. Neither the failure of the Corporation to have made a determination prior to the commencement of any action that indemnification is proper in the circumstances because Indemnitee has met the applicable standard of conduct, nor an actual determination by the Corporation that Indemnitee has not met such applicable standard of conduct, shall be a defense to the action or create a presumption that Indemnitee has not met the applicable standard of conduct. The Corporation shall be precluded from asserting in any such proceeding that the procedures and presumptions of this Agreement are not valid, binding, and enforceable, except to the extent required to preserve a nonwaivable statutory defense or avoid a payment prohibited by applicable law. The Corporation shall not oppose Indemnitee’s right to seek any such adjudication or award in arbitration.</w:t>
      </w:r>
    </w:p>
    <w:p>
      <w:pPr>
        <w:spacing w:after="0" w:line="193" w:lineRule="exact"/>
        <w:rPr>
          <w:sz w:val="20"/>
          <w:szCs w:val="20"/>
          <w:color w:val="auto"/>
        </w:rPr>
      </w:pPr>
    </w:p>
    <w:p>
      <w:pPr>
        <w:jc w:val="both"/>
        <w:ind w:firstLine="622"/>
        <w:spacing w:after="0" w:line="257" w:lineRule="auto"/>
        <w:tabs>
          <w:tab w:leader="none" w:pos="1083" w:val="left"/>
        </w:tabs>
        <w:numPr>
          <w:ilvl w:val="1"/>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Partial Indemnification</w:t>
      </w:r>
      <w:r>
        <w:rPr>
          <w:rFonts w:ascii="Times New Roman" w:cs="Times New Roman" w:eastAsia="Times New Roman" w:hAnsi="Times New Roman"/>
          <w:sz w:val="21"/>
          <w:szCs w:val="21"/>
          <w:color w:val="auto"/>
        </w:rPr>
        <w:t>. In the event Indemnitee is entitled to indemnification pursuant to this Agreement for a portion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Expenses, judgments, fines, penalties, and/or amounts paid in settlement actually and reasonably incurred by him or her in the investigation, defense, appeal, or settlement of any Claim but not, however, for the total amount thereof, the Corporation shall indemnify Indemnitee for the portion thereof to which Indemnitee is entitled.</w:t>
      </w:r>
    </w:p>
    <w:p>
      <w:pPr>
        <w:spacing w:after="0" w:line="190" w:lineRule="exact"/>
        <w:rPr>
          <w:rFonts w:ascii="Times New Roman" w:cs="Times New Roman" w:eastAsia="Times New Roman" w:hAnsi="Times New Roman"/>
          <w:sz w:val="21"/>
          <w:szCs w:val="21"/>
          <w:color w:val="auto"/>
        </w:rPr>
      </w:pPr>
    </w:p>
    <w:p>
      <w:pPr>
        <w:jc w:val="both"/>
        <w:ind w:firstLine="622"/>
        <w:spacing w:after="0" w:line="262" w:lineRule="auto"/>
        <w:tabs>
          <w:tab w:leader="none" w:pos="1088"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Consent for Settlements</w:t>
      </w:r>
      <w:r>
        <w:rPr>
          <w:rFonts w:ascii="Times New Roman" w:cs="Times New Roman" w:eastAsia="Times New Roman" w:hAnsi="Times New Roman"/>
          <w:sz w:val="20"/>
          <w:szCs w:val="20"/>
          <w:color w:val="auto"/>
        </w:rPr>
        <w:t>. No amounts to be paid in settlement of any Claim for which indemnity may be sought pursuant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this Agreement shall be incurred without the Corporation’s written consent, which consent shall not be unreasonably withheld or delayed. Indemnitee’s prior written consent (which shall not be unreasonably withheld or delayed) shall be required for any settlement that (a) imposes any non-monetary obligation on Indemnitee, (b) includes any admission of liability or wrongdoing by Indemnitee, or</w:t>
      </w:r>
    </w:p>
    <w:p>
      <w:pPr>
        <w:spacing w:after="0" w:line="2" w:lineRule="exact"/>
        <w:rPr>
          <w:rFonts w:ascii="Times New Roman" w:cs="Times New Roman" w:eastAsia="Times New Roman" w:hAnsi="Times New Roman"/>
          <w:sz w:val="20"/>
          <w:szCs w:val="20"/>
          <w:color w:val="auto"/>
        </w:rPr>
      </w:pPr>
    </w:p>
    <w:p>
      <w:pPr>
        <w:ind w:left="280" w:hanging="277"/>
        <w:spacing w:after="0"/>
        <w:tabs>
          <w:tab w:leader="none" w:pos="280"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does not include an unconditional release of Indemnitee from all liability with respect to such Claim.</w:t>
      </w:r>
    </w:p>
    <w:p>
      <w:pPr>
        <w:spacing w:after="0" w:line="221" w:lineRule="exact"/>
        <w:rPr>
          <w:rFonts w:ascii="Times New Roman" w:cs="Times New Roman" w:eastAsia="Times New Roman" w:hAnsi="Times New Roman"/>
          <w:sz w:val="21"/>
          <w:szCs w:val="21"/>
          <w:color w:val="auto"/>
        </w:rPr>
      </w:pPr>
    </w:p>
    <w:p>
      <w:pPr>
        <w:jc w:val="both"/>
        <w:ind w:firstLine="622"/>
        <w:spacing w:after="0" w:line="252" w:lineRule="auto"/>
        <w:tabs>
          <w:tab w:leader="none" w:pos="1147"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Subrogation. </w:t>
      </w:r>
      <w:r>
        <w:rPr>
          <w:rFonts w:ascii="Times New Roman" w:cs="Times New Roman" w:eastAsia="Times New Roman" w:hAnsi="Times New Roman"/>
          <w:sz w:val="21"/>
          <w:szCs w:val="21"/>
          <w:color w:val="auto"/>
        </w:rPr>
        <w:t>In the event of payment under this Agreement, the Corporation shall be subrogated to the extent of such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payment to all of the rights of recovery of Indemnitee against any insurer, indemnitor, or other person or entity with respect to the amounts paid by the Corporation. Indemnitee shall execute all documents reasonably required and shall do everything that may be reasonably necessary to secure such rights, including the execution of such documents necessary to enable the Corporation effectively to bring suit or enforce such rights; provided, however, that the Corporation shall not exercise any right of subrogation or reimbursement in a manner that delays any payment or advancement otherwise due to Indemnitee under this Agreement.</w:t>
      </w:r>
    </w:p>
    <w:p>
      <w:pPr>
        <w:spacing w:after="0" w:line="193" w:lineRule="exact"/>
        <w:rPr>
          <w:rFonts w:ascii="Times New Roman" w:cs="Times New Roman" w:eastAsia="Times New Roman" w:hAnsi="Times New Roman"/>
          <w:sz w:val="21"/>
          <w:szCs w:val="21"/>
          <w:color w:val="auto"/>
        </w:rPr>
      </w:pPr>
    </w:p>
    <w:p>
      <w:pPr>
        <w:jc w:val="both"/>
        <w:ind w:firstLine="622"/>
        <w:spacing w:after="0" w:line="258" w:lineRule="auto"/>
        <w:tabs>
          <w:tab w:leader="none" w:pos="1122"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No Presumption</w:t>
      </w:r>
      <w:r>
        <w:rPr>
          <w:rFonts w:ascii="Times New Roman" w:cs="Times New Roman" w:eastAsia="Times New Roman" w:hAnsi="Times New Roman"/>
          <w:sz w:val="21"/>
          <w:szCs w:val="21"/>
          <w:color w:val="auto"/>
        </w:rPr>
        <w:t>. For purposes of this Agreement, the termination of any action, suit, or proceeding by judgment, order,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settlement (whether with or without court approval) or conviction, or upon a plea of nolo contendere, or its equivalent, shall not create a presumption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5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1"/>
          <w:szCs w:val="21"/>
          <w:color w:val="auto"/>
        </w:rPr>
        <w:t>that Indemnitee did not meet any particular standard of conduct or have any particular belief or that a court has determined that indemnification is not permitted by applicable law.</w:t>
      </w:r>
    </w:p>
    <w:p>
      <w:pPr>
        <w:spacing w:after="0" w:line="190" w:lineRule="exact"/>
        <w:rPr>
          <w:sz w:val="20"/>
          <w:szCs w:val="20"/>
          <w:color w:val="auto"/>
        </w:rPr>
      </w:pPr>
    </w:p>
    <w:p>
      <w:pPr>
        <w:jc w:val="both"/>
        <w:ind w:firstLine="622"/>
        <w:spacing w:after="0" w:line="248" w:lineRule="auto"/>
        <w:tabs>
          <w:tab w:leader="none" w:pos="1147"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Reliance Safe Harbor; No Imputation</w:t>
      </w:r>
      <w:r>
        <w:rPr>
          <w:rFonts w:ascii="Times New Roman" w:cs="Times New Roman" w:eastAsia="Times New Roman" w:hAnsi="Times New Roman"/>
          <w:sz w:val="21"/>
          <w:szCs w:val="21"/>
          <w:color w:val="auto"/>
        </w:rPr>
        <w:t>. For purposes of this Agreement, Indemnitee shall be deemed to have acted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good faith and in a manner he or she reasonably believed to be in or not opposed to the best interests of the Corporation if Indemnitee’s actions or omissions are taken in good faith reliance upon the records of the Corporation, including its financial statements, or upon information, opinions, reports, or statements furnished to Indemnitee by the officers or employees of the Corporation or any of its Subsidiaries in the course of their duties, or by any one or more committees of the Board, or by any other person (including legal counsel, accountants, and financial advisors) as to matters Indemnitee reasonably believes are within such other person’s professional or expert competence and who has been selected with reasonable care by or on behalf of the Corporation. The knowledge and/or actions, or failure to act, of any director, officer, agent, or employee of the Corporation shall not be imputed to Indemnitee for purposes of determining the right to indemnification under this Agreement.</w:t>
      </w:r>
    </w:p>
    <w:p>
      <w:pPr>
        <w:spacing w:after="0" w:line="203" w:lineRule="exact"/>
        <w:rPr>
          <w:rFonts w:ascii="Times New Roman" w:cs="Times New Roman" w:eastAsia="Times New Roman" w:hAnsi="Times New Roman"/>
          <w:sz w:val="21"/>
          <w:szCs w:val="21"/>
          <w:color w:val="auto"/>
        </w:rPr>
      </w:pPr>
    </w:p>
    <w:p>
      <w:pPr>
        <w:jc w:val="both"/>
        <w:ind w:firstLine="622"/>
        <w:spacing w:after="0" w:line="249" w:lineRule="auto"/>
        <w:tabs>
          <w:tab w:leader="none" w:pos="1083"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Contribution</w:t>
      </w:r>
      <w:r>
        <w:rPr>
          <w:rFonts w:ascii="Times New Roman" w:cs="Times New Roman" w:eastAsia="Times New Roman" w:hAnsi="Times New Roman"/>
          <w:sz w:val="21"/>
          <w:szCs w:val="21"/>
          <w:color w:val="auto"/>
        </w:rPr>
        <w:t>. To the fullest extent permissible under applicable law, if the indemnification provided for in this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is unavailable to Indemnitee for any reason, the Corporation, in lieu of indemnifying Indemnitee, shall contribute to the amount incurred by Indemnitee, whether for judgments, fines, penalties, amounts paid or to be paid in settlement, and/or for Expenses, in connection with any Claim relating to an indemnifiable event under this Agreement, in such proportion as is deemed fair and reasonable in light of all of the circumstances in order to reflect (a) the relative benefits received by the Corporation and Indemnitee as a result of the event(s) and/or transaction(s) giving rise to such Claim; and/or (b) the relative fault of the Corporation and its Subsidiaries (and their respective directors, officers, employees, and agents) and Indemnitee in connection with such event(s) and/or transaction(s). The Corporation hereby agrees to fully indemnify and hold harmless Indemnitee from any Claims of contribution which may be brought by officers, directors, or employees of the Corporation (other than Indemnitee) who may be jointly liable with Indemnitee. Nothing in this Section shall require the Corporation to make any contribution or other payment prohibited by applicable law.</w:t>
      </w:r>
    </w:p>
    <w:p>
      <w:pPr>
        <w:spacing w:after="0" w:line="196" w:lineRule="exact"/>
        <w:rPr>
          <w:rFonts w:ascii="Times New Roman" w:cs="Times New Roman" w:eastAsia="Times New Roman" w:hAnsi="Times New Roman"/>
          <w:sz w:val="21"/>
          <w:szCs w:val="21"/>
          <w:color w:val="auto"/>
        </w:rPr>
      </w:pPr>
    </w:p>
    <w:p>
      <w:pPr>
        <w:jc w:val="both"/>
        <w:ind w:firstLine="622"/>
        <w:spacing w:after="0" w:line="251" w:lineRule="auto"/>
        <w:tabs>
          <w:tab w:leader="none" w:pos="1109"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Liability Insurance</w:t>
      </w:r>
      <w:r>
        <w:rPr>
          <w:rFonts w:ascii="Times New Roman" w:cs="Times New Roman" w:eastAsia="Times New Roman" w:hAnsi="Times New Roman"/>
          <w:sz w:val="21"/>
          <w:szCs w:val="21"/>
          <w:color w:val="auto"/>
        </w:rPr>
        <w:t>. The Corporation shall use commercially reasonable efforts to maintain in effect a policy or policies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directors’ and officers’ liability insurance providing coverage that is at least substantially comparable in scope and amount to that provided by the Corporation’s current policies of directors’ and officers’ liability insurance. Indemnitee shall be named as an insured in such manner as to provide Indemnitee the same rights and benefits as are provided to the most favorably insured of the Corporation’s directors by such policy or policies. The Corporation shall provide to Indemnitee copies of all directors’ and officers’ liability insurance applications, binders, policies, declarations, endorsements, and other related materials upon request. The Corporation’s obligation to use commercially reasonable efforts to maintain the policy(ies) of insurance described in this Section for Indemnitee shall continue for at least six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57" w:lineRule="exact"/>
        <w:rPr>
          <w:sz w:val="20"/>
          <w:szCs w:val="20"/>
          <w:color w:val="auto"/>
        </w:rPr>
      </w:pPr>
    </w:p>
    <w:p>
      <w:pPr>
        <w:jc w:val="both"/>
        <w:ind w:firstLine="3"/>
        <w:spacing w:after="0" w:line="253" w:lineRule="auto"/>
        <w:tabs>
          <w:tab w:leader="none" w:pos="306"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years after Indemnitee ceases to serve as a director of the Corporation or any of its Subsidiaries. If, at the time of the receipt of a notice of a Claim pursuant to the terms of this Agreement, the Corporation has directors’ and officers’ liability insurance in effect, the Corporation shall give prompt notice of the commencement of such Claim to the insurers in accordance with the procedures set forth in the respective policies. The Corporation shall thereafter take all necessary or desirable action to cause such insurers to pay, on behalf of the Indemnitee, all amounts payable as a result of such Claim in accordance with the terms of such policies.</w:t>
      </w:r>
    </w:p>
    <w:p>
      <w:pPr>
        <w:spacing w:after="0" w:line="192" w:lineRule="exact"/>
        <w:rPr>
          <w:rFonts w:ascii="Times New Roman" w:cs="Times New Roman" w:eastAsia="Times New Roman" w:hAnsi="Times New Roman"/>
          <w:sz w:val="21"/>
          <w:szCs w:val="21"/>
          <w:color w:val="auto"/>
        </w:rPr>
      </w:pPr>
    </w:p>
    <w:p>
      <w:pPr>
        <w:jc w:val="both"/>
        <w:ind w:firstLine="622"/>
        <w:spacing w:after="0" w:line="261" w:lineRule="auto"/>
        <w:tabs>
          <w:tab w:leader="none" w:pos="1083"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Scope of Agreement</w:t>
      </w:r>
      <w:r>
        <w:rPr>
          <w:rFonts w:ascii="Times New Roman" w:cs="Times New Roman" w:eastAsia="Times New Roman" w:hAnsi="Times New Roman"/>
          <w:sz w:val="20"/>
          <w:szCs w:val="20"/>
          <w:color w:val="auto"/>
        </w:rPr>
        <w:t>. The rights of Indemnitee pursuant to this Agreement shall be in addition to, and shall not be deemed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exclusive of, any other rights Indemnitee may have under any provision of the Corporation’s Articles of Incorporation, Bylaws, any agreement, any vote of shareholders or disinterested directors, any policy of directors’ and officers’ liability insurance, or the laws of the State of Michigan or other applicable law, both as to action in Indemnitee’s official capacity and as to action in another capacity while serving as a director of the Corporation. To the fullest extent permitted by applicable law, Indemnitee shall be entitled to the most favorable rights of indemnification and advancement of Expenses available from any such source. No amendment or repeal of the Corporation’s Articles of Incorporation or Bylaws shall adversely affect Indemnitee’s rights under this Agreement. The Corporation hereby acknowledges that Indemnitee may have certain rights to indemnification and advancement of expenses provided by other persons or entities. The Corporation hereby agrees that (a) the Corporation is the indemnitor of first resort with respect to any request for indemnification or advancement of Expenses made pursuant to this Agreement, (b) the Corporation shall be primarily liable for all indemnification and advancement obligations under this Agreement, and (c) subject to Section 6 and the Corporation’s right of subrogation under Section 12, the Corporation shall be required to advance the full amount of Expenses and shall be liable for all Expenses, judgments, penalties, fines, and amounts paid in settlement for which Indemnitee is entitled to indemnification under this Agreement, without requiring Indemnitee first to seek recovery from any other person or entity or insurer; provided that Indemnitee shall not be entitled to receive duplicative payment for the same Expenses or other amounts from the Corporation and any other source.</w:t>
      </w:r>
    </w:p>
    <w:p>
      <w:pPr>
        <w:spacing w:after="0" w:line="193" w:lineRule="exact"/>
        <w:rPr>
          <w:rFonts w:ascii="Times New Roman" w:cs="Times New Roman" w:eastAsia="Times New Roman" w:hAnsi="Times New Roman"/>
          <w:sz w:val="20"/>
          <w:szCs w:val="20"/>
          <w:color w:val="auto"/>
        </w:rPr>
      </w:pPr>
    </w:p>
    <w:p>
      <w:pPr>
        <w:jc w:val="both"/>
        <w:ind w:firstLine="622"/>
        <w:spacing w:after="0" w:line="257" w:lineRule="auto"/>
        <w:tabs>
          <w:tab w:leader="none" w:pos="1096"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Amendment, Termination and Waiver</w:t>
      </w:r>
      <w:r>
        <w:rPr>
          <w:rFonts w:ascii="Times New Roman" w:cs="Times New Roman" w:eastAsia="Times New Roman" w:hAnsi="Times New Roman"/>
          <w:sz w:val="21"/>
          <w:szCs w:val="21"/>
          <w:color w:val="auto"/>
        </w:rPr>
        <w:t>. This Agreement may be amended, modified, or terminated and any of the terms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conditions of this Agreement may be waived only by the written consent of both parties. The failure of either party at any time or times to require performance of any provisions of this Agreement shall in no manner affect the right of such party at any later time to enforce the same.</w:t>
      </w:r>
    </w:p>
    <w:p>
      <w:pPr>
        <w:spacing w:after="0" w:line="190" w:lineRule="exact"/>
        <w:rPr>
          <w:rFonts w:ascii="Times New Roman" w:cs="Times New Roman" w:eastAsia="Times New Roman" w:hAnsi="Times New Roman"/>
          <w:sz w:val="21"/>
          <w:szCs w:val="21"/>
          <w:color w:val="auto"/>
        </w:rPr>
      </w:pPr>
    </w:p>
    <w:p>
      <w:pPr>
        <w:jc w:val="both"/>
        <w:ind w:firstLine="622"/>
        <w:spacing w:after="0" w:line="253" w:lineRule="auto"/>
        <w:tabs>
          <w:tab w:leader="none" w:pos="1083"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Binding Effect and Assignment</w:t>
      </w:r>
      <w:r>
        <w:rPr>
          <w:rFonts w:ascii="Times New Roman" w:cs="Times New Roman" w:eastAsia="Times New Roman" w:hAnsi="Times New Roman"/>
          <w:sz w:val="21"/>
          <w:szCs w:val="21"/>
          <w:color w:val="auto"/>
        </w:rPr>
        <w:t>. This Agreement shall be binding upon and inure to the benefit of the Indemnitee and 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her spouse, personal representatives, heirs, executors, administrators, and assigns, and the Corporation and its successors and assigns, including any direct or indirect successor of the Corporation by purchase, merger, consolidation, or otherwise to all or substantially all of the business and/or assets of the Corporation;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5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however, that no assignment of any rights or delegation of obligations contained in this Agreement may be made by either party without the express written consent of the other party. The Corporation shall require and cause any successor (whether direct or indirect by purchase, merger, consolidation, or otherwise) to all, substantially all, or a substantial part of the business and/or assets of the Corporation, by written agreement in form and substance satisfactory to Indemnitee, to expressly assume and agree to perform this Agreement in the same manner and to the same extent that the Corporation would be required to perform if no such succession had taken place. This Agreement shall continue in effect while Indemnitee is a director of the Corporation or any of its Subsidiaries and thereafter so long as Indemnitee may be subject to any possible Claim (including any rights of appeal thereto) and throughout the pendency of any proceeding (including any rights of appeal thereto) commenced by Indemnitee to enforce or interpret his or her rights under this Agreement.</w:t>
      </w:r>
    </w:p>
    <w:p>
      <w:pPr>
        <w:spacing w:after="0" w:line="204" w:lineRule="exact"/>
        <w:rPr>
          <w:sz w:val="20"/>
          <w:szCs w:val="20"/>
          <w:color w:val="auto"/>
        </w:rPr>
      </w:pPr>
    </w:p>
    <w:p>
      <w:pPr>
        <w:jc w:val="both"/>
        <w:ind w:firstLine="622"/>
        <w:spacing w:after="0" w:line="250" w:lineRule="auto"/>
        <w:tabs>
          <w:tab w:leader="none" w:pos="1250"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Governing Law; Consent to Jurisdiction</w:t>
      </w:r>
      <w:r>
        <w:rPr>
          <w:rFonts w:ascii="Times New Roman" w:cs="Times New Roman" w:eastAsia="Times New Roman" w:hAnsi="Times New Roman"/>
          <w:sz w:val="21"/>
          <w:szCs w:val="21"/>
          <w:color w:val="auto"/>
        </w:rPr>
        <w:t>. This Agreement shall be governed by, and construed and enforced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accordance with, the laws of the State of Michigan, without regard to its conflict of laws rules. The Corporation and Indemnitee hereby irrevocably and unconditionally (a) agree that any court action or proceeding arising out of or in connection with this Agreement shall be brought only in the courts of the State of Michigan, (b) consent to submit to the exclusive jurisdiction of the Michigan courts for purposes of any court action or proceeding arising out of or in connection with this Agreement, and (c) waive any objection to the laying of venue of any such court action or proceeding in the courts of the State of Michigan. Nothing in this Section shall limit Indemnitee’s right to seek arbitration under Section 9.</w:t>
      </w:r>
    </w:p>
    <w:p>
      <w:pPr>
        <w:spacing w:after="0" w:line="198" w:lineRule="exact"/>
        <w:rPr>
          <w:rFonts w:ascii="Times New Roman" w:cs="Times New Roman" w:eastAsia="Times New Roman" w:hAnsi="Times New Roman"/>
          <w:sz w:val="21"/>
          <w:szCs w:val="21"/>
          <w:color w:val="auto"/>
        </w:rPr>
      </w:pPr>
    </w:p>
    <w:p>
      <w:pPr>
        <w:jc w:val="both"/>
        <w:ind w:firstLine="622"/>
        <w:spacing w:after="0" w:line="264" w:lineRule="auto"/>
        <w:tabs>
          <w:tab w:leader="none" w:pos="1160"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Severability</w:t>
      </w:r>
      <w:r>
        <w:rPr>
          <w:rFonts w:ascii="Times New Roman" w:cs="Times New Roman" w:eastAsia="Times New Roman" w:hAnsi="Times New Roman"/>
          <w:sz w:val="21"/>
          <w:szCs w:val="21"/>
          <w:color w:val="auto"/>
        </w:rPr>
        <w:t>. Any provision of this Agreement that may be prohibited by law, or otherwise held invalid by a court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competent jurisdiction, shall be ineffective only to the extent of such prohibition or invalidity and shall not invalidate or otherwise render ineffective the remaining provisions of this Agreement.</w:t>
      </w:r>
    </w:p>
    <w:p>
      <w:pPr>
        <w:spacing w:after="0" w:line="182" w:lineRule="exact"/>
        <w:rPr>
          <w:rFonts w:ascii="Times New Roman" w:cs="Times New Roman" w:eastAsia="Times New Roman" w:hAnsi="Times New Roman"/>
          <w:sz w:val="21"/>
          <w:szCs w:val="21"/>
          <w:color w:val="auto"/>
        </w:rPr>
      </w:pPr>
    </w:p>
    <w:p>
      <w:pPr>
        <w:jc w:val="both"/>
        <w:ind w:firstLine="622"/>
        <w:spacing w:after="0" w:line="249" w:lineRule="auto"/>
        <w:tabs>
          <w:tab w:leader="none" w:pos="1109"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Banking Regulatory Savings Clause</w:t>
      </w:r>
      <w:r>
        <w:rPr>
          <w:rFonts w:ascii="Times New Roman" w:cs="Times New Roman" w:eastAsia="Times New Roman" w:hAnsi="Times New Roman"/>
          <w:sz w:val="21"/>
          <w:szCs w:val="21"/>
          <w:color w:val="auto"/>
        </w:rPr>
        <w:t>. Notwithstanding any other provision of this Agreement, the Corporation shall not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make, agree to make, or be required to make any indemnification payment to the extent that such payment is prohibited by applicable law (a “</w:t>
      </w:r>
      <w:r>
        <w:rPr>
          <w:rFonts w:ascii="Times New Roman" w:cs="Times New Roman" w:eastAsia="Times New Roman" w:hAnsi="Times New Roman"/>
          <w:sz w:val="21"/>
          <w:szCs w:val="21"/>
          <w:u w:val="single" w:color="auto"/>
          <w:color w:val="auto"/>
        </w:rPr>
        <w:t>Prohibited Payment</w:t>
      </w:r>
      <w:r>
        <w:rPr>
          <w:rFonts w:ascii="Times New Roman" w:cs="Times New Roman" w:eastAsia="Times New Roman" w:hAnsi="Times New Roman"/>
          <w:sz w:val="21"/>
          <w:szCs w:val="21"/>
          <w:color w:val="auto"/>
        </w:rPr>
        <w:t>”). A payment shall not be treated as a Prohibited Payment solely because it relates to an administrative proceeding, civil enforcement action, investigation, or other matter involving a banking regulator if the payment may be made under applicable law upon satisfaction of conditions, approvals, or other requirements. If any indemnification payment or advancement of Expenses is subject to conditions before it may be made under applicable banking law, the Corporation shall promptly use its best efforts to satisfy, or cause to be satisfied, those conditions and to make the payment to Indemnitee to the fullest extent permitted by law. Without limiting the foregoing, if applicable law requires a determination as a condition to payment, the Corporation shall cause the Board or other decision-maker whose determination may be relied upon under applicable law to determine promptly, in good faith and after reasonable investigation and consideration, whether (i) Indemnitee acted in good faith and in a manner Indemnitee believed to be in the best interests of the Corporation or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5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insured depository institution, (ii) such payment will not materially adversely affect the safety and soundness of the Corporation or any of its Subsidiaries that is an insured depository institution, and (iii) Indemnitee agrees in writing to reimburse the Corporation for any such payment only to the extent such payment is finally determined to be a Prohibited Payment or Indemnitee is finally determined not to be entitled to such payment under applicable law. In making or obtaining any such determination, the Corporation shall apply all presumptions, burdens of proof, procedural protections, and rights in favor of Indemnitee set forth in this Agreement to the fullest extent permitted by applicable law. No payment shall be denied, delayed, reduced, or treated as a Prohibited Payment unless the Corporation determines in good faith, based on advice of counsel, that applicable law prohibits the payment or that a required condition to payment cannot lawfully be satisfied. If only a portion of any payment is prohibited, the Corporation shall promptly pay the portion that is not prohibited. Subject to the foregoing limitations, the Corporation shall use its best efforts to provide the maximum indemnification permitted under applicable law. Nothing in this Section shall limit the Corporation’s obligation to advance Expenses, or to indemnify Indemnitee, to the fullest extent permitted by applicable law, and this Section shall be construed and administered to provide Indemnitee with the maximum protection permitted by applicable law.</w:t>
      </w:r>
    </w:p>
    <w:p>
      <w:pPr>
        <w:spacing w:after="0" w:line="199" w:lineRule="exact"/>
        <w:rPr>
          <w:sz w:val="20"/>
          <w:szCs w:val="20"/>
          <w:color w:val="auto"/>
        </w:rPr>
      </w:pPr>
    </w:p>
    <w:p>
      <w:pPr>
        <w:jc w:val="both"/>
        <w:ind w:firstLine="622"/>
        <w:spacing w:after="0" w:line="264" w:lineRule="auto"/>
        <w:tabs>
          <w:tab w:leader="none" w:pos="1147"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Interest on Unpaid Amounts</w:t>
      </w:r>
      <w:r>
        <w:rPr>
          <w:rFonts w:ascii="Times New Roman" w:cs="Times New Roman" w:eastAsia="Times New Roman" w:hAnsi="Times New Roman"/>
          <w:sz w:val="21"/>
          <w:szCs w:val="21"/>
          <w:color w:val="auto"/>
        </w:rPr>
        <w:t>. If any payment to which Indemnitee is entitled under this Agreement is not paid by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Corporation on a timely basis, interest shall accrue thereon at the then-applicable legal rate under Michigan law for each day the payment is past due.</w:t>
      </w:r>
    </w:p>
    <w:p>
      <w:pPr>
        <w:spacing w:after="0" w:line="182" w:lineRule="exact"/>
        <w:rPr>
          <w:rFonts w:ascii="Times New Roman" w:cs="Times New Roman" w:eastAsia="Times New Roman" w:hAnsi="Times New Roman"/>
          <w:sz w:val="21"/>
          <w:szCs w:val="21"/>
          <w:color w:val="auto"/>
        </w:rPr>
      </w:pPr>
    </w:p>
    <w:p>
      <w:pPr>
        <w:jc w:val="both"/>
        <w:ind w:firstLine="622"/>
        <w:spacing w:after="0" w:line="267" w:lineRule="auto"/>
        <w:tabs>
          <w:tab w:leader="none" w:pos="1109"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Notices</w:t>
      </w:r>
      <w:r>
        <w:rPr>
          <w:rFonts w:ascii="Times New Roman" w:cs="Times New Roman" w:eastAsia="Times New Roman" w:hAnsi="Times New Roman"/>
          <w:sz w:val="20"/>
          <w:szCs w:val="20"/>
          <w:color w:val="auto"/>
        </w:rPr>
        <w:t>. All notices, requests, demands, and other communications under this Agreement shall be in writing and shall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deemed duly given (a) if delivered by hand, upon receipt, (b) if sent by nationally recognized overnight courier service, one business day after deposit, or (c) if sent by certified or registered mail, return receipt requested, three business days after deposit. Notice to the Corporation shall be directed to Independent Bank Corporation at its principal executive offices, Attention: Corporate Secretary, or to such other address as the Corporation shall designate in writing to Indemnitee. Notice to Indemnitee shall be directed to the address shown on the signature page of this Agreement or to such other address as Indemnitee shall designate in writing to the Corporation.</w:t>
      </w:r>
    </w:p>
    <w:p>
      <w:pPr>
        <w:spacing w:after="0" w:line="179" w:lineRule="exact"/>
        <w:rPr>
          <w:rFonts w:ascii="Times New Roman" w:cs="Times New Roman" w:eastAsia="Times New Roman" w:hAnsi="Times New Roman"/>
          <w:sz w:val="20"/>
          <w:szCs w:val="20"/>
          <w:color w:val="auto"/>
        </w:rPr>
      </w:pPr>
    </w:p>
    <w:p>
      <w:pPr>
        <w:jc w:val="both"/>
        <w:ind w:firstLine="622"/>
        <w:spacing w:after="0" w:line="250" w:lineRule="auto"/>
        <w:tabs>
          <w:tab w:leader="none" w:pos="1238"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Vesting of Rights; No Diminishment</w:t>
      </w:r>
      <w:r>
        <w:rPr>
          <w:rFonts w:ascii="Times New Roman" w:cs="Times New Roman" w:eastAsia="Times New Roman" w:hAnsi="Times New Roman"/>
          <w:sz w:val="21"/>
          <w:szCs w:val="21"/>
          <w:color w:val="auto"/>
        </w:rPr>
        <w:t>. Indemnitee’s rights under this Agreement shall vest upon execution of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and may not be diminished by any subsequent amendment to the Corporation’s Articles of Incorporation, Bylaws, or this Agreement (except by mutual written consent of both parties). In the event of any change after the date of this Agreement in any applicable law, statute, or rule that expands the right of the Corporation to indemnify a director, it is the intent of the parties that Indemnitee shall enjoy by this Agreement the greater benefits afforded by such change. In the event of any change in any applicable law, statute, or rule that narrows the right of the Corporation to indemnify a director, such change, to the extent not otherwise required by such law, statute, or rule to be applied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shall have no effect on this Agreement or the parties’ rights and obligations pursuant to this Agreement.</w:t>
      </w:r>
    </w:p>
    <w:p>
      <w:pPr>
        <w:spacing w:after="0" w:line="232" w:lineRule="exact"/>
        <w:rPr>
          <w:sz w:val="20"/>
          <w:szCs w:val="20"/>
          <w:color w:val="auto"/>
        </w:rPr>
      </w:pPr>
    </w:p>
    <w:p>
      <w:pPr>
        <w:jc w:val="both"/>
        <w:ind w:firstLine="622"/>
        <w:spacing w:after="0" w:line="264" w:lineRule="auto"/>
        <w:tabs>
          <w:tab w:leader="none" w:pos="1173"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Interpretation</w:t>
      </w:r>
      <w:r>
        <w:rPr>
          <w:rFonts w:ascii="Times New Roman" w:cs="Times New Roman" w:eastAsia="Times New Roman" w:hAnsi="Times New Roman"/>
          <w:sz w:val="21"/>
          <w:szCs w:val="21"/>
          <w:color w:val="auto"/>
        </w:rPr>
        <w:t>. The descriptive headings of this Agreement are inserted for convenience only and do not constitute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substantive part of this Agreement. The use of the word “including” in this Agreement shall be by way of example rather than by limitation.</w:t>
      </w:r>
    </w:p>
    <w:p>
      <w:pPr>
        <w:spacing w:after="0" w:line="182" w:lineRule="exact"/>
        <w:rPr>
          <w:rFonts w:ascii="Times New Roman" w:cs="Times New Roman" w:eastAsia="Times New Roman" w:hAnsi="Times New Roman"/>
          <w:sz w:val="21"/>
          <w:szCs w:val="21"/>
          <w:color w:val="auto"/>
        </w:rPr>
      </w:pPr>
    </w:p>
    <w:p>
      <w:pPr>
        <w:jc w:val="both"/>
        <w:ind w:firstLine="622"/>
        <w:spacing w:after="0" w:line="258" w:lineRule="auto"/>
        <w:tabs>
          <w:tab w:leader="none" w:pos="1225"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Counterparts</w:t>
      </w:r>
      <w:r>
        <w:rPr>
          <w:rFonts w:ascii="Times New Roman" w:cs="Times New Roman" w:eastAsia="Times New Roman" w:hAnsi="Times New Roman"/>
          <w:sz w:val="21"/>
          <w:szCs w:val="21"/>
          <w:color w:val="auto"/>
        </w:rPr>
        <w:t>. This Agreement may be executed in one or more counterparts (including by electronic signature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delivery of a counterpart in PDF format), each of which shall for all purposes be deemed to be an original but all of which together shall constitute one and the same Agreement.</w:t>
      </w:r>
    </w:p>
    <w:p>
      <w:pPr>
        <w:spacing w:after="0" w:line="201" w:lineRule="exact"/>
        <w:rPr>
          <w:rFonts w:ascii="Times New Roman" w:cs="Times New Roman" w:eastAsia="Times New Roman" w:hAnsi="Times New Roman"/>
          <w:sz w:val="21"/>
          <w:szCs w:val="21"/>
          <w:color w:val="auto"/>
        </w:rPr>
      </w:pPr>
    </w:p>
    <w:p>
      <w:pPr>
        <w:jc w:val="both"/>
        <w:ind w:firstLine="622"/>
        <w:spacing w:after="0" w:line="248" w:lineRule="auto"/>
        <w:tabs>
          <w:tab w:leader="none" w:pos="1238"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Prior Indemnity Agreement</w:t>
      </w:r>
      <w:r>
        <w:rPr>
          <w:rFonts w:ascii="Times New Roman" w:cs="Times New Roman" w:eastAsia="Times New Roman" w:hAnsi="Times New Roman"/>
          <w:sz w:val="21"/>
          <w:szCs w:val="21"/>
          <w:color w:val="auto"/>
        </w:rPr>
        <w:t>. Upon execution by the Corporation and Indemnitee, this Agreement supersedes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replaces in its entirety any prior indemnification, indemnity, advancement, or similar agreement between the Corporation and Indemnitee relating to Indemnitee’s service to the Corporation or any Subsidiary; provided, however, that this Agreement shall not eliminate, impair, or diminish any right of Indemnitee that vested, accrued, or arose under any prior agreement, the Corporation’s Articles of Incorporation or Bylaws, any directors’ and officers’ liability insurance policy, applicable law, or otherwise before the effective date of this Agreement. To the fullest extent permitted by applicable law, any Claim or matter arising from acts, omissions, facts, or circumstances occurring before the effective date of this Agreement shall be governed by whichever rights, remedies, presumptions, procedures, and protections available to Indemnitee under this Agreement or any prior agreement are more favorable to Indemnitee. For the avoidance of doubt, this Agreement is intended to supplement and enhance, and not to reduce or impair, Indemnitee’s indemnification, advancement, insurance, and related rights.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53" w:lineRule="exact"/>
        <w:rPr>
          <w:sz w:val="20"/>
          <w:szCs w:val="20"/>
          <w:color w:val="auto"/>
        </w:rPr>
      </w:pPr>
    </w:p>
    <w:p>
      <w:pPr>
        <w:ind w:firstLine="619"/>
        <w:spacing w:after="0" w:line="273" w:lineRule="auto"/>
        <w:rPr>
          <w:sz w:val="20"/>
          <w:szCs w:val="20"/>
          <w:color w:val="auto"/>
        </w:rPr>
      </w:pPr>
      <w:r>
        <w:rPr>
          <w:rFonts w:ascii="Times New Roman" w:cs="Times New Roman" w:eastAsia="Times New Roman" w:hAnsi="Times New Roman"/>
          <w:sz w:val="21"/>
          <w:szCs w:val="21"/>
          <w:color w:val="auto"/>
        </w:rPr>
        <w:t>INTENDING TO BE LEGALLY BOUND</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the parties have executed this Indemnity Agreement as of the day and year first above written.</w:t>
      </w:r>
    </w:p>
    <w:p>
      <w:pPr>
        <w:spacing w:after="0" w:line="189" w:lineRule="exact"/>
        <w:rPr>
          <w:sz w:val="20"/>
          <w:szCs w:val="20"/>
          <w:color w:val="auto"/>
        </w:rPr>
      </w:pPr>
    </w:p>
    <w:p>
      <w:pPr>
        <w:spacing w:after="0"/>
        <w:tabs>
          <w:tab w:leader="none" w:pos="2520" w:val="left"/>
        </w:tabs>
        <w:rPr>
          <w:sz w:val="20"/>
          <w:szCs w:val="20"/>
          <w:color w:val="auto"/>
        </w:rPr>
      </w:pPr>
      <w:r>
        <w:rPr>
          <w:rFonts w:ascii="Times New Roman" w:cs="Times New Roman" w:eastAsia="Times New Roman" w:hAnsi="Times New Roman"/>
          <w:sz w:val="21"/>
          <w:szCs w:val="21"/>
          <w:color w:val="auto"/>
        </w:rPr>
        <w:t>CORPORATION:</w:t>
      </w:r>
      <w:r>
        <w:rPr>
          <w:sz w:val="20"/>
          <w:szCs w:val="20"/>
          <w:color w:val="auto"/>
        </w:rPr>
        <w:tab/>
      </w:r>
      <w:r>
        <w:rPr>
          <w:rFonts w:ascii="Times New Roman" w:cs="Times New Roman" w:eastAsia="Times New Roman" w:hAnsi="Times New Roman"/>
          <w:sz w:val="21"/>
          <w:szCs w:val="21"/>
          <w:color w:val="auto"/>
        </w:rPr>
        <w:t>INDEMNITEE: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Independent Bank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421640</wp:posOffset>
            </wp:positionV>
            <wp:extent cx="17030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7030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6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680" w:type="dxa"/>
            <w:vAlign w:val="bottom"/>
          </w:tcPr>
          <w:p>
            <w:pPr>
              <w:spacing w:after="0"/>
              <w:rPr>
                <w:sz w:val="21"/>
                <w:szCs w:val="21"/>
                <w:color w:val="auto"/>
              </w:rPr>
            </w:pPr>
          </w:p>
        </w:tc>
        <w:tc>
          <w:tcPr>
            <w:tcW w:w="1500" w:type="dxa"/>
            <w:vAlign w:val="bottom"/>
            <w:gridSpan w:val="2"/>
          </w:tcPr>
          <w:p>
            <w:pPr>
              <w:ind w:left="300"/>
              <w:spacing w:after="0"/>
              <w:rPr>
                <w:sz w:val="20"/>
                <w:szCs w:val="20"/>
                <w:color w:val="auto"/>
              </w:rPr>
            </w:pPr>
            <w:r>
              <w:rPr>
                <w:rFonts w:ascii="Times New Roman" w:cs="Times New Roman" w:eastAsia="Times New Roman" w:hAnsi="Times New Roman"/>
                <w:sz w:val="21"/>
                <w:szCs w:val="21"/>
                <w:color w:val="auto"/>
              </w:rPr>
              <w:t>[•]</w:t>
            </w:r>
          </w:p>
        </w:tc>
      </w:tr>
      <w:tr>
        <w:trPr>
          <w:trHeight w:val="268"/>
        </w:trPr>
        <w:tc>
          <w:tcPr>
            <w:tcW w:w="760" w:type="dxa"/>
            <w:vAlign w:val="bottom"/>
          </w:tcPr>
          <w:p>
            <w:pPr>
              <w:spacing w:after="0"/>
              <w:rPr>
                <w:sz w:val="20"/>
                <w:szCs w:val="20"/>
                <w:color w:val="auto"/>
              </w:rPr>
            </w:pPr>
            <w:r>
              <w:rPr>
                <w:rFonts w:ascii="Times New Roman" w:cs="Times New Roman" w:eastAsia="Times New Roman" w:hAnsi="Times New Roman"/>
                <w:sz w:val="21"/>
                <w:szCs w:val="21"/>
                <w:color w:val="auto"/>
              </w:rPr>
              <w:t>Its:</w:t>
            </w:r>
          </w:p>
        </w:tc>
        <w:tc>
          <w:tcPr>
            <w:tcW w:w="6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60" w:type="dxa"/>
            <w:vAlign w:val="bottom"/>
          </w:tcPr>
          <w:p>
            <w:pPr>
              <w:spacing w:after="0"/>
              <w:rPr>
                <w:sz w:val="23"/>
                <w:szCs w:val="23"/>
                <w:color w:val="auto"/>
              </w:rPr>
            </w:pPr>
          </w:p>
        </w:tc>
      </w:tr>
      <w:tr>
        <w:trPr>
          <w:trHeight w:val="490"/>
        </w:trPr>
        <w:tc>
          <w:tcPr>
            <w:tcW w:w="760" w:type="dxa"/>
            <w:vAlign w:val="bottom"/>
          </w:tcPr>
          <w:p>
            <w:pPr>
              <w:spacing w:after="0"/>
              <w:rPr>
                <w:sz w:val="24"/>
                <w:szCs w:val="24"/>
                <w:color w:val="auto"/>
              </w:rPr>
            </w:pPr>
          </w:p>
        </w:tc>
        <w:tc>
          <w:tcPr>
            <w:tcW w:w="2180" w:type="dxa"/>
            <w:vAlign w:val="bottom"/>
            <w:gridSpan w:val="3"/>
          </w:tcPr>
          <w:p>
            <w:pPr>
              <w:ind w:left="460"/>
              <w:spacing w:after="0"/>
              <w:rPr>
                <w:sz w:val="20"/>
                <w:szCs w:val="20"/>
                <w:color w:val="auto"/>
              </w:rPr>
            </w:pPr>
            <w:r>
              <w:rPr>
                <w:rFonts w:ascii="Times New Roman" w:cs="Times New Roman" w:eastAsia="Times New Roman" w:hAnsi="Times New Roman"/>
                <w:sz w:val="21"/>
                <w:szCs w:val="21"/>
                <w:color w:val="auto"/>
                <w:w w:val="97"/>
              </w:rPr>
              <w:t>Address for Notices:</w:t>
            </w:r>
          </w:p>
        </w:tc>
      </w:tr>
      <w:tr>
        <w:trPr>
          <w:trHeight w:val="428"/>
        </w:trPr>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r>
      <w:tr>
        <w:trPr>
          <w:trHeight w:val="457"/>
        </w:trPr>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r>
    </w:tbl>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12605456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40"/>
          </w:cols>
          <w:pgMar w:left="320" w:top="1440"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7"/>
          <w:szCs w:val="17"/>
          <w:color w:val="auto"/>
        </w:rPr>
        <w:t>EXHIBIT 31.1</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William B. Kessel, certify that:</w:t>
      </w:r>
    </w:p>
    <w:p>
      <w:pPr>
        <w:spacing w:after="0" w:line="178" w:lineRule="exact"/>
        <w:rPr>
          <w:sz w:val="20"/>
          <w:szCs w:val="20"/>
          <w:color w:val="auto"/>
        </w:rPr>
      </w:pPr>
    </w:p>
    <w:p>
      <w:pPr>
        <w:ind w:left="620" w:hanging="617"/>
        <w:spacing w:after="0"/>
        <w:tabs>
          <w:tab w:leader="none" w:pos="62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Independent Bank Corporation;</w:t>
      </w:r>
    </w:p>
    <w:p>
      <w:pPr>
        <w:spacing w:after="0" w:line="27" w:lineRule="exact"/>
        <w:rPr>
          <w:rFonts w:ascii="Times New Roman" w:cs="Times New Roman" w:eastAsia="Times New Roman" w:hAnsi="Times New Roman"/>
          <w:sz w:val="17"/>
          <w:szCs w:val="17"/>
          <w:color w:val="auto"/>
        </w:rPr>
      </w:pPr>
    </w:p>
    <w:p>
      <w:pPr>
        <w:ind w:left="620" w:hanging="617"/>
        <w:spacing w:after="0" w:line="253" w:lineRule="auto"/>
        <w:tabs>
          <w:tab w:leader="none" w:pos="62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20" w:hanging="617"/>
        <w:spacing w:after="0" w:line="253" w:lineRule="auto"/>
        <w:tabs>
          <w:tab w:leader="none" w:pos="62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620" w:hanging="617"/>
        <w:spacing w:after="0" w:line="253" w:lineRule="auto"/>
        <w:tabs>
          <w:tab w:leader="none" w:pos="62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jc w:val="both"/>
        <w:ind w:left="1240" w:hanging="618"/>
        <w:spacing w:after="0" w:line="253" w:lineRule="auto"/>
        <w:tabs>
          <w:tab w:leader="none" w:pos="1231" w:val="left"/>
        </w:tabs>
        <w:numPr>
          <w:ilvl w:val="1"/>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240" w:hanging="618"/>
        <w:spacing w:after="0" w:line="253" w:lineRule="auto"/>
        <w:tabs>
          <w:tab w:leader="none" w:pos="1228" w:val="left"/>
        </w:tabs>
        <w:numPr>
          <w:ilvl w:val="1"/>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240" w:hanging="618"/>
        <w:spacing w:after="0" w:line="253" w:lineRule="auto"/>
        <w:tabs>
          <w:tab w:leader="none" w:pos="1231" w:val="left"/>
        </w:tabs>
        <w:numPr>
          <w:ilvl w:val="1"/>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240" w:hanging="618"/>
        <w:spacing w:after="0" w:line="253" w:lineRule="auto"/>
        <w:tabs>
          <w:tab w:leader="none" w:pos="1228" w:val="left"/>
        </w:tabs>
        <w:numPr>
          <w:ilvl w:val="1"/>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ind w:left="620" w:hanging="617"/>
        <w:spacing w:after="0" w:line="253" w:lineRule="auto"/>
        <w:tabs>
          <w:tab w:leader="none" w:pos="62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240" w:hanging="618"/>
        <w:spacing w:after="0" w:line="253" w:lineRule="auto"/>
        <w:tabs>
          <w:tab w:leader="none" w:pos="1231" w:val="left"/>
        </w:tabs>
        <w:numPr>
          <w:ilvl w:val="1"/>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40" w:hanging="618"/>
        <w:spacing w:after="0" w:line="266" w:lineRule="auto"/>
        <w:tabs>
          <w:tab w:leader="none" w:pos="1228" w:val="left"/>
        </w:tabs>
        <w:numPr>
          <w:ilvl w:val="1"/>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controls over financial reporting.</w:t>
      </w:r>
    </w:p>
    <w:p>
      <w:pPr>
        <w:spacing w:after="0" w:line="19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INDEPENDENT BANK CORPORATION</w:t>
      </w:r>
    </w:p>
    <w:p>
      <w:pPr>
        <w:spacing w:after="0" w:line="307" w:lineRule="exact"/>
        <w:rPr>
          <w:sz w:val="20"/>
          <w:szCs w:val="20"/>
          <w:color w:val="auto"/>
        </w:rPr>
      </w:pPr>
    </w:p>
    <w:p>
      <w:pPr>
        <w:ind w:left="20"/>
        <w:spacing w:after="0"/>
        <w:tabs>
          <w:tab w:leader="none" w:pos="6200" w:val="left"/>
        </w:tabs>
        <w:rPr>
          <w:sz w:val="20"/>
          <w:szCs w:val="20"/>
          <w:color w:val="auto"/>
        </w:rPr>
      </w:pPr>
      <w:r>
        <w:rPr>
          <w:rFonts w:ascii="Times New Roman" w:cs="Times New Roman" w:eastAsia="Times New Roman" w:hAnsi="Times New Roman"/>
          <w:sz w:val="17"/>
          <w:szCs w:val="17"/>
          <w:color w:val="auto"/>
        </w:rPr>
        <w:t>Date: November 4, 2026</w:t>
      </w:r>
      <w:r>
        <w:rPr>
          <w:sz w:val="20"/>
          <w:szCs w:val="20"/>
          <w:color w:val="auto"/>
        </w:rPr>
        <w:tab/>
      </w:r>
      <w:r>
        <w:rPr>
          <w:rFonts w:ascii="Times New Roman" w:cs="Times New Roman" w:eastAsia="Times New Roman" w:hAnsi="Times New Roman"/>
          <w:sz w:val="17"/>
          <w:szCs w:val="17"/>
          <w:color w:val="auto"/>
        </w:rPr>
        <w:t>/s/ William B. Kessel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33655</wp:posOffset>
            </wp:positionV>
            <wp:extent cx="322516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225165" cy="8255"/>
                    </a:xfrm>
                    <a:prstGeom prst="rect">
                      <a:avLst/>
                    </a:prstGeom>
                    <a:noFill/>
                  </pic:spPr>
                </pic:pic>
              </a:graphicData>
            </a:graphic>
          </wp:anchor>
        </w:drawing>
      </w:r>
    </w:p>
    <w:p>
      <w:pPr>
        <w:spacing w:after="0" w:line="5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7"/>
          <w:szCs w:val="17"/>
          <w:color w:val="auto"/>
        </w:rPr>
        <w:t>William B. Kessel</w:t>
      </w:r>
    </w:p>
    <w:p>
      <w:pPr>
        <w:spacing w:after="0" w:line="3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ectPr>
          <w:pgSz w:w="11900" w:h="16838" w:orient="portrait"/>
          <w:cols w:equalWidth="0" w:num="1">
            <w:col w:w="11240"/>
          </w:cols>
          <w:pgMar w:left="320" w:top="1064"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7"/>
          <w:szCs w:val="17"/>
          <w:color w:val="auto"/>
        </w:rPr>
        <w:t>EXHIBIT 31.2</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Gavin A. Mohr, certify that:</w:t>
      </w:r>
    </w:p>
    <w:p>
      <w:pPr>
        <w:spacing w:after="0" w:line="178" w:lineRule="exact"/>
        <w:rPr>
          <w:sz w:val="20"/>
          <w:szCs w:val="20"/>
          <w:color w:val="auto"/>
        </w:rPr>
      </w:pPr>
    </w:p>
    <w:p>
      <w:pPr>
        <w:ind w:left="620" w:hanging="617"/>
        <w:spacing w:after="0"/>
        <w:tabs>
          <w:tab w:leader="none" w:pos="62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Independent Bank Corporation;</w:t>
      </w:r>
    </w:p>
    <w:p>
      <w:pPr>
        <w:spacing w:after="0" w:line="27" w:lineRule="exact"/>
        <w:rPr>
          <w:rFonts w:ascii="Times New Roman" w:cs="Times New Roman" w:eastAsia="Times New Roman" w:hAnsi="Times New Roman"/>
          <w:sz w:val="17"/>
          <w:szCs w:val="17"/>
          <w:color w:val="auto"/>
        </w:rPr>
      </w:pPr>
    </w:p>
    <w:p>
      <w:pPr>
        <w:ind w:left="620" w:hanging="617"/>
        <w:spacing w:after="0" w:line="253" w:lineRule="auto"/>
        <w:tabs>
          <w:tab w:leader="none" w:pos="62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20" w:hanging="617"/>
        <w:spacing w:after="0" w:line="253" w:lineRule="auto"/>
        <w:tabs>
          <w:tab w:leader="none" w:pos="62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620" w:hanging="617"/>
        <w:spacing w:after="0" w:line="253" w:lineRule="auto"/>
        <w:tabs>
          <w:tab w:leader="none" w:pos="62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jc w:val="both"/>
        <w:ind w:left="1240" w:hanging="618"/>
        <w:spacing w:after="0" w:line="253" w:lineRule="auto"/>
        <w:tabs>
          <w:tab w:leader="none" w:pos="1231" w:val="left"/>
        </w:tabs>
        <w:numPr>
          <w:ilvl w:val="1"/>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240" w:hanging="618"/>
        <w:spacing w:after="0" w:line="253" w:lineRule="auto"/>
        <w:tabs>
          <w:tab w:leader="none" w:pos="1228" w:val="left"/>
        </w:tabs>
        <w:numPr>
          <w:ilvl w:val="1"/>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240" w:hanging="618"/>
        <w:spacing w:after="0" w:line="253" w:lineRule="auto"/>
        <w:tabs>
          <w:tab w:leader="none" w:pos="1231" w:val="left"/>
        </w:tabs>
        <w:numPr>
          <w:ilvl w:val="1"/>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240" w:hanging="618"/>
        <w:spacing w:after="0" w:line="253" w:lineRule="auto"/>
        <w:tabs>
          <w:tab w:leader="none" w:pos="1228" w:val="left"/>
        </w:tabs>
        <w:numPr>
          <w:ilvl w:val="1"/>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ind w:left="620" w:hanging="617"/>
        <w:spacing w:after="0" w:line="253" w:lineRule="auto"/>
        <w:tabs>
          <w:tab w:leader="none" w:pos="62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240" w:hanging="618"/>
        <w:spacing w:after="0" w:line="253" w:lineRule="auto"/>
        <w:tabs>
          <w:tab w:leader="none" w:pos="1231" w:val="left"/>
        </w:tabs>
        <w:numPr>
          <w:ilvl w:val="1"/>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40" w:hanging="618"/>
        <w:spacing w:after="0" w:line="266" w:lineRule="auto"/>
        <w:tabs>
          <w:tab w:leader="none" w:pos="1228" w:val="left"/>
        </w:tabs>
        <w:numPr>
          <w:ilvl w:val="1"/>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controls over financial reporting.</w:t>
      </w:r>
    </w:p>
    <w:p>
      <w:pPr>
        <w:spacing w:after="0" w:line="19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INDEPENDENT BANK CORPORATION</w:t>
      </w:r>
    </w:p>
    <w:p>
      <w:pPr>
        <w:spacing w:after="0" w:line="294" w:lineRule="exact"/>
        <w:rPr>
          <w:sz w:val="20"/>
          <w:szCs w:val="20"/>
          <w:color w:val="auto"/>
        </w:rPr>
      </w:pPr>
    </w:p>
    <w:p>
      <w:pPr>
        <w:ind w:left="20"/>
        <w:spacing w:after="0"/>
        <w:tabs>
          <w:tab w:leader="none" w:pos="6180" w:val="left"/>
        </w:tabs>
        <w:rPr>
          <w:sz w:val="20"/>
          <w:szCs w:val="20"/>
          <w:color w:val="auto"/>
        </w:rPr>
      </w:pPr>
      <w:r>
        <w:rPr>
          <w:rFonts w:ascii="Times New Roman" w:cs="Times New Roman" w:eastAsia="Times New Roman" w:hAnsi="Times New Roman"/>
          <w:sz w:val="17"/>
          <w:szCs w:val="17"/>
          <w:color w:val="auto"/>
        </w:rPr>
        <w:t>Date: November 4, 2026</w:t>
      </w:r>
      <w:r>
        <w:rPr>
          <w:sz w:val="20"/>
          <w:szCs w:val="20"/>
          <w:color w:val="auto"/>
        </w:rPr>
        <w:tab/>
      </w:r>
      <w:r>
        <w:rPr>
          <w:rFonts w:ascii="Times New Roman" w:cs="Times New Roman" w:eastAsia="Times New Roman" w:hAnsi="Times New Roman"/>
          <w:sz w:val="17"/>
          <w:szCs w:val="17"/>
          <w:color w:val="auto"/>
        </w:rPr>
        <w:t>/s/ Gavin A. Mohr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17145</wp:posOffset>
            </wp:positionV>
            <wp:extent cx="321754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217545" cy="8255"/>
                    </a:xfrm>
                    <a:prstGeom prst="rect">
                      <a:avLst/>
                    </a:prstGeom>
                    <a:noFill/>
                  </pic:spPr>
                </pic:pic>
              </a:graphicData>
            </a:graphic>
          </wp:anchor>
        </w:drawing>
      </w:r>
    </w:p>
    <w:p>
      <w:pPr>
        <w:spacing w:after="0" w:line="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Gavin A. Mohr</w:t>
      </w:r>
    </w:p>
    <w:p>
      <w:pPr>
        <w:spacing w:after="0" w:line="3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Chief Financial Officer</w:t>
      </w:r>
    </w:p>
    <w:p>
      <w:pPr>
        <w:sectPr>
          <w:pgSz w:w="11900" w:h="16838" w:orient="portrait"/>
          <w:cols w:equalWidth="0" w:num="1">
            <w:col w:w="11240"/>
          </w:cols>
          <w:pgMar w:left="320" w:top="1064"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7"/>
          <w:szCs w:val="17"/>
          <w:color w:val="auto"/>
        </w:rPr>
        <w:t>EXHIBIT 32.1</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CERTIFICATE OF THE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CHIEF EXECUTIVE OFFICER OF</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INDEPENDENT BANK CORPORATION</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Pursuant to Section 906 of the Sarbanes-Oxley Act of 2002 (18 U.S.C. 1350):</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 William B. Kessel, President and Chief Executive Officer of Independent Bank Corporation, certify, to the best of my knowledge and belief, pursuant to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906 of the Sarbanes-Oxley Act of 2002 (18 U.S.C. 1350) that:</w:t>
      </w:r>
    </w:p>
    <w:p>
      <w:pPr>
        <w:spacing w:after="0" w:line="174" w:lineRule="exact"/>
        <w:rPr>
          <w:sz w:val="20"/>
          <w:szCs w:val="20"/>
          <w:color w:val="auto"/>
        </w:rPr>
      </w:pPr>
    </w:p>
    <w:p>
      <w:pPr>
        <w:ind w:left="1240" w:hanging="618"/>
        <w:spacing w:after="0" w:line="287" w:lineRule="auto"/>
        <w:tabs>
          <w:tab w:leader="none" w:pos="1234"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report on Form 10-Q for the quarterly period ended September 30, 2026, which this statement accompanies, fully complies with requirements of Section 13(a) or 15(d) of the Securities Exchange Act of 1934 and;</w:t>
      </w:r>
    </w:p>
    <w:p>
      <w:pPr>
        <w:spacing w:after="0" w:line="112" w:lineRule="exact"/>
        <w:rPr>
          <w:rFonts w:ascii="Times New Roman" w:cs="Times New Roman" w:eastAsia="Times New Roman" w:hAnsi="Times New Roman"/>
          <w:sz w:val="17"/>
          <w:szCs w:val="17"/>
          <w:color w:val="auto"/>
        </w:rPr>
      </w:pPr>
    </w:p>
    <w:p>
      <w:pPr>
        <w:ind w:left="1240" w:hanging="618"/>
        <w:spacing w:after="0" w:line="287" w:lineRule="auto"/>
        <w:tabs>
          <w:tab w:leader="none" w:pos="1234"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this quarterly report on Form 10-Q for the quarterly period ended September 30, 2026, fairly presents, in all material respects, the financial condition and results of operations of Independent Bank Corporation.</w:t>
      </w:r>
    </w:p>
    <w:p>
      <w:pPr>
        <w:spacing w:after="0" w:line="16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INDEPENDENT BANK CORPORATION</w:t>
      </w:r>
    </w:p>
    <w:p>
      <w:pPr>
        <w:spacing w:after="0" w:line="294" w:lineRule="exact"/>
        <w:rPr>
          <w:sz w:val="20"/>
          <w:szCs w:val="20"/>
          <w:color w:val="auto"/>
        </w:rPr>
      </w:pPr>
    </w:p>
    <w:p>
      <w:pPr>
        <w:ind w:left="20"/>
        <w:spacing w:after="0"/>
        <w:tabs>
          <w:tab w:leader="none" w:pos="6240" w:val="left"/>
        </w:tabs>
        <w:rPr>
          <w:sz w:val="20"/>
          <w:szCs w:val="20"/>
          <w:color w:val="auto"/>
        </w:rPr>
      </w:pPr>
      <w:r>
        <w:rPr>
          <w:rFonts w:ascii="Times New Roman" w:cs="Times New Roman" w:eastAsia="Times New Roman" w:hAnsi="Times New Roman"/>
          <w:sz w:val="17"/>
          <w:szCs w:val="17"/>
          <w:color w:val="auto"/>
        </w:rPr>
        <w:t>Date: November 4, 2026</w:t>
      </w:r>
      <w:r>
        <w:rPr>
          <w:sz w:val="20"/>
          <w:szCs w:val="20"/>
          <w:color w:val="auto"/>
        </w:rPr>
        <w:tab/>
      </w:r>
      <w:r>
        <w:rPr>
          <w:rFonts w:ascii="Times New Roman" w:cs="Times New Roman" w:eastAsia="Times New Roman" w:hAnsi="Times New Roman"/>
          <w:sz w:val="17"/>
          <w:szCs w:val="17"/>
          <w:color w:val="auto"/>
        </w:rPr>
        <w:t>/s/ William B. Kessel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929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209290" cy="8255"/>
                    </a:xfrm>
                    <a:prstGeom prst="rect">
                      <a:avLst/>
                    </a:prstGeom>
                    <a:noFill/>
                  </pic:spPr>
                </pic:pic>
              </a:graphicData>
            </a:graphic>
          </wp:anchor>
        </w:drawing>
      </w:r>
    </w:p>
    <w:p>
      <w:pPr>
        <w:spacing w:after="0" w:line="29"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7"/>
          <w:szCs w:val="17"/>
          <w:color w:val="auto"/>
        </w:rPr>
        <w:t>William B. Kessel</w:t>
      </w:r>
    </w:p>
    <w:p>
      <w:pPr>
        <w:spacing w:after="0" w:line="3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6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p>
      <w:pPr>
        <w:sectPr>
          <w:pgSz w:w="11900" w:h="16838" w:orient="portrait"/>
          <w:cols w:equalWidth="0" w:num="1">
            <w:col w:w="11240"/>
          </w:cols>
          <w:pgMar w:left="320" w:top="1064"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7"/>
          <w:szCs w:val="17"/>
          <w:color w:val="auto"/>
        </w:rPr>
        <w:t>EXHIBIT 32.2</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CERTIFICATE OF THE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CHIEF FINANCIAL OFFICER OF</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INDEPENDENT BANK CORPORATION</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Pursuant to Section 906 of the Sarbanes-Oxley Act of 2002 (18 U.S.C. 1350):</w:t>
      </w:r>
    </w:p>
    <w:p>
      <w:pPr>
        <w:spacing w:after="0" w:line="178"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I, Gavin A. Mohr, Chief Financial Officer of Independent Bank Corporation, certify, to the best of my knowledge and belief, pursuant to Section 906 of the Sarbanes-Oxley Act of 2002 (18 U.S.C. 1350) that:</w:t>
      </w:r>
    </w:p>
    <w:p>
      <w:pPr>
        <w:spacing w:after="0" w:line="125" w:lineRule="exact"/>
        <w:rPr>
          <w:sz w:val="20"/>
          <w:szCs w:val="20"/>
          <w:color w:val="auto"/>
        </w:rPr>
      </w:pPr>
    </w:p>
    <w:p>
      <w:pPr>
        <w:ind w:left="1240" w:hanging="618"/>
        <w:spacing w:after="0" w:line="287" w:lineRule="auto"/>
        <w:tabs>
          <w:tab w:leader="none" w:pos="1234"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report on Form 10-Q for the quarterly period ended September 30, 2026, which this statement accompanies, fully complies with requirements of Section 13(a) or 15(d) of the Securities Exchange Act of 1934 and;</w:t>
      </w:r>
    </w:p>
    <w:p>
      <w:pPr>
        <w:spacing w:after="0" w:line="112" w:lineRule="exact"/>
        <w:rPr>
          <w:rFonts w:ascii="Times New Roman" w:cs="Times New Roman" w:eastAsia="Times New Roman" w:hAnsi="Times New Roman"/>
          <w:sz w:val="17"/>
          <w:szCs w:val="17"/>
          <w:color w:val="auto"/>
        </w:rPr>
      </w:pPr>
    </w:p>
    <w:p>
      <w:pPr>
        <w:ind w:left="1240" w:hanging="618"/>
        <w:spacing w:after="0" w:line="287" w:lineRule="auto"/>
        <w:tabs>
          <w:tab w:leader="none" w:pos="1234"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this quarterly report on Form 10-Q for the quarterly period ended September 30, 2026, fairly presents, in all material respects, the financial condition and results of operations of Independent Bank Corporation.</w:t>
      </w:r>
    </w:p>
    <w:p>
      <w:pPr>
        <w:spacing w:after="0" w:line="16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INDEPENDENT BANK CORPORATION</w:t>
      </w:r>
    </w:p>
    <w:p>
      <w:pPr>
        <w:spacing w:after="0" w:line="294" w:lineRule="exact"/>
        <w:rPr>
          <w:sz w:val="20"/>
          <w:szCs w:val="20"/>
          <w:color w:val="auto"/>
        </w:rPr>
      </w:pPr>
    </w:p>
    <w:p>
      <w:pPr>
        <w:ind w:left="20"/>
        <w:spacing w:after="0"/>
        <w:tabs>
          <w:tab w:leader="none" w:pos="6180" w:val="left"/>
        </w:tabs>
        <w:rPr>
          <w:sz w:val="20"/>
          <w:szCs w:val="20"/>
          <w:color w:val="auto"/>
        </w:rPr>
      </w:pPr>
      <w:r>
        <w:rPr>
          <w:rFonts w:ascii="Times New Roman" w:cs="Times New Roman" w:eastAsia="Times New Roman" w:hAnsi="Times New Roman"/>
          <w:sz w:val="17"/>
          <w:szCs w:val="17"/>
          <w:color w:val="auto"/>
        </w:rPr>
        <w:t>Date: November 4, 2026</w:t>
      </w:r>
      <w:r>
        <w:rPr>
          <w:sz w:val="20"/>
          <w:szCs w:val="20"/>
          <w:color w:val="auto"/>
        </w:rPr>
        <w:tab/>
      </w:r>
      <w:r>
        <w:rPr>
          <w:rFonts w:ascii="Times New Roman" w:cs="Times New Roman" w:eastAsia="Times New Roman" w:hAnsi="Times New Roman"/>
          <w:sz w:val="17"/>
          <w:szCs w:val="17"/>
          <w:color w:val="auto"/>
        </w:rPr>
        <w:t>/s/ Gavin A. Mohr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17145</wp:posOffset>
            </wp:positionV>
            <wp:extent cx="321754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217545" cy="8255"/>
                    </a:xfrm>
                    <a:prstGeom prst="rect">
                      <a:avLst/>
                    </a:prstGeom>
                    <a:noFill/>
                  </pic:spPr>
                </pic:pic>
              </a:graphicData>
            </a:graphic>
          </wp:anchor>
        </w:drawing>
      </w:r>
    </w:p>
    <w:p>
      <w:pPr>
        <w:spacing w:after="0" w:line="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Gavin A. Mohr</w:t>
      </w:r>
    </w:p>
    <w:p>
      <w:pPr>
        <w:spacing w:after="0" w:line="3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6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sectPr>
      <w:pgSz w:w="11900" w:h="16838" w:orient="portrait"/>
      <w:cols w:equalWidth="0" w:num="1">
        <w:col w:w="11240"/>
      </w:cols>
      <w:pgMar w:left="320" w:top="10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1."/>
      <w:numFmt w:val="decimal"/>
      <w:start w:val="1"/>
    </w:lvl>
  </w:abstractNum>
  <w:abstractNum w:abstractNumId="2">
    <w:nsid w:val="7A6D8D3C"/>
    <w:multiLevelType w:val="hybridMultilevel"/>
    <w:lvl w:ilvl="0">
      <w:lvlJc w:val="left"/>
      <w:lvlText w:val="%1."/>
      <w:numFmt w:val="decimal"/>
      <w:start w:val="2"/>
    </w:lvl>
  </w:abstractNum>
  <w:abstractNum w:abstractNumId="3">
    <w:nsid w:val="4B588F54"/>
    <w:multiLevelType w:val="hybridMultilevel"/>
    <w:lvl w:ilvl="0">
      <w:lvlJc w:val="left"/>
      <w:lvlText w:val="(%1)"/>
      <w:numFmt w:val="decimal"/>
      <w:start w:val="1"/>
    </w:lvl>
  </w:abstractNum>
  <w:abstractNum w:abstractNumId="4">
    <w:nsid w:val="542289EC"/>
    <w:multiLevelType w:val="hybridMultilevel"/>
    <w:lvl w:ilvl="0">
      <w:lvlJc w:val="left"/>
      <w:lvlText w:val="%1."/>
      <w:numFmt w:val="decimal"/>
      <w:start w:val="4"/>
    </w:lvl>
  </w:abstractNum>
  <w:abstractNum w:abstractNumId="5">
    <w:nsid w:val="6DE91B18"/>
    <w:multiLevelType w:val="hybridMultilevel"/>
    <w:lvl w:ilvl="0">
      <w:lvlJc w:val="left"/>
      <w:lvlText w:val="(%1)"/>
      <w:numFmt w:val="decimal"/>
      <w:start w:val="1"/>
    </w:lvl>
  </w:abstractNum>
  <w:abstractNum w:abstractNumId="6">
    <w:nsid w:val="38437FDB"/>
    <w:multiLevelType w:val="hybridMultilevel"/>
    <w:lvl w:ilvl="0">
      <w:lvlJc w:val="left"/>
      <w:lvlText w:val="(%1)"/>
      <w:numFmt w:val="decimal"/>
      <w:start w:val="1"/>
    </w:lvl>
  </w:abstractNum>
  <w:abstractNum w:abstractNumId="7">
    <w:nsid w:val="7644A45C"/>
    <w:multiLevelType w:val="hybridMultilevel"/>
    <w:lvl w:ilvl="0">
      <w:lvlJc w:val="left"/>
      <w:lvlText w:val="%1."/>
      <w:numFmt w:val="decimal"/>
      <w:start w:val="5"/>
    </w:lvl>
  </w:abstractNum>
  <w:abstractNum w:abstractNumId="8">
    <w:nsid w:val="32FFF902"/>
    <w:multiLevelType w:val="hybridMultilevel"/>
    <w:lvl w:ilvl="0">
      <w:lvlJc w:val="left"/>
      <w:lvlText w:val="%1."/>
      <w:numFmt w:val="decimal"/>
      <w:start w:val="6"/>
    </w:lvl>
  </w:abstractNum>
  <w:abstractNum w:abstractNumId="9">
    <w:nsid w:val="684A481A"/>
    <w:multiLevelType w:val="hybridMultilevel"/>
    <w:lvl w:ilvl="0">
      <w:lvlJc w:val="left"/>
      <w:lvlText w:val="%1."/>
      <w:numFmt w:val="decimal"/>
      <w:start w:val="7"/>
    </w:lvl>
  </w:abstractNum>
  <w:abstractNum w:abstractNumId="10">
    <w:nsid w:val="579478FE"/>
    <w:multiLevelType w:val="hybridMultilevel"/>
    <w:lvl w:ilvl="0">
      <w:lvlJc w:val="left"/>
      <w:lvlText w:val="%1."/>
      <w:numFmt w:val="decimal"/>
      <w:start w:val="8"/>
    </w:lvl>
  </w:abstractNum>
  <w:abstractNum w:abstractNumId="11">
    <w:nsid w:val="749ABB43"/>
    <w:multiLevelType w:val="hybridMultilevel"/>
    <w:lvl w:ilvl="0">
      <w:lvlJc w:val="left"/>
      <w:lvlText w:val="%1."/>
      <w:numFmt w:val="decimal"/>
      <w:start w:val="10"/>
    </w:lvl>
  </w:abstractNum>
  <w:abstractNum w:abstractNumId="12">
    <w:nsid w:val="3DC240FB"/>
    <w:multiLevelType w:val="hybridMultilevel"/>
    <w:lvl w:ilvl="0">
      <w:lvlJc w:val="left"/>
      <w:lvlText w:val="(%1)"/>
      <w:numFmt w:val="decimal"/>
      <w:start w:val="1"/>
    </w:lvl>
  </w:abstractNum>
  <w:abstractNum w:abstractNumId="13">
    <w:nsid w:val="1BA026FA"/>
    <w:multiLevelType w:val="hybridMultilevel"/>
    <w:lvl w:ilvl="0">
      <w:lvlJc w:val="left"/>
      <w:lvlText w:val="%1."/>
      <w:numFmt w:val="decimal"/>
      <w:start w:val="11"/>
    </w:lvl>
  </w:abstractNum>
  <w:abstractNum w:abstractNumId="14">
    <w:nsid w:val="79A1DEAA"/>
    <w:multiLevelType w:val="hybridMultilevel"/>
    <w:lvl w:ilvl="0">
      <w:lvlJc w:val="left"/>
      <w:lvlText w:val="(%1)"/>
      <w:numFmt w:val="decimal"/>
      <w:start w:val="1"/>
    </w:lvl>
  </w:abstractNum>
  <w:abstractNum w:abstractNumId="15">
    <w:nsid w:val="75C6C33A"/>
    <w:multiLevelType w:val="hybridMultilevel"/>
    <w:lvl w:ilvl="0">
      <w:lvlJc w:val="left"/>
      <w:lvlText w:val="(%1)"/>
      <w:numFmt w:val="decimal"/>
      <w:start w:val="1"/>
    </w:lvl>
  </w:abstractNum>
  <w:abstractNum w:abstractNumId="16">
    <w:nsid w:val="12E685FB"/>
    <w:multiLevelType w:val="hybridMultilevel"/>
    <w:lvl w:ilvl="0">
      <w:lvlJc w:val="left"/>
      <w:lvlText w:val="•"/>
      <w:numFmt w:val="bullet"/>
      <w:start w:val="1"/>
    </w:lvl>
  </w:abstractNum>
  <w:abstractNum w:abstractNumId="17">
    <w:nsid w:val="70C6A529"/>
    <w:multiLevelType w:val="hybridMultilevel"/>
    <w:lvl w:ilvl="0">
      <w:lvlJc w:val="left"/>
      <w:lvlText w:val="(%1)"/>
      <w:numFmt w:val="decimal"/>
      <w:start w:val="1"/>
    </w:lvl>
  </w:abstractNum>
  <w:abstractNum w:abstractNumId="18">
    <w:nsid w:val="520EEDD1"/>
    <w:multiLevelType w:val="hybridMultilevel"/>
    <w:lvl w:ilvl="0">
      <w:lvlJc w:val="left"/>
      <w:lvlText w:val="(%1)"/>
      <w:numFmt w:val="decimal"/>
      <w:start w:val="1"/>
    </w:lvl>
  </w:abstractNum>
  <w:abstractNum w:abstractNumId="19">
    <w:nsid w:val="374A3FE6"/>
    <w:multiLevelType w:val="hybridMultilevel"/>
    <w:lvl w:ilvl="0">
      <w:lvlJc w:val="left"/>
      <w:lvlText w:val="%1."/>
      <w:numFmt w:val="decimal"/>
      <w:start w:val="12"/>
    </w:lvl>
  </w:abstractNum>
  <w:abstractNum w:abstractNumId="20">
    <w:nsid w:val="4F4EF005"/>
    <w:multiLevelType w:val="hybridMultilevel"/>
    <w:lvl w:ilvl="0">
      <w:lvlJc w:val="left"/>
      <w:lvlText w:val="(%1)"/>
      <w:numFmt w:val="decimal"/>
      <w:start w:val="1"/>
    </w:lvl>
  </w:abstractNum>
  <w:abstractNum w:abstractNumId="21">
    <w:nsid w:val="23F9C13C"/>
    <w:multiLevelType w:val="hybridMultilevel"/>
    <w:lvl w:ilvl="0">
      <w:lvlJc w:val="left"/>
      <w:lvlText w:val="%1."/>
      <w:numFmt w:val="decimal"/>
      <w:start w:val="13"/>
    </w:lvl>
  </w:abstractNum>
  <w:abstractNum w:abstractNumId="22">
    <w:nsid w:val="649BB77C"/>
    <w:multiLevelType w:val="hybridMultilevel"/>
    <w:lvl w:ilvl="0">
      <w:lvlJc w:val="left"/>
      <w:lvlText w:val="%1."/>
      <w:numFmt w:val="decimal"/>
      <w:start w:val="14"/>
    </w:lvl>
  </w:abstractNum>
  <w:abstractNum w:abstractNumId="23">
    <w:nsid w:val="275AC794"/>
    <w:multiLevelType w:val="hybridMultilevel"/>
    <w:lvl w:ilvl="0">
      <w:lvlJc w:val="left"/>
      <w:lvlText w:val="$"/>
      <w:numFmt w:val="bullet"/>
      <w:start w:val="1"/>
    </w:lvl>
    <w:lvl w:ilvl="1">
      <w:lvlJc w:val="left"/>
      <w:lvlText w:val="(%2)"/>
      <w:numFmt w:val="decimal"/>
      <w:start w:val="4"/>
    </w:lvl>
  </w:abstractNum>
  <w:abstractNum w:abstractNumId="24">
    <w:nsid w:val="39386575"/>
    <w:multiLevelType w:val="hybridMultilevel"/>
    <w:lvl w:ilvl="0">
      <w:lvlJc w:val="left"/>
      <w:lvlText w:val="$"/>
      <w:numFmt w:val="bullet"/>
      <w:start w:val="1"/>
    </w:lvl>
  </w:abstractNum>
  <w:abstractNum w:abstractNumId="25">
    <w:nsid w:val="1CF10FD8"/>
    <w:multiLevelType w:val="hybridMultilevel"/>
    <w:lvl w:ilvl="0">
      <w:lvlJc w:val="left"/>
      <w:lvlText w:val="$"/>
      <w:numFmt w:val="bullet"/>
      <w:start w:val="1"/>
    </w:lvl>
  </w:abstractNum>
  <w:abstractNum w:abstractNumId="26">
    <w:nsid w:val="180115BE"/>
    <w:multiLevelType w:val="hybridMultilevel"/>
    <w:lvl w:ilvl="0">
      <w:lvlJc w:val="left"/>
      <w:lvlText w:val="$"/>
      <w:numFmt w:val="bullet"/>
      <w:start w:val="1"/>
    </w:lvl>
  </w:abstractNum>
  <w:abstractNum w:abstractNumId="27">
    <w:nsid w:val="235BA861"/>
    <w:multiLevelType w:val="hybridMultilevel"/>
    <w:lvl w:ilvl="0">
      <w:lvlJc w:val="left"/>
      <w:lvlText w:val="$"/>
      <w:numFmt w:val="bullet"/>
      <w:start w:val="1"/>
    </w:lvl>
  </w:abstractNum>
  <w:abstractNum w:abstractNumId="28">
    <w:nsid w:val="47398C89"/>
    <w:multiLevelType w:val="hybridMultilevel"/>
    <w:lvl w:ilvl="0">
      <w:lvlJc w:val="left"/>
      <w:lvlText w:val="$"/>
      <w:numFmt w:val="bullet"/>
      <w:start w:val="1"/>
    </w:lvl>
    <w:lvl w:ilvl="1">
      <w:lvlJc w:val="left"/>
      <w:lvlText w:val="(%2)"/>
      <w:numFmt w:val="decimal"/>
      <w:start w:val="9"/>
    </w:lvl>
  </w:abstractNum>
  <w:abstractNum w:abstractNumId="29">
    <w:nsid w:val="354FE9F9"/>
    <w:multiLevelType w:val="hybridMultilevel"/>
    <w:lvl w:ilvl="0">
      <w:lvlJc w:val="left"/>
      <w:lvlText w:val="$"/>
      <w:numFmt w:val="bullet"/>
      <w:start w:val="1"/>
    </w:lvl>
  </w:abstractNum>
  <w:abstractNum w:abstractNumId="30">
    <w:nsid w:val="15B5AF5C"/>
    <w:multiLevelType w:val="hybridMultilevel"/>
    <w:lvl w:ilvl="0">
      <w:lvlJc w:val="left"/>
      <w:lvlText w:val="$"/>
      <w:numFmt w:val="bullet"/>
      <w:start w:val="1"/>
    </w:lvl>
  </w:abstractNum>
  <w:abstractNum w:abstractNumId="31">
    <w:nsid w:val="741226BB"/>
    <w:multiLevelType w:val="hybridMultilevel"/>
    <w:lvl w:ilvl="0">
      <w:lvlJc w:val="left"/>
      <w:lvlText w:val="$"/>
      <w:numFmt w:val="bullet"/>
      <w:start w:val="1"/>
    </w:lvl>
  </w:abstractNum>
  <w:abstractNum w:abstractNumId="32">
    <w:nsid w:val="D34B6A8"/>
    <w:multiLevelType w:val="hybridMultilevel"/>
    <w:lvl w:ilvl="0">
      <w:lvlJc w:val="left"/>
      <w:lvlText w:val="$"/>
      <w:numFmt w:val="bullet"/>
      <w:start w:val="1"/>
    </w:lvl>
  </w:abstractNum>
  <w:abstractNum w:abstractNumId="33">
    <w:nsid w:val="10233C99"/>
    <w:multiLevelType w:val="hybridMultilevel"/>
    <w:lvl w:ilvl="0">
      <w:lvlJc w:val="left"/>
      <w:lvlText w:val="$"/>
      <w:numFmt w:val="bullet"/>
      <w:start w:val="1"/>
    </w:lvl>
  </w:abstractNum>
  <w:abstractNum w:abstractNumId="34">
    <w:nsid w:val="3F6AB60F"/>
    <w:multiLevelType w:val="hybridMultilevel"/>
    <w:lvl w:ilvl="0">
      <w:lvlJc w:val="left"/>
      <w:lvlText w:val="$"/>
      <w:numFmt w:val="bullet"/>
      <w:start w:val="1"/>
    </w:lvl>
  </w:abstractNum>
  <w:abstractNum w:abstractNumId="35">
    <w:nsid w:val="61574095"/>
    <w:multiLevelType w:val="hybridMultilevel"/>
    <w:lvl w:ilvl="0">
      <w:lvlJc w:val="left"/>
      <w:lvlText w:val="$"/>
      <w:numFmt w:val="bullet"/>
      <w:start w:val="1"/>
    </w:lvl>
    <w:lvl w:ilvl="1">
      <w:lvlJc w:val="left"/>
      <w:lvlText w:val="(%2)"/>
      <w:numFmt w:val="decimal"/>
      <w:start w:val="75"/>
    </w:lvl>
  </w:abstractNum>
  <w:abstractNum w:abstractNumId="36">
    <w:nsid w:val="7E0C57B1"/>
    <w:multiLevelType w:val="hybridMultilevel"/>
    <w:lvl w:ilvl="0">
      <w:lvlJc w:val="left"/>
      <w:lvlText w:val="$"/>
      <w:numFmt w:val="bullet"/>
      <w:start w:val="1"/>
    </w:lvl>
  </w:abstractNum>
  <w:abstractNum w:abstractNumId="37">
    <w:nsid w:val="77AE35EB"/>
    <w:multiLevelType w:val="hybridMultilevel"/>
    <w:lvl w:ilvl="0">
      <w:lvlJc w:val="left"/>
      <w:lvlText w:val="$"/>
      <w:numFmt w:val="bullet"/>
      <w:start w:val="1"/>
    </w:lvl>
  </w:abstractNum>
  <w:abstractNum w:abstractNumId="38">
    <w:nsid w:val="579BE4F1"/>
    <w:multiLevelType w:val="hybridMultilevel"/>
    <w:lvl w:ilvl="0">
      <w:lvlJc w:val="left"/>
      <w:lvlText w:val="$"/>
      <w:numFmt w:val="bullet"/>
      <w:start w:val="1"/>
    </w:lvl>
  </w:abstractNum>
  <w:abstractNum w:abstractNumId="39">
    <w:nsid w:val="310C50B3"/>
    <w:multiLevelType w:val="hybridMultilevel"/>
    <w:lvl w:ilvl="0">
      <w:lvlJc w:val="left"/>
      <w:lvlText w:val="%1."/>
      <w:numFmt w:val="decimal"/>
      <w:start w:val="15"/>
    </w:lvl>
  </w:abstractNum>
  <w:abstractNum w:abstractNumId="40">
    <w:nsid w:val="5FF87E05"/>
    <w:multiLevelType w:val="hybridMultilevel"/>
    <w:lvl w:ilvl="0">
      <w:lvlJc w:val="left"/>
      <w:lvlText w:val="%1."/>
      <w:numFmt w:val="decimal"/>
      <w:start w:val="16"/>
    </w:lvl>
  </w:abstractNum>
  <w:abstractNum w:abstractNumId="41">
    <w:nsid w:val="2F305DEF"/>
    <w:multiLevelType w:val="hybridMultilevel"/>
    <w:lvl w:ilvl="0">
      <w:lvlJc w:val="left"/>
      <w:lvlText w:val="(%1)"/>
      <w:numFmt w:val="decimal"/>
      <w:start w:val="1"/>
    </w:lvl>
  </w:abstractNum>
  <w:abstractNum w:abstractNumId="42">
    <w:nsid w:val="25A70BF7"/>
    <w:multiLevelType w:val="hybridMultilevel"/>
    <w:lvl w:ilvl="0">
      <w:lvlJc w:val="left"/>
      <w:lvlText w:val="%1."/>
      <w:numFmt w:val="decimal"/>
      <w:start w:val="17"/>
    </w:lvl>
  </w:abstractNum>
  <w:abstractNum w:abstractNumId="43">
    <w:nsid w:val="1DBABF00"/>
    <w:multiLevelType w:val="hybridMultilevel"/>
    <w:lvl w:ilvl="0">
      <w:lvlJc w:val="left"/>
      <w:lvlText w:val="(%1)"/>
      <w:numFmt w:val="decimal"/>
      <w:start w:val="1"/>
    </w:lvl>
  </w:abstractNum>
  <w:abstractNum w:abstractNumId="44">
    <w:nsid w:val="4AD084E9"/>
    <w:multiLevelType w:val="hybridMultilevel"/>
    <w:lvl w:ilvl="0">
      <w:lvlJc w:val="left"/>
      <w:lvlText w:val="(%1)"/>
      <w:numFmt w:val="decimal"/>
      <w:start w:val="1"/>
    </w:lvl>
  </w:abstractNum>
  <w:abstractNum w:abstractNumId="45">
    <w:nsid w:val="1F48EAA1"/>
    <w:multiLevelType w:val="hybridMultilevel"/>
    <w:lvl w:ilvl="0">
      <w:lvlJc w:val="left"/>
      <w:lvlText w:val="(%1)"/>
      <w:numFmt w:val="decimal"/>
      <w:start w:val="1"/>
    </w:lvl>
  </w:abstractNum>
  <w:abstractNum w:abstractNumId="46">
    <w:nsid w:val="1381823A"/>
    <w:multiLevelType w:val="hybridMultilevel"/>
    <w:lvl w:ilvl="0">
      <w:lvlJc w:val="left"/>
      <w:lvlText w:val="(%1)"/>
      <w:numFmt w:val="decimal"/>
      <w:start w:val="1"/>
    </w:lvl>
  </w:abstractNum>
  <w:abstractNum w:abstractNumId="47">
    <w:nsid w:val="5DB70AE5"/>
    <w:multiLevelType w:val="hybridMultilevel"/>
    <w:lvl w:ilvl="0">
      <w:lvlJc w:val="left"/>
      <w:lvlText w:val="%1."/>
      <w:numFmt w:val="decimal"/>
      <w:start w:val="18"/>
    </w:lvl>
  </w:abstractNum>
  <w:abstractNum w:abstractNumId="48">
    <w:nsid w:val="100F8FCA"/>
    <w:multiLevelType w:val="hybridMultilevel"/>
    <w:lvl w:ilvl="0">
      <w:lvlJc w:val="left"/>
      <w:lvlText w:val="(%1)"/>
      <w:numFmt w:val="decimal"/>
      <w:start w:val="1"/>
    </w:lvl>
  </w:abstractNum>
  <w:abstractNum w:abstractNumId="49">
    <w:nsid w:val="6590700B"/>
    <w:multiLevelType w:val="hybridMultilevel"/>
    <w:lvl w:ilvl="0">
      <w:lvlJc w:val="left"/>
      <w:lvlText w:val="(%1)"/>
      <w:numFmt w:val="decimal"/>
      <w:start w:val="1"/>
    </w:lvl>
  </w:abstractNum>
  <w:abstractNum w:abstractNumId="50">
    <w:nsid w:val="15014ACB"/>
    <w:multiLevelType w:val="hybridMultilevel"/>
    <w:lvl w:ilvl="0">
      <w:lvlJc w:val="left"/>
      <w:lvlText w:val="(%1)"/>
      <w:numFmt w:val="decimal"/>
      <w:start w:val="1"/>
    </w:lvl>
  </w:abstractNum>
  <w:abstractNum w:abstractNumId="51">
    <w:nsid w:val="5F5E7FD0"/>
    <w:multiLevelType w:val="hybridMultilevel"/>
    <w:lvl w:ilvl="0">
      <w:lvlJc w:val="left"/>
      <w:lvlText w:val="(%1)"/>
      <w:numFmt w:val="decimal"/>
      <w:start w:val="1"/>
    </w:lvl>
  </w:abstractNum>
  <w:abstractNum w:abstractNumId="52">
    <w:nsid w:val="98A3148"/>
    <w:multiLevelType w:val="hybridMultilevel"/>
    <w:lvl w:ilvl="0">
      <w:lvlJc w:val="left"/>
      <w:lvlText w:val="(%1)"/>
      <w:numFmt w:val="decimal"/>
      <w:start w:val="2"/>
    </w:lvl>
  </w:abstractNum>
  <w:abstractNum w:abstractNumId="53">
    <w:nsid w:val="799D0247"/>
    <w:multiLevelType w:val="hybridMultilevel"/>
    <w:lvl w:ilvl="0">
      <w:lvlJc w:val="left"/>
      <w:lvlText w:val="(%1)"/>
      <w:numFmt w:val="decimal"/>
      <w:start w:val="1"/>
    </w:lvl>
  </w:abstractNum>
  <w:abstractNum w:abstractNumId="54">
    <w:nsid w:val="6B94764"/>
    <w:multiLevelType w:val="hybridMultilevel"/>
    <w:lvl w:ilvl="0">
      <w:lvlJc w:val="left"/>
      <w:lvlText w:val="(%1)"/>
      <w:numFmt w:val="decimal"/>
      <w:start w:val="1"/>
    </w:lvl>
  </w:abstractNum>
  <w:abstractNum w:abstractNumId="55">
    <w:nsid w:val="42C296BD"/>
    <w:multiLevelType w:val="hybridMultilevel"/>
    <w:lvl w:ilvl="0">
      <w:lvlJc w:val="left"/>
      <w:lvlText w:val="(%1)"/>
      <w:numFmt w:val="decimal"/>
      <w:start w:val="1"/>
    </w:lvl>
  </w:abstractNum>
  <w:abstractNum w:abstractNumId="56">
    <w:nsid w:val="168E121F"/>
    <w:multiLevelType w:val="hybridMultilevel"/>
    <w:lvl w:ilvl="0">
      <w:lvlJc w:val="left"/>
      <w:lvlText w:val="(%1)"/>
      <w:numFmt w:val="lowerLetter"/>
      <w:start w:val="1"/>
    </w:lvl>
  </w:abstractNum>
  <w:abstractNum w:abstractNumId="57">
    <w:nsid w:val="1EBA5D23"/>
    <w:multiLevelType w:val="hybridMultilevel"/>
    <w:lvl w:ilvl="0">
      <w:lvlJc w:val="left"/>
      <w:lvlText w:val="(%1)"/>
      <w:numFmt w:val="decimal"/>
      <w:start w:val="1"/>
    </w:lvl>
  </w:abstractNum>
  <w:abstractNum w:abstractNumId="58">
    <w:nsid w:val="661E3F1E"/>
    <w:multiLevelType w:val="hybridMultilevel"/>
    <w:lvl w:ilvl="0">
      <w:lvlJc w:val="left"/>
      <w:lvlText w:val="(%1)"/>
      <w:numFmt w:val="lowerLetter"/>
      <w:start w:val="1"/>
    </w:lvl>
  </w:abstractNum>
  <w:abstractNum w:abstractNumId="59">
    <w:nsid w:val="5DC79EA8"/>
    <w:multiLevelType w:val="hybridMultilevel"/>
    <w:lvl w:ilvl="0">
      <w:lvlJc w:val="left"/>
      <w:lvlText w:val="%1."/>
      <w:numFmt w:val="decimal"/>
      <w:start w:val="101"/>
    </w:lvl>
  </w:abstractNum>
  <w:abstractNum w:abstractNumId="60">
    <w:nsid w:val="540A471C"/>
    <w:multiLevelType w:val="hybridMultilevel"/>
    <w:lvl w:ilvl="0">
      <w:lvlJc w:val="left"/>
      <w:lvlText w:val="%1."/>
      <w:numFmt w:val="decimal"/>
      <w:start w:val="101"/>
    </w:lvl>
  </w:abstractNum>
  <w:abstractNum w:abstractNumId="61">
    <w:nsid w:val="7BD3EE7B"/>
    <w:multiLevelType w:val="hybridMultilevel"/>
    <w:lvl w:ilvl="0">
      <w:lvlJc w:val="left"/>
      <w:lvlText w:val="%1."/>
      <w:numFmt w:val="decimal"/>
      <w:start w:val="101"/>
    </w:lvl>
  </w:abstractNum>
  <w:abstractNum w:abstractNumId="62">
    <w:nsid w:val="51D9C564"/>
    <w:multiLevelType w:val="hybridMultilevel"/>
    <w:lvl w:ilvl="0">
      <w:lvlJc w:val="left"/>
      <w:lvlText w:val="%1."/>
      <w:numFmt w:val="decimal"/>
      <w:start w:val="101"/>
    </w:lvl>
  </w:abstractNum>
  <w:abstractNum w:abstractNumId="63">
    <w:nsid w:val="613EFDC5"/>
    <w:multiLevelType w:val="hybridMultilevel"/>
    <w:lvl w:ilvl="0">
      <w:lvlJc w:val="left"/>
      <w:lvlText w:val="%1."/>
      <w:numFmt w:val="decimal"/>
      <w:start w:val="101"/>
    </w:lvl>
  </w:abstractNum>
  <w:abstractNum w:abstractNumId="64">
    <w:nsid w:val="BF72B14"/>
    <w:multiLevelType w:val="hybridMultilevel"/>
    <w:lvl w:ilvl="0">
      <w:lvlJc w:val="left"/>
      <w:lvlText w:val="%1."/>
      <w:numFmt w:val="decimal"/>
      <w:start w:val="101"/>
    </w:lvl>
  </w:abstractNum>
  <w:abstractNum w:abstractNumId="65">
    <w:nsid w:val="11447B73"/>
    <w:multiLevelType w:val="hybridMultilevel"/>
    <w:lvl w:ilvl="0">
      <w:lvlJc w:val="left"/>
      <w:lvlText w:val="%1"/>
      <w:numFmt w:val="decimal"/>
      <w:start w:val="104"/>
    </w:lvl>
  </w:abstractNum>
  <w:abstractNum w:abstractNumId="66">
    <w:nsid w:val="42963E5A"/>
    <w:multiLevelType w:val="hybridMultilevel"/>
    <w:lvl w:ilvl="0">
      <w:lvlJc w:val="left"/>
      <w:lvlText w:val="%1."/>
      <w:numFmt w:val="upperLetter"/>
      <w:start w:val="1"/>
    </w:lvl>
  </w:abstractNum>
  <w:abstractNum w:abstractNumId="67">
    <w:nsid w:val="A0382C5"/>
    <w:multiLevelType w:val="hybridMultilevel"/>
    <w:lvl w:ilvl="0">
      <w:lvlJc w:val="left"/>
      <w:lvlText w:val="%1."/>
      <w:numFmt w:val="decimal"/>
      <w:start w:val="1"/>
    </w:lvl>
    <w:lvl w:ilvl="1">
      <w:lvlJc w:val="left"/>
      <w:lvlText w:val="(%2)"/>
      <w:numFmt w:val="lowerLetter"/>
      <w:start w:val="1"/>
    </w:lvl>
  </w:abstractNum>
  <w:abstractNum w:abstractNumId="68">
    <w:nsid w:val="8F2B15E"/>
    <w:multiLevelType w:val="hybridMultilevel"/>
    <w:lvl w:ilvl="0">
      <w:lvlJc w:val="left"/>
      <w:lvlText w:val="(%1)"/>
      <w:numFmt w:val="lowerLetter"/>
      <w:start w:val="2"/>
    </w:lvl>
    <w:lvl w:ilvl="1">
      <w:lvlJc w:val="left"/>
      <w:lvlText w:val="(%2)"/>
      <w:numFmt w:val="lowerRoman"/>
      <w:start w:val="1"/>
    </w:lvl>
  </w:abstractNum>
  <w:abstractNum w:abstractNumId="69">
    <w:nsid w:val="1A32234B"/>
    <w:multiLevelType w:val="hybridMultilevel"/>
    <w:lvl w:ilvl="0">
      <w:lvlJc w:val="left"/>
      <w:lvlText w:val="%1"/>
      <w:numFmt w:val="decimal"/>
      <w:start w:val="1"/>
    </w:lvl>
    <w:lvl w:ilvl="1">
      <w:lvlJc w:val="left"/>
      <w:lvlText w:val="(%2)"/>
      <w:numFmt w:val="lowerLetter"/>
      <w:start w:val="4"/>
    </w:lvl>
  </w:abstractNum>
  <w:abstractNum w:abstractNumId="70">
    <w:nsid w:val="3B0FD379"/>
    <w:multiLevelType w:val="hybridMultilevel"/>
    <w:lvl w:ilvl="0">
      <w:lvlJc w:val="left"/>
      <w:lvlText w:val="%1."/>
      <w:numFmt w:val="decimal"/>
      <w:start w:val="2"/>
    </w:lvl>
    <w:lvl w:ilvl="1">
      <w:lvlJc w:val="left"/>
      <w:lvlText w:val="(%2)"/>
      <w:numFmt w:val="lowerLetter"/>
      <w:start w:val="1"/>
    </w:lvl>
  </w:abstractNum>
  <w:abstractNum w:abstractNumId="71">
    <w:nsid w:val="68EB2F63"/>
    <w:multiLevelType w:val="hybridMultilevel"/>
    <w:lvl w:ilvl="0">
      <w:lvlJc w:val="left"/>
      <w:lvlText w:val="%1"/>
      <w:numFmt w:val="decimal"/>
      <w:start w:val="1"/>
    </w:lvl>
    <w:lvl w:ilvl="1">
      <w:lvlJc w:val="left"/>
      <w:lvlText w:val="(%2)"/>
      <w:numFmt w:val="lowerLetter"/>
      <w:start w:val="1"/>
    </w:lvl>
  </w:abstractNum>
  <w:abstractNum w:abstractNumId="72">
    <w:nsid w:val="4962813B"/>
    <w:multiLevelType w:val="hybridMultilevel"/>
    <w:lvl w:ilvl="0">
      <w:lvlJc w:val="left"/>
      <w:lvlText w:val="%1."/>
      <w:numFmt w:val="decimal"/>
      <w:start w:val="5"/>
    </w:lvl>
    <w:lvl w:ilvl="1">
      <w:lvlJc w:val="left"/>
      <w:lvlText w:val="(%2)"/>
      <w:numFmt w:val="lowerLetter"/>
      <w:start w:val="1"/>
    </w:lvl>
  </w:abstractNum>
  <w:abstractNum w:abstractNumId="73">
    <w:nsid w:val="60B6DF70"/>
    <w:multiLevelType w:val="hybridMultilevel"/>
    <w:lvl w:ilvl="0">
      <w:lvlJc w:val="left"/>
      <w:lvlText w:val="%1"/>
      <w:numFmt w:val="decimal"/>
      <w:start w:val="1"/>
    </w:lvl>
    <w:lvl w:ilvl="1">
      <w:lvlJc w:val="left"/>
      <w:lvlText w:val="(%2)"/>
      <w:numFmt w:val="lowerLetter"/>
      <w:start w:val="2"/>
    </w:lvl>
  </w:abstractNum>
  <w:abstractNum w:abstractNumId="74">
    <w:nsid w:val="6A5EE64"/>
    <w:multiLevelType w:val="hybridMultilevel"/>
    <w:lvl w:ilvl="0">
      <w:lvlJc w:val="left"/>
      <w:lvlText w:val="%1."/>
      <w:numFmt w:val="decimal"/>
      <w:start w:val="6"/>
    </w:lvl>
    <w:lvl w:ilvl="1">
      <w:lvlJc w:val="left"/>
      <w:lvlText w:val="(%2)"/>
      <w:numFmt w:val="lowerLetter"/>
      <w:start w:val="1"/>
    </w:lvl>
  </w:abstractNum>
  <w:abstractNum w:abstractNumId="75">
    <w:nsid w:val="14330624"/>
    <w:multiLevelType w:val="hybridMultilevel"/>
    <w:lvl w:ilvl="0">
      <w:lvlJc w:val="left"/>
      <w:lvlText w:val="%1"/>
      <w:numFmt w:val="decimal"/>
      <w:start w:val="1"/>
    </w:lvl>
    <w:lvl w:ilvl="1">
      <w:lvlJc w:val="left"/>
      <w:lvlText w:val="(%2)"/>
      <w:numFmt w:val="lowerLetter"/>
      <w:start w:val="2"/>
    </w:lvl>
  </w:abstractNum>
  <w:abstractNum w:abstractNumId="76">
    <w:nsid w:val="7FFFCA11"/>
    <w:multiLevelType w:val="hybridMultilevel"/>
    <w:lvl w:ilvl="0">
      <w:lvlJc w:val="left"/>
      <w:lvlText w:val="%1."/>
      <w:numFmt w:val="decimal"/>
      <w:start w:val="8"/>
    </w:lvl>
    <w:lvl w:ilvl="1">
      <w:lvlJc w:val="left"/>
      <w:lvlText w:val="%2"/>
      <w:numFmt w:val="lowerLetter"/>
      <w:start w:val="1"/>
    </w:lvl>
  </w:abstractNum>
  <w:abstractNum w:abstractNumId="77">
    <w:nsid w:val="1A27709E"/>
    <w:multiLevelType w:val="hybridMultilevel"/>
    <w:lvl w:ilvl="0">
      <w:lvlJc w:val="left"/>
      <w:lvlText w:val="%1"/>
      <w:numFmt w:val="lowerLetter"/>
      <w:start w:val="1"/>
    </w:lvl>
    <w:lvl w:ilvl="1">
      <w:lvlJc w:val="left"/>
      <w:lvlText w:val="%2."/>
      <w:numFmt w:val="decimal"/>
      <w:start w:val="10"/>
    </w:lvl>
  </w:abstractNum>
  <w:abstractNum w:abstractNumId="78">
    <w:nsid w:val="71EA1109"/>
    <w:multiLevelType w:val="hybridMultilevel"/>
    <w:lvl w:ilvl="0">
      <w:lvlJc w:val="left"/>
      <w:lvlText w:val="(%1)"/>
      <w:numFmt w:val="lowerLetter"/>
      <w:start w:val="3"/>
    </w:lvl>
    <w:lvl w:ilvl="1">
      <w:lvlJc w:val="left"/>
      <w:lvlText w:val="%2."/>
      <w:numFmt w:val="decimal"/>
      <w:start w:val="12"/>
    </w:lvl>
  </w:abstractNum>
  <w:abstractNum w:abstractNumId="79">
    <w:nsid w:val="100F59DC"/>
    <w:multiLevelType w:val="hybridMultilevel"/>
    <w:lvl w:ilvl="0">
      <w:lvlJc w:val="left"/>
      <w:lvlText w:val="%1."/>
      <w:numFmt w:val="decimal"/>
      <w:start w:val="14"/>
    </w:lvl>
  </w:abstractNum>
  <w:abstractNum w:abstractNumId="80">
    <w:nsid w:val="7FB7E0AA"/>
    <w:multiLevelType w:val="hybridMultilevel"/>
    <w:lvl w:ilvl="0">
      <w:lvlJc w:val="left"/>
      <w:lvlText w:val="(%1)"/>
      <w:numFmt w:val="decimal"/>
      <w:start w:val="6"/>
    </w:lvl>
    <w:lvl w:ilvl="1">
      <w:lvlJc w:val="left"/>
      <w:lvlText w:val="%2."/>
      <w:numFmt w:val="decimal"/>
      <w:start w:val="17"/>
    </w:lvl>
  </w:abstractNum>
  <w:abstractNum w:abstractNumId="81">
    <w:nsid w:val="6EB5BD4"/>
    <w:multiLevelType w:val="hybridMultilevel"/>
    <w:lvl w:ilvl="0">
      <w:lvlJc w:val="left"/>
      <w:lvlText w:val="%1."/>
      <w:numFmt w:val="decimal"/>
      <w:start w:val="20"/>
    </w:lvl>
  </w:abstractNum>
  <w:abstractNum w:abstractNumId="82">
    <w:nsid w:val="6F6DD9AC"/>
    <w:multiLevelType w:val="hybridMultilevel"/>
    <w:lvl w:ilvl="0">
      <w:lvlJc w:val="left"/>
      <w:lvlText w:val="%1."/>
      <w:numFmt w:val="decimal"/>
      <w:start w:val="23"/>
    </w:lvl>
  </w:abstractNum>
  <w:abstractNum w:abstractNumId="83">
    <w:nsid w:val="94211F2"/>
    <w:multiLevelType w:val="hybridMultilevel"/>
    <w:lvl w:ilvl="0">
      <w:lvlJc w:val="left"/>
      <w:lvlText w:val="%1."/>
      <w:numFmt w:val="decimal"/>
      <w:start w:val="26"/>
    </w:lvl>
  </w:abstractNum>
  <w:abstractNum w:abstractNumId="84">
    <w:nsid w:val="885E1B"/>
    <w:multiLevelType w:val="hybridMultilevel"/>
    <w:lvl w:ilvl="0">
      <w:lvlJc w:val="left"/>
      <w:lvlText w:val="%1."/>
      <w:numFmt w:val="decimal"/>
      <w:start w:val="1"/>
    </w:lvl>
    <w:lvl w:ilvl="1">
      <w:lvlJc w:val="left"/>
      <w:lvlText w:val="%2)"/>
      <w:numFmt w:val="lowerLetter"/>
      <w:start w:val="1"/>
    </w:lvl>
  </w:abstractNum>
  <w:abstractNum w:abstractNumId="85">
    <w:nsid w:val="76272110"/>
    <w:multiLevelType w:val="hybridMultilevel"/>
    <w:lvl w:ilvl="0">
      <w:lvlJc w:val="left"/>
      <w:lvlText w:val="%1."/>
      <w:numFmt w:val="decimal"/>
      <w:start w:val="1"/>
    </w:lvl>
    <w:lvl w:ilvl="1">
      <w:lvlJc w:val="left"/>
      <w:lvlText w:val="%2)"/>
      <w:numFmt w:val="lowerLetter"/>
      <w:start w:val="1"/>
    </w:lvl>
  </w:abstractNum>
  <w:abstractNum w:abstractNumId="86">
    <w:nsid w:val="4C04A8AF"/>
    <w:multiLevelType w:val="hybridMultilevel"/>
    <w:lvl w:ilvl="0">
      <w:lvlJc w:val="left"/>
      <w:lvlText w:val="(%1)"/>
      <w:numFmt w:val="decimal"/>
      <w:start w:val="1"/>
    </w:lvl>
  </w:abstractNum>
  <w:abstractNum w:abstractNumId="87">
    <w:nsid w:val="1716703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2026-11-04T12:06:47Z</dcterms:created>
  <dcterms:modified xsi:type="dcterms:W3CDTF">2026-11-04T12:06:47Z</dcterms:modified>
</cp:coreProperties>
</file>