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3" w:lineRule="exact"/>
        <w:rPr>
          <w:sz w:val="24"/>
          <w:szCs w:val="24"/>
          <w:color w:val="auto"/>
        </w:rPr>
      </w:pPr>
    </w:p>
    <w:p>
      <w:pPr>
        <w:jc w:val="center"/>
        <w:ind w:right="20"/>
        <w:spacing w:after="0" w:line="261"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Annual Report Pursuant to Section 13 or 15(d) of the Securities Exchange Act of 1934 for the fiscal year ended December 31, 2022 or</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Transition Report Pursuant to Section 13 or 15(d) of the Securities Exchange Act of 1934 for the transition period from</w:t>
      </w:r>
    </w:p>
    <w:p>
      <w:pPr>
        <w:ind w:left="4380"/>
        <w:spacing w:after="0"/>
        <w:rPr>
          <w:sz w:val="20"/>
          <w:szCs w:val="20"/>
          <w:color w:val="auto"/>
        </w:rPr>
      </w:pPr>
      <w:r>
        <w:rPr>
          <w:rFonts w:ascii="Times New Roman" w:cs="Times New Roman" w:eastAsia="Times New Roman" w:hAnsi="Times New Roman"/>
          <w:sz w:val="18"/>
          <w:szCs w:val="18"/>
          <w:color w:val="auto"/>
        </w:rPr>
        <w:t>_____________to_____________</w:t>
      </w:r>
    </w:p>
    <w:p>
      <w:pPr>
        <w:spacing w:after="0" w:line="153"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8540" w:type="dxa"/>
            <w:vAlign w:val="bottom"/>
          </w:tcPr>
          <w:p>
            <w:pPr>
              <w:jc w:val="right"/>
              <w:ind w:right="3930"/>
              <w:spacing w:after="0"/>
              <w:rPr>
                <w:sz w:val="20"/>
                <w:szCs w:val="20"/>
                <w:color w:val="auto"/>
              </w:rPr>
            </w:pPr>
            <w:r>
              <w:rPr>
                <w:rFonts w:ascii="Times New Roman" w:cs="Times New Roman" w:eastAsia="Times New Roman" w:hAnsi="Times New Roman"/>
                <w:sz w:val="18"/>
                <w:szCs w:val="18"/>
                <w:color w:val="auto"/>
              </w:rPr>
              <w:t>0-7818</w:t>
            </w:r>
          </w:p>
        </w:tc>
      </w:tr>
      <w:tr>
        <w:trPr>
          <w:trHeight w:val="27"/>
        </w:trPr>
        <w:tc>
          <w:tcPr>
            <w:tcW w:w="2680" w:type="dxa"/>
            <w:vAlign w:val="bottom"/>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bl>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Michigan</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50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38-2032782</w:t>
            </w:r>
          </w:p>
        </w:tc>
      </w:tr>
      <w:tr>
        <w:trPr>
          <w:trHeight w:val="27"/>
        </w:trPr>
        <w:tc>
          <w:tcPr>
            <w:tcW w:w="4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50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86"/>
        </w:trPr>
        <w:tc>
          <w:tcPr>
            <w:tcW w:w="47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4200 East Beltline, Grand Rapids, Michigan</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0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49525</w:t>
            </w:r>
          </w:p>
        </w:tc>
      </w:tr>
      <w:tr>
        <w:trPr>
          <w:trHeight w:val="27"/>
        </w:trPr>
        <w:tc>
          <w:tcPr>
            <w:tcW w:w="4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50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56"/>
        </w:trPr>
        <w:tc>
          <w:tcPr>
            <w:tcW w:w="4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500" w:type="dxa"/>
            <w:vAlign w:val="bottom"/>
            <w:tcBorders>
              <w:bottom w:val="single" w:sz="8" w:color="auto"/>
            </w:tcBorders>
          </w:tcPr>
          <w:p>
            <w:pPr>
              <w:spacing w:after="0"/>
              <w:rPr>
                <w:sz w:val="22"/>
                <w:szCs w:val="22"/>
                <w:color w:val="auto"/>
              </w:rPr>
            </w:pPr>
          </w:p>
        </w:tc>
      </w:tr>
      <w:tr>
        <w:trPr>
          <w:trHeight w:val="237"/>
        </w:trPr>
        <w:tc>
          <w:tcPr>
            <w:tcW w:w="47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7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500" w:type="dxa"/>
            <w:vAlign w:val="bottom"/>
            <w:tcBorders>
              <w:right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w w:val="99"/>
              </w:rPr>
              <w:t>(616) 527-5820</w:t>
            </w:r>
          </w:p>
        </w:tc>
      </w:tr>
      <w:tr>
        <w:trPr>
          <w:trHeight w:val="27"/>
        </w:trPr>
        <w:tc>
          <w:tcPr>
            <w:tcW w:w="5640" w:type="dxa"/>
            <w:vAlign w:val="bottom"/>
            <w:tcBorders>
              <w:right w:val="single" w:sz="8" w:color="auto"/>
            </w:tcBorders>
            <w:gridSpan w:val="3"/>
          </w:tcPr>
          <w:p>
            <w:pPr>
              <w:spacing w:after="0"/>
              <w:rPr>
                <w:sz w:val="2"/>
                <w:szCs w:val="2"/>
                <w:color w:val="auto"/>
              </w:rPr>
            </w:pPr>
          </w:p>
        </w:tc>
        <w:tc>
          <w:tcPr>
            <w:tcW w:w="5620" w:type="dxa"/>
            <w:vAlign w:val="bottom"/>
            <w:tcBorders>
              <w:bottom w:val="single" w:sz="8" w:color="auto"/>
              <w:right w:val="single" w:sz="8" w:color="auto"/>
            </w:tcBorders>
            <w:gridSpan w:val="3"/>
          </w:tcPr>
          <w:p>
            <w:pPr>
              <w:spacing w:after="0"/>
              <w:rPr>
                <w:sz w:val="2"/>
                <w:szCs w:val="2"/>
                <w:color w:val="auto"/>
              </w:rPr>
            </w:pPr>
          </w:p>
        </w:tc>
      </w:tr>
      <w:tr>
        <w:trPr>
          <w:trHeight w:val="412"/>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78"/>
        </w:trPr>
        <w:tc>
          <w:tcPr>
            <w:tcW w:w="478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9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IBCP</w:t>
            </w:r>
          </w:p>
        </w:tc>
        <w:tc>
          <w:tcPr>
            <w:tcW w:w="45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NASDAQ</w:t>
            </w:r>
          </w:p>
        </w:tc>
      </w:tr>
      <w:tr>
        <w:trPr>
          <w:trHeight w:val="27"/>
        </w:trPr>
        <w:tc>
          <w:tcPr>
            <w:tcW w:w="4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(Title of class)</w:t>
            </w:r>
          </w:p>
        </w:tc>
        <w:tc>
          <w:tcPr>
            <w:tcW w:w="19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(Name of Exchange)</w:t>
            </w:r>
          </w:p>
        </w:tc>
      </w:tr>
    </w:tbl>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9"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right="3920"/>
        <w:spacing w:after="0" w:line="250" w:lineRule="auto"/>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Non-accelerated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Smaller reporting company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Emerging growth company </w:t>
      </w:r>
      <w:r>
        <w:rPr>
          <w:rFonts w:ascii="Wingdings" w:cs="Wingdings" w:eastAsia="Wingdings" w:hAnsi="Wingdings"/>
          <w:sz w:val="18"/>
          <w:szCs w:val="18"/>
          <w:b w:val="1"/>
          <w:bCs w:val="1"/>
          <w:color w:val="auto"/>
        </w:rPr>
        <w:t>o</w:t>
      </w:r>
    </w:p>
    <w:p>
      <w:pPr>
        <w:spacing w:after="0" w:line="1"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 w:lineRule="exact"/>
        <w:rPr>
          <w:sz w:val="24"/>
          <w:szCs w:val="24"/>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 of the Act).</w:t>
      </w:r>
    </w:p>
    <w:p>
      <w:pPr>
        <w:spacing w:after="0" w:line="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as of June 30, 2022, was $397,300,287.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March 2, 2023 was 21,130,307.</w:t>
      </w:r>
    </w:p>
    <w:p>
      <w:pPr>
        <w:spacing w:after="0" w:line="9" w:lineRule="exact"/>
        <w:rPr>
          <w:sz w:val="24"/>
          <w:szCs w:val="24"/>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Documents incorporated by reference: Portions of our definitive proxy statement and annual report, to be delivered to shareholders in connection with the April 25, 2023 Annual Meeting of Shareholders, are incorporated by reference into Part I, Part II, Part III, and Part IV of this Form 10-K.</w:t>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Exhibit Index appears on Pages 23-24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339" w:right="319" w:bottom="879"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in this Annual Report on Form 10-K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2" w:lineRule="exact"/>
        <w:rPr>
          <w:sz w:val="20"/>
          <w:szCs w:val="20"/>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8"/>
          <w:szCs w:val="18"/>
          <w:color w:val="auto"/>
        </w:rPr>
      </w:pPr>
    </w:p>
    <w:p>
      <w:pPr>
        <w:ind w:left="820" w:right="20" w:hanging="488"/>
        <w:spacing w:after="0" w:line="250"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w:t>
      </w: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Annual Report on Form 10-K, but the list is not intended to be all-inclusive. The risk factors disclosed in Part I – Item 1A below include those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our current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PART I</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tab/>
        <w:t>BUSINESS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Independent Bank Corporation was incorporated under the laws of the State of Michigan on September 17, 1973, for the purpose of becoming a bank holding company. We are registered under the Bank Holding Company Act of 1956, as amended, and own all of the outstanding stock of Independent Bank (the "bank"), which is also organized under the laws of the State of Michigan. The bank was founded as First National Bank in Ionia in 1864. Over the years, we have grown both organically and as the result of acquisitions of community banks, bank branches, and other organizations within the financial services industry. Our most recent acquisition was our acquisition of Traverse City State Bank in April 2018.</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Aside from the stock of our bank, we have no other substantial assets. We conduct no business except for the collection of dividends or returns of capital from our bank and the payment of dividends to our shareholders and the payment of interest on subordinated debt and debentures. We have established certain employee retirement plans, including an employee stock ownership plan (ESOP) and deferred compensation plans, as well as health and other insurance programs, the cost of which is borne by our subsidiaries. We have no material patents, trademarks, licenses or franchises except the corporate charter of our bank, which permits it to engage in commercial banking pursuant to Michigan law.</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Our bank does not offer trust services. Our principal markets are the rural and suburban communities across Lower Michigan, which are served by the bank's main office in Grand Rapids, Michigan, and a total of 56 branches, two drive-thru facilities, and five Michigan based loan production offices. We also have one loan production office in Ohio (Fairlawn). Most of our bank's branches provide full-service lobby and drive-thru services, as well as automatic teller machines (ATMs). In addition, we provide internet and mobile banking capabilities to our customers. We continue to see customer transaction volume declining at our bank offices and increasing through our electronic channels.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bank competes with other commercial banks, savings banks, credit unions, mortgage banking companies, fintech companies, securities brokerage companies, insurance companies, and money market mutual funds. Many of these competitors have substantially greater resources than we do and offer certain services that we do not currently provide. Such competitors may also have greater lending limits than our bank. In addition, non-bank competitors are generally not subject to the extensive regulations applicable to us. Price (the interest charged on loans and paid on deposits) remains a principal means of competition within the financial services industry. Our bank also competes on the basis of service and convenience in providing financial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our bank had total loans (excluding loans held for sale) of $3.465 billion and total deposits of $4.379 billion.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we had 803 full-time employees and 113 part-time employees. We compete for talent and human resources with other financial services organizations within our geographic market, which is largely the lower peninsula of Michigan. The market for residential mortgage loan officers and support staff is particularly competitive given the competitive nature of those products. We strive to be an employer of choice by offering competitive compensation and benefits as well as fostering strong employee relations through our culture, training and growth opportunities, and similar measures. As a community-oriented bank, we believe it is especially important for our employees to engage with the communities in our market areas, and we encourage and provide opportunities for our employees to volunteer with local organizations in the markets served by our bank branches.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general banking services, we also offer title insurance services and investment services through a third party agreement with Cetera Investment Services LLC.</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8"/>
          <w:szCs w:val="18"/>
          <w:u w:val="single" w:color="auto"/>
          <w:color w:val="auto"/>
        </w:rPr>
        <w:t xml:space="preserve">BUSINESS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consolidated basis, our principal sources of revenue are interest and fees on loans, other interest income, and non-interest income. The sources of revenue for the three most recent years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2020</w:t>
            </w:r>
          </w:p>
        </w:tc>
      </w:tr>
      <w:tr>
        <w:trPr>
          <w:trHeight w:val="27"/>
        </w:trPr>
        <w:tc>
          <w:tcPr>
            <w:tcW w:w="6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w:t>
            </w:r>
          </w:p>
        </w:tc>
      </w:tr>
      <w:tr>
        <w:trPr>
          <w:trHeight w:val="237"/>
        </w:trPr>
        <w:tc>
          <w:tcPr>
            <w:tcW w:w="62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Supervision and Regulation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statutes and regulations affecting us. This summary is qualified in its entirety by reference to the particular statutes and regulations. A change in applicable laws or regulations may have a material effect on us and our bank.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institutions and their holding companies are extensively regulated under federal and state law. Consequently, our growth and earnings performance can be affected not only by management decisions and general and local economic conditions, but also by the statutes administered by, and the regulations and policies of, various governmental regulatory authorities. Those authorities include, but are not limited to, the Federal Reserve, the Federal Deposit Insurance Corporation (“FDIC”), the Michigan Department of Insurance and Financial Services (“Michigan DIFS”), the Internal Revenue Service, and state taxing authorities. The effect of such statutes, regulations and policies and any changes thereto can be significant and cannot necessarily be predicted.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and state laws and regulations generally applicable to financial institutions and their holding companies regulate, among other things, the scope of business, investments, reserves against deposits, capital levels, lending activities and practices, the nature and amount of collateral for loans, the establishment of branches, mergers, consolidations and dividends. The system of supervision and regulation applicable to us establishes a comprehensive framework for our operations and is intended primarily for the protection of the FDIC's deposit insurance fund, our depositors, and the public, rather than our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Bank Corporation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bank holding company and, as such, are registered with, and subject to regulation by, the Federal Reserve under the Bank Holding Company Act, as amended (the "BHCA"). Under the BHCA, we are subject to periodic examination by the Federal Reserve and are required to file periodic reports of operations and such additional information as the Federal Reserve may require.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Federal law requires bank holding companies to act as a source of strength to their bank subsidiaries and to commit capital and financial resources to support those subsidiaries. Such support may be required by the Federal Reserve at times when we might otherwise determine not to provide 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the Michigan DIFS deems a bank's capital to be impaired, it may require a bank to restore its capital by special assessment upon the bank holding company, as the bank's sole shareholder. If the bank holding company failed to pay such assessment, the directors of that bank would be required, under Michigan law, to sell the shares of bank stock owned by the bank holding company to the highest bidder at either public or private auction and use the proceeds of the sale to restore the bank's capital.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Investments and Activities</w:t>
      </w:r>
      <w:r>
        <w:rPr>
          <w:rFonts w:ascii="Times New Roman" w:cs="Times New Roman" w:eastAsia="Times New Roman" w:hAnsi="Times New Roman"/>
          <w:sz w:val="18"/>
          <w:szCs w:val="18"/>
          <w:color w:val="auto"/>
        </w:rPr>
        <w:t>. Federal law places restrictions on the ability of our holding company to engage in certain transactions, make investments,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(directly or indirectly through a subsidiary) in various activities.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8"/>
          <w:szCs w:val="18"/>
          <w:u w:val="single" w:color="auto"/>
          <w:color w:val="auto"/>
        </w:rPr>
        <w:t xml:space="preserve">BUSINESS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any direct or indirect acquisition by a bank holding company of any voting shares of any bank which would result in the bank holding company's direct or indirect ownership or control of more than 5% of any class of voting shares of such bank, and any merger or consolidation of the bank holding company with another bank holding company, will require the prior written approval of the Federal Reserve under the BHCA. In acting on such applications, the Federal Reserve must consider various statutory factors including the effect of the proposed transaction on competition in relevant geographic and product markets and each party's financial condition, managerial resources, and record of performance under the Community Reinvestment 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or consolidation of an existing bank subsidiary of a bank holding company with another bank, or the acquisition by such a subsidiary of the assets of another bank, or the assumption of the deposit and other liabilities by such a subsidiary requires the prior written approval of the responsible federal regulatory agency under the Bank Merger Act, based upon a consideration of statutory factors similar to those outlined above with respect to the BHCA. In addition, in certain cases, an application to, and the prior approval of, the Federal Reserve under the BHCA and/or Michigan DIFS under Michigan banking laws, may be required.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With certain limited exceptions, the BHCA prohibits any bank holding company from engaging, either directly or indirectly through a subsidiary, in any activity other than managing or controlling banks unless the proposed non-banking activity is one the Federal Reserve has determined to be so closely related to banking as to be a proper incident thereto. Under current Federal Reserve regulations, such permissible non-banking activities include such things as mortgage banking, equipment leasing, securities brokerage, and consumer and commercial finance company operations. Well-capitalized and well-managed bank holding companies may, however, engage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in certain types of non-banking activities without prior notice to, or approval of, the Federal Reserve, provided that written notice of the new activity is given to the Federal Reserve within 10 business days after the activity is commenced. If a bank holding company wishes to engage in a non-banking activity by acquiring a going concern, prior notice and/or prior approval will be required, depending upon the activities in which the company to be acquired is engaged, the size of the company to be acquired and the financial and managerial condition of the acquiring bank holding company.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Eligible bank holding companies that elect to operate as financial holding companies may engage in, or own shares in companies engaged in, a wider range of non-banking activities, including securities and insurance activities and any other activity the Federal Reserve, in consultation with the U.S. Department of Treasury, (the “Treasury”) determines by regulation or order is financial in nature, incidental to any such financial activity or complementary to any such financial activity and does not pose a substantial risk to the safety or soundness of depository institutions or the financial system generally. The BHCA generally does not place territorial restrictions on the domestic activities of non-bank subsidiaries of bank or financial holding companies. We have not applied for approval to operate as a financial holding company and have no current intention of doing so.</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Capital Requirements</w:t>
      </w:r>
      <w:r>
        <w:rPr>
          <w:rFonts w:ascii="Times New Roman" w:cs="Times New Roman" w:eastAsia="Times New Roman" w:hAnsi="Times New Roman"/>
          <w:sz w:val="18"/>
          <w:szCs w:val="18"/>
          <w:color w:val="auto"/>
        </w:rPr>
        <w:t>. The Federal Reserve uses capital adequacy guidelines in its examination and regulation of bank holding companies. If capital falls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minimum guidelines, a bank holding company may, among other things, be denied approval to acquire or establish additional banks or non-bank businesses.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current federal regulations, our holding company is required to maintain the following minimum capital ratios: (1) a minimum ratio of common equity Tier 1 capital to risk-weighted assets of 4.5%, (2) a minimum ratio of Tier 1 capital to risk-weighted assets of 6%, (3) a minimum ratio of total capital to total risk-weighted assets of 8%, and (4) a minimum leverage ratio of 4%. A 2.5% common equity Tier 1 capital conservation buffer is also required. At December 31, 2022, our holding company's capital ratios exceeded minimum requirements for the well-capitalized category.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Tier 1 capital as of December 31, 2022, includes $38.4 million of trust preferred securities (classified on our Consolidated Statements of Financial Condition as "Subordinated debentures"). The Federal Reserve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could be included in the Tier 2 capital, subject to restrictions. The provisions of the Dodd-Frank Wall Street Reform and Consumer Protection Act adopted in 2010 (the "Dodd-Frank Act") imposed additional limitations on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8"/>
          <w:szCs w:val="18"/>
          <w:u w:val="single" w:color="auto"/>
          <w:color w:val="auto"/>
        </w:rPr>
        <w:t xml:space="preserve">BUSINESS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include trust preferred securities as Tier 1 capital; however, these additional limitations do not apply to our outstanding trust preferred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Tier 2 capital as of December 31, 2022 includes $40.0 million of subordinated notes that were issued during 2020 and mature May, 2030. Generally, for subordinated debt with a minimum maturity of five years, there is no limit on the amount of subordinated debt that can be included in Tier 2 capital.</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Historically, most of our revenues have been received in the form of dividends paid by our bank. We can also make requests for returns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from our bank; however, such requests require the approval of the Michigan DIFS. Thus, our ability to pay dividends to our shareholders is indirectly limited by restrictions on the ability of our bank to pay dividends or return capital to us, as described below. Further, in a policy statement, the Federal Reserve has expressed its view that a bank holding company experiencing earnings weaknesses should not pay cash dividends exceeding its net income or that can only be funded in ways that weaken the bank holding company's financial health, such as by borrowing.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The "prompt corrective action" provisions of federal law and regulation authorize the Federal Reserve to restrict the amount of dividends that can be paid by an insured bank that fails to meet specified capital levels.</w:t>
      </w:r>
    </w:p>
    <w:p>
      <w:pPr>
        <w:spacing w:after="0" w:line="1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restrictions on dividends imposed by the Federal Reserve, the Michigan Business Corporation Act provides that dividends may be legally declared or paid only if, after the distribution, the corporation can pay its debts as they come due in the usual course of business and its total assets equal or exceed the sum of its liabilities plus the amount that would be needed to satisfy the preferential rights upon dissolution of any holders of preferred stock whose preferential rights are superior to those receiving the distribution.</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Change in Control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exceptions, the Change in the Bank Control Act ("Control Act") and regulations promulgated thereunder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Federal Reserve, require any person acting directly or indirectly, or through or in concert with one or more persons, to give the Federal Reserve 60 days' written notice before acquiring control of a bank holding company. Pursuant to the Control Act, the Federal Reserve has the authority to prevent any such acquisition. Transactions that are presumed to constitute the acquisition of control include the acquisition of any voting securities of a bank holding company having securities registered under Section 12 of the Securities Exchange Act of 1934, as amended, if, after the transaction, the acquiring person (or persons acting in concert) owns, controls or holds with power to vote 10% or more of any class of voting securities of the institution.</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Federal Securities Regulation</w:t>
      </w:r>
      <w:r>
        <w:rPr>
          <w:rFonts w:ascii="Times New Roman" w:cs="Times New Roman" w:eastAsia="Times New Roman" w:hAnsi="Times New Roman"/>
          <w:sz w:val="18"/>
          <w:szCs w:val="18"/>
          <w:color w:val="auto"/>
        </w:rPr>
        <w:t>. Our common stock is registered under the Securities Exchange Act of 1934, as amended (the "Exchange Act").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subject to the information, proxy solicitation, insider trading and other restrictions and requirements of the Securities and Exchange Commission ("SEC") under the Exchange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Bank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Independent Bank is a Michigan banking corporation and a member of the Federal Reserve System, and its deposit accounts are insured by the FDIC's Deposit Insurance Fund ("DIF"). As a member of the Federal Reserve System and a Michigan-chartered bank, our bank is subject to the examination, supervision, reporting and enforcement requirements of the Federal Reserve as its primary federal regulator and the Michigan DIFS as the chartering authority for Michigan banks. These agencies and the federal and state laws applicable to our bank and its operations extensively regulate various aspects of the banking business including, among other things, permissible types and amounts of loans, investments and other activities, capital adequacy, branching, interest rates on loans and on deposits, the maintenance of non-interest bearing reserves on deposit accounts, and the safety and soundness of banking practices.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Deposit Insurance</w:t>
      </w:r>
      <w:r>
        <w:rPr>
          <w:rFonts w:ascii="Times New Roman" w:cs="Times New Roman" w:eastAsia="Times New Roman" w:hAnsi="Times New Roman"/>
          <w:sz w:val="18"/>
          <w:szCs w:val="18"/>
          <w:color w:val="auto"/>
        </w:rPr>
        <w:t>. As an FDIC-insured institution, our bank is required to pay deposit insurance premium assessments to the FDIC. Under the FDIC’s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risk-based assessment system for deposit insurance premiums, our bank’s assessment rate is based on a formula using financial data and supervisory ratings.</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Michigan DIFS Assessments</w:t>
      </w:r>
      <w:r>
        <w:rPr>
          <w:rFonts w:ascii="Times New Roman" w:cs="Times New Roman" w:eastAsia="Times New Roman" w:hAnsi="Times New Roman"/>
          <w:sz w:val="18"/>
          <w:szCs w:val="18"/>
          <w:color w:val="auto"/>
        </w:rPr>
        <w:t>. Michigan banks are required to pay supervisory fees to the Michigan DIFS to fund their operations.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supervisory fees paid by a bank is based upon the bank's total assets.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Capital Requirements</w:t>
      </w:r>
      <w:r>
        <w:rPr>
          <w:rFonts w:ascii="Times New Roman" w:cs="Times New Roman" w:eastAsia="Times New Roman" w:hAnsi="Times New Roman"/>
          <w:sz w:val="18"/>
          <w:szCs w:val="18"/>
          <w:color w:val="auto"/>
        </w:rPr>
        <w:t>. The Federal Reserve has established the following minimum capital standards for state-chartered, FDIC-insured member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our bank: (1) a minimum ratio of common equity Tier 1 capital to risk-weighted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8"/>
          <w:szCs w:val="18"/>
          <w:u w:val="single" w:color="auto"/>
          <w:color w:val="auto"/>
        </w:rPr>
        <w:t xml:space="preserve">BUSINESS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of 4.5%, (2) a minimum ratio of Tier 1 capital to risk-weighted assets of 6%, (3) a minimum ratio of total capital to total risk-weighted assets of 8%, and (4) a minimum leverage ratio of 4%. A 2.5% common equity Tier 1 capital conservation buffer is also required. 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Federal regulations define these capital categories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Tier 1</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Equity Tier 1</w:t>
            </w:r>
          </w:p>
        </w:tc>
        <w:tc>
          <w:tcPr>
            <w:tcW w:w="14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Risk-Based</w:t>
            </w:r>
          </w:p>
        </w:tc>
        <w:tc>
          <w:tcPr>
            <w:tcW w:w="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Risk-Based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Risk-Based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Leverage</w:t>
            </w:r>
          </w:p>
        </w:tc>
      </w:tr>
      <w:tr>
        <w:trPr>
          <w:trHeight w:val="238"/>
        </w:trPr>
        <w:tc>
          <w:tcPr>
            <w:tcW w:w="50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 Ratio</w:t>
            </w:r>
          </w:p>
        </w:tc>
        <w:tc>
          <w:tcPr>
            <w:tcW w:w="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Capital Ratio</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Capital Ratio</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r>
      <w:tr>
        <w:trPr>
          <w:trHeight w:val="27"/>
        </w:trPr>
        <w:tc>
          <w:tcPr>
            <w:tcW w:w="50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capitalized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or above</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8% or above</w:t>
            </w:r>
          </w:p>
        </w:tc>
        <w:tc>
          <w:tcPr>
            <w:tcW w:w="1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6.5% or above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or above</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Adequately capitalized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or above</w:t>
            </w:r>
          </w:p>
        </w:tc>
        <w:tc>
          <w:tcPr>
            <w:tcW w:w="8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6% or above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4.5% or above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or above</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Undercapitalized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Less than 6%</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Less than 4.5%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4%</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Significantly undercapitalized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6%</w:t>
            </w:r>
          </w:p>
        </w:tc>
        <w:tc>
          <w:tcPr>
            <w:tcW w:w="8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Less than 4%</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Less than 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3%</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Critically undercapitalized</w:t>
            </w:r>
          </w:p>
        </w:tc>
        <w:tc>
          <w:tcPr>
            <w:tcW w:w="1480" w:type="dxa"/>
            <w:vAlign w:val="bottom"/>
            <w:shd w:val="clear" w:color="auto" w:fill="CCEEFF"/>
          </w:tcPr>
          <w:p>
            <w:pPr>
              <w:spacing w:after="0"/>
              <w:rPr>
                <w:sz w:val="21"/>
                <w:szCs w:val="21"/>
                <w:color w:val="auto"/>
              </w:rPr>
            </w:pPr>
          </w:p>
        </w:tc>
        <w:tc>
          <w:tcPr>
            <w:tcW w:w="32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Tangible equity to total assets of 2% or less</w:t>
            </w:r>
          </w:p>
        </w:tc>
        <w:tc>
          <w:tcPr>
            <w:tcW w:w="1480" w:type="dxa"/>
            <w:vAlign w:val="bottom"/>
            <w:shd w:val="clear" w:color="auto" w:fill="CCEEFF"/>
          </w:tcPr>
          <w:p>
            <w:pPr>
              <w:spacing w:after="0"/>
              <w:rPr>
                <w:sz w:val="21"/>
                <w:szCs w:val="21"/>
                <w:color w:val="auto"/>
              </w:rPr>
            </w:pPr>
          </w:p>
        </w:tc>
      </w:tr>
      <w:tr>
        <w:trPr>
          <w:trHeight w:val="27"/>
        </w:trPr>
        <w:tc>
          <w:tcPr>
            <w:tcW w:w="50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our bank's ratios exceeded minimum requirements for the well-capitalized category.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rates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debentures; and ultimately, appointing a receiver for the institution.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to correct the deficiency following receipt of a less-than-satisfactory rating on its most recent examination report.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Under Michigan law, banks are restricted as to the maximum amount of dividends they may pay on their common stock. Our bank may not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except out of its net income after deducting its losses and provision for credit losses. In addition, a Michigan bank may not declare or pay a dividend unless the bank will have a surplus amounting to at least 20 percent of its capital after the payment of the dividend.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as a member of the Federal Reserve System, our bank is required to obtain the prior approval of the Federal Reserve for the declaration or payment of a dividend if the total of all dividends declared in any year will exceed the total of (a) the bank's retained net income (as defined by federal regulation) for that year,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bank's retained net income for the preceding two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law also generally prohibits a depository institution from making any capital distribution (including payment of a dividend) or paying any management fee to its holding company if the depository institution would thereafter be undercapitalized. In addition, the Federal Reserve may prohibit the payment of dividends by a bank if such payment is determined, by reason of the financial condition of the bank, to be an unsafe and unsound banking practice or if the bank is in default of payment of any assessment due to the FDIC.</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Insider Transactions</w:t>
      </w:r>
      <w:r>
        <w:rPr>
          <w:rFonts w:ascii="Times New Roman" w:cs="Times New Roman" w:eastAsia="Times New Roman" w:hAnsi="Times New Roman"/>
          <w:sz w:val="18"/>
          <w:szCs w:val="18"/>
          <w:color w:val="auto"/>
        </w:rPr>
        <w:t>. Our bank is subject to certain restrictions imposed by the Federal Reserve Act on "covered transactions" with us or our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investments in our stock or other securities issued by us or our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8"/>
          <w:szCs w:val="18"/>
          <w:u w:val="single" w:color="auto"/>
          <w:color w:val="auto"/>
        </w:rPr>
        <w:t xml:space="preserve">BUSINESS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subsidiaries, the acceptance of our stock or other securities issued by us or our subsidiaries as collateral for loans, and extensions of credit to us or our subsidiaries. Certain limitations and reporting requirements are also placed on extensions of credit by our bank to the directors and officers of the holding company, the bank, and the subsidiaries of the bank; to the principal shareholders of the holding company; and to "related interests" of such directors, officers, and principal shareholders. In addition, federal law and regulations may affect the terms upon which any person becoming one of our directors or officers or a principal shareholder may obtain credit from banks with which our bank maintains a correspondent relationship.</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Safety and Soundness Standards</w:t>
      </w:r>
      <w:r>
        <w:rPr>
          <w:rFonts w:ascii="Times New Roman" w:cs="Times New Roman" w:eastAsia="Times New Roman" w:hAnsi="Times New Roman"/>
          <w:sz w:val="18"/>
          <w:szCs w:val="18"/>
          <w:color w:val="auto"/>
        </w:rPr>
        <w:t>. Pursuant to the Federal Deposit Insurance Corporation Improvement Act of 1991 ("FDICIA"), the FDIC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to establish operational and managerial standards to promote the safety and soundness of federally-insured depository institutions. The guidelines establish standards for internal controls, information systems, internal audit systems, loan documentation, credit underwriting, interest rate exposure, asset growth, compensation, fees and benefits, asset quality, and earnings.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Investment and Other Activities</w:t>
      </w:r>
      <w:r>
        <w:rPr>
          <w:rFonts w:ascii="Times New Roman" w:cs="Times New Roman" w:eastAsia="Times New Roman" w:hAnsi="Times New Roman"/>
          <w:sz w:val="18"/>
          <w:szCs w:val="18"/>
          <w:color w:val="auto"/>
        </w:rPr>
        <w:t>. Under federal law and regulations, FDIC-insured state banks are prohibited, subject to certain exceptions, from making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retaining equity investments of a type, or in an amount, that are not permissible for a national bank. FDICIA, as implemented by FDIC regulations, also prohibits FDIC-insured state banks and their subsidiaries, subject to certain exceptions, from engaging as a principal in any activity that is not permitted for a national bank or its subsidiary, respectively, unless the bank meets, and continues to meet, its minimum regulatory capital requirements and the bank's primary federal regulator determines the activity would not pose a significant risk to the DIF. Impermissible investments and activities must be otherwise divested or discontinued within certain time frames set by the bank's primary federal regulator in accordance with federal law. These restrictions are not currently expected to have a material impact on the operations of our bank.</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Consumer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bank's business includes making a variety of types of loans to individuals. In making these loans, our bank is subject to state usury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consumer protection laws and to various federal statutes, including provisions of the Gramm Leach-Bliley Act aimed at protecting the privacy of consumer financial information, the Equal Credit Opportunity Act, the Fair Credit Reporting Act, the Truth in Lending Act (TILA), the Real Estate Settlement Procedures Act (RESPA), the Home Mortgage Disclosure Act, and the regulations promulgated under these statutes, which (among other things) prohibit discrimination, specify disclosures to be made to borrowers regarding credit and settlement costs, and regulate the mortgage loan servicing activities of our bank, including the maintenance and operation of escrow accounts and the transfer of mortgage loan servicing. In receiving deposits, our bank is subject to extensive regulation under state and federal law and regulations, including the Truth in Savings Act, the Expedited Funds Availability Act, the Electronic Funds Transfer Act, and the Federal Deposit Insurance Act. Violation of these laws could result in the imposition of significant damages and fines upon our bank and its directors and officers.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number of consumer protection laws were implemented following the 2008 recession, including the Dodd-Frank Act, adopted in 2010. The Dodd-Frank Act created the Consumer Financial Protection Bureau ("CFPB"), which was given the power to issue and enforce certain consumer protection laws. The CFPB has issued a number of consumer protection regulations, including regulations that impact residential mortgage lending and servicing.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experienced, and expect to continue to experience, increased costs and expenses related to compliance with these consumer protection regulations as well as new regulations that may be implemented in the future.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Anti-Money Laundering and the USA PATRIOT Act</w:t>
      </w:r>
      <w:r>
        <w:rPr>
          <w:rFonts w:ascii="Times New Roman" w:cs="Times New Roman" w:eastAsia="Times New Roman" w:hAnsi="Times New Roman"/>
          <w:sz w:val="18"/>
          <w:szCs w:val="18"/>
          <w:color w:val="auto"/>
        </w:rPr>
        <w:t>. The bank is subject to a number of financial recordkeeping and anti-money laundering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including the Bank Secrecy Act and the USA PATRIOT Act, as well as similar rules and guidelines implemented and enforced by the Department of the Treasury's Financial Crimes Enforcement Network ("FinCEN") and the Federal Financial Institutions Council ("FFIEC"). These laws and regulations require the bank to take certain steps to prevent the use of the bank or its systems from facilitating the flow of illegal or illicit money or terrorist funds. These regulations include FinCEN's Customer Due Diligence Requirements for Financial Institutions, which is designed to identify and verify the identity of natural persons (known as beneficial owners) of legal entity customers who own, control and profit from companies when those companies open accounts.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2018 Regulatory Reform</w:t>
      </w:r>
      <w:r>
        <w:rPr>
          <w:rFonts w:ascii="Times New Roman" w:cs="Times New Roman" w:eastAsia="Times New Roman" w:hAnsi="Times New Roman"/>
          <w:sz w:val="18"/>
          <w:szCs w:val="18"/>
          <w:color w:val="auto"/>
        </w:rPr>
        <w:t>. In May 2018, the Economic Growth, Regulatory Relief and Consumer Protection Act (the "2018 Act") was enacted to modify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 certain financial reform rules and regulations, including some of those implemented under the Dodd-Frank Act. While the 2018 Act maintained most of the regulatory structure established by the Dodd-Frank Act, it amended certain aspects of the regulatory framework for small depository institutions with assets of less than $10 billion and for large banks with assets of more than $50 billion.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8"/>
          <w:szCs w:val="18"/>
          <w:u w:val="single" w:color="auto"/>
          <w:color w:val="auto"/>
        </w:rPr>
        <w:t xml:space="preserve">BUSINESS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2018 Act also included regulatory relief for community banks regarding regulatory examination cycles, call reports, the Volcker Rule (proprietary trading prohibitions), mortgage disclosures, and risk weights for certain high-risk commercial real estate loans.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Anti-Money Laundering Act of 2020</w:t>
      </w:r>
      <w:r>
        <w:rPr>
          <w:rFonts w:ascii="Times New Roman" w:cs="Times New Roman" w:eastAsia="Times New Roman" w:hAnsi="Times New Roman"/>
          <w:sz w:val="18"/>
          <w:szCs w:val="18"/>
          <w:color w:val="auto"/>
        </w:rPr>
        <w:t>. The National Defense Authorization Act for Fiscal Year 2021 (the "NDAA") enacted January 1, 2021 over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presidential veto, includes a number of significant new requirements intended to enhance U.S. anti-money laundering efforts. These provisions, many of which are contained within a section of the NDAA known as the Anti-Money Laundering Act of 2020 (the "AMLA"), include establishment of a beneficial ownership registration database, the creation of two new criminal offenses regarding money laundering, new penalties for Bank Secrecy Act violations, and increased whistleblower rewards and protections. Under these new laws, various government agencies will also be tasked with identification of policy priorities, establishment of streamlined processes, creation of information sharing programs, and regular reporting to Congress in an effort to modernize anti-money laundering enforcement.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Branching Authority</w:t>
      </w:r>
      <w:r>
        <w:rPr>
          <w:rFonts w:ascii="Times New Roman" w:cs="Times New Roman" w:eastAsia="Times New Roman" w:hAnsi="Times New Roman"/>
          <w:sz w:val="18"/>
          <w:szCs w:val="18"/>
          <w:color w:val="auto"/>
        </w:rPr>
        <w:t>. Michigan banks, such as our bank, have the authority under Michigan law to establish branches anywhere in the State of Michigan,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receipt of all required regulatory approvals. Banks may establish interstate branch networks through acquisitions of other banks. The establishment of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interstate branches or the acquisition of individual branches of a bank in another state (rather than the acquisition of an out-of-state bank in its entirety) is allowed only if specifically authorized by state law.</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Michigan permits both U.S. and non-U.S. banks to establish branch offices in Michigan. The Michigan Banking Code permits, in appropriate circumstances and with the approval of the Michigan DIFS (1) the acquisition of Michigan banks by FDIC-insured banks or savings banks located in other states, (2) the sale by a Michigan bank of branches to an FDIC-insured bank or savings bank located in a state in which a Michigan bank could purchase branches of the purchasing entity, (3) the consolidation of Michigan banks and FDIC-insured banks or savings banks located in other states having laws permitting such consolidation, (4) the establishment of branches in Michigan by FDIC-insured banks located in other states, the District of Columbia or U.S. territories or protectorates having laws permitting a Michigan bank to establish a branch in such jurisdiction, and (5) the establishment by foreign banks of branches located in Michigan.</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u w:val="single" w:color="auto"/>
          <w:color w:val="auto"/>
        </w:rPr>
        <w:t>Current Expected Credit Loss ("CECL")</w:t>
      </w:r>
      <w:r>
        <w:rPr>
          <w:rFonts w:ascii="Times New Roman" w:cs="Times New Roman" w:eastAsia="Times New Roman" w:hAnsi="Times New Roman"/>
          <w:sz w:val="18"/>
          <w:szCs w:val="18"/>
          <w:color w:val="auto"/>
        </w:rPr>
        <w:t>. In June 2016, the Financial Accounting Standards Board (‘‘FASB’’) issued Accounting Standards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2016-13, ‘‘Financial Instruments — Credit Losses (Topic 326), Measurement of Credit Losses on Financial Instruments’’. We adopted this ASU on January 1, 2021. The federal bank regulatory agencies allow for an optional phase-in period for the impact of CECL on regulatory capital, and we have elected the three year CECL method for regulatory capital purposes. This ASU, also referred to as Current Expected Credit Loss, or CECL, requires financial institutions to determine periodic estimates of lifetime expected credit losses on loans, and recognize the expected credit losses as allowances for credit losses. This represents a change from the previous method of providing allowances for credit losses that are probable See note #1, “Accounting Policies” in the Notes to Consolidated Financial Statements in our annual report, to be delivered to shareholders in connection with the April 25, 2023 Annual Meeting of Shareholders (filed as exhibit 13 to this report on Form 10-K) for additional discussion relating to our adoption of CECL.</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Replacement of LIBOR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2017, the Chief Executive of the United Kingdom Financial Conduct Authority, which regulates the London Interbank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("LIBOR"), announced that it intended to stop persuading or compelling banks to submit rates for the calibration of LIBOR after 2021. On March 5, 2021, LIBOR’s administrator announced end dates for publication of LIBOR: December 31, 2021 for one-week and two-month USD LIBOR maturities and non-USD LIBOR maturities, and June 30, 2023 for all other tenors. Federal bank regulators have issued guidance indicating that banks should “cease entering into new contracts that use USD LIBOR as a reference rate as soon as practicable and in any event by December 31, 2021.”</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Federal Reserve and the Alternative Reference Rates Committee ("ARRC"), a steering committee comprised primarily of large U.S. financial institutions, have identified the Secured Overnight Financing Rate ("SOFR"), a broad measure of the cost of borrowing cash overnight collateralized by Treasury securities, as a potential alternative to LIBOR, and the Federal Reserve announced final plans for the production of SOFR. In July 2021, the ARRC formally recommended the CME SOFR Term Rates. Whether SOFR will become a LIBOR replacement and the ultimate future of LIBOR remain uncertain. Some financial institutions have indicated an intent to use other rates in addition to SOFR. However, both Fannie Mae and Freddie Mac announced in 2020 that they would cease purchasing and issuing LIBOR-based products by the end of 2020 and have begun accepting mortgages based on SOFR.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formed a cross-functional project team to lead this transition from LIBOR to a planned adoption of reference rates which could include SOFR, among others. Implementation of successor indices may lead to additional documentation requirements, compliance measures, financial impacts, and technology-related challenges, as well as potential disputes 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8"/>
          <w:szCs w:val="18"/>
          <w:u w:val="single" w:color="auto"/>
          <w:color w:val="auto"/>
        </w:rPr>
        <w:t xml:space="preserve">BUSINESS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litigation with customers and creditors. We are utilizing the timeline guidance published by the ARRC to develop and achieve internal milestones during this transitional period. We discontinued the use of new LIBOR-based loans and interest rate derivative as of December 31, 2021, according to regulatory guidelines. We also discontinued the use of new LIBOR based interest rate derivatives as of December 31, 2021.</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Inflation Reduction Act of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16, 2022, the Inflation Reduction Act of 2022 was signed into law. The Inflation Reduction Act of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 1% excise tax on net stock repurchases, effective January 1, 2023. We do not expect that this new excise tax will have a material impact on our operations or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Future Legislation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other legislative and regulatory initiatives, including proposals to overhaul the bank regulatory system, are from time to time introduced in Congress and state legislatures, as well as regulatory agencies. Such future legislation regarding financial institutions may change banking statutes and our operating environment in substantial and unpredictable ways and could increase or decrease the cost of doing business, limit or expand permissible activities, or affect the competitive balance among organizations within the industry. The nature and extent of future legislative and regulatory changes affecting financial institutions is very unpredictable. We cannot determine the ultimate effect that any such potential legislation, if enacted, would have upon our financial condition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Available Information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annual reports on Forms 10-K, quarterly reports on Forms 10-Q, current reports on Forms 8-K, and all amendments to those reports are available free of charge through our website at </w:t>
      </w:r>
      <w:r>
        <w:rPr>
          <w:rFonts w:ascii="Times New Roman" w:cs="Times New Roman" w:eastAsia="Times New Roman" w:hAnsi="Times New Roman"/>
          <w:sz w:val="18"/>
          <w:szCs w:val="18"/>
          <w:u w:val="single" w:color="auto"/>
          <w:color w:val="auto"/>
        </w:rPr>
        <w:t>www.IndependentBank.com</w:t>
      </w:r>
      <w:r>
        <w:rPr>
          <w:rFonts w:ascii="Times New Roman" w:cs="Times New Roman" w:eastAsia="Times New Roman" w:hAnsi="Times New Roman"/>
          <w:sz w:val="18"/>
          <w:szCs w:val="18"/>
          <w:color w:val="auto"/>
        </w:rPr>
        <w:t xml:space="preserve"> as soon as reasonably practicable after filing with the SEC.</w:t>
      </w:r>
    </w:p>
    <w:p>
      <w:pPr>
        <w:spacing w:after="0" w:line="16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auto"/>
        </w:rPr>
        <w:t>ITEM 1A.</w:t>
      </w:r>
      <w:r>
        <w:rPr>
          <w:sz w:val="20"/>
          <w:szCs w:val="20"/>
          <w:color w:val="auto"/>
        </w:rPr>
        <w:tab/>
      </w:r>
      <w:r>
        <w:rPr>
          <w:rFonts w:ascii="Times New Roman" w:cs="Times New Roman" w:eastAsia="Times New Roman" w:hAnsi="Times New Roman"/>
          <w:sz w:val="17"/>
          <w:szCs w:val="17"/>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in our common stock involves risks, including (among others)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Relating to the Financial Services Industry</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Pressures from various macroeconomic events, including recessionary concerns, heightened inflation, increased interest rates, rising energy prices, supply chain disruptions, concerns over the Russia-Ukraine war, and foreign currency exchange rate fluctuations have created, and continue to create, significant economic uncertainty and could materially and adversely impact our financial condition and performance.</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extent to which these macroeconomic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particular, economic downturns and other adverse impacts from these macroeconomic factors could result in the delinquency of outstanding loans, which could have a material adverse impact on our earnings. We continue to closely monitor and analyze the higher risk segments within our portfolio in light of the high degree of uncertainty that exists with respect to the impact of the fluid global economic conditions on the future performance of our loan portfolio.</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Governmental monetary and fiscal policies may adversely affect the financial services industry and therefore impact our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Monetary and fiscal policies of various governmental and regulatory agencies, particularly the Federal Reserve, affect the financial services industry, directly and indirectly. The Federal Reserve regulates the supply of money and credit in the U.S., and its monetary and fiscal policies determine in a large part our cost of funds for lending and investing and the return that can be earned on such loans and investments. Changes in such policies, including changes in interest rates, will influence the origination of loans, the value of investments, the value of capitalized mortgage loan servicing rights, the generation of deposits and the rates received on loans and investment securities and paid on deposits. Changes in monetary and fiscal policies are beyond our control and difficult to predict. Our financial condition and results of operations could be materially adversely impacted by changes in governmental monetary and fiscal policies.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Volatility and disruptions in global capital and credit markets may adversely impact our business,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we operate in a distinct geographic region in the U.S., we are impacted by global capital and credit markets, which are sometimes subject to periods of extreme volatility and disruption. Disruptions, uncertainty or volatility in the capital and credit markets may limit our ability to access capital and manage liquidity, which may adversely affect our business, financial condition and results of operations. Further, our customers may be adversely impacted by such conditions, which could have a negative impact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soundness of other financial institutions could adversely affect 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industries and counterparties, and we routinely execute transactions with counterparties in the financial industry. As a result, defaults by, or even rumors or questions about, one or more financial services institutions, or the financial services industry generally, can lead to market-wide liquidity problems and losses or defaults by us or by other institutions. Many of these transactions could expose us to credit risk in the event of default by a counterparty. In addition, our credit risk may be impacted when the collateral held by us cannot be realized upon or is liquidated at prices not sufficient to recover the full amount of the financial instrument exposure due to us. There is no assurance that any such losses would not adversely affect us and possibly be material in nature.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regulation or oversight may have a material adverse impact on our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extensive regulation, supervision and examination by the Federal Reserve, the FDIC, the Michigan DIFS, the SEC and other regulatory bodies. Such regulation and supervision governs the activities in which we may engage. Regulatory authorities have extensive discretion in their supervisory and enforcement activities, including the imposition of restrictions on our operations, limitations related to our securities, the classification of our assets, and the determination of the level of our allowance for credit losses. Any change in such regulation and oversight, whether in the form of regulatory policy, regulations, legislation or supervisory action, may have a material adverse impact on our business, financial condition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regulatory focus on the financial services industry is common in connection with an economic downturn, as the industry experienced following the most recent financial crisis. As a result, the adverse effects on our business relating to a future economic downturn could be exacerbated by additional regulations and regulatory scrutiny that accompanied or followed any such downturn. We can neither predict when or whether future regulatory or legislative reforms will be enacted nor what their contents will be. The impact of any future legislation or regulatory actions on our businesses or operations cannot be determined at this time, and such impact may adversely affect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liquidity risk in our operations, which could adversely impact our ability to fund various obligations.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risk is the possibility of being unable to meet obligations as they come due or capitalize on growth opportunities as they arise because of an inability to liquidate assets or obtain adequate funding on a timely basis, at a reasonable cost and within acceptable risk tolerances. Liquidity is required to fund various obligations, including credit obligations to borrowers, loan originations, withdrawals by depositors, repayment of debt, dividends to shareholders, operating expenses and capital expenditures. Liquidity is derived primarily from retail deposit growth and earnings retention, principal and interest payments on loans and investment securities, net cash provided from operations and access to other funding. If we are unable to maintain adequate liquidity, then our business, financial condition and results of operations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cybersecurity risks, including attacks targeting our systems and customers’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involves the collection, transmission, and storage of sensitive data, including personally identifiable information of our customers and employees. While we have not to date experienced a significant security breach, our business is very susceptible to cybersecurity risks, and it is possible we could experience a significant breach in the future. The cybersecurity risks our business face include cyberattacks, other unauthorized access, loss or destruction of data, unavailability of service, and similar events. A material data breach or other cybersecurity incident affecting our business could result in significant reputational risk, loss of customers, legal claims, additional costs, financial loss, regulatory penalties, and similar damages. Risks and exposures related to cybersecurity attacks are expected to remain high for the foreseeable future due to the rapidly evolving nature and sophistication of these threats, the continuing expansion of internet and mobile banking, and similar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difficulties, including failure of technology infrastructure, could adversely affect our business and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many types of operational risk, including reputational risk, legal and compliance risk, the risk of fraud or theft by employees or outsiders, failure of our controls and procedures and unauthorized transactions by employees or operational errors, including clerical or recordkeeping errors or those resulting from computer or telecommunications systems malfunctions. Given the high volume of transactions we process, certain errors may be repeated or compounded before they are identified and resolved. In particular, our operations rely on the secure processing, storage and transmission of confidential and other information on our technology systems and networks. Any failure, interruption or breach in security of these systems could result in failures or disruptions in our customer relationship management, general ledger, deposit, loan and other systems.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face the risk of operational disruption, failure or capacity constraints due to our dependency on third party vendors for components of our business infrastructure, including our core data processing systems which are largely outsourced. While we have selected these third party vendors carefully, we do not control their operations. As such, any failure on the part of these business partners to perform their various responsibilities could also adversely affect our business and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be subject to disruptions of our operating systems arising from events that are wholly or partially beyond our control, which may include, for example, computer viruses, cyberattacks, spikes in transaction volume and/or customer activity, electrical or telecommunications outages, or natural disasters. Although we have programs in place related to business continuity, disaster recovery and information security to maintain the confidentiality, integrity, and availability of our systems, business applications and customer information, such disruptions may give rise to interruptions in service to customers and loss or liability to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any failure or interruption in our operations or information systems could cause reputational damage, jeopardize the confidentiality of customer information, result in a loss of customer business, subject us to regulatory intervention or expose us to civil litigation and financial loss or liability, any of which could have a material adverse effect on 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financial markets, including fluctuations in interest rates and their impact on deposit pricing, could adversely affect our net interest income and financial condition.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operations of financial institutions such as us are dependent to a large degree on net interest income, which is the difference between interest income from loans and investments and interest expense on deposits and borrowings. Prevailing economic conditions, the trade, fiscal and monetary policies of the federal government and the policies of various regulatory agencies all affect market rates of interest and the availability and cost of credit, which in turn significantly affect financial institutions' net interest income.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Our financial results could be materially adversely impacted by changes in financial market conditions.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Legal and regulatory proceedings and related matters with respect to the financial services industry, including those directly involving us, could adversely affect us or the financial services industry in general.</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been, and may in the future be, subject to various legal and regulatory proceedings. It is inherently difficult to assess the outcome of these matters, and there can be no assurance that we will prevail in any proceeding or litigation. Any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such matter could result in substantial cost and diversion of our efforts, which by itself could have a material adverse effect on our financial condition and operating results. Further, adverse determinations in such matters could result in actions by our regulators that could materially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Methods of reducing risk exposures might not be effective.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Instruments, systems and strategies used to hedge or otherwise manage exposure to various types of credit, market and liquidity, operational, compliance, business risks and enterprise-wide risk could be less effective than anticipated. As a result, we may not be able to effectively mitigate our risk exposures in particular market environments or against particular types of risk, which could have a material adverse impact on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More Specific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credit risk inherent in our loan portfolios, and our allowance for credit losses may not be sufficient to cover actual credit losses.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loan customers may not repay their loans according to their respective terms, and the collateral securing the payment of these loans may be insufficient to cover any losses we may incur. We make various assumptions and judgments about the collectability of our loan portfolio, including the creditworthiness of our borrowers and the value of the real estate and other assets serving as collateral for the repayment of many of our loans. Non-performing loans amounted to $3.7 million and $5.1 million at December 31, 2022 and December 31, 2021, respectively. Our allowance for credit losses coverage ratio of non-performing loans was 1,409.16% and 924.70% at December 31, 2022 and December 31, 2021, respectively. The increase in this coverage ratio in 2022 was primarily due to a combination of an increase in the allowance for credit losses and a reduction in non-performing loans. In determining the size of the allowance for credit losses, we rely on our experience and our evaluation of current economic conditions. If our assumptions or judgments prove to be incorrect, our current allowance for credit losses may not be sufficient to cover certain credit losses inherent in our loan portfolio, and adjustments may be necessary to account for different economic conditions or adverse developments in our loan portfolio. Material additions to our allowance for credit losses would adversely impact our operating results.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federal and state regulators periodically review our allowance for credit losses and may require us to increase our provision for credit losses or recognize additional loan charge-offs, notwithstanding any internal analysis that has been performed. Any increase in our allowance for credit losses or loan charge-offs required by these regulatory agencies could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credit risk in our securities portfolio.</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diversified securities portfolios, which include obligations of the Treasury and government-sponsored agencies as well as securities issued by states and political subdivisions, mortgage-backed securities, corporate securities and asset-backed securities. We seek to limit credit losses in our securities portfolios by principally purchasing highly rated securities (generally rated "AA" or higher by a major debt rating agency) and by conducting due diligence on the issuer. However, gross unrealized losses on securities available for sale and securities held to maturity in our portfolio totaled approximately $87.3 million and $62.6 million, respectively as of December 31, 2022 (compared to approximately $8.6 million and zero, respectively as of December 31, 2021). We believe these unrealized losses are temporary in nature and are expected to be recovered within a reasonable time period as we believe we have the ability to hold the securities to maturity or until such time as the unrealized losses reverse. We evaluate securities available for sale for other impairment related to credit at least quarterly and more frequently when economic or market concerns warrant such evaluation. Those evaluations may result in a provision for credit losses recorded in our earnings.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We may, in the future, experience losses in our securities portfolios which may result in credit losses that could materially adversely affect our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mortgage-banking revenues are susceptible to substantial variations, due in part to factors we do not control, such as market interest rates.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our revenues are derived from net gains on mortgage loans. These net gains primarily depend on the volume of loans we sell, which in turn depends on our ability to originate real estate mortgage loans and the demand for fixed-rate obligations and other loans that are outside of our established interest-rate risk parameters. Net gains on mortgage loans are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also dependent upon economic and competitive factors as well as our ability to effectively manage exposure to changes in interest rates. Consequently, they can often be a volatile part of our overall revenues. We realized net gains of $6.4 million on mortgage loans during 2022 compared to $35.9 million during 2021 and $62.9 million during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parent company must rely on dividends or returns of capital from our bank for most of its cash flow.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parent company is a separate and distinct legal entity from our bank. Generally, our parent company receives substantially all of its cash flow from dividends or returns of capital from our subsidiary bank. These dividends or returns of capital are the principal source of funds to pay our parent company’s operating expenses and for cash dividends on our common stock. Various federal and/or state laws and regulations limit the amount of dividends that the bank may pay to the parent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future strategic acquisitions or divestitures may present certain risks to our business and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Difficulties in capitalizing on the opportunities presented by a future acquisition may prevent us from fully achieving the expected benefits from the acquisition or may cause the achievement of such expectations to take longer to realize than expected. Further, the assimilation of the acquired entity's customers and markets could result in higher than expected deposit attrition, loss of key employees, disruption of our businesses or the businesses of the acquired entity or otherwise adversely affect our ability to maintain relationships with customers and employees or achieve the anticipated benefits of the acquisition. These matters could have an adverse effect on us for an undetermined period. We will be subject to similar risks and difficulties in connection with any future decisions to downsize, sell or close units or otherwise change our business mix.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capital requirements may adversely affect 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capital requirements applicable to us as a bank holding company as well as to our subsidiary bank have been substantially revised in connection with Basel III and the requirements of the Financial Reform Act. These more stringent capital requirements, and any other new regulations, could adversely affect our ability to pay dividends in the future, or could require us to reduce business levels or to raise capital, including in ways that may adversely affect our results of operations or financial condition and/or existing shareholders. Maintaining higher levels of capital may reduce our profitability and otherwise adversely affect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Declines in the businesses or industries of our customers could cause increased credit losses, which could adversely affect 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customer base consists, in part, of customers in businesses and industries that are sensitive to global economic conditions and supply chain factors. These industries include the automotive production industry, real estate businesses, retail C&amp;I, hotels, entertainment and food service. Any decline in one of those customers' businesses or industries could cause increased credit losses, which in turn could adversely affect 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introduction, implementation, withdrawal, success and timing of business initiatives and strategies may be less successful or may be different than anticipated, which could adversely affect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make certain projections and develop plans and strategies for our banking and financial products. If we do not accurately determine demand for or changes in our banking and financial product needs, it could result in us incurring significant expenses without the anticipated increases in revenue, which could result in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utilize technology to efficiently and effectively develop, market, and deliver new products and services to our 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financial services industry experiences rapid technological change with regular introductions of new technology-driven products and services. The efficient and effective utilization of technology enables financial institutions to better serve customers and to reduce costs. Our future success depends, in part, upon our ability to address the needs of our customers by using technology to market and deliver products and services that will satisfy customer demands, meet regulatory requirements, and create additional efficiencies in our operations. We may not be able to effectively develop new technology-driven products and services or be successful in marketing or supporting these products and services to our customers, which could have a material adverse impact on our financial condition and results of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Competitive product and pricing pressures among financial institutions within our markets may change.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very competitive environment, which is characterized by competition from a number of other financial institutions in each market in which we operate. We compete with large national and regional financial institutions and with smaller financial institutions in terms of products and pricing. If we are unable to compete effectively in products and pricing in our markets, business could decline, which could have a material adverse effect on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customer behavior may adversely impact our business,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variety of methods to anticipate customer behavior as a part of our strategic planning and to meet certain regulatory requirements. Individual, economic, political, industry-specific conditions and other factors outside of our control, such as fuel prices, energy costs, real estate values or other factors that affect customer income levels, could alter predicted customer borrowing, repayment, investment and deposit practices. Such a change in these practices could materially adversely affect our ability to anticipate business needs and meet regulatory requirements.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difficult economic conditions may negatively affect consumer confidence levels. A decrease in consumer confidence levels would likely aggravate the adverse effects of these difficult market conditions on us, our customers and others in the financial institutions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maintain and expand customer relationships may differ from expectations.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services industry is very competitive. We not only vie for business opportunities with new customers, but also compete to maintain and expand the relationships we have with our existing customers. While we believe that we can continue to grow many of these relationships, we will continue to experience pressures to maintain these relationships as our competitors attempt to capture our customers. Failure to create new customer relationships and to maintain and expand existing customer relationships to the extent anticipated may adversely impact our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retain key officers and employees may change.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operating results depend substantially upon the continued service of our executive officers and key personnel. Our future operating results also depend in significant part upon our ability to attract and retain qualified management, financial, technical, marketing, sales and support personnel. Competition for qualified personnel is intense, and we cannot ensure success in attracting or retaining qualified personnel. There may be only a limited number of persons with the requisite skills to serve in these positions, and it may be increasingly difficult for us to hire personnel over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our ability to retain key officers and employees may be impacted by legislation and regulation affecting the financial services industry. Our business, financial condition or results of operations could be materially adversely affected by the loss of any key employees, or our inability to attract and retain skilled employees.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Catastrophic events, including, but not limited to, hurricanes, tornadoes, earthquakes, fires, floods and pandemic outbreaks may adversely affect the general economy, financial and capital markets, specific industries, and us.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operations and a significant customer base in Michigan where natural and other disasters may occur, such as tornadoes and floods. These types of natural catastrophic events at times have disrupted the local economy, our business, and our customers and have posed physical risks to our property. In addition, catastrophic events occurring in other regions of the world may have an impact on our customers and in turn, on us. A significant catastrophic event could materially adversely affect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appropriately apply certain critical accounting policies could result in our misstatement of our financial results and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policies and processes are fundamental to how we record and report our financial condition and results of operations. We must exercise judgment in selecting and applying many of these accounting policies and processes so they comply with U.S. GAAP. In some cases, we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We have identified certain accounting policies as being critical because they require us to make difficult, subjective or complex judgments about matters that are uncertain. Materially different amounts could be reported under different conditions or using different assumptions or estimates. We have established detailed policies and control procedures that are intended to ensure these critical accounting estimates and judgments are subject to internal controls and applied consistently. In addition, the policies and procedures are intended to ensure that the process for changing methodologies occurs in an appropriate manner. Because of the uncertainty surrounding management's judgments and the estimates pertaining to these matters, we cannot guarantee that we will not be required to adjust accounting policies or restate prior period financial statements. See note #1, “Accounting Policies” in the Notes to Consolidated Financial Statements in our annual report, to be delivered to shareholders in connection with the April 25, 2023 Annual Meeting of Shareholders (filed as exhibit 13 to this report on Form 10-K).</w:t>
      </w:r>
    </w:p>
    <w:p>
      <w:pPr>
        <w:spacing w:after="0" w:line="1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1B.</w:t>
      </w:r>
      <w:r>
        <w:rPr>
          <w:sz w:val="20"/>
          <w:szCs w:val="20"/>
          <w:color w:val="auto"/>
        </w:rPr>
        <w:tab/>
      </w:r>
      <w:r>
        <w:rPr>
          <w:rFonts w:ascii="Times New Roman" w:cs="Times New Roman" w:eastAsia="Times New Roman" w:hAnsi="Times New Roman"/>
          <w:sz w:val="17"/>
          <w:szCs w:val="17"/>
          <w:u w:val="single" w:color="auto"/>
          <w:color w:val="auto"/>
        </w:rPr>
        <w:t>UNRESOLVED STAFF COMMENTS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7"/>
          <w:szCs w:val="17"/>
          <w:u w:val="single" w:color="auto"/>
          <w:color w:val="auto"/>
        </w:rPr>
        <w:t>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our bank operate a total of 83 facilities in Michigan and one leased facility in Ohio. We own 61 and lease 22 of the facilities in Michigan.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exception of the potential remodeling of certain facilities to provide for the efficient use of workspace or to maintain an appropriate appearance, each property is considered reasonably adequate for current and anticipated needs.</w:t>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3.</w:t>
        <w:tab/>
        <w:t>LEGAL PROCEEDINGS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4.</w:t>
      </w:r>
      <w:r>
        <w:rPr>
          <w:sz w:val="20"/>
          <w:szCs w:val="20"/>
          <w:color w:val="auto"/>
        </w:rPr>
        <w:tab/>
      </w:r>
      <w:r>
        <w:rPr>
          <w:rFonts w:ascii="Times New Roman" w:cs="Times New Roman" w:eastAsia="Times New Roman" w:hAnsi="Times New Roman"/>
          <w:sz w:val="17"/>
          <w:szCs w:val="17"/>
          <w:u w:val="single" w:color="auto"/>
          <w:color w:val="auto"/>
        </w:rPr>
        <w:t>MINE SAFETY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ITEM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EXECUTIVE OFFICERS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officers are appointed annually by our Board of Directors at the meeting of directors preceding the Annual Meeting of Shareholders. There are no family relationships among these officers and/or our directors nor any arrangement or understanding between any officer and any other person pursuant to which the officer was elected.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sets forth certain information with respect to our executive officers at February 19,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First elected</w:t>
            </w:r>
          </w:p>
        </w:tc>
        <w:tc>
          <w:tcPr>
            <w:tcW w:w="30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gridSpan w:val="6"/>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as an executive</w:t>
            </w:r>
          </w:p>
        </w:tc>
      </w:tr>
      <w:tr>
        <w:trPr>
          <w:trHeight w:val="196"/>
        </w:trPr>
        <w:tc>
          <w:tcPr>
            <w:tcW w:w="20" w:type="dxa"/>
            <w:vAlign w:val="bottom"/>
          </w:tcPr>
          <w:p>
            <w:pPr>
              <w:spacing w:after="0"/>
              <w:rPr>
                <w:sz w:val="17"/>
                <w:szCs w:val="17"/>
                <w:color w:val="auto"/>
              </w:rPr>
            </w:pPr>
          </w:p>
        </w:tc>
        <w:tc>
          <w:tcPr>
            <w:tcW w:w="3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Name (Age)</w:t>
            </w:r>
          </w:p>
        </w:tc>
        <w:tc>
          <w:tcPr>
            <w:tcW w:w="6100" w:type="dxa"/>
            <w:vAlign w:val="bottom"/>
            <w:gridSpan w:val="3"/>
          </w:tcPr>
          <w:p>
            <w:pPr>
              <w:ind w:left="1060"/>
              <w:spacing w:after="0" w:line="196" w:lineRule="exact"/>
              <w:rPr>
                <w:sz w:val="20"/>
                <w:szCs w:val="20"/>
                <w:color w:val="auto"/>
              </w:rPr>
            </w:pPr>
            <w:r>
              <w:rPr>
                <w:rFonts w:ascii="Times New Roman" w:cs="Times New Roman" w:eastAsia="Times New Roman" w:hAnsi="Times New Roman"/>
                <w:sz w:val="18"/>
                <w:szCs w:val="18"/>
                <w:color w:val="auto"/>
              </w:rPr>
              <w:t>Position</w:t>
            </w:r>
          </w:p>
        </w:tc>
        <w:tc>
          <w:tcPr>
            <w:tcW w:w="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3"/>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9"/>
              </w:rPr>
              <w:t>officer</w:t>
            </w:r>
          </w:p>
        </w:tc>
        <w:tc>
          <w:tcPr>
            <w:tcW w:w="20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 Kessel (58)</w:t>
            </w:r>
          </w:p>
        </w:tc>
        <w:tc>
          <w:tcPr>
            <w:tcW w:w="610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620" w:type="dxa"/>
            <w:vAlign w:val="bottom"/>
            <w:tcBorders>
              <w:bottom w:val="single" w:sz="8" w:color="CCEEFF"/>
            </w:tcBorders>
            <w:gridSpan w:val="4"/>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2004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Gavin A. Mohr (39)</w:t>
            </w:r>
          </w:p>
        </w:tc>
        <w:tc>
          <w:tcPr>
            <w:tcW w:w="610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Executive Vice President and Chief Financial Officer(1)</w:t>
            </w:r>
          </w:p>
        </w:tc>
        <w:tc>
          <w:tcPr>
            <w:tcW w:w="1620" w:type="dxa"/>
            <w:vAlign w:val="bottom"/>
            <w:tcBorders>
              <w:bottom w:val="single" w:sz="8" w:color="CCEEFF"/>
            </w:tcBorders>
            <w:gridSpan w:val="4"/>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Stefanie M. Kimball (63)</w:t>
            </w:r>
          </w:p>
        </w:tc>
        <w:tc>
          <w:tcPr>
            <w:tcW w:w="610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Executive Vice President and Chief Risk Officer</w:t>
            </w:r>
          </w:p>
        </w:tc>
        <w:tc>
          <w:tcPr>
            <w:tcW w:w="1620" w:type="dxa"/>
            <w:vAlign w:val="bottom"/>
            <w:tcBorders>
              <w:bottom w:val="single" w:sz="8" w:color="CCEEFF"/>
            </w:tcBorders>
            <w:gridSpan w:val="4"/>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2007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Rahn (56)</w:t>
            </w:r>
          </w:p>
        </w:tc>
        <w:tc>
          <w:tcPr>
            <w:tcW w:w="610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Executive Vice President and Chief Lending Officer(2)</w:t>
            </w:r>
          </w:p>
        </w:tc>
        <w:tc>
          <w:tcPr>
            <w:tcW w:w="1620" w:type="dxa"/>
            <w:vAlign w:val="bottom"/>
            <w:tcBorders>
              <w:bottom w:val="single" w:sz="8" w:color="CCEEFF"/>
            </w:tcBorders>
            <w:gridSpan w:val="4"/>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R. Daniel (59)</w:t>
            </w:r>
          </w:p>
        </w:tc>
        <w:tc>
          <w:tcPr>
            <w:tcW w:w="610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Executive Vice President, Operations and Digital Banking</w:t>
            </w:r>
          </w:p>
        </w:tc>
        <w:tc>
          <w:tcPr>
            <w:tcW w:w="1620" w:type="dxa"/>
            <w:vAlign w:val="bottom"/>
            <w:tcBorders>
              <w:bottom w:val="single" w:sz="8" w:color="CCEEFF"/>
            </w:tcBorders>
            <w:gridSpan w:val="4"/>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J. Ervin (57)</w:t>
            </w:r>
          </w:p>
        </w:tc>
        <w:tc>
          <w:tcPr>
            <w:tcW w:w="610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Executive Vice President, Mortgage Banking</w:t>
            </w:r>
          </w:p>
        </w:tc>
        <w:tc>
          <w:tcPr>
            <w:tcW w:w="1620" w:type="dxa"/>
            <w:vAlign w:val="bottom"/>
            <w:tcBorders>
              <w:bottom w:val="single" w:sz="8" w:color="CCEEFF"/>
            </w:tcBorders>
            <w:gridSpan w:val="4"/>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43"/>
        </w:trPr>
        <w:tc>
          <w:tcPr>
            <w:tcW w:w="20" w:type="dxa"/>
            <w:vAlign w:val="bottom"/>
            <w:shd w:val="clear" w:color="auto" w:fill="CCEEFF"/>
          </w:tcPr>
          <w:p>
            <w:pPr>
              <w:spacing w:after="0"/>
              <w:rPr>
                <w:sz w:val="21"/>
                <w:szCs w:val="21"/>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J. Twarozynski (57)</w:t>
            </w:r>
          </w:p>
        </w:tc>
        <w:tc>
          <w:tcPr>
            <w:tcW w:w="61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1620" w:type="dxa"/>
            <w:vAlign w:val="bottom"/>
            <w:gridSpan w:val="4"/>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2002</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left="660" w:hanging="652"/>
        <w:spacing w:after="0" w:line="257"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Mohr joined Independent Bank in September 2020, as </w:t>
      </w:r>
      <w:r>
        <w:rPr>
          <w:rFonts w:ascii="Times New Roman" w:cs="Times New Roman" w:eastAsia="Times New Roman" w:hAnsi="Times New Roman"/>
          <w:sz w:val="18"/>
          <w:szCs w:val="18"/>
          <w:color w:val="333333"/>
        </w:rPr>
        <w:t>Executive Vice President and</w:t>
      </w:r>
      <w:r>
        <w:rPr>
          <w:rFonts w:ascii="Times New Roman" w:cs="Times New Roman" w:eastAsia="Times New Roman" w:hAnsi="Times New Roman"/>
          <w:sz w:val="18"/>
          <w:szCs w:val="18"/>
          <w:color w:val="auto"/>
        </w:rPr>
        <w:t xml:space="preserve"> Chief Financial Officer. Prior to joining Independent Bank, </w:t>
      </w:r>
      <w:r>
        <w:rPr>
          <w:rFonts w:ascii="Times New Roman" w:cs="Times New Roman" w:eastAsia="Times New Roman" w:hAnsi="Times New Roman"/>
          <w:sz w:val="18"/>
          <w:szCs w:val="18"/>
          <w:color w:val="333333"/>
        </w:rPr>
        <w:t>Mr. Mohr served as the Chief Financial Officer of STAR Financial Bank, (“STAR”), a $2.1 billion bank, located in Fort Wayne, Indiana.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Prior to joining STAR, Mr. Mohr served as Treasurer of Yadkin Bank and Trust (Statesville, North Carolina) from 2013 to 2014.</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54" w:val="left"/>
        </w:tabs>
        <w:numPr>
          <w:ilvl w:val="0"/>
          <w:numId w:val="2"/>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Mr. Rahn joined Independent Bank in April of 2018 as Senior Vice President Commercial Lending. He was promoted to Executive Vice President and Chief Lending Officer in January, 2021. He has 33 years of commercial banking experience and has served in senior leadership positions for the past 16 years.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t>PART II.</w:t>
      </w:r>
    </w:p>
    <w:p>
      <w:pPr>
        <w:spacing w:after="0" w:line="225" w:lineRule="exact"/>
        <w:rPr>
          <w:sz w:val="20"/>
          <w:szCs w:val="20"/>
          <w:color w:val="auto"/>
        </w:rPr>
      </w:pPr>
    </w:p>
    <w:p>
      <w:pPr>
        <w:jc w:val="both"/>
        <w:ind w:left="900" w:right="20" w:hanging="890"/>
        <w:spacing w:after="0" w:line="282"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auto"/>
        </w:rPr>
        <w:t>ITEM 5.</w:t>
        <w:tab/>
        <w:t>MARKET FOR OUR COMMON EQUITY, RELATED STOCKHOLDER MATTERS AND ISSUER PURCHASES OF EQUITY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caption "Quarterly Summary" in our annual report, to be delivered to shareholders in connection with the April 25, 2023 Annual Meeting of Shareholders (filed as exhibit 13 to this report on Form 10-K), is incorporated herein by reference.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Deferred Compensation and Stock Purchase Plan for Non-Employee Directors (the "Plan") pursuant to which non-employee directors can elect to receive shares of our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fourth quarter of 2022, we issued 431 shares of common stock to non-employee directors on a current basis and 4,537 shares of common stock to the trust for distribution to directors on a deferred basis. These shares were issued on October 1, 2022 representing aggregate fees of $0.09 million. The shares issued on a current basis were issued at a price of $19.10 per share and the shares to be issued on a deferred basis were issued at a price of $17.19 per share, representing 90% of the fair value of the shares on the credit date. The per-share value used was the consolidated closing bid price per share of our common stock as of the date of issuance, as determined in accordance with NASDAQ Marketplace Rules. We issued the shares pursuant to an exemption from registration under Section 4(2) of the Securities Act of 1933 due to the fact that the issuance of the shares was made on a private basis pursuant to the Plan.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relating to purchases of common stock for the three-months ended December 31,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r>
      <w:tr>
        <w:trPr>
          <w:trHeight w:val="216"/>
        </w:trPr>
        <w:tc>
          <w:tcPr>
            <w:tcW w:w="5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Purchased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5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 Authorized</w:t>
            </w:r>
          </w:p>
        </w:tc>
      </w:tr>
      <w:tr>
        <w:trPr>
          <w:trHeight w:val="216"/>
        </w:trPr>
        <w:tc>
          <w:tcPr>
            <w:tcW w:w="504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Total Number of</w:t>
            </w:r>
          </w:p>
        </w:tc>
        <w:tc>
          <w:tcPr>
            <w:tcW w:w="2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Average Price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Purchase</w:t>
            </w: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Shares Purchased</w:t>
            </w:r>
          </w:p>
        </w:tc>
        <w:tc>
          <w:tcPr>
            <w:tcW w:w="2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Paid Per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Announced Plan</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 the Plan</w:t>
            </w:r>
          </w:p>
        </w:tc>
      </w:tr>
      <w:tr>
        <w:trPr>
          <w:trHeight w:val="27"/>
        </w:trPr>
        <w:tc>
          <w:tcPr>
            <w:tcW w:w="5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22.44</w:t>
            </w:r>
          </w:p>
        </w:tc>
        <w:tc>
          <w:tcPr>
            <w:tcW w:w="160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918,414</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918,414</w:t>
            </w:r>
          </w:p>
        </w:tc>
      </w:tr>
      <w:tr>
        <w:trPr>
          <w:trHeight w:val="27"/>
        </w:trPr>
        <w:tc>
          <w:tcPr>
            <w:tcW w:w="5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22.44</w:t>
            </w:r>
          </w:p>
        </w:tc>
        <w:tc>
          <w:tcPr>
            <w:tcW w:w="160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repurchase plan we had in place for 2022 expired on December 31, 2022. On December 21, 2022, we announced the adoption by our Board of Directors of a 2023 share repurchase plan that authorizes the repurchase during 2023 of up to 1,100,000 shares of our outstanding common stock.</w:t>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u w:val="single" w:color="auto"/>
          <w:color w:val="auto"/>
        </w:rPr>
        <w:t>SELECTED FINANCIAL DATA</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caption "Selected Consolidated Financial Data" in our annual report, to be delivered to shareholders in connection with the April 25, 2023 Annual Meeting of Shareholders (filed as exhibit 13 to this report on Form 10-K), is incorporated herein by reference.</w:t>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MANAGEMENT'S DISCUSSION AND ANALYSIS OF FINANCIAL CONDITION AND RESULTS OF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the caption "Management's Discussion and Analysis of Financial Condition and Results of Operations" in our annual report, to be delivered to shareholders in connection with the April 25, 2023 Annual Meeting of Shareholders (filed as exhibit 13 to this report on Form 10-K),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auto"/>
        </w:rPr>
        <w:t>ITEM 7A.</w:t>
      </w:r>
      <w:r>
        <w:rPr>
          <w:sz w:val="20"/>
          <w:szCs w:val="20"/>
          <w:color w:val="auto"/>
        </w:rPr>
        <w:tab/>
      </w:r>
      <w:r>
        <w:rPr>
          <w:rFonts w:ascii="Times New Roman" w:cs="Times New Roman" w:eastAsia="Times New Roman" w:hAnsi="Times New Roman"/>
          <w:sz w:val="17"/>
          <w:szCs w:val="17"/>
          <w:u w:val="single" w:color="auto"/>
          <w:color w:val="auto"/>
        </w:rPr>
        <w:t>QUANTITATIVE AND QUALITATIVE DISCLOSURES ABOUT MARKET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"Management's Discussion and Analysis of Financial Condition and Results of Operations" under the caption "Asset/liability management" in our annual report, to be delivered to shareholders in connection with the April 25, 2023 Annual Meeting of Shareholders (filed as exhibit 13 to this report on Form 10-K), is incorporated herein by reference.</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8.</w:t>
      </w:r>
      <w:r>
        <w:rPr>
          <w:sz w:val="20"/>
          <w:szCs w:val="20"/>
          <w:color w:val="auto"/>
        </w:rPr>
        <w:tab/>
      </w:r>
      <w:r>
        <w:rPr>
          <w:rFonts w:ascii="Times New Roman" w:cs="Times New Roman" w:eastAsia="Times New Roman" w:hAnsi="Times New Roman"/>
          <w:sz w:val="17"/>
          <w:szCs w:val="17"/>
          <w:u w:val="single" w:color="auto"/>
          <w:color w:val="auto"/>
        </w:rPr>
        <w:t>FINANCIAL STATEMENTS AND SUPPLEMENTARY DATA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consolidated financial statements and the independent auditor's report are set forth in our annual report, to be delivered to shareholders in connection with the April 25, 2023 Annual Meeting of Shareholders (filed as exhibit 13 to this report on Form 10-K),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Financial Condition at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supplementary data required by this item set forth under the caption "Quarterly Financial Data (Unaudited)" in our annual report, to be delivered to shareholders in connection with the April 25, 2023 Annual Meeting of Shareholders (filed as exhibit 13 to this report on Form 10-K), is incorporated herein by reference.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portions of our annual report, to be delivered to shareholders in connection with the April 25, 2023 Annual Meeting of Shareholders (filed as exhibit 13 to this report on Form 10-K), which are not specifically incorporated by reference as part of this Form 10-K are not deemed to be a part of this report.</w:t>
      </w:r>
    </w:p>
    <w:p>
      <w:pPr>
        <w:spacing w:after="0" w:line="16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9.</w:t>
      </w:r>
      <w:r>
        <w:rPr>
          <w:sz w:val="20"/>
          <w:szCs w:val="20"/>
          <w:color w:val="auto"/>
        </w:rPr>
        <w:tab/>
      </w:r>
      <w:r>
        <w:rPr>
          <w:rFonts w:ascii="Times New Roman" w:cs="Times New Roman" w:eastAsia="Times New Roman" w:hAnsi="Times New Roman"/>
          <w:sz w:val="17"/>
          <w:szCs w:val="17"/>
          <w:u w:val="single" w:color="auto"/>
          <w:color w:val="auto"/>
        </w:rPr>
        <w:t>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auto"/>
        </w:rPr>
        <w:t>ITEM 9A.</w:t>
      </w:r>
      <w:r>
        <w:rPr>
          <w:sz w:val="20"/>
          <w:szCs w:val="20"/>
          <w:color w:val="auto"/>
        </w:rPr>
        <w:tab/>
      </w:r>
      <w:r>
        <w:rPr>
          <w:rFonts w:ascii="Times New Roman" w:cs="Times New Roman" w:eastAsia="Times New Roman" w:hAnsi="Times New Roman"/>
          <w:sz w:val="17"/>
          <w:szCs w:val="17"/>
          <w:u w:val="single" w:color="auto"/>
          <w:color w:val="auto"/>
        </w:rPr>
        <w:t>CONTROLS AND PROCEDURES</w:t>
      </w:r>
    </w:p>
    <w:p>
      <w:pPr>
        <w:spacing w:after="0" w:line="225" w:lineRule="exact"/>
        <w:rPr>
          <w:sz w:val="20"/>
          <w:szCs w:val="20"/>
          <w:color w:val="auto"/>
        </w:rPr>
      </w:pPr>
    </w:p>
    <w:p>
      <w:pPr>
        <w:jc w:val="both"/>
        <w:ind w:left="660" w:hanging="652"/>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2022 (the "Evaluation Date"), have concluded that, as of such date, our disclosure controls and procedures were effective.</w:t>
      </w:r>
    </w:p>
    <w:p>
      <w:pPr>
        <w:spacing w:after="0" w:line="2"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 Over Financial Reporting</w:t>
      </w:r>
      <w:r>
        <w:rPr>
          <w:rFonts w:ascii="Times New Roman" w:cs="Times New Roman" w:eastAsia="Times New Roman" w:hAnsi="Times New Roman"/>
          <w:sz w:val="18"/>
          <w:szCs w:val="18"/>
          <w:color w:val="auto"/>
        </w:rPr>
        <w:t>. "Management's Annual Report on Internal Control Over Financial Reporting" and our independent registered public accounting firm's audit of internal control over financial reporting as of December 31, 2022 included within the "Report of Independent Registered Public Accounting Firm," each as set forth in our annual report, to be delivered to shareholders in connection with the April 25, 2023 Annual Meeting of Shareholders (filed as exhibit 13 to this report on Form 10-K) are incorporated herein by reference.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9B.</w:t>
      </w:r>
      <w:r>
        <w:rPr>
          <w:sz w:val="20"/>
          <w:szCs w:val="20"/>
          <w:color w:val="auto"/>
        </w:rPr>
        <w:tab/>
      </w:r>
      <w:r>
        <w:rPr>
          <w:rFonts w:ascii="Times New Roman" w:cs="Times New Roman" w:eastAsia="Times New Roman" w:hAnsi="Times New Roman"/>
          <w:sz w:val="17"/>
          <w:szCs w:val="17"/>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7"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u w:val="single" w:color="auto"/>
          <w:color w:val="auto"/>
        </w:rPr>
        <w:t>PART III.</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ITEM 10.</w:t>
      </w:r>
      <w:r>
        <w:rPr>
          <w:sz w:val="20"/>
          <w:szCs w:val="20"/>
          <w:color w:val="auto"/>
        </w:rPr>
        <w:tab/>
      </w:r>
      <w:r>
        <w:rPr>
          <w:rFonts w:ascii="Times New Roman" w:cs="Times New Roman" w:eastAsia="Times New Roman" w:hAnsi="Times New Roman"/>
          <w:sz w:val="17"/>
          <w:szCs w:val="17"/>
          <w:u w:val="single" w:color="auto"/>
          <w:color w:val="auto"/>
        </w:rPr>
        <w:t>DIRECTORS, EXECUTIVE OFFICERS AND CORPORATE GOVERNANCE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 The information with respect to our directors set forth under the caption "Proposal I Submitted for Your Vote -- Election of Directors" in our definitive proxy statement, to be delivered to shareholders in connection with the April 25, 2023 Annual Meeting of Shareholders, is incorporated herein by reference.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REPORTING – The information set forth under the caption "Delinquent Section 16(a) Reports" in our definitive proxy statement, to be delivered to shareholders in connection with the April 25, 2023 Annual Meeting of Shareholders,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 Reference is made to the additional item under Part I of this report on Form 10-K.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CODE OF ETHICS - We have adopted a "Code of Ethics for Chief Executive Officer and Senior Financial Officers" that applies to our Chief Executive Officer, Chief Financial Officer, Chief Accounting Officer and Controller. A copy of our Code of Ethics is posted on our website at </w:t>
      </w:r>
      <w:r>
        <w:rPr>
          <w:rFonts w:ascii="Times New Roman" w:cs="Times New Roman" w:eastAsia="Times New Roman" w:hAnsi="Times New Roman"/>
          <w:sz w:val="18"/>
          <w:szCs w:val="18"/>
          <w:u w:val="single" w:color="auto"/>
          <w:color w:val="auto"/>
        </w:rPr>
        <w:t>www.IndependentBank.com</w:t>
      </w:r>
      <w:r>
        <w:rPr>
          <w:rFonts w:ascii="Times New Roman" w:cs="Times New Roman" w:eastAsia="Times New Roman" w:hAnsi="Times New Roman"/>
          <w:sz w:val="18"/>
          <w:szCs w:val="18"/>
          <w:color w:val="auto"/>
        </w:rPr>
        <w:t>, under Investor Relations, and a printed copy is available upon request by writing to our Chief Financial Officer, Independent Bank Corporation, 4200 East Beltline, Grand Rapids, Michigan 49525.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GOVERNANCE – Information relating to our audit committee, set forth under the caption "Board Committees and Functions" in our definitive proxy statement, to be delivered to shareholders in connection with the April 25, 2023 Annual Meeting of Shareholders, is incorporated herein by reference.</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ITEM 11.</w:t>
      </w:r>
      <w:r>
        <w:rPr>
          <w:sz w:val="20"/>
          <w:szCs w:val="20"/>
          <w:color w:val="auto"/>
        </w:rPr>
        <w:tab/>
      </w:r>
      <w:r>
        <w:rPr>
          <w:rFonts w:ascii="Times New Roman" w:cs="Times New Roman" w:eastAsia="Times New Roman" w:hAnsi="Times New Roman"/>
          <w:sz w:val="17"/>
          <w:szCs w:val="17"/>
          <w:u w:val="single" w:color="auto"/>
          <w:color w:val="auto"/>
        </w:rPr>
        <w:t>EXECUTIVE COMPENSATION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the captions "Executive Compensation," "Director Compensation," “Compensation Committee Interlocks and Insider Participation,” and “Compensation Committee Report” in our definitive proxy statement, to be delivered to shareholders in connection with the April 25, 2023 Annual Meeting of Shareholders, is incorporated herein by reference.</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ITEM 12.</w:t>
      </w:r>
      <w:r>
        <w:rPr>
          <w:sz w:val="20"/>
          <w:szCs w:val="20"/>
          <w:color w:val="auto"/>
        </w:rPr>
        <w:tab/>
      </w:r>
      <w:r>
        <w:rPr>
          <w:rFonts w:ascii="Times New Roman" w:cs="Times New Roman" w:eastAsia="Times New Roman" w:hAnsi="Times New Roman"/>
          <w:sz w:val="17"/>
          <w:szCs w:val="17"/>
          <w:u w:val="single" w:color="auto"/>
          <w:color w:val="auto"/>
        </w:rPr>
        <w:t>SECURITY OWNERSHIP OF CERTAIN BENEFICIAL OWNERS AND MANAGEMENT AND RELATED STOCKHOLDER MATTERS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the captions "Voting Securities and Record Date", “Proposal I Submitted for Your Vote -- Election of Directors" and "Securities Ownership of Management" in our definitive proxy statement, to be delivered to shareholders in connection with the April 25, 2023 Annual Meeting of Shareholders, is incorporated herein by reference.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certain equity compensation plans under which our common stock is authorized for issuance to employees and directors, including our Deferred Compensation and Stock Purchase Plan for Non-employee Directors and our Long-Term Incentive Plan.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sets forth certain information regarding our equity compensation plans as of December 31,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6"/>
        </w:trPr>
        <w:tc>
          <w:tcPr>
            <w:tcW w:w="6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6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w:t>
            </w:r>
          </w:p>
        </w:tc>
      </w:tr>
      <w:tr>
        <w:trPr>
          <w:trHeight w:val="216"/>
        </w:trPr>
        <w:tc>
          <w:tcPr>
            <w:tcW w:w="6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remaining available</w:t>
            </w:r>
          </w:p>
        </w:tc>
      </w:tr>
      <w:tr>
        <w:trPr>
          <w:trHeight w:val="216"/>
        </w:trPr>
        <w:tc>
          <w:tcPr>
            <w:tcW w:w="66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r>
      <w:tr>
        <w:trPr>
          <w:trHeight w:val="216"/>
        </w:trPr>
        <w:tc>
          <w:tcPr>
            <w:tcW w:w="66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future issuance</w:t>
            </w:r>
          </w:p>
        </w:tc>
      </w:tr>
      <w:tr>
        <w:trPr>
          <w:trHeight w:val="216"/>
        </w:trPr>
        <w:tc>
          <w:tcPr>
            <w:tcW w:w="66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under</w:t>
            </w:r>
          </w:p>
        </w:tc>
      </w:tr>
      <w:tr>
        <w:trPr>
          <w:trHeight w:val="216"/>
        </w:trPr>
        <w:tc>
          <w:tcPr>
            <w:tcW w:w="66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to be issued upon</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Weighted-average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equity</w:t>
            </w:r>
          </w:p>
        </w:tc>
      </w:tr>
      <w:tr>
        <w:trPr>
          <w:trHeight w:val="216"/>
        </w:trPr>
        <w:tc>
          <w:tcPr>
            <w:tcW w:w="66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exercise of</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r>
      <w:tr>
        <w:trPr>
          <w:trHeight w:val="216"/>
        </w:trPr>
        <w:tc>
          <w:tcPr>
            <w:tcW w:w="66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plans (excluding</w:t>
            </w:r>
          </w:p>
        </w:tc>
      </w:tr>
      <w:tr>
        <w:trPr>
          <w:trHeight w:val="216"/>
        </w:trPr>
        <w:tc>
          <w:tcPr>
            <w:tcW w:w="66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options, warrants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options,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securities reflected</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and rights</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column (a))</w:t>
            </w:r>
          </w:p>
        </w:tc>
      </w:tr>
      <w:tr>
        <w:trPr>
          <w:trHeight w:val="27"/>
        </w:trPr>
        <w:tc>
          <w:tcPr>
            <w:tcW w:w="6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9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9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 not approved by security holders</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equity compensation plan not approved by security holders referenced above is our Deferred Compensation and Stock Purchase Plan for Non-employee Directors. This plan allows our non-employee directors to defer payment of all or a part of their director fees and to receive shares of common stock in lieu of cash for these fees. Under the plan, each non-employee director may elect to participate in a Current Stock Purchase Account, a Deferred Cash Investment Account, or a Deferred Stock Account. A Current Stock Purchase Account is credited with shares of our common stock having a fair market value equal to the fees otherwise payable. A Deferred Cash Investment Account is credited with an amount equal to the fees deferred and on each quarterly credit date with an appreciation factor that may not exceed the prime rate of interest charged by our bank. A Deferred Stock Account is credited with the amount of fees deferred and converted into stock units based on 90% of the fair market value of our common stock at the time of the deferral. Amounts in the Deferred Stock Account are credited with cash dividends and other distributions on our common stock. Fees credited to a Deferred Cash Investment Account or a Deferred Stock Account are deferred for income tax purposes. This plan does not provide for distributions of amounts deferred prior to a participant’s termination as a non-employee director. Participants may generally elect either a lump sum or installment distribution.</w:t>
      </w:r>
    </w:p>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ITEM 13.</w:t>
      </w:r>
      <w:r>
        <w:rPr>
          <w:sz w:val="20"/>
          <w:szCs w:val="20"/>
          <w:color w:val="auto"/>
        </w:rPr>
        <w:tab/>
      </w:r>
      <w:r>
        <w:rPr>
          <w:rFonts w:ascii="Times New Roman" w:cs="Times New Roman" w:eastAsia="Times New Roman" w:hAnsi="Times New Roman"/>
          <w:sz w:val="17"/>
          <w:szCs w:val="17"/>
          <w:u w:val="single" w:color="auto"/>
          <w:color w:val="auto"/>
        </w:rPr>
        <w:t>CERTAIN RELATIONSHIPS AND RELATED TRANSACTIONS, AND DIRECTOR INDEPENDENCE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the captions "Transactions Involving Management" and "Determination of Independence of Board Members" in our definitive proxy statement, to be delivered to shareholders in connection with the April 25, 2023 Annual Meeting of Shareholders, is incorporated herein by reference.</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ITEM 14.</w:t>
      </w:r>
      <w:r>
        <w:rPr>
          <w:sz w:val="20"/>
          <w:szCs w:val="20"/>
          <w:color w:val="auto"/>
        </w:rPr>
        <w:tab/>
      </w:r>
      <w:r>
        <w:rPr>
          <w:rFonts w:ascii="Times New Roman" w:cs="Times New Roman" w:eastAsia="Times New Roman" w:hAnsi="Times New Roman"/>
          <w:sz w:val="17"/>
          <w:szCs w:val="17"/>
          <w:u w:val="single" w:color="auto"/>
          <w:color w:val="auto"/>
        </w:rPr>
        <w:t>PRINCIPAL ACCOUNTANT FEES AND SERVICES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caption "Disclosure of Fees Paid to our Independent Auditors" in our definitive proxy statement, to be delivered to shareholders in connection with the April 25, 2023 Annual Meeting of Shareholders,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ind w:left="5280"/>
        <w:spacing w:after="0"/>
        <w:rPr>
          <w:sz w:val="20"/>
          <w:szCs w:val="20"/>
          <w:color w:val="auto"/>
        </w:rPr>
      </w:pPr>
      <w:r>
        <w:rPr>
          <w:rFonts w:ascii="Times New Roman" w:cs="Times New Roman" w:eastAsia="Times New Roman" w:hAnsi="Times New Roman"/>
          <w:sz w:val="18"/>
          <w:szCs w:val="18"/>
          <w:u w:val="single" w:color="auto"/>
          <w:color w:val="auto"/>
        </w:rPr>
        <w:t>PART IV.</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ITEM 15.</w:t>
      </w:r>
      <w:r>
        <w:rPr>
          <w:sz w:val="20"/>
          <w:szCs w:val="20"/>
          <w:color w:val="auto"/>
        </w:rPr>
        <w:tab/>
      </w:r>
      <w:r>
        <w:rPr>
          <w:rFonts w:ascii="Times New Roman" w:cs="Times New Roman" w:eastAsia="Times New Roman" w:hAnsi="Times New Roman"/>
          <w:sz w:val="17"/>
          <w:szCs w:val="17"/>
          <w:u w:val="single" w:color="auto"/>
          <w:color w:val="auto"/>
        </w:rPr>
        <w:t>EXHIBITS AND FINANCIAL STATEMENT SCHEDULES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Financial Statements</w:t>
            </w:r>
          </w:p>
        </w:tc>
        <w:tc>
          <w:tcPr>
            <w:tcW w:w="7580" w:type="dxa"/>
            <w:vAlign w:val="bottom"/>
          </w:tcPr>
          <w:p>
            <w:pPr>
              <w:spacing w:after="0"/>
              <w:rPr>
                <w:sz w:val="17"/>
                <w:szCs w:val="17"/>
                <w:color w:val="auto"/>
              </w:rPr>
            </w:pPr>
          </w:p>
        </w:tc>
      </w:tr>
      <w:tr>
        <w:trPr>
          <w:trHeight w:val="218"/>
        </w:trPr>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 our financial statements are incorporated herein by reference as set forth in the annual report to be delivered to</w:t>
            </w:r>
          </w:p>
        </w:tc>
      </w:tr>
      <w:tr>
        <w:trPr>
          <w:trHeight w:val="216"/>
        </w:trPr>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shareholders in connection with the April 25, 2023 Annual Meeting of Shareholders (filed as exhibit 13 to this report on Form</w:t>
            </w:r>
          </w:p>
        </w:tc>
      </w:tr>
      <w:tr>
        <w:trPr>
          <w:trHeight w:val="234"/>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r>
      <w:tr>
        <w:trPr>
          <w:trHeight w:val="414"/>
        </w:trPr>
        <w:tc>
          <w:tcPr>
            <w:tcW w:w="560" w:type="dxa"/>
            <w:vAlign w:val="bottom"/>
          </w:tcPr>
          <w:p>
            <w:pPr>
              <w:spacing w:after="0"/>
              <w:rPr>
                <w:sz w:val="24"/>
                <w:szCs w:val="24"/>
                <w:color w:val="auto"/>
              </w:rPr>
            </w:pPr>
          </w:p>
        </w:tc>
        <w:tc>
          <w:tcPr>
            <w:tcW w:w="14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w:t>
            </w: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 (Numbered in accordance with Item 601 of Regulation S-K)</w:t>
            </w:r>
          </w:p>
        </w:tc>
      </w:tr>
      <w:tr>
        <w:trPr>
          <w:trHeight w:val="234"/>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Exhibit Index is located below.</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number and description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41" w:lineRule="exact"/>
        <w:rPr>
          <w:sz w:val="20"/>
          <w:szCs w:val="20"/>
          <w:color w:val="auto"/>
        </w:rPr>
      </w:pPr>
    </w:p>
    <w:p>
      <w:pPr>
        <w:ind w:left="920" w:right="460" w:hanging="894"/>
        <w:spacing w:after="0" w:line="281" w:lineRule="auto"/>
        <w:tabs>
          <w:tab w:leader="none" w:pos="920" w:val="left"/>
        </w:tabs>
        <w:numPr>
          <w:ilvl w:val="0"/>
          <w:numId w:val="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Annual report, relating to the April 25, 2023 Annual Meeting of Shareholders. This annual report will be delivered to our shareholders in compliance with Rule 14(a)-3 of the Securities Exchange Act of 1934, as amended.</w:t>
      </w:r>
    </w:p>
    <w:p>
      <w:pPr>
        <w:spacing w:after="0" w:line="1"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10.9*</w:t>
      </w:r>
      <w:r>
        <w:rPr>
          <w:sz w:val="20"/>
          <w:szCs w:val="20"/>
          <w:color w:val="auto"/>
        </w:rPr>
        <w:tab/>
      </w:r>
      <w:r>
        <w:rPr>
          <w:rFonts w:ascii="Times New Roman" w:cs="Times New Roman" w:eastAsia="Times New Roman" w:hAnsi="Times New Roman"/>
          <w:sz w:val="17"/>
          <w:szCs w:val="17"/>
          <w:color w:val="auto"/>
        </w:rPr>
        <w:t>Form of Long-Term Incentive Plan Performance Share Award Agreement as executed with certain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920" w:hanging="894"/>
        <w:spacing w:after="0"/>
        <w:tabs>
          <w:tab w:leader="none" w:pos="920" w:val="left"/>
        </w:tabs>
        <w:numPr>
          <w:ilvl w:val="0"/>
          <w:numId w:val="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Subsidiaries.</w:t>
      </w:r>
    </w:p>
    <w:p>
      <w:pPr>
        <w:spacing w:after="0" w:line="63" w:lineRule="exact"/>
        <w:rPr>
          <w:sz w:val="20"/>
          <w:szCs w:val="20"/>
          <w:color w:val="auto"/>
        </w:rPr>
      </w:pPr>
    </w:p>
    <w:p>
      <w:pPr>
        <w:ind w:left="920" w:hanging="894"/>
        <w:spacing w:after="0"/>
        <w:tabs>
          <w:tab w:leader="none" w:pos="920" w:val="left"/>
        </w:tabs>
        <w:numPr>
          <w:ilvl w:val="0"/>
          <w:numId w:val="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Independent Registered Public Accounting Firm (Crowe LLP).</w:t>
      </w:r>
    </w:p>
    <w:p>
      <w:pPr>
        <w:spacing w:after="0" w:line="63" w:lineRule="exact"/>
        <w:rPr>
          <w:rFonts w:ascii="Times New Roman" w:cs="Times New Roman" w:eastAsia="Times New Roman" w:hAnsi="Times New Roman"/>
          <w:sz w:val="18"/>
          <w:szCs w:val="18"/>
          <w:u w:val="single" w:color="auto"/>
          <w:color w:val="0000FF"/>
        </w:rPr>
      </w:pPr>
    </w:p>
    <w:p>
      <w:pPr>
        <w:ind w:left="920" w:hanging="894"/>
        <w:spacing w:after="0"/>
        <w:tabs>
          <w:tab w:leader="none" w:pos="920" w:val="left"/>
        </w:tabs>
        <w:numPr>
          <w:ilvl w:val="0"/>
          <w:numId w:val="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Power of Attorney (included on page </w:t>
      </w:r>
      <w:r>
        <w:rPr>
          <w:rFonts w:ascii="Times New Roman" w:cs="Times New Roman" w:eastAsia="Times New Roman" w:hAnsi="Times New Roman"/>
          <w:sz w:val="18"/>
          <w:szCs w:val="18"/>
          <w:u w:val="single" w:color="auto"/>
          <w:color w:val="0000FF"/>
        </w:rPr>
        <w:t>25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7"/>
          <w:szCs w:val="17"/>
          <w:color w:val="auto"/>
        </w:rPr>
        <w:t>Certificate of the Chief Executive Officer of Independent Bank Corporation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7"/>
          <w:szCs w:val="17"/>
          <w:color w:val="auto"/>
        </w:rPr>
        <w:t>Certificate of the Chief Financial Officer of Independent Bank Corporation pursuant to Section 302 of the Sarbanes-Oxley Act of 2002.</w:t>
      </w:r>
    </w:p>
    <w:p>
      <w:pPr>
        <w:spacing w:after="0" w:line="6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32.1</w:t>
      </w:r>
      <w:r>
        <w:rPr>
          <w:sz w:val="20"/>
          <w:szCs w:val="20"/>
          <w:color w:val="auto"/>
        </w:rPr>
        <w:tab/>
      </w:r>
      <w:r>
        <w:rPr>
          <w:rFonts w:ascii="Times New Roman" w:cs="Times New Roman" w:eastAsia="Times New Roman" w:hAnsi="Times New Roman"/>
          <w:sz w:val="17"/>
          <w:szCs w:val="17"/>
          <w:color w:val="auto"/>
        </w:rPr>
        <w:t>Certificate of the Chief Executive Officer of Independent Bank Corporation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32.2</w:t>
      </w:r>
      <w:r>
        <w:rPr>
          <w:sz w:val="20"/>
          <w:szCs w:val="20"/>
          <w:color w:val="auto"/>
        </w:rPr>
        <w:tab/>
      </w:r>
      <w:r>
        <w:rPr>
          <w:rFonts w:ascii="Times New Roman" w:cs="Times New Roman" w:eastAsia="Times New Roman" w:hAnsi="Times New Roman"/>
          <w:sz w:val="17"/>
          <w:szCs w:val="17"/>
          <w:color w:val="auto"/>
        </w:rPr>
        <w:t>Certificate of the Chief Financial Officer of Independent Bank Corporation pursuant to Section 906 of the Sarbanes-Oxley Act of 2002.</w:t>
      </w:r>
    </w:p>
    <w:p>
      <w:pPr>
        <w:spacing w:after="0" w:line="3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101.INS Inline XBRL Instance Document (the instance document does not appear in the Interactive Data File because its XBRL tags are embedded within the Inline XBRL document)</w:t>
      </w:r>
    </w:p>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EXHIBITS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Restated Articles of Incorporation (incorporated herein by reference to Exhibit 3.1 to our quarterly report on Form 10-Q filed November 3,</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2017).</w:t>
      </w:r>
    </w:p>
    <w:p>
      <w:pPr>
        <w:spacing w:after="0" w:line="45"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Amended and Restated Bylaws (incorporated here by reference to Exhibit 3.2 to our annual report on Form 10-K filed 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color w:val="0000FF"/>
        </w:rPr>
        <w:tab/>
        <w:t>Description of Registrant’s Common Stock (incorporated here by reference to Exhibit 4 to our annual report on Form 10-K filed March 6,</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2020).</w:t>
      </w:r>
    </w:p>
    <w:p>
      <w:pPr>
        <w:spacing w:after="0" w:line="45" w:lineRule="exact"/>
        <w:rPr>
          <w:sz w:val="20"/>
          <w:szCs w:val="20"/>
          <w:color w:val="auto"/>
        </w:rPr>
      </w:pPr>
    </w:p>
    <w:p>
      <w:pPr>
        <w:ind w:left="920" w:hanging="890"/>
        <w:spacing w:after="0" w:line="281" w:lineRule="auto"/>
        <w:tabs>
          <w:tab w:leader="none" w:pos="900" w:val="left"/>
        </w:tabs>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color w:val="0000FF"/>
        </w:rPr>
        <w:tab/>
        <w:t>Form of 5.95% Fixed-to-Floating Rate Subordinated Note due 2030 (included as Exhibit A to the Form of Subordinated Note Purchase Agreement filed as Exhibit 10.8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20" w:hanging="890"/>
        <w:spacing w:after="0" w:line="281" w:lineRule="auto"/>
        <w:tabs>
          <w:tab w:leader="none" w:pos="900" w:val="left"/>
        </w:tabs>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t>The form of Indemnity Agreement, as executed with all of the directors of the registrant (incorporated herein by reference to Exhibit 10.3 to the Form S-4 we filed on December 29, 2017).</w:t>
      </w:r>
    </w:p>
    <w:p>
      <w:pPr>
        <w:spacing w:after="0" w:line="1" w:lineRule="exact"/>
        <w:rPr>
          <w:sz w:val="20"/>
          <w:szCs w:val="20"/>
          <w:color w:val="auto"/>
        </w:rPr>
      </w:pPr>
    </w:p>
    <w:p>
      <w:pPr>
        <w:ind w:left="920" w:right="20" w:hanging="890"/>
        <w:spacing w:after="0" w:line="281" w:lineRule="auto"/>
        <w:tabs>
          <w:tab w:leader="none" w:pos="900" w:val="left"/>
        </w:tabs>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color w:val="0000EE"/>
        </w:rPr>
        <w:tab/>
        <w:t>The form of Management Continuity Agreement as executed with executive officers and certain senior managers (incorporated herein by reference to Exhibit 10.4 to the Form S-4 we filed on 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20" w:hanging="890"/>
        <w:spacing w:after="0" w:line="281" w:lineRule="auto"/>
        <w:tabs>
          <w:tab w:leader="none" w:pos="900" w:val="left"/>
        </w:tabs>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color w:val="0000EE"/>
        </w:rPr>
        <w:tab/>
        <w:t>2021 Independent Bank Corporation Long-Term Incentive Plan, effective April 20, 2021 (incorporated herein by reference to Appendix A to our proxy statement filed on Schedule 14A on March 5, 2021).</w:t>
      </w:r>
    </w:p>
    <w:p>
      <w:pPr>
        <w:spacing w:after="0" w:line="1" w:lineRule="exact"/>
        <w:rPr>
          <w:sz w:val="20"/>
          <w:szCs w:val="20"/>
          <w:color w:val="auto"/>
        </w:rPr>
      </w:pPr>
    </w:p>
    <w:p>
      <w:pPr>
        <w:ind w:left="920" w:hanging="890"/>
        <w:spacing w:after="0" w:line="281" w:lineRule="auto"/>
        <w:tabs>
          <w:tab w:leader="none" w:pos="900" w:val="left"/>
        </w:tabs>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color w:val="0000EE"/>
        </w:rPr>
        <w:tab/>
        <w:t>Amended and Restated Deferred Compensation and Stock Purchase Plan for Nonemployee Directors, as amended through March 19, 2019 (incorporated herein by reference to Exhibit 10.1 to our quarterly report on Form 10-Q filed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920" w:hanging="890"/>
        <w:spacing w:after="0" w:line="281" w:lineRule="auto"/>
        <w:tabs>
          <w:tab w:leader="none" w:pos="900" w:val="left"/>
        </w:tabs>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color w:val="0000EE"/>
        </w:rPr>
        <w:tab/>
        <w:t>Form of Restricted Stock Unit Grant Agreement as executed with certain executive officers (incorporated herein by reference to Exhibit 10.2 to our quarterly report on Form 10-Q filed May 9, 2011).</w:t>
      </w:r>
    </w:p>
    <w:p>
      <w:pPr>
        <w:spacing w:after="0" w:line="1"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color w:val="0000EE"/>
        </w:rPr>
        <w:tab/>
        <w:t>Form of TSR Performance Share Award Agreement as executed with certain executive officers (incorporated herein by reference to Exhibit</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10.12 to our annual report on Form 10-K filed 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 w:lineRule="exact"/>
        <w:rPr>
          <w:sz w:val="20"/>
          <w:szCs w:val="20"/>
          <w:color w:val="auto"/>
        </w:rPr>
      </w:pPr>
    </w:p>
    <w:p>
      <w:pPr>
        <w:ind w:left="920" w:hanging="890"/>
        <w:spacing w:after="0" w:line="281" w:lineRule="auto"/>
        <w:tabs>
          <w:tab w:leader="none" w:pos="900" w:val="left"/>
        </w:tabs>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u w:val="single" w:color="auto"/>
            <w:color w:val="0000EE"/>
          </w:rPr>
          <w:t>10.7*</w:t>
        </w:r>
      </w:hyperlink>
      <w:r>
        <w:rPr>
          <w:rFonts w:ascii="Times New Roman" w:cs="Times New Roman" w:eastAsia="Times New Roman" w:hAnsi="Times New Roman"/>
          <w:sz w:val="18"/>
          <w:szCs w:val="18"/>
          <w:color w:val="0000EE"/>
        </w:rPr>
        <w:tab/>
        <w:t>Summary of Independent Bank Corporation Management Incentive Compensation Plan (incorporated herein by reference to Exhibit 10.10 to our annual report on Form 10-K filed March 6, 2015).</w:t>
      </w:r>
    </w:p>
    <w:p>
      <w:pPr>
        <w:spacing w:after="0" w:line="1" w:lineRule="exact"/>
        <w:rPr>
          <w:sz w:val="20"/>
          <w:szCs w:val="20"/>
          <w:color w:val="auto"/>
        </w:rPr>
      </w:pPr>
    </w:p>
    <w:p>
      <w:pPr>
        <w:ind w:left="920" w:hanging="890"/>
        <w:spacing w:after="0" w:line="282" w:lineRule="auto"/>
        <w:tabs>
          <w:tab w:leader="none" w:pos="900" w:val="left"/>
        </w:tabs>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FF"/>
        </w:rPr>
        <w:tab/>
        <w:t>Form of Subordinated Note Purchase Agreement dated May 27, 2020, by and among Independent Bank Corporation and the Purchasers (incorporated herein by reference to Exhibit 10.1 to our Current Report on Form 8-K filed on May 27, 2020).</w:t>
      </w:r>
    </w:p>
    <w:p>
      <w:pPr>
        <w:spacing w:after="0" w:line="283" w:lineRule="exact"/>
        <w:rPr>
          <w:sz w:val="20"/>
          <w:szCs w:val="20"/>
          <w:color w:val="auto"/>
        </w:rPr>
      </w:pPr>
    </w:p>
    <w:p>
      <w:pPr>
        <w:ind w:right="8440" w:firstLine="8"/>
        <w:spacing w:after="0" w:line="530" w:lineRule="auto"/>
        <w:tabs>
          <w:tab w:leader="none" w:pos="72"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Represents a compensation plan. </w:t>
      </w:r>
      <w:r>
        <w:rPr>
          <w:rFonts w:ascii="Times New Roman" w:cs="Times New Roman" w:eastAsia="Times New Roman" w:hAnsi="Times New Roman"/>
          <w:sz w:val="15"/>
          <w:szCs w:val="15"/>
          <w:u w:val="single" w:color="auto"/>
          <w:color w:val="auto"/>
        </w:rPr>
        <w:t>ITEM 16. FORM 10-K SUMMARY</w:t>
      </w: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dated March 3,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BANK CORPORATION</w:t>
            </w:r>
          </w:p>
        </w:tc>
        <w:tc>
          <w:tcPr>
            <w:tcW w:w="4560" w:type="dxa"/>
            <w:vAlign w:val="bottom"/>
          </w:tcPr>
          <w:p>
            <w:pPr>
              <w:spacing w:after="0"/>
              <w:rPr>
                <w:sz w:val="20"/>
                <w:szCs w:val="20"/>
                <w:color w:val="auto"/>
              </w:rPr>
            </w:pPr>
          </w:p>
        </w:tc>
      </w:tr>
      <w:tr>
        <w:trPr>
          <w:trHeight w:val="513"/>
        </w:trPr>
        <w:tc>
          <w:tcPr>
            <w:tcW w:w="3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s/Gavin A. Mohr</w:t>
            </w:r>
          </w:p>
        </w:tc>
        <w:tc>
          <w:tcPr>
            <w:tcW w:w="4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Gavin A. Mohr, Executive Vice President and Chief Financial</w:t>
            </w:r>
          </w:p>
        </w:tc>
      </w:tr>
      <w:tr>
        <w:trPr>
          <w:trHeight w:val="214"/>
        </w:trPr>
        <w:tc>
          <w:tcPr>
            <w:tcW w:w="26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Officer (Principal Financial Officer)</w:t>
            </w:r>
          </w:p>
        </w:tc>
      </w:tr>
    </w:tbl>
    <w:p>
      <w:pPr>
        <w:spacing w:after="0" w:line="3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 Each director whose signature appears below hereby appoints William B. Kessel and Gavin A. Mohr and each of them severally, as his or her attorney-in-fact, to sign in his or her name and on his or her behalf, as a director, and to file with the Securities and Exchange Commission any and all amendments to this Annual Report on Form 10-K.</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B. Kessel, President, Chief Executive</w:t>
            </w:r>
          </w:p>
        </w:tc>
        <w:tc>
          <w:tcPr>
            <w:tcW w:w="1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 and Director (Principal Executive</w:t>
            </w:r>
          </w:p>
        </w:tc>
        <w:tc>
          <w:tcPr>
            <w:tcW w:w="1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B. Kessel</w:t>
            </w:r>
          </w:p>
        </w:tc>
        <w:tc>
          <w:tcPr>
            <w:tcW w:w="2080" w:type="dxa"/>
            <w:vAlign w:val="bottom"/>
          </w:tcPr>
          <w:p>
            <w:pPr>
              <w:spacing w:after="0"/>
              <w:rPr>
                <w:sz w:val="20"/>
                <w:szCs w:val="20"/>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Gavin A. Mohr, Executive Vice President and</w:t>
            </w: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1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s/Gavin A. Mohr</w:t>
            </w:r>
          </w:p>
        </w:tc>
        <w:tc>
          <w:tcPr>
            <w:tcW w:w="2080" w:type="dxa"/>
            <w:vAlign w:val="bottom"/>
          </w:tcPr>
          <w:p>
            <w:pPr>
              <w:spacing w:after="0"/>
              <w:rPr>
                <w:sz w:val="20"/>
                <w:szCs w:val="20"/>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James J. Twarozynski, Senior Vice President and</w:t>
            </w: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Accounting Officer (Principal Accounting</w:t>
            </w:r>
          </w:p>
        </w:tc>
        <w:tc>
          <w:tcPr>
            <w:tcW w:w="1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s/James J. Twarozynski</w:t>
            </w:r>
          </w:p>
        </w:tc>
        <w:tc>
          <w:tcPr>
            <w:tcW w:w="2080" w:type="dxa"/>
            <w:vAlign w:val="bottom"/>
          </w:tcPr>
          <w:p>
            <w:pPr>
              <w:spacing w:after="0"/>
              <w:rPr>
                <w:sz w:val="20"/>
                <w:szCs w:val="20"/>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Michael M. Magee, Jr. Chairperson and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s/Michael M. Magee, Jr.</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Dennis W. Archer, Jr.,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s/Dennis W. Archer, Jr.</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Terance L. Beia,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s/Terance L. Beia</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J. Boer,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J. Boer</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Joan A. Budden,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s/Joan A. Budden</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Michael J. Cok,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s/Michael J. Cok</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Stephen L. Gulis, Jr.,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s/Stephen L. Gulis, Jr.</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Christina L. Keller,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s/Christina L. Keller</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B. Kessel,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B. Kessel</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Ronia F. Kruse,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s/Ronia F. Kruse</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Matthew J. Missad,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s/Matthew J. Missad</w:t>
            </w:r>
          </w:p>
        </w:tc>
        <w:tc>
          <w:tcPr>
            <w:tcW w:w="2080" w:type="dxa"/>
            <w:vAlign w:val="bottom"/>
          </w:tcPr>
          <w:p>
            <w:pPr>
              <w:spacing w:after="0"/>
              <w:rPr>
                <w:sz w:val="24"/>
                <w:szCs w:val="24"/>
                <w:color w:val="auto"/>
              </w:rPr>
            </w:pPr>
          </w:p>
        </w:tc>
        <w:tc>
          <w:tcPr>
            <w:tcW w:w="23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March 3, 2023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3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8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w w:val="99"/>
              </w:rPr>
              <w:t>25</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10.9*</w:t>
      </w:r>
    </w:p>
    <w:p>
      <w:pPr>
        <w:spacing w:after="0" w:line="2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INDEPENDENT BANK CORPORATION LONG-TERM INCENTIVE PLAN</w:t>
      </w:r>
    </w:p>
    <w:p>
      <w:pPr>
        <w:ind w:left="3940"/>
        <w:spacing w:after="0"/>
        <w:rPr>
          <w:sz w:val="20"/>
          <w:szCs w:val="20"/>
          <w:color w:val="auto"/>
        </w:rPr>
      </w:pPr>
      <w:r>
        <w:rPr>
          <w:rFonts w:ascii="Times New Roman" w:cs="Times New Roman" w:eastAsia="Times New Roman" w:hAnsi="Times New Roman"/>
          <w:sz w:val="18"/>
          <w:szCs w:val="18"/>
          <w:b w:val="1"/>
          <w:bCs w:val="1"/>
          <w:color w:val="auto"/>
        </w:rPr>
        <w:t>PERFORMANCE SHARE AWARD AGREEMENT</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certifies that Independent Bank Corporation (the "Company") has on___________, 20xx (the "Award Date"), granted to ________________</w:t>
      </w:r>
    </w:p>
    <w:p>
      <w:pPr>
        <w:spacing w:after="0" w:line="205" w:lineRule="auto"/>
        <w:rPr>
          <w:sz w:val="20"/>
          <w:szCs w:val="20"/>
          <w:color w:val="auto"/>
        </w:rPr>
      </w:pPr>
      <w:r>
        <w:rPr>
          <w:rFonts w:ascii="Times New Roman" w:cs="Times New Roman" w:eastAsia="Times New Roman" w:hAnsi="Times New Roman"/>
          <w:sz w:val="18"/>
          <w:szCs w:val="18"/>
          <w:color w:val="auto"/>
        </w:rPr>
        <w:t>(the "Participant") an award (the "Award") of _________ Performance Shares (the "Target Performance Shares") pursuant to and under the Independent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Bank Corporation Long-Term Incentive Plan (the "Plan") and subject to the terms set forth in this agreement (the "Agreement"). A copy of the Plan has been delivered to the Participant. The Plan is incorporated into this Agreement by reference, and in the event of any conflict between the terms of the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this Agreement, the terms of the Plan will govern. Any terms not defined herein will have the meaning set forth in the Plan.</w:t>
      </w:r>
    </w:p>
    <w:p>
      <w:pPr>
        <w:spacing w:after="0" w:line="19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320" w:firstLine="656"/>
        <w:spacing w:after="0" w:line="250" w:lineRule="auto"/>
        <w:tabs>
          <w:tab w:leader="none" w:pos="10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Performance Shares" means the number of Performance Shares earned and vested in accordance with Section 2 and payable to the Participant under Section 5 of this Agreement.</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w:t>
      </w:r>
    </w:p>
    <w:p>
      <w:pPr>
        <w:spacing w:after="0" w:line="211" w:lineRule="exact"/>
        <w:rPr>
          <w:rFonts w:ascii="Times New Roman" w:cs="Times New Roman" w:eastAsia="Times New Roman" w:hAnsi="Times New Roman"/>
          <w:sz w:val="18"/>
          <w:szCs w:val="18"/>
          <w:color w:val="auto"/>
        </w:rPr>
      </w:pPr>
    </w:p>
    <w:p>
      <w:pPr>
        <w:jc w:val="both"/>
        <w:ind w:left="660" w:right="640" w:firstLine="644"/>
        <w:spacing w:after="0" w:line="223" w:lineRule="auto"/>
        <w:tabs>
          <w:tab w:leader="none" w:pos="17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Participant of those duties and responsibilities of the Participant which do not differ in any material respect from the duties and responsibilities of the Participant during the 90-day period immediately prior to such breach (other than as a result of incapacity due to physical or mental illness) which is demonstrably willful and deliberate on the Participant's part, which is committed in bad faith or without reasonable belief that such breach is in the best interests of the Company and which is not remedied in a reasonable period of time after receipt of written notice from the Company specifying such breach; or</w:t>
      </w:r>
    </w:p>
    <w:p>
      <w:pPr>
        <w:spacing w:after="0" w:line="18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the Participant of a felony involving moral turpitude.</w:t>
      </w:r>
    </w:p>
    <w:p>
      <w:pPr>
        <w:spacing w:after="0" w:line="21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Company's no par value per share common stock.</w:t>
      </w:r>
    </w:p>
    <w:p>
      <w:pPr>
        <w:spacing w:after="0" w:line="225" w:lineRule="exact"/>
        <w:rPr>
          <w:rFonts w:ascii="Times New Roman" w:cs="Times New Roman" w:eastAsia="Times New Roman" w:hAnsi="Times New Roman"/>
          <w:sz w:val="18"/>
          <w:szCs w:val="18"/>
          <w:color w:val="auto"/>
        </w:rPr>
      </w:pPr>
    </w:p>
    <w:p>
      <w:pPr>
        <w:jc w:val="both"/>
        <w:ind w:right="320" w:firstLine="656"/>
        <w:spacing w:after="0" w:line="226" w:lineRule="auto"/>
        <w:tabs>
          <w:tab w:leader="none" w:pos="10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 means financial institutions chartered as state or federal banking institutions or bank holding companies domiciled in the United States and with total year-end assets between $1 billion and $10 billion, whose securities are publicly traded on the major United States exchanges, as published by S&amp;P Global, or any successor peer group approved by the Committee, determined as of each Award Date.</w:t>
      </w:r>
    </w:p>
    <w:p>
      <w:pPr>
        <w:spacing w:after="0" w:line="184" w:lineRule="exact"/>
        <w:rPr>
          <w:rFonts w:ascii="Times New Roman" w:cs="Times New Roman" w:eastAsia="Times New Roman" w:hAnsi="Times New Roman"/>
          <w:sz w:val="18"/>
          <w:szCs w:val="18"/>
          <w:color w:val="auto"/>
        </w:rPr>
      </w:pPr>
    </w:p>
    <w:p>
      <w:pPr>
        <w:ind w:right="320" w:firstLine="656"/>
        <w:spacing w:after="0" w:line="250" w:lineRule="auto"/>
        <w:tabs>
          <w:tab w:leader="none" w:pos="11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ROAA” means the ROAA of the Peer Group during the applicable Performance Period, as determined from the information published by S&amp;P Global, or as may be determined by the Committee, in a manner consistent with determining Company ROAA.</w:t>
      </w:r>
    </w:p>
    <w:p>
      <w:pPr>
        <w:spacing w:after="0" w:line="176" w:lineRule="exact"/>
        <w:rPr>
          <w:rFonts w:ascii="Times New Roman" w:cs="Times New Roman" w:eastAsia="Times New Roman" w:hAnsi="Times New Roman"/>
          <w:sz w:val="18"/>
          <w:szCs w:val="18"/>
          <w:color w:val="auto"/>
        </w:rPr>
      </w:pPr>
    </w:p>
    <w:p>
      <w:pPr>
        <w:jc w:val="both"/>
        <w:ind w:right="320" w:firstLine="656"/>
        <w:spacing w:after="0" w:line="231" w:lineRule="auto"/>
        <w:tabs>
          <w:tab w:leader="none" w:pos="10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TSR" means total shareholder return of the Peer Group during the applicable Performance Period, as determined from the information published by S&amp;P Global for such Peer Group, or as may be determined by the Committee in a manner consistent with determining TSR for the Company.</w:t>
      </w:r>
    </w:p>
    <w:p>
      <w:pPr>
        <w:spacing w:after="0" w:line="18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means the period of three (3) consecutive years commencing on the Award Date.</w:t>
      </w:r>
    </w:p>
    <w:p>
      <w:pPr>
        <w:spacing w:after="0" w:line="211" w:lineRule="exact"/>
        <w:rPr>
          <w:rFonts w:ascii="Times New Roman" w:cs="Times New Roman" w:eastAsia="Times New Roman" w:hAnsi="Times New Roman"/>
          <w:sz w:val="18"/>
          <w:szCs w:val="18"/>
          <w:color w:val="auto"/>
        </w:rPr>
      </w:pPr>
    </w:p>
    <w:p>
      <w:pPr>
        <w:ind w:right="320" w:firstLine="656"/>
        <w:spacing w:after="0" w:line="250" w:lineRule="auto"/>
        <w:tabs>
          <w:tab w:leader="none" w:pos="11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means the right to receive one (1) share of Common Stock subject to certain restrictions and on the terms and conditions contained in this Agreement and the Plan.</w:t>
      </w:r>
    </w:p>
    <w:p>
      <w:pPr>
        <w:spacing w:after="0" w:line="176" w:lineRule="exact"/>
        <w:rPr>
          <w:rFonts w:ascii="Times New Roman" w:cs="Times New Roman" w:eastAsia="Times New Roman" w:hAnsi="Times New Roman"/>
          <w:sz w:val="18"/>
          <w:szCs w:val="18"/>
          <w:color w:val="auto"/>
        </w:rPr>
      </w:pPr>
    </w:p>
    <w:p>
      <w:pPr>
        <w:ind w:right="340" w:firstLine="656"/>
        <w:spacing w:after="0" w:line="237" w:lineRule="auto"/>
        <w:tabs>
          <w:tab w:leader="none" w:pos="10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Average Assets or ROAA” with respect to the Company shall mean the average of the Company's annual income during the Performance Period, divided by its annual average assets, during the Performance Period.</w:t>
      </w:r>
    </w:p>
    <w:p>
      <w:pPr>
        <w:spacing w:after="0" w:line="198" w:lineRule="exact"/>
        <w:rPr>
          <w:rFonts w:ascii="Times New Roman" w:cs="Times New Roman" w:eastAsia="Times New Roman" w:hAnsi="Times New Roman"/>
          <w:sz w:val="18"/>
          <w:szCs w:val="18"/>
          <w:color w:val="auto"/>
        </w:rPr>
      </w:pPr>
    </w:p>
    <w:p>
      <w:pPr>
        <w:jc w:val="both"/>
        <w:ind w:right="320" w:firstLine="656"/>
        <w:spacing w:after="0" w:line="217" w:lineRule="auto"/>
        <w:tabs>
          <w:tab w:leader="none" w:pos="10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or “TSR” with respect to the Company shall mean the quotient of (a) the Average Fair Market Value of the Company's Common Stock on the last day of the Performance Period divided by (b) the Average Fair Market Value of the Company's Common Stock on the Award Date. For purposes of calculating the Company's TSR, the Average Fair Market Value on the last date of the Performance Period shall be adjusted to reflect any and all cash, stock or in-kind dividends paid on the Company's Common Stock during the Performance Period. Average Fair Market Value shall mean the average of the Fair Market Value (as defined in the Plan) of the Company's Common Stock during the ten (10) trading day period immediately prior to the Award Date and the last day of the Performance Period, as applicable.</w:t>
      </w:r>
    </w:p>
    <w:p>
      <w:pPr>
        <w:spacing w:after="0" w:line="200" w:lineRule="exact"/>
        <w:rPr>
          <w:sz w:val="20"/>
          <w:szCs w:val="20"/>
          <w:color w:val="auto"/>
        </w:rPr>
      </w:pPr>
    </w:p>
    <w:p>
      <w:pPr>
        <w:ind w:firstLine="656"/>
        <w:spacing w:after="0" w:line="237" w:lineRule="auto"/>
        <w:tabs>
          <w:tab w:leader="none" w:pos="9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Actual Performance Shares</w:t>
      </w:r>
      <w:r>
        <w:rPr>
          <w:rFonts w:ascii="Times New Roman" w:cs="Times New Roman" w:eastAsia="Times New Roman" w:hAnsi="Times New Roman"/>
          <w:sz w:val="18"/>
          <w:szCs w:val="18"/>
          <w:color w:val="auto"/>
        </w:rPr>
        <w:t>. The Actual Performance Shares which may be earned and vested by Participant shall equal (a) the number of Target Performance Shares, multiplied by (b) the Earnout Percentage, as determined under this Section 2.</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20" w:right="339" w:bottom="1440" w:gutter="0" w:footer="0" w:header="0"/>
          <w:type w:val="continuous"/>
        </w:sectPr>
      </w:pPr>
    </w:p>
    <w:bookmarkStart w:id="26" w:name="page27"/>
    <w:bookmarkEnd w:id="26"/>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TSR and ROAA</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660" w:right="340" w:firstLine="644"/>
        <w:spacing w:after="0" w:line="237" w:lineRule="auto"/>
        <w:tabs>
          <w:tab w:leader="none" w:pos="17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Company TSR and ROAA</w:t>
      </w:r>
      <w:r>
        <w:rPr>
          <w:rFonts w:ascii="Times New Roman" w:cs="Times New Roman" w:eastAsia="Times New Roman" w:hAnsi="Times New Roman"/>
          <w:sz w:val="18"/>
          <w:szCs w:val="18"/>
          <w:color w:val="auto"/>
        </w:rPr>
        <w:t>. Within sixty (60) days after the end of each Performance Period, the Committee will determine the Company’s TSR and ROAA during the Performance Period.</w:t>
      </w:r>
    </w:p>
    <w:p>
      <w:pPr>
        <w:spacing w:after="0" w:line="198" w:lineRule="exact"/>
        <w:rPr>
          <w:rFonts w:ascii="Times New Roman" w:cs="Times New Roman" w:eastAsia="Times New Roman" w:hAnsi="Times New Roman"/>
          <w:sz w:val="18"/>
          <w:szCs w:val="18"/>
          <w:color w:val="auto"/>
        </w:rPr>
      </w:pPr>
    </w:p>
    <w:p>
      <w:pPr>
        <w:ind w:left="660" w:right="340" w:firstLine="644"/>
        <w:spacing w:after="0" w:line="237" w:lineRule="auto"/>
        <w:tabs>
          <w:tab w:leader="none" w:pos="180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Peer Group TSR and ROAA</w:t>
      </w:r>
      <w:r>
        <w:rPr>
          <w:rFonts w:ascii="Times New Roman" w:cs="Times New Roman" w:eastAsia="Times New Roman" w:hAnsi="Times New Roman"/>
          <w:sz w:val="18"/>
          <w:szCs w:val="18"/>
          <w:color w:val="auto"/>
        </w:rPr>
        <w:t>. Within sixty (60) days after the end of each Performance Period, the Committee will determine the Peer Group TSR and Peer Group ROAA during the Performance Period.</w:t>
      </w:r>
    </w:p>
    <w:p>
      <w:pPr>
        <w:spacing w:after="0" w:line="185" w:lineRule="exact"/>
        <w:rPr>
          <w:rFonts w:ascii="Times New Roman" w:cs="Times New Roman" w:eastAsia="Times New Roman" w:hAnsi="Times New Roman"/>
          <w:sz w:val="18"/>
          <w:szCs w:val="18"/>
          <w:color w:val="auto"/>
        </w:rPr>
      </w:pPr>
    </w:p>
    <w:p>
      <w:pPr>
        <w:ind w:firstLine="656"/>
        <w:spacing w:after="0" w:line="250" w:lineRule="auto"/>
        <w:tabs>
          <w:tab w:leader="none" w:pos="10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Earnout Percentage</w:t>
      </w:r>
      <w:r>
        <w:rPr>
          <w:rFonts w:ascii="Times New Roman" w:cs="Times New Roman" w:eastAsia="Times New Roman" w:hAnsi="Times New Roman"/>
          <w:sz w:val="18"/>
          <w:szCs w:val="18"/>
          <w:color w:val="auto"/>
        </w:rPr>
        <w:t>. The Earnout Percentage shall equal the sum of the Earnout Percentages under Section 2(b)(i) and (ii), determined in accordance with the following:</w:t>
      </w:r>
    </w:p>
    <w:p>
      <w:pPr>
        <w:spacing w:after="0" w:line="3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w:t>
      </w:r>
    </w:p>
    <w:p>
      <w:pPr>
        <w:spacing w:after="0" w:line="9" w:lineRule="exact"/>
        <w:rPr>
          <w:sz w:val="20"/>
          <w:szCs w:val="20"/>
          <w:color w:val="auto"/>
        </w:rPr>
      </w:pPr>
    </w:p>
    <w:tbl>
      <w:tblPr>
        <w:tblLayout w:type="fixed"/>
        <w:tblInd w:w="352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Earnout TSR</w:t>
            </w:r>
          </w:p>
        </w:tc>
      </w:tr>
      <w:tr>
        <w:trPr>
          <w:trHeight w:val="243"/>
        </w:trPr>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If the Company's TSR is: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Percentage is:</w:t>
            </w:r>
          </w:p>
        </w:tc>
      </w:tr>
      <w:tr>
        <w:trPr>
          <w:trHeight w:val="218"/>
        </w:trPr>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&lt;25th Percentile</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25th Percentile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50th Percentile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75th Percentile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≥90th Percentile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0" w:lineRule="exact"/>
        <w:rPr>
          <w:sz w:val="20"/>
          <w:szCs w:val="20"/>
          <w:color w:val="auto"/>
        </w:rPr>
      </w:pPr>
    </w:p>
    <w:p>
      <w:pPr>
        <w:spacing w:after="0" w:line="2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w:t>
      </w:r>
    </w:p>
    <w:p>
      <w:pPr>
        <w:spacing w:after="0" w:line="23" w:lineRule="exact"/>
        <w:rPr>
          <w:sz w:val="20"/>
          <w:szCs w:val="20"/>
          <w:color w:val="auto"/>
        </w:rPr>
      </w:pPr>
    </w:p>
    <w:tbl>
      <w:tblPr>
        <w:tblLayout w:type="fixed"/>
        <w:tblInd w:w="316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ROAA Earnout</w:t>
            </w:r>
          </w:p>
        </w:tc>
      </w:tr>
      <w:tr>
        <w:trPr>
          <w:trHeight w:val="243"/>
        </w:trPr>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If the Company's ROAA is: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Percentage is:</w:t>
            </w:r>
          </w:p>
        </w:tc>
      </w:tr>
      <w:tr>
        <w:trPr>
          <w:trHeight w:val="218"/>
        </w:trPr>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&lt;25th Percentile</w:t>
            </w:r>
          </w:p>
        </w:tc>
        <w:tc>
          <w:tcPr>
            <w:tcW w:w="100" w:type="dxa"/>
            <w:vAlign w:val="bottom"/>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25th Percentile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50th Percentile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75th Percentile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≥90th Percentile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9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Earnout Percentages between the above performance levels set forth in Section 2(b)(i) and (ii) shall be determined based on straight line interpolation.</w:t>
      </w:r>
    </w:p>
    <w:p>
      <w:pPr>
        <w:spacing w:after="0" w:line="176" w:lineRule="exact"/>
        <w:rPr>
          <w:sz w:val="20"/>
          <w:szCs w:val="20"/>
          <w:color w:val="auto"/>
        </w:rPr>
      </w:pPr>
    </w:p>
    <w:p>
      <w:pPr>
        <w:ind w:firstLine="656"/>
        <w:spacing w:after="0" w:line="237" w:lineRule="auto"/>
        <w:tabs>
          <w:tab w:leader="none" w:pos="10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Actual Performance Shares after a Change in Control</w:t>
      </w:r>
      <w:r>
        <w:rPr>
          <w:rFonts w:ascii="Times New Roman" w:cs="Times New Roman" w:eastAsia="Times New Roman" w:hAnsi="Times New Roman"/>
          <w:sz w:val="18"/>
          <w:szCs w:val="18"/>
          <w:color w:val="auto"/>
        </w:rPr>
        <w:t>. If a Change in Control occurs during the Performance Period, the Committee will determine the Participant's Actual Performance Shares in accordance with the following:</w:t>
      </w:r>
    </w:p>
    <w:p>
      <w:pPr>
        <w:spacing w:after="0" w:line="198" w:lineRule="exact"/>
        <w:rPr>
          <w:rFonts w:ascii="Times New Roman" w:cs="Times New Roman" w:eastAsia="Times New Roman" w:hAnsi="Times New Roman"/>
          <w:sz w:val="18"/>
          <w:szCs w:val="18"/>
          <w:color w:val="auto"/>
        </w:rPr>
      </w:pPr>
    </w:p>
    <w:p>
      <w:pPr>
        <w:jc w:val="both"/>
        <w:ind w:left="660" w:right="340" w:firstLine="644"/>
        <w:spacing w:after="0" w:line="226" w:lineRule="auto"/>
        <w:tabs>
          <w:tab w:leader="none" w:pos="16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determine the TSR and ROAA for the Company and the Peer Group TSR and ROAA for the period beginning on the first day of the Performance Period and ending on the date immediately prior to the effective date of the Change in Control (the "Adjusted Performance Period").</w:t>
      </w:r>
    </w:p>
    <w:p>
      <w:pPr>
        <w:spacing w:after="0" w:line="184" w:lineRule="exact"/>
        <w:rPr>
          <w:rFonts w:ascii="Times New Roman" w:cs="Times New Roman" w:eastAsia="Times New Roman" w:hAnsi="Times New Roman"/>
          <w:sz w:val="18"/>
          <w:szCs w:val="18"/>
          <w:color w:val="auto"/>
        </w:rPr>
      </w:pPr>
    </w:p>
    <w:p>
      <w:pPr>
        <w:ind w:left="660" w:right="340" w:firstLine="644"/>
        <w:spacing w:after="0" w:line="250" w:lineRule="auto"/>
        <w:tabs>
          <w:tab w:leader="none" w:pos="18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the Earnout Percentage under the formula set forth in Section 2(b) above during the Adjusted Performance Period (the "Adjusted Earnout Percentage").</w:t>
      </w:r>
    </w:p>
    <w:p>
      <w:pPr>
        <w:spacing w:after="0" w:line="176" w:lineRule="exact"/>
        <w:rPr>
          <w:rFonts w:ascii="Times New Roman" w:cs="Times New Roman" w:eastAsia="Times New Roman" w:hAnsi="Times New Roman"/>
          <w:sz w:val="18"/>
          <w:szCs w:val="18"/>
          <w:color w:val="auto"/>
        </w:rPr>
      </w:pPr>
    </w:p>
    <w:p>
      <w:pPr>
        <w:jc w:val="both"/>
        <w:ind w:left="660" w:right="340" w:firstLine="644"/>
        <w:spacing w:after="0" w:line="231" w:lineRule="auto"/>
        <w:tabs>
          <w:tab w:leader="none" w:pos="18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Performance Shares shall equal the product of (a) the number of Target Performance Shares, and (b) the Adjusted Earnout Percentage, multiplied by a fraction, the numerator of which is the number of days in the Adjusted Performance Period and the denominator of which is 1,095.</w:t>
      </w:r>
    </w:p>
    <w:p>
      <w:pPr>
        <w:spacing w:after="0" w:line="185" w:lineRule="exact"/>
        <w:rPr>
          <w:rFonts w:ascii="Times New Roman" w:cs="Times New Roman" w:eastAsia="Times New Roman" w:hAnsi="Times New Roman"/>
          <w:sz w:val="18"/>
          <w:szCs w:val="18"/>
          <w:color w:val="auto"/>
        </w:rPr>
      </w:pPr>
    </w:p>
    <w:p>
      <w:pPr>
        <w:jc w:val="both"/>
        <w:ind w:right="320" w:firstLine="656"/>
        <w:spacing w:after="0" w:line="216" w:lineRule="auto"/>
        <w:tabs>
          <w:tab w:leader="none" w:pos="10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 Not later than ninety (90) days after the end of the Performance Period or five (5) days after the Adjusted Performance Period, as applicable, the Committee shall determine the Actual Performance Shares and shall certify such finding to the Company and the Participant.</w:t>
      </w:r>
    </w:p>
    <w:p>
      <w:pPr>
        <w:spacing w:after="0" w:line="1"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Actual Performance Shares Following Termination of Employment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656"/>
        <w:spacing w:after="0" w:line="250" w:lineRule="auto"/>
        <w:tabs>
          <w:tab w:leader="none" w:pos="10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Disability or Termination Without Cause</w:t>
      </w:r>
      <w:r>
        <w:rPr>
          <w:rFonts w:ascii="Times New Roman" w:cs="Times New Roman" w:eastAsia="Times New Roman" w:hAnsi="Times New Roman"/>
          <w:sz w:val="18"/>
          <w:szCs w:val="18"/>
          <w:color w:val="auto"/>
        </w:rPr>
        <w:t>. In the event that the Participant's employment with the Company or a Subsidiary terminates prior to the end of the Performance Period due to:</w:t>
      </w:r>
    </w:p>
    <w:p>
      <w:pPr>
        <w:sectPr>
          <w:pgSz w:w="11900" w:h="16838" w:orient="portrait"/>
          <w:cols w:equalWidth="0" w:num="1">
            <w:col w:w="10920"/>
          </w:cols>
          <w:pgMar w:left="320" w:top="1134"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20"/>
          </w:cols>
          <w:pgMar w:left="320" w:top="1134" w:right="659" w:bottom="1440" w:gutter="0" w:footer="0" w:header="0"/>
          <w:type w:val="continuous"/>
        </w:sectPr>
      </w:pPr>
    </w:p>
    <w:bookmarkStart w:id="27" w:name="page28"/>
    <w:bookmarkEnd w:id="27"/>
    <w:p>
      <w:pPr>
        <w:ind w:left="1660" w:hanging="356"/>
        <w:spacing w:after="0"/>
        <w:tabs>
          <w:tab w:leader="none" w:pos="1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w:t>
      </w:r>
    </w:p>
    <w:p>
      <w:pPr>
        <w:spacing w:after="0" w:line="21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or</w:t>
      </w:r>
    </w:p>
    <w:p>
      <w:pPr>
        <w:spacing w:after="0" w:line="211"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the Company or a Subsidiary without Cause,</w:t>
      </w:r>
    </w:p>
    <w:p>
      <w:pPr>
        <w:spacing w:after="0" w:line="225" w:lineRule="exact"/>
        <w:rPr>
          <w:sz w:val="20"/>
          <w:szCs w:val="20"/>
          <w:color w:val="auto"/>
        </w:rPr>
      </w:pPr>
    </w:p>
    <w:p>
      <w:pPr>
        <w:jc w:val="both"/>
        <w:ind w:left="660" w:right="320"/>
        <w:spacing w:after="0" w:line="226" w:lineRule="auto"/>
        <w:rPr>
          <w:sz w:val="20"/>
          <w:szCs w:val="20"/>
          <w:color w:val="auto"/>
        </w:rPr>
      </w:pPr>
      <w:r>
        <w:rPr>
          <w:rFonts w:ascii="Times New Roman" w:cs="Times New Roman" w:eastAsia="Times New Roman" w:hAnsi="Times New Roman"/>
          <w:sz w:val="18"/>
          <w:szCs w:val="18"/>
          <w:color w:val="auto"/>
        </w:rPr>
        <w:t>the Participant's Actual Performance Shares will equal the Actual Performance Shares determined under Section 2 multiplied by a fraction, the numerator of which is the number of full calendar months, beginning on the first day of the Performance Period and ending on the date of the Participant's termination of employment, and the denominator of which is 36.</w:t>
      </w:r>
    </w:p>
    <w:p>
      <w:pPr>
        <w:spacing w:after="0" w:line="198" w:lineRule="exact"/>
        <w:rPr>
          <w:sz w:val="20"/>
          <w:szCs w:val="20"/>
          <w:color w:val="auto"/>
        </w:rPr>
      </w:pPr>
    </w:p>
    <w:p>
      <w:pPr>
        <w:jc w:val="both"/>
        <w:ind w:right="320" w:firstLine="656"/>
        <w:spacing w:after="0" w:line="224" w:lineRule="auto"/>
        <w:tabs>
          <w:tab w:leader="none" w:pos="10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Retirement Prior to the Last Year of Performance Period</w:t>
      </w:r>
      <w:r>
        <w:rPr>
          <w:rFonts w:ascii="Times New Roman" w:cs="Times New Roman" w:eastAsia="Times New Roman" w:hAnsi="Times New Roman"/>
          <w:sz w:val="18"/>
          <w:szCs w:val="18"/>
          <w:color w:val="auto"/>
        </w:rPr>
        <w:t>. If the Employee is age 60 or older and retires from the Company or a Subsidiary prior to the end of the Second Year of the Performance Period, the Participant's Actual Performance Shares will be equal to the Actual Performance Shares determined under Section 2, multiplied by a fraction, the numerator of which is the number of full calendar months, beginning on the first day of the Performance Period and ending on the date of the Participant's Retirement, and the denominator of which is 36.</w:t>
      </w:r>
    </w:p>
    <w:p>
      <w:pPr>
        <w:spacing w:after="0" w:line="185" w:lineRule="exact"/>
        <w:rPr>
          <w:rFonts w:ascii="Times New Roman" w:cs="Times New Roman" w:eastAsia="Times New Roman" w:hAnsi="Times New Roman"/>
          <w:sz w:val="18"/>
          <w:szCs w:val="18"/>
          <w:color w:val="auto"/>
        </w:rPr>
      </w:pPr>
    </w:p>
    <w:p>
      <w:pPr>
        <w:jc w:val="both"/>
        <w:ind w:right="340" w:firstLine="656"/>
        <w:spacing w:after="0" w:line="231" w:lineRule="auto"/>
        <w:tabs>
          <w:tab w:leader="none" w:pos="10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Retirement After the Second Year of the Performance Period</w:t>
      </w:r>
      <w:r>
        <w:rPr>
          <w:rFonts w:ascii="Times New Roman" w:cs="Times New Roman" w:eastAsia="Times New Roman" w:hAnsi="Times New Roman"/>
          <w:sz w:val="18"/>
          <w:szCs w:val="18"/>
          <w:color w:val="auto"/>
        </w:rPr>
        <w:t>. If the Employee is age 60 or older and retires from the Company or a Subsidiary during the Performance Period on or after the last date of the Second Year of the Performance Period, no adjustment to the Actual Performance Shares shall be made.</w:t>
      </w:r>
    </w:p>
    <w:p>
      <w:pPr>
        <w:spacing w:after="0" w:line="185" w:lineRule="exact"/>
        <w:rPr>
          <w:rFonts w:ascii="Times New Roman" w:cs="Times New Roman" w:eastAsia="Times New Roman" w:hAnsi="Times New Roman"/>
          <w:sz w:val="18"/>
          <w:szCs w:val="18"/>
          <w:color w:val="auto"/>
        </w:rPr>
      </w:pPr>
    </w:p>
    <w:p>
      <w:pPr>
        <w:jc w:val="both"/>
        <w:ind w:right="320" w:firstLine="656"/>
        <w:spacing w:after="0" w:line="224" w:lineRule="auto"/>
        <w:tabs>
          <w:tab w:leader="none" w:pos="1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for Other Reasons</w:t>
      </w:r>
      <w:r>
        <w:rPr>
          <w:rFonts w:ascii="Times New Roman" w:cs="Times New Roman" w:eastAsia="Times New Roman" w:hAnsi="Times New Roman"/>
          <w:sz w:val="18"/>
          <w:szCs w:val="18"/>
          <w:color w:val="auto"/>
        </w:rPr>
        <w:t>. In the event that the Participant's employment with the Company or a Subsidiary terminates prior to the end of the Performance Period for any reason other than Death, Disability, Retirement, or Termination by the Company or a Subsidiary without Cause, then Participant's rights to all of the Target Performance Shares granted in this Award will be immediately and irrevocably forfeited upon such termination of employment.</w:t>
      </w:r>
    </w:p>
    <w:p>
      <w:pPr>
        <w:spacing w:after="0" w:line="18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the Participant with Respect to Performance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firstLine="656"/>
        <w:spacing w:after="0" w:line="220" w:lineRule="auto"/>
        <w:tabs>
          <w:tab w:leader="none" w:pos="10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Shareholder Rights</w:t>
      </w:r>
      <w:r>
        <w:rPr>
          <w:rFonts w:ascii="Times New Roman" w:cs="Times New Roman" w:eastAsia="Times New Roman" w:hAnsi="Times New Roman"/>
          <w:sz w:val="18"/>
          <w:szCs w:val="18"/>
          <w:color w:val="auto"/>
        </w:rPr>
        <w:t>. The Performance Shares granted pursuant to this Award do not and will not entitle Participant to any rights of a shareholder of Common Stock, including the right to receive dividends. The rights of the Participant with respect to the Performance Shares will remain forfeitable at all times prior to the end of the Performance Period and as otherwise provided in the Plan. Prior to conversion of Performance Shares into Common Stock, such Performance Shares will represent only an unsecured obligation of the Company.</w:t>
      </w:r>
    </w:p>
    <w:p>
      <w:pPr>
        <w:spacing w:after="0" w:line="199" w:lineRule="exact"/>
        <w:rPr>
          <w:rFonts w:ascii="Times New Roman" w:cs="Times New Roman" w:eastAsia="Times New Roman" w:hAnsi="Times New Roman"/>
          <w:sz w:val="18"/>
          <w:szCs w:val="18"/>
          <w:color w:val="auto"/>
        </w:rPr>
      </w:pPr>
    </w:p>
    <w:p>
      <w:pPr>
        <w:jc w:val="both"/>
        <w:ind w:right="320" w:firstLine="656"/>
        <w:spacing w:after="0" w:line="214" w:lineRule="auto"/>
        <w:tabs>
          <w:tab w:leader="none" w:pos="10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Performance Shares; Issuance of Common Stock</w:t>
      </w:r>
      <w:r>
        <w:rPr>
          <w:rFonts w:ascii="Times New Roman" w:cs="Times New Roman" w:eastAsia="Times New Roman" w:hAnsi="Times New Roman"/>
          <w:sz w:val="18"/>
          <w:szCs w:val="18"/>
          <w:color w:val="auto"/>
        </w:rPr>
        <w:t>. No shares of Common Stock will be issued to Participant prior to the date on which the Performance Shares vest and become Actual Performance Shares under the provisions of Section 2 of this Agreement. Neither this subsection (b) nor any action taken pursuant to or in accordance with this subsection (b) will be construed to create a trust of any kind. After any Performance Shares vest and become Actual Performance Shares and any tax withholding obligations related to such Actual Performance Shares have been satisfied pursuant to Section 7, the Company will, within 60 days thereafter, cause to be issued to the Participant or the Participant's legal representatives, beneficiaries or heirs, as the case may be, a stock certificate or book entry representing the number of shares of Common Stock in payment of such vested whole Actual Performance Shares. The value of any fractional Performance Share will be paid in cash at the time certificates are delivered to Participant in payment of the Actual Performance Shares based on the Fair Market Value of a share of Common Stock on the day preceding the date of distribution.</w:t>
      </w:r>
    </w:p>
    <w:p>
      <w:pPr>
        <w:spacing w:after="0" w:line="20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Transfer</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right="320" w:firstLine="656"/>
        <w:spacing w:after="0" w:line="220" w:lineRule="auto"/>
        <w:tabs>
          <w:tab w:leader="none" w:pos="10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Shares and any rights under this Award may not be sold, assigned, transferred, pledged, hypothecated or otherwise disposed of by Participant otherwise than by will or by the laws of descent and distribution, and any such purported sale, assignment, transfer, pledge, hypothecation or other disposition will be void and unenforceable against the Company. Notwithstanding the foregoing, Participant may, in the manner established by the Committee, designate a beneficiary or beneficiaries to exercise the rights of Participant and receive any property distributable with respect to the Performance Shares upon the death of Participant.</w:t>
      </w:r>
    </w:p>
    <w:p>
      <w:pPr>
        <w:spacing w:after="0" w:line="198" w:lineRule="exact"/>
        <w:rPr>
          <w:rFonts w:ascii="Times New Roman" w:cs="Times New Roman" w:eastAsia="Times New Roman" w:hAnsi="Times New Roman"/>
          <w:sz w:val="18"/>
          <w:szCs w:val="18"/>
          <w:color w:val="auto"/>
        </w:rPr>
      </w:pPr>
    </w:p>
    <w:p>
      <w:pPr>
        <w:jc w:val="both"/>
        <w:ind w:right="320" w:firstLine="656"/>
        <w:spacing w:after="0" w:line="226" w:lineRule="auto"/>
        <w:tabs>
          <w:tab w:leader="none" w:pos="11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by will or the applicable laws of descent and distribution of any Performance Shares that vest by reason of Participant's death will be effective to bind the Company unless the Committee will have been furnished with written notice of such transfer and a copy of the will or such other evidence as the Committee may deem necessary to establish the validity of the transfer.</w:t>
      </w:r>
    </w:p>
    <w:p>
      <w:pPr>
        <w:spacing w:after="0" w:line="198" w:lineRule="exact"/>
        <w:rPr>
          <w:sz w:val="20"/>
          <w:szCs w:val="20"/>
          <w:color w:val="auto"/>
        </w:rPr>
      </w:pPr>
    </w:p>
    <w:p>
      <w:pPr>
        <w:ind w:firstLine="656"/>
        <w:spacing w:after="0" w:line="237" w:lineRule="auto"/>
        <w:tabs>
          <w:tab w:leader="none" w:pos="9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Performance Shares for Certain Corporate Transactions</w:t>
      </w:r>
      <w:r>
        <w:rPr>
          <w:rFonts w:ascii="Times New Roman" w:cs="Times New Roman" w:eastAsia="Times New Roman" w:hAnsi="Times New Roman"/>
          <w:sz w:val="18"/>
          <w:szCs w:val="18"/>
          <w:color w:val="auto"/>
        </w:rPr>
        <w:t>. Adjustments to Performance Shares will be determined in accordance with this Section 6.</w:t>
      </w:r>
    </w:p>
    <w:p>
      <w:pPr>
        <w:spacing w:after="0" w:line="185" w:lineRule="exact"/>
        <w:rPr>
          <w:sz w:val="20"/>
          <w:szCs w:val="20"/>
          <w:color w:val="auto"/>
        </w:rPr>
      </w:pPr>
    </w:p>
    <w:p>
      <w:pPr>
        <w:ind w:left="1060" w:hanging="404"/>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make an appropriate and proportionate adjustment to the number of Target Performance Shares granted under this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if:</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34" w:right="339" w:bottom="1440" w:gutter="0" w:footer="0" w:header="0"/>
          <w:type w:val="continuous"/>
        </w:sectPr>
      </w:pPr>
    </w:p>
    <w:bookmarkStart w:id="28" w:name="page29"/>
    <w:bookmarkEnd w:id="28"/>
    <w:p>
      <w:pPr>
        <w:jc w:val="both"/>
        <w:ind w:left="660" w:right="340" w:firstLine="644"/>
        <w:spacing w:after="0" w:line="226" w:lineRule="auto"/>
        <w:tabs>
          <w:tab w:leader="none" w:pos="1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of Common Stock are increased or decreased, as a result of merger, consolidation, sale of all or substantially all of the assets of the Company, reclassification, stock dividend, stock split, reverse stock split with respect to such shares of Common Stock or other securities, or</w:t>
      </w:r>
    </w:p>
    <w:p>
      <w:pPr>
        <w:spacing w:after="0" w:line="198" w:lineRule="exact"/>
        <w:rPr>
          <w:rFonts w:ascii="Times New Roman" w:cs="Times New Roman" w:eastAsia="Times New Roman" w:hAnsi="Times New Roman"/>
          <w:sz w:val="18"/>
          <w:szCs w:val="18"/>
          <w:color w:val="auto"/>
        </w:rPr>
      </w:pPr>
    </w:p>
    <w:p>
      <w:pPr>
        <w:jc w:val="both"/>
        <w:ind w:left="660" w:right="320" w:firstLine="644"/>
        <w:spacing w:after="0" w:line="224" w:lineRule="auto"/>
        <w:tabs>
          <w:tab w:leader="none" w:pos="17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or new or different shares or other securities are distributed with respect to such shares of Common Stock or other securities or exchanged for a different number or kind of shares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w:t>
      </w:r>
    </w:p>
    <w:p>
      <w:pPr>
        <w:spacing w:after="0" w:line="186" w:lineRule="exact"/>
        <w:rPr>
          <w:sz w:val="20"/>
          <w:szCs w:val="20"/>
          <w:color w:val="auto"/>
        </w:rPr>
      </w:pPr>
    </w:p>
    <w:p>
      <w:pPr>
        <w:jc w:val="both"/>
        <w:ind w:right="20" w:firstLine="656"/>
        <w:spacing w:after="0" w:line="231" w:lineRule="auto"/>
        <w:tabs>
          <w:tab w:leader="none" w:pos="106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make an appropriate and proportionate adjustment in the number of Target Performance Shares granted under this Award if the outstanding shares of Common Stock are increased or decreased as a result of a recapitalization or reorganization not included within subsection (a) above.</w:t>
      </w:r>
    </w:p>
    <w:p>
      <w:pPr>
        <w:spacing w:after="0" w:line="18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656"/>
        <w:spacing w:after="0" w:line="231" w:lineRule="auto"/>
        <w:tabs>
          <w:tab w:leader="none" w:pos="10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comply with all applicable federal, state, and local tax withholding laws or regulations, the Company may take such action as it deems appropriate to ensure that all applicable federal, state, and local payroll, withholding, income or other taxes, which are the sole and absolute responsibility of Participant, are withheld or collected from Participant.</w:t>
      </w:r>
    </w:p>
    <w:p>
      <w:pPr>
        <w:spacing w:after="0" w:line="185" w:lineRule="exact"/>
        <w:rPr>
          <w:rFonts w:ascii="Times New Roman" w:cs="Times New Roman" w:eastAsia="Times New Roman" w:hAnsi="Times New Roman"/>
          <w:sz w:val="18"/>
          <w:szCs w:val="18"/>
          <w:color w:val="auto"/>
        </w:rPr>
      </w:pPr>
    </w:p>
    <w:p>
      <w:pPr>
        <w:jc w:val="both"/>
        <w:ind w:firstLine="656"/>
        <w:spacing w:after="0" w:line="224" w:lineRule="auto"/>
        <w:tabs>
          <w:tab w:leader="none" w:pos="10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Plan, and such rules as may be adopted by the Committee under the Plan, Participant may elect to satisfy Participant's federal, state, and local tax obligations arising from the receipt of, or the lapse of restrictions relating to, the Performance Shares, by any of the following means or by a combination of such means set forth below. If the Participant fails to notify the Company of his or her election, the Company will withhold shares of Common Stock as described in paragraph (ii), below.</w:t>
      </w:r>
    </w:p>
    <w:p>
      <w:pPr>
        <w:spacing w:after="0" w:line="199" w:lineRule="exact"/>
        <w:rPr>
          <w:rFonts w:ascii="Times New Roman" w:cs="Times New Roman" w:eastAsia="Times New Roman" w:hAnsi="Times New Roman"/>
          <w:sz w:val="18"/>
          <w:szCs w:val="18"/>
          <w:color w:val="auto"/>
        </w:rPr>
      </w:pPr>
    </w:p>
    <w:p>
      <w:pPr>
        <w:ind w:left="660" w:right="340" w:firstLine="644"/>
        <w:spacing w:after="0" w:line="237" w:lineRule="auto"/>
        <w:tabs>
          <w:tab w:leader="none" w:pos="16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a payment to the Company in the form of cash, check (bank check, certified check or personal check) or money order payable to the Company;</w:t>
      </w:r>
    </w:p>
    <w:p>
      <w:pPr>
        <w:spacing w:after="0" w:line="185" w:lineRule="exact"/>
        <w:rPr>
          <w:rFonts w:ascii="Times New Roman" w:cs="Times New Roman" w:eastAsia="Times New Roman" w:hAnsi="Times New Roman"/>
          <w:sz w:val="18"/>
          <w:szCs w:val="18"/>
          <w:color w:val="auto"/>
        </w:rPr>
      </w:pPr>
    </w:p>
    <w:p>
      <w:pPr>
        <w:jc w:val="both"/>
        <w:ind w:left="660" w:right="320" w:firstLine="644"/>
        <w:spacing w:after="0" w:line="231" w:lineRule="auto"/>
        <w:tabs>
          <w:tab w:leader="none" w:pos="17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Company to withhold from the shares of Common Stock otherwise to be delivered to the Participant a number of such shares having a Fair Market Value as of the date that the amount of the tax to be withheld is to be determined (the "Tax Date) less than or equal to the minimum amount of the Company's withholding tax obligation; or</w:t>
      </w:r>
    </w:p>
    <w:p>
      <w:pPr>
        <w:spacing w:after="0" w:line="185" w:lineRule="exact"/>
        <w:rPr>
          <w:rFonts w:ascii="Times New Roman" w:cs="Times New Roman" w:eastAsia="Times New Roman" w:hAnsi="Times New Roman"/>
          <w:sz w:val="18"/>
          <w:szCs w:val="18"/>
          <w:color w:val="auto"/>
        </w:rPr>
      </w:pPr>
    </w:p>
    <w:p>
      <w:pPr>
        <w:jc w:val="both"/>
        <w:ind w:left="660" w:right="320" w:firstLine="644"/>
        <w:spacing w:after="0" w:line="216" w:lineRule="auto"/>
        <w:tabs>
          <w:tab w:leader="none" w:pos="179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unencumbered shares of Common Stock already owned by Participant having a Fair Market Value, as of the Tax Date, less than or equal to the minimum amount of the Company's withholding tax obligation. Any shares of Common Stock already owned by Participant referred to in this paragraph (iii) must have been owned by Participant for no less than six</w:t>
      </w:r>
    </w:p>
    <w:p>
      <w:pPr>
        <w:spacing w:after="0" w:line="1" w:lineRule="exact"/>
        <w:rPr>
          <w:rFonts w:ascii="Times New Roman" w:cs="Times New Roman" w:eastAsia="Times New Roman" w:hAnsi="Times New Roman"/>
          <w:sz w:val="18"/>
          <w:szCs w:val="18"/>
          <w:color w:val="auto"/>
        </w:rPr>
      </w:pPr>
    </w:p>
    <w:p>
      <w:pPr>
        <w:ind w:left="660" w:right="34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months prior to the date delivered to the Company if such shares of Common Stock were acquired upon the exercise of an Option or upon the vesting of Restricted Stock or other Restricted Stock Units.</w:t>
      </w:r>
    </w:p>
    <w:p>
      <w:pPr>
        <w:spacing w:after="0" w:line="19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Company will not deliver any fractional share of Common Stock but will pay, in lieu thereof, will round the number of shares up or down to the nearest number of full shares. Participant's election must be made on or before the Tax Date.</w:t>
      </w:r>
    </w:p>
    <w:p>
      <w:pPr>
        <w:spacing w:after="0" w:line="18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26" w:lineRule="auto"/>
        <w:tabs>
          <w:tab w:leader="none" w:pos="1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Award Agreement nor the Plan confers on Participant any right with respect to the continuance of employment by the Company or any Subsidiary, nor will there be a limitation in any way on the right of the Company or any Subsidiary by which Participant is employed to terminate his or her employment at any time.</w:t>
      </w:r>
    </w:p>
    <w:p>
      <w:pPr>
        <w:spacing w:after="0" w:line="198" w:lineRule="exact"/>
        <w:rPr>
          <w:rFonts w:ascii="Times New Roman" w:cs="Times New Roman" w:eastAsia="Times New Roman" w:hAnsi="Times New Roman"/>
          <w:sz w:val="18"/>
          <w:szCs w:val="18"/>
          <w:color w:val="auto"/>
        </w:rPr>
      </w:pPr>
    </w:p>
    <w:p>
      <w:pPr>
        <w:jc w:val="both"/>
        <w:ind w:firstLine="656"/>
        <w:spacing w:after="0" w:line="215" w:lineRule="auto"/>
        <w:tabs>
          <w:tab w:leader="none" w:pos="10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restatement of the Company’s consolidated financial statements for any interim or annual period (“Restatement”), the Committee may determine that the Award exceeds the amount that would have been awarded or received had the Restatement been known at the time of the original Award or at the time of vesting of any Actual Performance Shares. In the event that the Committee makes such a determination, the Company shall have the right: (i) in the instance of a Participant whose misconduct or violation of a Company policy causes such Restatement (“Cause”), to terminate, require forfeiture of, or adjust any Awards made to Participant and to require the repayment of any gain on any Award or on any Actual Performance Shares, realized within twelve (12) months of the Restatement and; (ii) in the instance where a Participant is an officer subject to Section 16 of the Securities and Exchange Act of 1934, and without regard to whether such Participant caused the Restatement, to adjust any vested or unvested Award made during the period covered by the Restatement to reflect the impact of the Restatement. Both cause and the amount of adjustment and/or repayment shall be determined by the Committee in its sole discretion and its decision shall be final and binding upon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20"/>
          </w:cols>
          <w:pgMar w:left="320" w:top="1134" w:right="659" w:bottom="1440" w:gutter="0" w:footer="0" w:header="0"/>
        </w:sectPr>
      </w:pPr>
    </w:p>
    <w:bookmarkStart w:id="29" w:name="page30"/>
    <w:bookmarkEnd w:id="29"/>
    <w:p>
      <w:pPr>
        <w:jc w:val="both"/>
        <w:ind w:right="320" w:firstLine="656"/>
        <w:spacing w:after="0" w:line="226" w:lineRule="auto"/>
        <w:tabs>
          <w:tab w:leader="none" w:pos="10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deliver any shares of Common Stock upon vesting of any Actual Performance Shares until the requirements of any federal or state securities laws, rules or regulations or other laws or rules (including the rules of any securities exchange) as may be determined by the Company to be applicable are satisfied.</w:t>
      </w:r>
    </w:p>
    <w:p>
      <w:pPr>
        <w:spacing w:after="0" w:line="198" w:lineRule="exact"/>
        <w:rPr>
          <w:rFonts w:ascii="Times New Roman" w:cs="Times New Roman" w:eastAsia="Times New Roman" w:hAnsi="Times New Roman"/>
          <w:sz w:val="18"/>
          <w:szCs w:val="18"/>
          <w:color w:val="auto"/>
        </w:rPr>
      </w:pPr>
    </w:p>
    <w:p>
      <w:pPr>
        <w:jc w:val="both"/>
        <w:ind w:right="300" w:firstLine="656"/>
        <w:spacing w:after="0" w:line="224" w:lineRule="auto"/>
        <w:tabs>
          <w:tab w:leader="none" w:pos="10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original record of this Award and of the Participant’s acceptance and acknowledgement will be held on file by the Company. This Agreement and the Participant’s acknowledgement may be made by either paper or electronic format as specified by the Company. To the extent there is any conflict between the terms contained in this Agreement and the terms contained in the original held by the Company, the terms of the original held by the Company will control.</w:t>
      </w:r>
    </w:p>
    <w:p>
      <w:pPr>
        <w:spacing w:after="0" w:line="200" w:lineRule="exact"/>
        <w:rPr>
          <w:sz w:val="20"/>
          <w:szCs w:val="20"/>
          <w:color w:val="auto"/>
        </w:rPr>
      </w:pP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150" w:lineRule="exact"/>
        <w:rPr>
          <w:sz w:val="20"/>
          <w:szCs w:val="20"/>
          <w:color w:val="auto"/>
        </w:rPr>
      </w:pPr>
    </w:p>
    <w:p>
      <w:pPr>
        <w:ind w:left="1020"/>
        <w:spacing w:after="0"/>
        <w:tabs>
          <w:tab w:leader="none" w:pos="1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_____________________________</w:t>
      </w:r>
    </w:p>
    <w:p>
      <w:pPr>
        <w:ind w:left="4220"/>
        <w:spacing w:after="0" w:line="203" w:lineRule="auto"/>
        <w:rPr>
          <w:sz w:val="20"/>
          <w:szCs w:val="20"/>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u w:val="single" w:color="auto"/>
          <w:color w:val="auto"/>
        </w:rPr>
        <w:t>Executive Vice President and Chief</w:t>
      </w:r>
    </w:p>
    <w:p>
      <w:pPr>
        <w:ind w:left="4580"/>
        <w:spacing w:after="0"/>
        <w:rPr>
          <w:sz w:val="20"/>
          <w:szCs w:val="20"/>
          <w:color w:val="auto"/>
        </w:rPr>
      </w:pPr>
      <w:r>
        <w:rPr>
          <w:rFonts w:ascii="Times New Roman" w:cs="Times New Roman" w:eastAsia="Times New Roman" w:hAnsi="Times New Roman"/>
          <w:sz w:val="18"/>
          <w:szCs w:val="18"/>
          <w:u w:val="single" w:color="auto"/>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ACCEPTANCE AND ACKNOWLEDGEMENT</w:t>
      </w:r>
    </w:p>
    <w:p>
      <w:pPr>
        <w:spacing w:after="0" w:line="21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 accept the Award described herein and in the Plan, acknowledge receipt of a copy of this Agreement and the Plan, and acknowledge that I have read them carefully and that I fully understand their contents.</w:t>
      </w:r>
    </w:p>
    <w:p>
      <w:pPr>
        <w:spacing w:after="0" w:line="1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-7620</wp:posOffset>
            </wp:positionV>
            <wp:extent cx="1028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891"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120" w:type="dxa"/>
            <w:vAlign w:val="bottom"/>
          </w:tcPr>
          <w:p>
            <w:pPr>
              <w:spacing w:after="0"/>
              <w:rPr>
                <w:sz w:val="17"/>
                <w:szCs w:val="17"/>
                <w:color w:val="auto"/>
              </w:rPr>
            </w:pPr>
          </w:p>
        </w:tc>
      </w:tr>
      <w:tr>
        <w:trPr>
          <w:trHeight w:val="858"/>
        </w:trPr>
        <w:tc>
          <w:tcPr>
            <w:tcW w:w="1280" w:type="dxa"/>
            <w:vAlign w:val="bottom"/>
            <w:tcBorders>
              <w:top w:val="single" w:sz="8" w:color="0000FF"/>
            </w:tcBorders>
          </w:tcPr>
          <w:p>
            <w:pPr>
              <w:spacing w:after="0"/>
              <w:rPr>
                <w:sz w:val="24"/>
                <w:szCs w:val="24"/>
                <w:color w:val="auto"/>
              </w:rPr>
            </w:pPr>
          </w:p>
        </w:tc>
        <w:tc>
          <w:tcPr>
            <w:tcW w:w="7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29"/>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Graph</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(PCAOB ID 173)</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8"/>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Quarterly Data</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896"/>
        </w:trPr>
        <w:tc>
          <w:tcPr>
            <w:tcW w:w="912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21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78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graph below compares the total returns (assuming reinvestment of dividends) of Independent Bank Corporation common stock, the NASDAQ Composite Index and the NASDAQ Bank Stock Index. The graph assumes $100 invested in Independent Bank Corporation common stock (returns based on stock prices per the NASDAQ) and each of the indices on December 31, 2017, and the reinvestment of all dividends during the periods presented. The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4057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225425</wp:posOffset>
            </wp:positionV>
            <wp:extent cx="4800600" cy="3429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8006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Period Ending</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0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12/31/22</w:t>
            </w:r>
          </w:p>
        </w:tc>
      </w:tr>
      <w:tr>
        <w:trPr>
          <w:trHeight w:val="223"/>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r>
      <w:tr>
        <w:trPr>
          <w:trHeight w:val="23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w:t>
            </w:r>
          </w:p>
        </w:tc>
      </w:tr>
      <w:tr>
        <w:trPr>
          <w:trHeight w:val="22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Bank</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r>
      <w:tr>
        <w:trPr>
          <w:trHeight w:val="905"/>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2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3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32"/>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SUMMARY OF OPERATIONS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80" w:type="dxa"/>
            <w:vAlign w:val="bottom"/>
            <w:gridSpan w:val="9"/>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138,080</w:t>
            </w:r>
          </w:p>
        </w:tc>
        <w:tc>
          <w:tcPr>
            <w:tcW w:w="6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139,829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130,773</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19,447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16,217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26,347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17,491</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123,612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113,282</w:t>
            </w: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gains (losses) on securities available</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62,184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80,478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47,429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44,677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128,341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131,023</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122,413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111,733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107,461</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77,788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69,481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49,133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9,294</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56,152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46,435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39,839</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COMMON SHARE DATA</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 and paid</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Book value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BALANCES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4,999,787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4,704,740</w:t>
            </w:r>
          </w:p>
        </w:tc>
        <w:tc>
          <w:tcPr>
            <w:tcW w:w="6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4,204,013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3,564,694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3,353,281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3,465,352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2,905,045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2,733,678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2,725,023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2,582,520</w:t>
            </w:r>
          </w:p>
        </w:tc>
        <w:tc>
          <w:tcPr>
            <w:tcW w:w="0" w:type="dxa"/>
            <w:vAlign w:val="bottom"/>
          </w:tcPr>
          <w:p>
            <w:pPr>
              <w:spacing w:after="0"/>
              <w:rPr>
                <w:sz w:val="1"/>
                <w:szCs w:val="1"/>
                <w:color w:val="auto"/>
              </w:rPr>
            </w:pPr>
          </w:p>
        </w:tc>
      </w:tr>
      <w:tr>
        <w:trPr>
          <w:trHeight w:val="229"/>
        </w:trPr>
        <w:tc>
          <w:tcPr>
            <w:tcW w:w="31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Allowance for credit losses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52,435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35,429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24,888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4,379,069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4,117,090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3,637,355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3,036,727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2,913,428</w:t>
            </w: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389,522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338,994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25,700</w:t>
            </w:r>
          </w:p>
        </w:tc>
        <w:tc>
          <w:tcPr>
            <w:tcW w:w="0" w:type="dxa"/>
            <w:vAlign w:val="bottom"/>
          </w:tcPr>
          <w:p>
            <w:pPr>
              <w:spacing w:after="0"/>
              <w:rPr>
                <w:sz w:val="1"/>
                <w:szCs w:val="1"/>
                <w:color w:val="auto"/>
              </w:rPr>
            </w:pPr>
          </w:p>
        </w:tc>
      </w:tr>
      <w:tr>
        <w:trPr>
          <w:trHeight w:val="229"/>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debentures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39,524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39,388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RATIOS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interest income to average interest</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 assets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to</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2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76"/>
        </w:trPr>
        <w:tc>
          <w:tcPr>
            <w:tcW w:w="31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Average shareholders’ equity to average</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Non-performing loans to Portfolio Loans</w:t>
            </w:r>
          </w:p>
        </w:tc>
        <w:tc>
          <w:tcPr>
            <w:tcW w:w="2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340" w:right="20" w:hanging="332"/>
        <w:spacing w:after="0" w:line="260"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2021, calculation is based on CECL methodology. Prior to January 1, 2021, calculation was based on the probable incurred loss methodology.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Disclaimer Regarding Forward-Looking Statements. </w:t>
      </w:r>
      <w:r>
        <w:rPr>
          <w:rFonts w:ascii="Times New Roman" w:cs="Times New Roman" w:eastAsia="Times New Roman" w:hAnsi="Times New Roman"/>
          <w:sz w:val="18"/>
          <w:szCs w:val="18"/>
          <w:color w:val="auto"/>
        </w:rPr>
        <w:t>Statements in this report that are not statements of historical fact, including statements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0" w:lineRule="exact"/>
        <w:rPr>
          <w:sz w:val="20"/>
          <w:szCs w:val="20"/>
          <w:color w:val="auto"/>
        </w:rPr>
      </w:pPr>
    </w:p>
    <w:p>
      <w:pPr>
        <w:ind w:left="820" w:hanging="488"/>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w:t>
      </w:r>
    </w:p>
    <w:p>
      <w:pPr>
        <w:spacing w:after="0" w:line="225"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w:t>
      </w:r>
    </w:p>
    <w:p>
      <w:pPr>
        <w:spacing w:after="0" w:line="16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2022, as updated by any new or modified risk factors disclosed in Part II – Item 1A of any subsequently filed Quarterly Report on Form 10-Q, include the primary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Introduction. </w:t>
      </w:r>
      <w:r>
        <w:rPr>
          <w:rFonts w:ascii="Times New Roman" w:cs="Times New Roman" w:eastAsia="Times New Roman" w:hAnsi="Times New Roman"/>
          <w:sz w:val="18"/>
          <w:szCs w:val="18"/>
          <w:color w:val="auto"/>
        </w:rPr>
        <w:t>The following section presents additional information to assess the financial condition and results of operations of Independent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(“IBCP”), its wholly-owned bank, Independent Bank (the “Bank”), and their subsidiaries. This section should be read in conjunction with the consolidated financial statements and the supplemental financial data contained elsewhere in this annual report. We also encourage you to read our Annual Report on Form 10-K filed with the U.S. Securities and Exchange Commission (“SEC”). That report includes a list of risk factors that you should consider in connection with any decision to buy or sell our securities.</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We provide banking services to customers located primarily in Michigan’s Lower Peninsula and also have one loan production office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Ohio (Fairlawn). As a result, our success depends to a great extent upon the economic conditions in Michigan’s Lower Peninsula.</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Significant Developments. </w:t>
      </w:r>
      <w:r>
        <w:rPr>
          <w:rFonts w:ascii="Times New Roman" w:cs="Times New Roman" w:eastAsia="Times New Roman" w:hAnsi="Times New Roman"/>
          <w:sz w:val="18"/>
          <w:szCs w:val="18"/>
          <w:color w:val="auto"/>
        </w:rPr>
        <w:t>Pressures from heightened inflation, rising interest rates, elevated energy prices, supply chain disruptions, concerns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Russia-Ukraine war, and foreign currency exchange rate fluctuations continue to create significant economic uncertainty. In an effort to combat inflationary pressures, the Federal Reserve Board increased the federal funds rate by a total of 4.25% over 2022, including a 75-basis point increase in November 2022 and a 50-basis point increase in December 2022. The rate was increased by another 25-basis points in February 2023. Many policymakers expect rates to continue to rise into 2023. The ongoing Russia-Ukraine war, its impact on energy prices, and related events are likely to continue to create additional pressure on economic activity. The resulting responses by the U.S. and other countries (including the imposition of economic sanctions and export restrictions), and the potential for wider conflict has increased volatility and uncertainty in global financial markets and could result in significant market disruptions, including in our customers’ industries or sectors.</w:t>
      </w:r>
    </w:p>
    <w:p>
      <w:pPr>
        <w:spacing w:after="0" w:line="200"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("AFS"), securities held to maturity ("HTM"), loans, capitalized mortgage loan servicing rights or deferred tax assets.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against this backdrop that we discuss our results of operations and financial condition in 2022 as compared to earlier periods.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We recorded net income of $63.4 million, or $2.97 per diluted share, in 2022, net income of $62.9 million, or $2.88 per diluted share,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and net income of $56.2 million, or $2.53 per diluted share, in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RATIOS</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to</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15.68 %</w:t>
            </w: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assets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is the most important source of our earnings and thus is critical in evaluating our results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interest income totaled $149.6 million during 2022, compared to $129.8 million and $123.6 million during 2021 and 2020, respectively. The increase in net interest income in 2022 compared to 2021 primarily reflects a $307.5 million increase in average interest-earning assets and a 22 basis point increase in our tax equivalent net interest income as a percent of average interest-earning assets (the “net interest margin”).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net interest income in 2021 compared to 2020 primarily reflects a $529.9 million increase in average interest-earning assets that was partially offset by a 24 basis point decrease in our net interest margin.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average interest-earning assets during 2022 primarily reflects growth in commercial, mortgage and installment loans funded primarily by an increase in deposits and a decrease in securities available for sale and securities held to maturity.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the net interest margin during 2022 as compared to 2021 primarily reflects an increase in yield on variable rate loans and securities, a change in the mix of earning assets and the origination of new loans at higher rates than those that have matured or paid off. These increases were partially offset by an increase in the rate on interest bearing liabilities.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and fees on loans in 2022 include $0.8 million of accretion of net loan fees on Payroll Protection Program ("PPP") loans compared to $8.9 million and $5.6 million in 2021 and 2020,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 2020 included $1.6 million of accelerated amortization of deferred loss on certain derivative financial instruments that were de-designated. No such amortization is included in 2022 or 2021. See note #16 to the Consolidated Financial Statements for discussion regarding these derivative financial instruments.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average interest-earning assets during 2021 primarily reflects an increase in securities available for sale and interest bearing cash deposits. The significant increases in these balances is primarily due to the deployment of funds from a substantial increase in deposits. The decrease in the net interest margin during 2021 as compared to 2020 primarily reflects a change in the mix of earning assets as well as the origination of new loans and the purchase of securities available for sale at lower rates than those same instruments that have matured or paid off. These decreases were partially offset by the impact of PPP loans and accelerated amortization of certain deferred losses on derivative financial instruments that were de-designated.</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2022, 2021 and 2020 interest income on loans includes $0.3 million, $0.8 million and $1.1 million, respectively, of accretion of the discount recorded on loans acquired in connection with our acquisition of Traverse City State Bank (“TCSB”) in 2018.</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net interest income is also impacted by our level of non-accrual loans. Average non-accrual loans totaled $4.4 million, $6.2 million and $11.2 million in 2022, 2021 and 2020,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BALANCES AND RATES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Taxable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3,227,803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138,765</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7"/>
              </w:rPr>
              <w:t>4.30 %</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2,881,950</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7"/>
              </w:rPr>
              <w:t>4.04 %</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2,863,846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122,875</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w w:val="97"/>
              </w:rPr>
              <w:t>4.29 %</w:t>
            </w:r>
          </w:p>
        </w:tc>
        <w:tc>
          <w:tcPr>
            <w:tcW w:w="0" w:type="dxa"/>
            <w:vAlign w:val="bottom"/>
          </w:tcPr>
          <w:p>
            <w:pPr>
              <w:spacing w:after="0"/>
              <w:rPr>
                <w:sz w:val="1"/>
                <w:szCs w:val="1"/>
                <w:color w:val="auto"/>
              </w:rPr>
            </w:pPr>
          </w:p>
        </w:tc>
      </w:tr>
      <w:tr>
        <w:trPr>
          <w:trHeight w:val="176"/>
        </w:trPr>
        <w:tc>
          <w:tcPr>
            <w:tcW w:w="2380" w:type="dxa"/>
            <w:vAlign w:val="bottom"/>
          </w:tcPr>
          <w:p>
            <w:pPr>
              <w:ind w:left="180"/>
              <w:spacing w:after="0" w:line="175" w:lineRule="exact"/>
              <w:rPr>
                <w:sz w:val="20"/>
                <w:szCs w:val="20"/>
                <w:color w:val="auto"/>
              </w:rPr>
            </w:pPr>
            <w:r>
              <w:rPr>
                <w:rFonts w:ascii="Times New Roman" w:cs="Times New Roman" w:eastAsia="Times New Roman" w:hAnsi="Times New Roman"/>
                <w:sz w:val="13"/>
                <w:szCs w:val="13"/>
                <w:color w:val="auto"/>
              </w:rPr>
              <w:t>Tax-exempt loans</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tcPr>
          <w:p>
            <w:pPr>
              <w:spacing w:after="0"/>
              <w:rPr>
                <w:sz w:val="15"/>
                <w:szCs w:val="15"/>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6"/>
              </w:rPr>
              <w:t>4.76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6"/>
              </w:rPr>
              <w:t>5.00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Pr>
          <w:p>
            <w:pPr>
              <w:spacing w:after="0"/>
              <w:rPr>
                <w:sz w:val="15"/>
                <w:szCs w:val="15"/>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6"/>
              </w:rPr>
              <w:t>5.04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Taxable securities</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945,665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20,676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6"/>
              </w:rPr>
              <w:t>2.19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915,701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6"/>
              </w:rPr>
              <w:t>1.58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635,914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w w:val="96"/>
              </w:rPr>
              <w:t>1.99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180"/>
              <w:spacing w:after="0" w:line="175" w:lineRule="exact"/>
              <w:rPr>
                <w:sz w:val="20"/>
                <w:szCs w:val="20"/>
                <w:color w:val="auto"/>
              </w:rPr>
            </w:pPr>
            <w:r>
              <w:rPr>
                <w:rFonts w:ascii="Times New Roman" w:cs="Times New Roman" w:eastAsia="Times New Roman" w:hAnsi="Times New Roman"/>
                <w:sz w:val="13"/>
                <w:szCs w:val="13"/>
                <w:color w:val="auto"/>
              </w:rPr>
              <w:t>Tax-exempt securities</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331,322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10,191</w:t>
            </w:r>
          </w:p>
        </w:tc>
        <w:tc>
          <w:tcPr>
            <w:tcW w:w="100" w:type="dxa"/>
            <w:vAlign w:val="bottom"/>
          </w:tcPr>
          <w:p>
            <w:pPr>
              <w:spacing w:after="0"/>
              <w:rPr>
                <w:sz w:val="15"/>
                <w:szCs w:val="15"/>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6"/>
              </w:rPr>
              <w:t>3.08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348,346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6"/>
              </w:rPr>
              <w:t>2.27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3,673</w:t>
            </w:r>
          </w:p>
        </w:tc>
        <w:tc>
          <w:tcPr>
            <w:tcW w:w="100" w:type="dxa"/>
            <w:vAlign w:val="bottom"/>
          </w:tcPr>
          <w:p>
            <w:pPr>
              <w:spacing w:after="0"/>
              <w:rPr>
                <w:sz w:val="15"/>
                <w:szCs w:val="15"/>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6"/>
              </w:rPr>
              <w:t>2.67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bearing cash</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6"/>
              </w:rPr>
              <w:t>0.49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79,915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6"/>
              </w:rPr>
              <w:t>0.14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59,056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w w:val="96"/>
              </w:rPr>
              <w:t>0.31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investments</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17,768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3"/>
                <w:szCs w:val="13"/>
                <w:color w:val="auto"/>
                <w:w w:val="96"/>
              </w:rPr>
              <w:t>4.18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18,427</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w w:val="96"/>
              </w:rPr>
              <w:t>3.98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3"/>
                <w:szCs w:val="13"/>
                <w:color w:val="auto"/>
                <w:w w:val="96"/>
              </w:rPr>
              <w:t>4.92</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Interest earning assets</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4,559,102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170,886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6"/>
              </w:rPr>
              <w:t>3.75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4,251,579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6"/>
              </w:rPr>
              <w:t>3.30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3,721,701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140,652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w w:val="96"/>
              </w:rPr>
              <w:t>3.78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3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Cash and due from banks</w:t>
            </w:r>
          </w:p>
        </w:tc>
        <w:tc>
          <w:tcPr>
            <w:tcW w:w="140" w:type="dxa"/>
            <w:vAlign w:val="bottom"/>
          </w:tcPr>
          <w:p>
            <w:pPr>
              <w:spacing w:after="0"/>
              <w:rPr>
                <w:sz w:val="13"/>
                <w:szCs w:val="13"/>
                <w:color w:val="auto"/>
              </w:rPr>
            </w:pPr>
          </w:p>
        </w:tc>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59,507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56,474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49,886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assets, net</w:t>
            </w: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157,524</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162,068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4,825,723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4,465,577</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3,933,655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Savings and interest-bearing checking</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2,526,296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10,278</w:t>
            </w:r>
          </w:p>
        </w:tc>
        <w:tc>
          <w:tcPr>
            <w:tcW w:w="100" w:type="dxa"/>
            <w:vAlign w:val="bottom"/>
          </w:tcPr>
          <w:p>
            <w:pPr>
              <w:spacing w:after="0"/>
              <w:rPr>
                <w:sz w:val="16"/>
                <w:szCs w:val="16"/>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6"/>
              </w:rPr>
              <w:t>0.41</w:t>
            </w:r>
          </w:p>
        </w:tc>
        <w:tc>
          <w:tcPr>
            <w:tcW w:w="140" w:type="dxa"/>
            <w:vAlign w:val="bottom"/>
          </w:tcPr>
          <w:p>
            <w:pPr>
              <w:spacing w:after="0"/>
              <w:rPr>
                <w:sz w:val="16"/>
                <w:szCs w:val="16"/>
                <w:color w:val="auto"/>
              </w:rPr>
            </w:pP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2,282,607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6"/>
              </w:rPr>
              <w:t>0.12</w:t>
            </w:r>
          </w:p>
        </w:tc>
        <w:tc>
          <w:tcPr>
            <w:tcW w:w="140" w:type="dxa"/>
            <w:vAlign w:val="bottom"/>
          </w:tcPr>
          <w:p>
            <w:pPr>
              <w:spacing w:after="0"/>
              <w:rPr>
                <w:sz w:val="16"/>
                <w:szCs w:val="16"/>
                <w:color w:val="auto"/>
              </w:rPr>
            </w:pP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1,821,115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3,882</w:t>
            </w:r>
          </w:p>
        </w:tc>
        <w:tc>
          <w:tcPr>
            <w:tcW w:w="100" w:type="dxa"/>
            <w:vAlign w:val="bottom"/>
          </w:tcPr>
          <w:p>
            <w:pPr>
              <w:spacing w:after="0"/>
              <w:rPr>
                <w:sz w:val="16"/>
                <w:szCs w:val="16"/>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6"/>
              </w:rPr>
              <w:t>0.21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Time deposits</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399,987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6"/>
              </w:rPr>
              <w:t>0.97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326,081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6"/>
              </w:rPr>
              <w:t>0.54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516,306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w w:val="96"/>
              </w:rPr>
              <w:t>1.70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borrowings</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121,871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5,296</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3"/>
                <w:szCs w:val="13"/>
                <w:color w:val="auto"/>
                <w:w w:val="96"/>
              </w:rPr>
              <w:t>4.35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108,884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w w:val="96"/>
              </w:rPr>
              <w:t>3.54</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117,904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3"/>
                <w:szCs w:val="13"/>
                <w:color w:val="auto"/>
                <w:w w:val="96"/>
              </w:rPr>
              <w:t>3.01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Interest bearing liabilities</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3,048,154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6"/>
              </w:rPr>
              <w:t>0.64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2,717,572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6"/>
              </w:rPr>
              <w:t>0.31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2,455,325</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w w:val="96"/>
              </w:rPr>
              <w:t>0.66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3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Non-interest bearing deposits</w:t>
            </w:r>
          </w:p>
        </w:tc>
        <w:tc>
          <w:tcPr>
            <w:tcW w:w="140" w:type="dxa"/>
            <w:vAlign w:val="bottom"/>
          </w:tcPr>
          <w:p>
            <w:pPr>
              <w:spacing w:after="0"/>
              <w:rPr>
                <w:sz w:val="13"/>
                <w:szCs w:val="13"/>
                <w:color w:val="auto"/>
              </w:rPr>
            </w:pPr>
          </w:p>
        </w:tc>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1,338,736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1,288,276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1,054,230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69,694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Shareholders’ equity</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344,195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390,035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358,157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ind w:left="360"/>
              <w:spacing w:after="0" w:line="143" w:lineRule="exact"/>
              <w:rPr>
                <w:sz w:val="20"/>
                <w:szCs w:val="20"/>
                <w:color w:val="auto"/>
              </w:rPr>
            </w:pPr>
            <w:r>
              <w:rPr>
                <w:rFonts w:ascii="Times New Roman" w:cs="Times New Roman" w:eastAsia="Times New Roman" w:hAnsi="Times New Roman"/>
                <w:sz w:val="13"/>
                <w:szCs w:val="13"/>
                <w:color w:val="auto"/>
              </w:rPr>
              <w:t>Total liabilities and shareholders’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4,825,723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4,465,577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3,933,655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equity</w:t>
            </w: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3"/>
                <w:szCs w:val="13"/>
                <w:color w:val="auto"/>
              </w:rPr>
              <w:t>Net interest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151,439</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131,631</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124,435</w:t>
            </w: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380" w:type="dxa"/>
            <w:vAlign w:val="bottom"/>
            <w:shd w:val="clear" w:color="auto" w:fill="CCEEFF"/>
          </w:tcPr>
          <w:p>
            <w:pPr>
              <w:ind w:left="360"/>
              <w:spacing w:after="0" w:line="124" w:lineRule="exact"/>
              <w:rPr>
                <w:sz w:val="20"/>
                <w:szCs w:val="20"/>
                <w:color w:val="auto"/>
              </w:rPr>
            </w:pPr>
            <w:r>
              <w:rPr>
                <w:rFonts w:ascii="Times New Roman" w:cs="Times New Roman" w:eastAsia="Times New Roman" w:hAnsi="Times New Roman"/>
                <w:sz w:val="13"/>
                <w:szCs w:val="13"/>
                <w:color w:val="auto"/>
              </w:rPr>
              <w:t>Net interest income as a percent of</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w w:val="96"/>
              </w:rPr>
              <w:t>3.32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6"/>
              </w:rPr>
              <w:t>3.10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w w:val="96"/>
              </w:rPr>
              <w:t>3.34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85"/>
        </w:trPr>
        <w:tc>
          <w:tcPr>
            <w:tcW w:w="23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average interest earning assets</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Interest on tax-exempt loans and securities is presented on a fully tax equivalent basis assuming a marginal tax rate of 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INTEREST MARGIN, FULLY TAXABLE EQUIVALENT ("FTE")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149,561</w:t>
            </w:r>
          </w:p>
        </w:tc>
        <w:tc>
          <w:tcPr>
            <w:tcW w:w="6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129,765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123,612</w:t>
            </w:r>
          </w:p>
        </w:tc>
      </w:tr>
      <w:tr>
        <w:trPr>
          <w:trHeight w:val="230"/>
        </w:trPr>
        <w:tc>
          <w:tcPr>
            <w:tcW w:w="6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taxable equivalent adjustment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823</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 taxable equivalent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151,439</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131,631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124,435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 (GAAP)</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 (FTE)</w:t>
            </w:r>
          </w:p>
        </w:tc>
        <w:tc>
          <w:tcPr>
            <w:tcW w:w="2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18</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8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NET INTEREST INCOME</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2022 compared to 2021</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2021 compared to 2020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2"/>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Taxable loans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Tax-exempt loans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Taxable securities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Tax-exempt securities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bearing cash</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Increase (decrease) in interest expense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Savings and interest bearing checking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29"/>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0"/>
          <w:szCs w:val="20"/>
          <w:color w:val="auto"/>
        </w:rPr>
      </w:pPr>
    </w:p>
    <w:p>
      <w:pPr>
        <w:ind w:left="340" w:hanging="332"/>
        <w:spacing w:after="0" w:line="26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interest due to changes in both balance and rate has been allocated to change due to balance and change due to rate in proportion to the relationship of the absolute dollar amounts of change in each.</w:t>
      </w:r>
    </w:p>
    <w:p>
      <w:pPr>
        <w:spacing w:after="0" w:line="18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AVERAGE INTEREST EARNING ASSETS AND INTEREST BEARING LIABILITIES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700" w:type="dxa"/>
            <w:vAlign w:val="bottom"/>
            <w:tcBorders>
              <w:bottom w:val="single" w:sz="8" w:color="auto"/>
            </w:tcBorders>
            <w:gridSpan w:val="5"/>
          </w:tcPr>
          <w:p>
            <w:pPr>
              <w:ind w:left="1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 of average interest earning assets</w:t>
            </w: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earning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55.4 %</w:t>
            </w:r>
          </w:p>
        </w:tc>
        <w:tc>
          <w:tcPr>
            <w:tcW w:w="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48.9 %</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 asset ratio</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vMerge w:val="continue"/>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94.5 %</w:t>
            </w:r>
          </w:p>
        </w:tc>
        <w:tc>
          <w:tcPr>
            <w:tcW w:w="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94.6 %</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Free-funds ratio</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Average interest earning assets less average interest bearing liabilities.</w:t>
      </w:r>
    </w:p>
    <w:p>
      <w:pPr>
        <w:spacing w:after="0" w:line="20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 We adopted Financial Accounting Standards Board Accounting Standards Update 2016-13, Financial Instruments —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(Topic 326), Measurement of Credit Losses on Financial Instruments (“CECL”) on January 1, 2021.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provision for credit losses was an expense of $5.3 million in 2022, a credit of $1.9 million in 2021, and an expense of $12.5 million in 2020.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The increase in the provision for credit losses in 2022 compared to 2021 was primarily due to new credit loss allocations in the commercial and retail loan portfolios primarily due to loan growth and a decrease in gross recoveries of previously charged-off commercial and retail loans as well as an increase in the adjustment to allocations based on subjective factors. The higher provision for credit losses in 2020 relative to both 2022 and 2021 was a result of an $11.2 million (or 128.2%) increase in the qualitative/subjective portion of the allowance for credit losses. That increase principally reflected the unique challenges and economic uncertainty resulting from the COVID-19 pandemic during the first half of 2020 and the potential impact on the loan portfolio. See “Portfolio Loans and asset quality” for a discussion of the various components of the ACL and their impact on the provision for credit losses in 2022 and note #19 to the Consolidated Financial Statements included within this report for a discussion on industry concentrations.</w:t>
      </w:r>
    </w:p>
    <w:p>
      <w:pPr>
        <w:spacing w:after="0" w:line="19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is a significant element in assessing our results of operations. Non-interest income totaled $61.9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2022 compared to $76.6 million and $80.7 million during 2021 and 2020,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on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62,560</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80,745</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Interchange income totaled $13.96 million in 2022 compared to $14.05 million in 2021 and $11.23 million in 2020. The modest decrease in interchange income in 2022 compared to 2021 is primarily due to a lower rate earned on debit card transactions that was partially offset by an increase in the volume of these transactions. The increase in interchange income in 2021 compared to 2020 is primarily due to growth in debit card transaction volume (2020 was adversely impacted by COVID-19 pandemic related shut-downs of businesses and stay at home mandates), a new switch contract that was initially effective in the fourth quarter of 2020 that increased revenues, and our joining a surcharge free ATM network in April 2020 that increased both interchange income and interchange expense.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Service charges on deposit accounts totaled $12.3 million in 2022, as compared to $10.2 million in 2021 and $8.5 million during 2020. The increases in 2022 and 2021 relative to their respective prior years were primarily due to an increase in non-sufficient funds occurrences (and related fees). During 2020, non-sufficient funds fees were impacted by contracted consumer spending and government stimulus payments related to COVID-19.</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realized net gains of $6.4 million on mortgage loans during 2022, compared to $35.9 million and $62.6 million during 2021 and 2020,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loan activity is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ACTIVITY</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73"/>
        </w:trPr>
        <w:tc>
          <w:tcPr>
            <w:tcW w:w="6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0" w:type="dxa"/>
            <w:vAlign w:val="bottom"/>
            <w:tcBorders>
              <w:bottom w:val="single" w:sz="8" w:color="auto"/>
            </w:tcBorders>
          </w:tcPr>
          <w:p>
            <w:pPr>
              <w:spacing w:after="0"/>
              <w:rPr>
                <w:sz w:val="24"/>
                <w:szCs w:val="24"/>
                <w:color w:val="auto"/>
              </w:rPr>
            </w:pPr>
          </w:p>
        </w:tc>
      </w:tr>
      <w:tr>
        <w:trPr>
          <w:trHeight w:val="243"/>
        </w:trPr>
        <w:tc>
          <w:tcPr>
            <w:tcW w:w="6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30"/>
        </w:trPr>
        <w:tc>
          <w:tcPr>
            <w:tcW w:w="6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originated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935,807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1,861,060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1,820,697</w:t>
            </w:r>
          </w:p>
        </w:tc>
      </w:tr>
      <w:tr>
        <w:trPr>
          <w:trHeight w:val="257"/>
        </w:trPr>
        <w:tc>
          <w:tcPr>
            <w:tcW w:w="63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Mortgage loans sold</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2"/>
                <w:szCs w:val="22"/>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602,797</w:t>
            </w:r>
          </w:p>
        </w:tc>
        <w:tc>
          <w:tcPr>
            <w:tcW w:w="420" w:type="dxa"/>
            <w:vAlign w:val="bottom"/>
          </w:tcPr>
          <w:p>
            <w:pPr>
              <w:spacing w:after="0"/>
              <w:rPr>
                <w:sz w:val="22"/>
                <w:szCs w:val="22"/>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1,254,638</w:t>
            </w:r>
          </w:p>
        </w:tc>
        <w:tc>
          <w:tcPr>
            <w:tcW w:w="38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1,447,031</w:t>
            </w:r>
          </w:p>
        </w:tc>
      </w:tr>
      <w:tr>
        <w:trPr>
          <w:trHeight w:val="25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6,431</w:t>
            </w: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35,880</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62,560</w:t>
            </w:r>
          </w:p>
        </w:tc>
      </w:tr>
      <w:tr>
        <w:trPr>
          <w:trHeight w:val="25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as a percent of mortgage loans sold (“Loan Sales Margin”)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4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2.86 %</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r>
      <w:tr>
        <w:trPr>
          <w:trHeight w:val="26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included in the Loan Sales Margin</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(0.52)</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0"/>
          <w:szCs w:val="20"/>
          <w:color w:val="auto"/>
        </w:rPr>
      </w:pPr>
    </w:p>
    <w:p>
      <w:pPr>
        <w:jc w:val="both"/>
        <w:ind w:left="340" w:hanging="332"/>
        <w:spacing w:after="0" w:line="255"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includes the sale of $63.4 million of portfolio residential fixed rate and adjustable rate mortgage loans. 2021 includes the sale of $9.6 million of portfolio residential fixed rate mortgage loans. 2020 includes the securitization of $26.3 million of portfolio residential fixed rate loans and the sale of $2.4 million of portfolio residential fixed rate mortgage loans.</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loans originated decreased in 2022 as compared to 2021 as higher mortgage loan interest rates in 2022 reduced mortgage loan refinance activity as well as purchase money activity. Mortgage loans sold decreased in 2022 as compared to 2021 due primarily to lower loan origination volume. Net gains on mortgage loans decreased in 2022 as compared to 2021 primarily due to the decline in loan sale volume and a decrease in the Loan Sales Margin as discussed below.</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mortgage loan originations in 2021 as compared to 2020 is due primarily to an increase in purchase money mortgages reflecting strong home sales in many of our markets. Mortgage loans sold decreased in 2021 compared to 2020 due to a lower mix of salable loans in our origination volumes. Net gains on mortgage loans decreased in 2021 as compared to 2020 due to the decline in loan sale volume, a decrease in the Loan Sales Margin and fair value adjustments as discussed below.</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Margin would have been 2.19% in 2022, 3.38% in 2021 and 3.85% in 2020. The decrease in the Loan Sales Margin (excluding fair value adjustments) in 2022 was generally due to a tightening of primary-to-secondary market pricing spreads as market interest rates increased during 2022 as well as the volatility of interest rates experienced during 2022. The changes in the fair value accounting adjustments are primarily due to changes in the amount of commitments to originate mortgage loans for sale during each year as well as a lower Loan Sales Margin in 2022.</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generated net gains (losses) on securities of $(0.28) million, $1.41 million and $0.27 million in 2022, 2021 and 2020, respectively. These net gains (losses) were due to the sales of securities as outlined in the table below. We recorded no credit related charges in 2022, 2021 or 2020 for securities AFS.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GAINS AND LOSSES ON SECURITIES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3"/>
        </w:trPr>
        <w:tc>
          <w:tcPr>
            <w:tcW w:w="5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6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70,523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85,371</w:t>
            </w:r>
          </w:p>
        </w:tc>
        <w:tc>
          <w:tcPr>
            <w:tcW w:w="3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w:t>
            </w:r>
          </w:p>
        </w:tc>
        <w:tc>
          <w:tcPr>
            <w:tcW w:w="3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38,095</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 servicing, net, generated a gain of $18.8 million in 2022 compared to a gain of $5.7 million and a loss of $9.4 million in 2021 and 2020 respectively. The significant variances in mortgage loan servicing, net are primarily due to changes in the fair value of capitalized mortgage loan servicing rights associated with changes in mortgage loan interest rates and expected future prepayment levels. Mortgage loan servicing, net activity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SERVICING ACTIVITY</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Mortgage loan servicing: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change due to price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change due to pay-downs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0" w:type="dxa"/>
            <w:vAlign w:val="bottom"/>
          </w:tcPr>
          <w:p>
            <w:pPr>
              <w:spacing w:after="0"/>
              <w:rPr>
                <w:sz w:val="1"/>
                <w:szCs w:val="1"/>
                <w:color w:val="auto"/>
              </w:rPr>
            </w:pPr>
          </w:p>
        </w:tc>
      </w:tr>
      <w:tr>
        <w:trPr>
          <w:trHeight w:val="21"/>
        </w:trPr>
        <w:tc>
          <w:tcPr>
            <w:tcW w:w="66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Activity related to capitalized mortgage loan servicing rights is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CAPITALIZED MORTGAGE LOAN SERVICING RIGHTS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2022, we were servicing approximately $3.5 billion in mortgage loans for others on which servicing rights have been capitalized. This servicing portfolio had a weighted average coupon rate of 3.60% and a weighted average service fee of approximately 0.256 basis points. Remaining capitalized mortgage loan servicing rights at December 31, 2022 totaled $42.5 million, representing approximately 1.22 basis points on the related amount of mortgage loans serviced for others.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 and insurance commissions totaled $2.9 million in 2022 as compared to $2.6 million and $2.0 million in 2021 and 2020. The increase in revenue in 2022 as compared to 2021 and 2020 was primarily due to higher sales volume and an increase in fee based revenue.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earned $0.4 million, $0.6 million and $0.9 million in 2022, 2021 and 2020, respectively, on our separate account bank owned life insurance principally as a result of increases in the cash surrender value. Our separate account is primarily invested in agency mortgage-backed securities and managed by a fixed income investment manager. The crediting rate (on which the earnings are based) reflects the performance of the separate account. The total cash surrender value of our bank owned life insurance was $55.2 million and $55.3 million at December 31, 2022 and 2021, respectively. The decrease in earnings in each year is due to a decrease in the crediting 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non-interest income totaled $7.5 million, $6.2 million and $4.6 million in 2022, 2021 and 2020, respectively. Other non-interest income increased in 2022 as compared to 2021 due primarily to the gain on the sale of two bank owned properties of $1.1 million. The increase in 2021 as compared to 2020 is due primarily to increases in credit card and merchant processing revenue, higher commercial loan swap fee income and a one-time fee reimbursement from our core data processing vendor for conversion related loss of revenues. In addition, during 2020, we elected to suspend certain electronic banking fees because of the COVID-19 pandemic and the increased need for our customers to access these channels. Fees related to interest rate swaps for commercial loan customers were also lower in 2020 as customers did not feel the need to execute such transactions given the low interest rate environment.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is an important component of our results of operations. We strive to efficiently manage our cost structure.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Non-interest expense totaled $128.3 million in 2022, $131.0 million in 2021, and $122.4 million in 2020. Decreases in data processing, interchange expense, loan and collection, costs related to unfunded lending commitments, conversion related expenses and other expenses are primarily responsible for the decrease in 2022 compared to 2021. Increases in compensation and employee benefits, data processing, interchange expense, costs related to unfunded lending commitments and other expenses are primarily responsible for the increase in 2021 compared to 2020. The components of non-interest expense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41,517</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taxes and employee benefits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w:t>
            </w: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74,781</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and collection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deposit insurance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related to unfunded lending commitments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Correspondent bank service fees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reimbursement on sold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related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Branch closure costs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on other real estate and repossessed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r>
      <w:tr>
        <w:trPr>
          <w:trHeight w:val="24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Compensation expense, which is primarily salaries, totaled $50.5 million, $44.2 million and $41.5 million in 2022, 2021 and 2020, respectively. The comparative increase in 2022 to 2021 is primarily due to salary increases that were predominantly effective on January 1, 2022, and a decreased level of compensation that was deferred as direct origination costs due to lower mortgage loan origination volume. The comparative increase in 2021 to 2020 is primarily due to 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lending personnel, higher overtime levels and salary increases that were predominantly effective on January 1, 2021.</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Performance-based compensation expense totaled $15.9 million, $19.8 million and $19.7 million in 2022, 2021 and 2020, respectively. The decrease in 2022 as compared to 2021 was due to actual performance relative to the established incentive plan targets as well a decrease in mortgage lending related incentives attributed to the decline in mortgage lending volume.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performance-based compensation plans. In addition to commissions and cash incentive awards, such plans include an ESOP and a long-term equity based incentive plan. Total compensation expense recognized for grants pursuant to our long-term incentive plan was $1.8 million, $1.6 million and $1.6 million in 2022, 2021 and 2020, respectively. In each of those three years, we granted both restricted stock and performance share awards under the plan.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Payroll taxes and employee benefits expense totaled $14.6 million, $15.9 million and $13.5 million in 2022, 2021 and 2020, respectively. The decrease in 2022 compared to 2021 is primarily due to decreases in payroll taxes (reflecting lower performance-based compensation costs), our 401(k) plan match and other indirect costs related to mortgage lending. The increase in 2021 compared to 2020 is due to increases in payroll taxes (reflecting higher compensation costs), our 401(k) plan match and health care costs (due to increased claims in 2021).</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Data processing expenses totaled $10.2 million, $10.8 million, and $8.5 million in 2022, 2021 and 2020, respectively. The decrease in 2022 compared to 2021 is primarily due to lower debit card production costs, lower net mortgage processing costs (lower volume) and a refund of previously expensed charges from our former core data processing provider. The increase in 2021 compared to 2020 is primarily due to a cost savings agreement related to core data processing services that was executed in the second quarter of 2020 and expired in the first quarter of 2021. The remainder of the increased costs in 2021 principally relate to new software and technology product and service additions.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Interchange expense, which totaled $4.2 million, $4.4 million, and $3.3 million in 2022, 2021 and 2020, respectively, primarily represents fees paid to our core information systems processor and debit card licensor related to debit card and ATM transactions. The decrease in 2022 compared to 2021 was attributed to lower transaction costs due in part to transaction channel mix. Increased debit card transaction volume and transaction channel mix in 2021 compared to 2020 contributed to the rise in this expense from 2020 to 2021.</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 and collection expenses reflect costs related to new lending activity as well as the management and collection of non-performing loans and other problem credits. These expenses totaled $2.7 million, $3.2 million and $3.0 million in 2022, 2021 and 2020, respectively. These costs decreased in 2022 and 2021 due primarily to recoveries of previously expensed amounts as well as an overall lower level of non performing loans and assets.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Advertising expense totaled $2.1 million, $1.9 million, and $2.2 million in 2022, 2021 and 2020, respectively. The increase in 2022 compared to 2021 is due primarily due to higher charitable donations and advertising related to a new branch opening. The decrease in 2021 compared to 2020 was due to the receipt of a $0.3 million reimbursement from our debit card provider for certain eligible marketing costs that we incurred as well as reduced levels of advertising in certain channels.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Conversion related expenses totaled $0.1 million, $1.8 million, and $2.6 million in 2022, 2021 and 2020, respectively. We began a process to convert our core data processing system to a new system hosted by a different vendor in early 2020 and completed this conversion in May 2021. These expenses represent costs incurred for assistance from our existing vendor and fees from consultants who assisted us in this conversion.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FDIC deposit insurance expense totaled $2.1 million, $1.4 million, and $1.6 million in 2022, 2021 and 2020, respectively. FDIC deposit insurance expense increased in 2022 compared to 2021 due primarily to an increase in the assessment rate. FDIC deposit insurance expense increased in 2021 compared to 2020 due primarily to a lower assessment rate.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changes in costs related to unfunded lending commitments are primarily impacted by changes in the amounts of such commitments to originate Portfolio Loans as well as (for commercial loan commitments) the grade (pursuant to our loan rating system) of such commitments. Costs related to unfunded lending commitments totaled $0.6 million, $1.2 million, and $0.3 million in 2022, 2021 and 2020, respectively. The decrease in 2022 compared to 2021 is due primarily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decrease in the amount of newly originated unfunded lending commitments. The increase in 2021 compared to 2020 is due primarily to an increase in the amount of unfunded lending commitments.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Branch closure costs totaled $0.4 million for 2020. We closed eight Bank branches in 2020 (two on June 26, 2020 and six on July 31, 2020). These costs primarily represent write-downs of fixed assets (buildings, furniture and equipment) and lease assets.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Other non-interest expenses totaled $6.0 million, $6.3 million, and $5.0 million in 2022, 2021 and 2020, respectively. The decrease in other expense in 2022 compared to 2021 primarily represents lower Michigan Corporate Income Tax expense as the result of a decrease in tax base, a branch write-down and certain one-time contract termination costs expensed in the prior year. The increase in 2021 compared to 2020 primarily represents increases in travel and entertainment related expenses due to the lifting of COVID-19 travel restrictions, an increase in deposit customer account fraud related costs, an increase in Michigan Corporate Income Tax expense as the result of a change in how the tax base is calculated, a branch write-down and certain one-time contract termination costs.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We recorded an income tax expense of $14.44 million, $14.42 million and $13.33 million in 2022, 2021 and 2020, respectively.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increase in tax expense compared to 2021 and 2020 is due to higher taxable income.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actual federal income tax expense is different than the amount computed by applying our statutory federal income tax rate to our pre-tax income primarily due to tax-exempt interest income, share based compensation and tax-exempt income from the increase in the cash surrender value on life insurance.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 net (“DTA”) based on the consideration of all available evidence using a “more likely than not” standard. The ultimate realization of this asset is primarily based on generating future income. We concluded at December 31, 2022 and 2021 that the realization of substantially all of our DTA continues to be more likely than not. See note #13 to the Consolidated Financial Statements included within this report for more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Our total assets increased to $5.00 billion at December 31, 2022, compared to $4.70 billion at December 31, 2021, primarily due to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commercial, mortgage and installment loans. Loans, excluding loans held for sale (“Portfolio Loans”), totaled $3.47 billion and $2.91 billion at December 31, 2022 and December 31, 2021. Commercial, mortgage, and installment loans increased by $263.3 million, $228.8 million, and $68.3 million, respectively.</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Deposits totaled $4.38 billion at December 31, 2022, compared to $4.12 billion at December 31, 2021. The $262.0 million increase in deposits is primarily due to growth in savings and interest bearing checking deposits, reciprocal deposits, time deposits and brokered time deposits that were partially offset by a decline in non-interest bearing deposits.</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We maintain diversified securities portfolios, which include obligations of U.S. government-sponsored agencies, securities issued by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political subdivisions, residential and commercial mortgage-backed securities, asset-backed securities, corporate securities, trust preferred securities and (in 2021) foreign government securities (that are denominated in U.S. dollars). We regularly evaluate asset/liability management needs and attempt to maintain a portfolio structure that provides sufficient liquidity and cash flow.</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unrealized losses on securities AFS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 2022, we transferred certain securities AFS with an amortized cost and unrealized loss at the date of transfer of $418.1 million and $26.5 million, respectively to securities held to maturity ("HTM"). The transfer was made at fair value, with the unrealized loss becoming part of the purchase discount which will be accreted over the remaining life of the securities. The other comprehensive loss component is separated from the remaining securities AFS and is accreted over the remaining life of the securities transferred. We have the ability and intent to hold these securities until they mature, at which time we will receive full value for these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AFS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Gains</w:t>
            </w:r>
          </w:p>
        </w:tc>
        <w:tc>
          <w:tcPr>
            <w:tcW w:w="6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2"/>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AFS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866,363</w:t>
            </w:r>
          </w:p>
        </w:tc>
        <w:tc>
          <w:tcPr>
            <w:tcW w:w="88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329</w:t>
            </w:r>
          </w:p>
        </w:tc>
        <w:tc>
          <w:tcPr>
            <w:tcW w:w="480" w:type="dxa"/>
            <w:vAlign w:val="bottom"/>
            <w:tcBorders>
              <w:right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779,347</w:t>
            </w: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1,404,858</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16,594</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1,412,830</w:t>
            </w:r>
          </w:p>
        </w:tc>
        <w:tc>
          <w:tcPr>
            <w:tcW w:w="0" w:type="dxa"/>
            <w:vAlign w:val="bottom"/>
          </w:tcPr>
          <w:p>
            <w:pPr>
              <w:spacing w:after="0"/>
              <w:rPr>
                <w:sz w:val="1"/>
                <w:szCs w:val="1"/>
                <w:color w:val="auto"/>
              </w:rPr>
            </w:pPr>
          </w:p>
        </w:tc>
      </w:tr>
      <w:tr>
        <w:trPr>
          <w:trHeight w:val="522"/>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HTM</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Transferred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7"/>
                <w:szCs w:val="17"/>
                <w:color w:val="auto"/>
              </w:rPr>
            </w:pPr>
          </w:p>
        </w:tc>
        <w:tc>
          <w:tcPr>
            <w:tcW w:w="110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Unrealized</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gridSpan w:val="3"/>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Loss (1)</w:t>
            </w: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ACL</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w w:val="96"/>
              </w:rPr>
              <w:t>Cost</w:t>
            </w: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Gains</w:t>
            </w:r>
          </w:p>
        </w:tc>
        <w:tc>
          <w:tcPr>
            <w:tcW w:w="4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Losses</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8"/>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HTM</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374,818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398,052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62,645</w:t>
            </w:r>
          </w:p>
        </w:tc>
        <w:tc>
          <w:tcPr>
            <w:tcW w:w="100" w:type="dxa"/>
            <w:vAlign w:val="bottom"/>
            <w:shd w:val="clear" w:color="auto" w:fill="CCEEFF"/>
          </w:tcPr>
          <w:p>
            <w:pPr>
              <w:spacing w:after="0"/>
              <w:rPr>
                <w:sz w:val="19"/>
                <w:szCs w:val="19"/>
                <w:color w:val="auto"/>
              </w:rPr>
            </w:pP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335,418</w:t>
            </w: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December 31, 2022. The increase in unrealized losses in 2022 is primarily attributed to an increase in interest rates since December 31, 2021. See note #3 to the Consolidated Financial Statements included within this report for further discussion.</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See note #3 to the Consolidated Financial Statements included within this report for further discussion.</w:t>
      </w:r>
    </w:p>
    <w:p>
      <w:pPr>
        <w:spacing w:after="0" w:line="19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Portfolio Loans and asset quality. </w:t>
      </w:r>
      <w:r>
        <w:rPr>
          <w:rFonts w:ascii="Times New Roman" w:cs="Times New Roman" w:eastAsia="Times New Roman" w:hAnsi="Times New Roman"/>
          <w:sz w:val="18"/>
          <w:szCs w:val="18"/>
          <w:color w:val="auto"/>
        </w:rPr>
        <w:t>In addition to the communities served by our Bank branch and loan production office network, our principal lending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compared to past periods. These fixed rate mortgage loans generally have terms from 15 to 30 years, do not have prepayment penalties and expose us to more interest rate risk. (See “Asset/liability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PORTFOLIO SEGMENTS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each loan portfolio segment by (1) scheduled repayments and (2) predetermined (fixed) interest rate and/or adjustable (variable) interest rate at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146,229</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but within five years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412,246</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but within 15 years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1,523,788</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15 years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1,383,089</w:t>
            </w:r>
          </w:p>
        </w:tc>
      </w:tr>
      <w:tr>
        <w:trPr>
          <w:trHeight w:val="248"/>
        </w:trPr>
        <w:tc>
          <w:tcPr>
            <w:tcW w:w="5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3,465,352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2,251,659</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1,213,693</w:t>
            </w:r>
          </w:p>
        </w:tc>
      </w:tr>
      <w:tr>
        <w:trPr>
          <w:trHeight w:val="248"/>
        </w:trPr>
        <w:tc>
          <w:tcPr>
            <w:tcW w:w="5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3,465,352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2022, we sold $63.4 million of fixed and adjustable rate portfolio mortgage loans. In addition, in the fourth quarter of 2022 we reclassified $20.4 million (fair value of $20.4 million) of portfolio mortgage loans to held for sale. These loans were sold to another financial institution on a servicing retained basis during the first quarter of 2023. In the fourth quarter of 2021 we reclassified $34.8 million (fair value of $34.8 million) of portfolio mortgage loans to held for sale. These loans were sold to other financial institutions on a servicing retained basis during the first quarter of 2022. In 2020 we sold or securitized $28.7 million of fixed and adjustable rate portfolio mortgage loans. All of these loan sales/securitizations were non-recourse (other than standard representations and warranties) and were executed primarily for asset/liability management purposes.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PAYCHECK PROTECTION PROGRAM</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PPP was a short-term, forgivable loan program primarily intended to help businesses impacted by COVID-19 to continue paying their employees which ended on May 31, 2021 for new loans. See note #4 to the Consolidated Financial Statements included within this report for further discussion of the PPP.</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 summary of outstanding PPP loans follows: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4"/>
                <w:szCs w:val="24"/>
                <w:color w:val="auto"/>
              </w:rPr>
            </w:pPr>
          </w:p>
        </w:tc>
        <w:tc>
          <w:tcPr>
            <w:tcW w:w="31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Amount (#)</w:t>
            </w:r>
          </w:p>
        </w:tc>
        <w:tc>
          <w:tcPr>
            <w:tcW w:w="3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 (#)</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 and outstanding at year end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0" w:type="dxa"/>
            <w:vAlign w:val="bottom"/>
          </w:tcPr>
          <w:p>
            <w:pPr>
              <w:spacing w:after="0"/>
              <w:rPr>
                <w:sz w:val="1"/>
                <w:szCs w:val="1"/>
                <w:color w:val="auto"/>
              </w:rPr>
            </w:pPr>
          </w:p>
        </w:tc>
      </w:tr>
      <w:tr>
        <w:trPr>
          <w:trHeight w:val="23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Unaccreted net fees remaining at year end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522"/>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 PORTFOLIO COMPOSITION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2"/>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Real estate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1"/>
        </w:trPr>
        <w:tc>
          <w:tcPr>
            <w:tcW w:w="61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first mortgages</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870,169</w:t>
            </w:r>
          </w:p>
        </w:tc>
        <w:tc>
          <w:tcPr>
            <w:tcW w:w="0" w:type="dxa"/>
            <w:vAlign w:val="bottom"/>
          </w:tcPr>
          <w:p>
            <w:pPr>
              <w:spacing w:after="0"/>
              <w:rPr>
                <w:sz w:val="1"/>
                <w:szCs w:val="1"/>
                <w:color w:val="auto"/>
              </w:rPr>
            </w:pPr>
          </w:p>
        </w:tc>
      </w:tr>
      <w:tr>
        <w:trPr>
          <w:trHeight w:val="229"/>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home equity and other junior mortgages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128,801</w:t>
            </w: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278,992</w:t>
            </w:r>
          </w:p>
        </w:tc>
        <w:tc>
          <w:tcPr>
            <w:tcW w:w="0" w:type="dxa"/>
            <w:vAlign w:val="bottom"/>
          </w:tcPr>
          <w:p>
            <w:pPr>
              <w:spacing w:after="0"/>
              <w:rPr>
                <w:sz w:val="1"/>
                <w:szCs w:val="1"/>
                <w:color w:val="auto"/>
              </w:rPr>
            </w:pPr>
          </w:p>
        </w:tc>
      </w:tr>
      <w:tr>
        <w:trPr>
          <w:trHeight w:val="229"/>
        </w:trPr>
        <w:tc>
          <w:tcPr>
            <w:tcW w:w="618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726,224</w:t>
            </w: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339,785</w:t>
            </w:r>
          </w:p>
        </w:tc>
        <w:tc>
          <w:tcPr>
            <w:tcW w:w="0" w:type="dxa"/>
            <w:vAlign w:val="bottom"/>
          </w:tcPr>
          <w:p>
            <w:pPr>
              <w:spacing w:after="0"/>
              <w:rPr>
                <w:sz w:val="1"/>
                <w:szCs w:val="1"/>
                <w:color w:val="auto"/>
              </w:rPr>
            </w:pPr>
          </w:p>
        </w:tc>
      </w:tr>
      <w:tr>
        <w:trPr>
          <w:trHeight w:val="229"/>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555,696</w:t>
            </w: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0" w:type="dxa"/>
            <w:vAlign w:val="bottom"/>
          </w:tcPr>
          <w:p>
            <w:pPr>
              <w:spacing w:after="0"/>
              <w:rPr>
                <w:sz w:val="1"/>
                <w:szCs w:val="1"/>
                <w:color w:val="auto"/>
              </w:rPr>
            </w:pPr>
          </w:p>
        </w:tc>
      </w:tr>
      <w:tr>
        <w:trPr>
          <w:trHeight w:val="223"/>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3,465,352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2,905,045</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residential and non-residential commercial loans secured by real estate.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secured by multi-family residential and non-farm, non-residential property.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NON-PERFORMING ASSETS</w:t>
            </w:r>
            <w:r>
              <w:rPr>
                <w:rFonts w:ascii="Times New Roman" w:cs="Times New Roman" w:eastAsia="Times New Roman" w:hAnsi="Times New Roman"/>
                <w:sz w:val="23"/>
                <w:szCs w:val="23"/>
                <w:b w:val="1"/>
                <w:bCs w:val="1"/>
                <w:color w:val="auto"/>
                <w:vertAlign w:val="superscript"/>
              </w:rPr>
              <w:t>(1)</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4"/>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3"/>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8,312</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90 days or more past due and still accruing interest</w:t>
            </w: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 total</w:t>
            </w: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5,381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8,312</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Government guaranteed loans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439</w:t>
            </w:r>
          </w:p>
        </w:tc>
      </w:tr>
      <w:tr>
        <w:trPr>
          <w:trHeight w:val="22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7,873</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real estate and repossessed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766</w:t>
            </w:r>
          </w:p>
        </w:tc>
      </w:tr>
      <w:tr>
        <w:trPr>
          <w:trHeight w:val="248"/>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8,639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 of Portfolio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loans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3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Non-performing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0.29</w:t>
            </w:r>
          </w:p>
        </w:tc>
      </w:tr>
      <w:tr>
        <w:trPr>
          <w:trHeight w:val="229"/>
        </w:trPr>
        <w:tc>
          <w:tcPr>
            <w:tcW w:w="63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ACL</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6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ACL as a percent of non-accrual loans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974.45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426.24</w:t>
            </w:r>
          </w:p>
        </w:tc>
      </w:tr>
      <w:tr>
        <w:trPr>
          <w:trHeight w:val="229"/>
        </w:trPr>
        <w:tc>
          <w:tcPr>
            <w:tcW w:w="6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ACL as a percent of non-performing loans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1409.16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450.01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classified as “troubled debt restructured” that are performing.</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2021, calculation is based on CECL methodology. Prior to January 1, 2021, calculation was based on the probable incurred loss methodology.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TROUBLED DEBT RESTRUCTURINGS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72"/>
        </w:trPr>
        <w:tc>
          <w:tcPr>
            <w:tcW w:w="6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160" w:type="dxa"/>
            <w:vAlign w:val="bottom"/>
            <w:tcBorders>
              <w:bottom w:val="single" w:sz="8" w:color="auto"/>
            </w:tcBorders>
          </w:tcPr>
          <w:p>
            <w:pPr>
              <w:spacing w:after="0"/>
              <w:rPr>
                <w:sz w:val="24"/>
                <w:szCs w:val="24"/>
                <w:color w:val="auto"/>
              </w:rPr>
            </w:pPr>
          </w:p>
        </w:tc>
      </w:tr>
      <w:tr>
        <w:trPr>
          <w:trHeight w:val="223"/>
        </w:trPr>
        <w:tc>
          <w:tcPr>
            <w:tcW w:w="6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0"/>
              <w:spacing w:after="0" w:line="223" w:lineRule="exact"/>
              <w:rPr>
                <w:sz w:val="20"/>
                <w:szCs w:val="20"/>
                <w:color w:val="auto"/>
              </w:rPr>
            </w:pPr>
            <w:r>
              <w:rPr>
                <w:rFonts w:ascii="Times New Roman" w:cs="Times New Roman" w:eastAsia="Times New Roman" w:hAnsi="Times New Roman"/>
                <w:sz w:val="18"/>
                <w:szCs w:val="18"/>
                <w:b w:val="1"/>
                <w:bCs w:val="1"/>
                <w:color w:val="auto"/>
              </w:rPr>
              <w:t>Retail</w:t>
            </w:r>
            <w:r>
              <w:rPr>
                <w:rFonts w:ascii="Times New Roman" w:cs="Times New Roman" w:eastAsia="Times New Roman" w:hAnsi="Times New Roman"/>
                <w:sz w:val="23"/>
                <w:szCs w:val="23"/>
                <w:b w:val="1"/>
                <w:bCs w:val="1"/>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TDRs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29,155</w:t>
            </w:r>
          </w:p>
        </w:tc>
      </w:tr>
      <w:tr>
        <w:trPr>
          <w:trHeight w:val="230"/>
        </w:trPr>
        <w:tc>
          <w:tcPr>
            <w:tcW w:w="6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Non-performing TDRs</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2"/>
                <w:szCs w:val="12"/>
                <w:color w:val="auto"/>
                <w:w w:val="99"/>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48"/>
        </w:trPr>
        <w:tc>
          <w:tcPr>
            <w:tcW w:w="6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27,034</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6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160" w:type="dxa"/>
            <w:vAlign w:val="bottom"/>
            <w:tcBorders>
              <w:bottom w:val="single" w:sz="8" w:color="auto"/>
            </w:tcBorders>
          </w:tcPr>
          <w:p>
            <w:pPr>
              <w:spacing w:after="0"/>
              <w:rPr>
                <w:sz w:val="24"/>
                <w:szCs w:val="24"/>
                <w:color w:val="auto"/>
              </w:rPr>
            </w:pPr>
          </w:p>
        </w:tc>
      </w:tr>
      <w:tr>
        <w:trPr>
          <w:trHeight w:val="223"/>
        </w:trPr>
        <w:tc>
          <w:tcPr>
            <w:tcW w:w="6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50"/>
              <w:spacing w:after="0" w:line="223" w:lineRule="exact"/>
              <w:rPr>
                <w:sz w:val="20"/>
                <w:szCs w:val="20"/>
                <w:color w:val="auto"/>
              </w:rPr>
            </w:pPr>
            <w:r>
              <w:rPr>
                <w:rFonts w:ascii="Times New Roman" w:cs="Times New Roman" w:eastAsia="Times New Roman" w:hAnsi="Times New Roman"/>
                <w:sz w:val="18"/>
                <w:szCs w:val="18"/>
                <w:b w:val="1"/>
                <w:bCs w:val="1"/>
                <w:color w:val="auto"/>
              </w:rPr>
              <w:t>Retail</w:t>
            </w:r>
            <w:r>
              <w:rPr>
                <w:rFonts w:ascii="Times New Roman" w:cs="Times New Roman" w:eastAsia="Times New Roman" w:hAnsi="Times New Roman"/>
                <w:sz w:val="23"/>
                <w:szCs w:val="23"/>
                <w:b w:val="1"/>
                <w:bCs w:val="1"/>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TDRs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31,589</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36,070</w:t>
            </w:r>
          </w:p>
        </w:tc>
      </w:tr>
      <w:tr>
        <w:trPr>
          <w:trHeight w:val="230"/>
        </w:trPr>
        <w:tc>
          <w:tcPr>
            <w:tcW w:w="6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Non-performing TDRs</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2"/>
                <w:szCs w:val="12"/>
                <w:color w:val="auto"/>
                <w:w w:val="99"/>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48"/>
        </w:trPr>
        <w:tc>
          <w:tcPr>
            <w:tcW w:w="6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loans include mortgage and installment loan portfolio segments.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non-performing loans table above.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loans on non-accrual at the time of modification until six payments are received on a timely basis.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Non-performing loans totaled $3.7 million, $5.1 million and $7.9 million at December 31, 2022, 2021 and 2020, respectively. The decrease in 2022 compared to 2021 was primarily due to a $1.4 million decrease in the residential mortgage loan portfolio segment which were primarily attributed to loan payoffs and pay downs. Our collection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resolution efforts have generally resulted in a stable trend in non-performing loans. The decrease in non-performing loans in 2021 as compared to 2020 was primarily due to a $1.4 million decrease in the residential mortgage loan portfolio segment and a $1.4 million decrease in the commercial loan segment which were primarily attributed to loan payoffs and pay downs.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Non-performing loans exclude performing loans that are classified as troubled debt restructurings (“TDRs”). Performing TDRs totaled $29.2 million, or 0.8% of total Portfolio Loans, and $36.1 million, or 1.2% of total Portfolio Loans, at December 31, 2022 and 2021, respectively. The decrease in the amount of performing TDRs during 2022 reflects declines in both commercial and mortgage loan TDRs due primarily to payoffs and paydowns.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real estate (“ORE”) and repossessed assets totaled $0.5 million at December 31, 2022, compared to $0.2 million at December 31, 2021.</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ACL as a percent of non-accrual and non-performing loans increased during 2022 due primarily to an increase in the ACL related to specific allocations and pooled analysis of loans as well as a decrease in non-accrual and non-performing loans while the increase in 2021 was due primarily to an increase in the ACL resulting from the adoption of CECL on January 1, 2021.</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 OF THE ALLOWANCE FOR CREDIT LOSSES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64"/>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4"/>
                <w:szCs w:val="24"/>
                <w:color w:val="auto"/>
              </w:rPr>
            </w:pPr>
          </w:p>
        </w:tc>
      </w:tr>
      <w:tr>
        <w:trPr>
          <w:trHeight w:val="238"/>
        </w:trPr>
        <w:tc>
          <w:tcPr>
            <w:tcW w:w="8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Specific allocations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 analysis allocations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allocations based on subjective factors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47,252</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loans will not be repaid in full. Therefore, an ACL is maintained at a level which represents our best estimate of expected credit losses. Our ACL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notes #1 and #4 to the Consolidated Financial Statements included within this report for further discussion on the ACL.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ACL increased $5.2 million to $52.4 million at December 31, 2022 from $47.3 million at December 21, 2021 and was equal to 1.51% of total Portfolio Loans at December 31, 2022.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Two of the three components of the ACL outlined above increased since December 21, 2021. The ACL related to specific loans increased $0.9 million due primarily to a $5.2 million increase in the amount of such loans and the ACL related to pooled analysis of loans increased $4.3 million due primarily to loan growth in 2022. The ACL related to subjective factors was relatively unchanged during 2022.</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2021 two of the three components of the ACL outlined above decreased. The ACL related to specific loans decreased $1.3 million due primarily to a $6.7 million decrease in the amount of such loans. The ACL related to subjective factors decreased $1.1 million due primarily to slightly lower reserve allocations reflecting an improvement in economic forecasts (particularly for lower unemployment levels) that was partially offset by loan growth in 2021. The ACL related to pooled analysis of loans increased $2.6 million due primarily to loan growth in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LOANS, SECURITIES HTM AND UNFUNDED COMMITMENTS</w:t>
      </w:r>
    </w:p>
    <w:p>
      <w:pPr>
        <w:spacing w:after="0" w:line="286"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Unfunded</w:t>
            </w:r>
          </w:p>
        </w:tc>
      </w:tr>
      <w:tr>
        <w:trPr>
          <w:trHeight w:val="242"/>
        </w:trPr>
        <w:tc>
          <w:tcPr>
            <w:tcW w:w="528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Loans</w:t>
            </w:r>
          </w:p>
        </w:tc>
        <w:tc>
          <w:tcPr>
            <w:tcW w:w="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Securities HTM</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Commitments</w:t>
            </w:r>
          </w:p>
        </w:tc>
      </w:tr>
      <w:tr>
        <w:trPr>
          <w:trHeight w:val="211"/>
        </w:trPr>
        <w:tc>
          <w:tcPr>
            <w:tcW w:w="5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r>
      <w:tr>
        <w:trPr>
          <w:trHeight w:val="213"/>
        </w:trPr>
        <w:tc>
          <w:tcPr>
            <w:tcW w:w="5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5280" w:type="dxa"/>
            <w:vAlign w:val="bottom"/>
            <w:shd w:val="clear" w:color="auto" w:fill="CCEEFF"/>
          </w:tcPr>
          <w:p>
            <w:pPr>
              <w:ind w:left="280"/>
              <w:spacing w:after="0" w:line="219" w:lineRule="exact"/>
              <w:rPr>
                <w:sz w:val="20"/>
                <w:szCs w:val="20"/>
                <w:color w:val="auto"/>
              </w:rPr>
            </w:pPr>
            <w:r>
              <w:rPr>
                <w:rFonts w:ascii="Times New Roman" w:cs="Times New Roman" w:eastAsia="Times New Roman" w:hAnsi="Times New Roman"/>
                <w:sz w:val="16"/>
                <w:szCs w:val="16"/>
                <w:color w:val="auto"/>
              </w:rPr>
              <w:t>Provision for credit losses</w:t>
            </w:r>
            <w:r>
              <w:rPr>
                <w:rFonts w:ascii="Times New Roman" w:cs="Times New Roman" w:eastAsia="Times New Roman" w:hAnsi="Times New Roman"/>
                <w:sz w:val="21"/>
                <w:szCs w:val="21"/>
                <w:color w:val="auto"/>
                <w:vertAlign w:val="superscript"/>
              </w:rPr>
              <w:t>(1)</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 charged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r>
      <w:tr>
        <w:trPr>
          <w:trHeight w:val="213"/>
        </w:trPr>
        <w:tc>
          <w:tcPr>
            <w:tcW w:w="5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Impact of adoption of CECL</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213"/>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Initial allowance on loans purchased with credit deterioration</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40"/>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 charged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w:t>
            </w:r>
          </w:p>
        </w:tc>
      </w:tr>
      <w:tr>
        <w:trPr>
          <w:trHeight w:val="213"/>
        </w:trPr>
        <w:tc>
          <w:tcPr>
            <w:tcW w:w="5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 charged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3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12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0"/>
          <w:szCs w:val="20"/>
          <w:color w:val="auto"/>
        </w:rPr>
      </w:pPr>
    </w:p>
    <w:p>
      <w:pPr>
        <w:ind w:left="340" w:hanging="332"/>
        <w:spacing w:after="0" w:line="260"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2021, calculation is based on CECL methodology. Prior to January 1, 2021, calculation was based on the probable incurred loss methodology.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RATIO OF NET CHARGE-OFFS TO AVERAGE LOANS OUTSTANDING</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808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1,323,840</w:t>
            </w:r>
          </w:p>
        </w:tc>
        <w:tc>
          <w:tcPr>
            <w:tcW w:w="30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1,257,528</w:t>
            </w:r>
          </w:p>
        </w:tc>
        <w:tc>
          <w:tcPr>
            <w:tcW w:w="26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616,854</w:t>
            </w: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3,198,222</w:t>
            </w: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(2,607)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1,035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1,241,961</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1,056,245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521,089</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2,819,295</w:t>
            </w:r>
          </w:p>
        </w:tc>
        <w:tc>
          <w:tcPr>
            <w:tcW w:w="0" w:type="dxa"/>
            <w:vAlign w:val="bottom"/>
          </w:tcPr>
          <w:p>
            <w:pPr>
              <w:spacing w:after="0"/>
              <w:rPr>
                <w:sz w:val="1"/>
                <w:szCs w:val="1"/>
                <w:color w:val="auto"/>
              </w:rPr>
            </w:pPr>
          </w:p>
        </w:tc>
      </w:tr>
      <w:tr>
        <w:trPr>
          <w:trHeight w:val="225"/>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2,272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1,294,217</w:t>
            </w:r>
          </w:p>
        </w:tc>
        <w:tc>
          <w:tcPr>
            <w:tcW w:w="30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1,020,507</w:t>
            </w:r>
          </w:p>
        </w:tc>
        <w:tc>
          <w:tcPr>
            <w:tcW w:w="26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472,210</w:t>
            </w: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2,786,934</w:t>
            </w: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2022, we recorded loan net recoveries of $0.01 million compared to loan net recoveries of $2.04 million in 2021 and loan net charge offs of $3.18 million in 2020. The net recoveries in 2022 and 2021 primarily reflect reduced levels of non-performing loans, improvement in collateral liquidation values and ongoing collection efforts on previously charged-off loans. The net charge offs in 2020 were primarily attributed to a $4.0 million charge down of one specific commercial loan relationship whose balance was zero at December 31, 2020.</w:t>
      </w:r>
    </w:p>
    <w:p>
      <w:pPr>
        <w:spacing w:after="0" w:line="17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Deposits and borrowings</w:t>
      </w:r>
      <w:r>
        <w:rPr>
          <w:rFonts w:ascii="Times New Roman" w:cs="Times New Roman" w:eastAsia="Times New Roman" w:hAnsi="Times New Roman"/>
          <w:sz w:val="18"/>
          <w:szCs w:val="18"/>
          <w:color w:val="auto"/>
        </w:rPr>
        <w:t>. Historically, the loyalty of our customer base has allowed us to price deposits competitively, contributing to a net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Deposits totaled $4.38 billion and $4.12 billion at December 31, 2022 and 2021, respectively. The $262.0 million increase in deposits during 2022 is due to growth in savings and interest bearing checking deposits, time deposits, reciprocal deposits and brokered time deposits. Reciprocal deposits totaled $602.6 million and $586.6 million at December 31, 2022 and 2021, respectively. These deposits represent demand, money market and time deposits from our customers that have been placed through the IntraFi Network (formerly Promontory Interfinancial Network’s Insured Cash Sweep® service and Certificate of Deposit Account Registry Service®). This service allows our customers to access multi-million dollar FDIC deposit insurance on deposit balances greater than the standard FDIC insurance maximum. The increase in reciprocal deposits is due in part to sales efforts of our treasury management team.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be sure that we will be able to maintain our current level of core deposits. In particular, those deposits that are uninsured may be susceptible to outflow. At December 31, 2022, we had an estimated $1.03 billion of uninsured deposits. A reduction in core deposits would likely increase our need to rely on wholesale funding sources.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 part of our asset/liability management efforts. Other borrowings, comprised primarily of borrowings from the Federal Reserve Bank ("FRB") and advances from the Federal Home Loan Bank (the “FHLB”), totaled $86.0 million and $30.0 at December 31, 2022 and 2021.</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described above, we utilize wholesale funding, including federal funds purchased, FRB and FHLB borrowings and Brokered CDs to augment our core deposits and fund a portion of our assets. At December 31, 2022, our use of such wholesale funding sources (including reciprocal deposits) amounted to approximately $900.5 million, or 20.2% of total funding (deposits and total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historically employed derivative financial instruments to manage our exposure to changes in interest rates. During 2022, 2021 and 2020, we entered into $94.2 million, $79.0 million and $16.7 million (original aggregate notional amounts), respectively, of interest rate swaps with commercial loan customers, which were offset with interest rate swaps that the Bank entered into with a broker-dealer. We recorded $1.42 million, $0.81 million and $0.26 million of fee income related to these transactions during 2022, 2021 and 2020, respectively. We entered into $41.0 million, $106.9 million, and $42.0 million (notional amounts) of certain derivative financial instruments (pay fixed interest rate swap and interest rate cap agreements) to hedge the fair value of municipal bond securities in 2022, 2021 and 2020, respectively.</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Liquidity risk is the risk of being unable to timely meet obligations as they come due at a reasonable funding cost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incurring unacceptable losses. Our liquidity management involves the measurement and monitoring of a variety of sources and uses of funds. Our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funds include our deposit base, secured advances from the FHLB, federal funds purchased, borrowing facilities with other commercial banks, and access to the capital markets (for Brokered CDs).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DEPOSITS</w:t>
      </w:r>
      <w:r>
        <w:rPr>
          <w:rFonts w:ascii="Times New Roman" w:cs="Times New Roman" w:eastAsia="Times New Roman" w:hAnsi="Times New Roman"/>
          <w:sz w:val="23"/>
          <w:szCs w:val="23"/>
          <w:b w:val="1"/>
          <w:bCs w:val="1"/>
          <w:color w:val="auto"/>
          <w:vertAlign w:val="superscript"/>
        </w:rPr>
        <w:t>(1)</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time deposits in amounts less than $250,000 and in amounts of $250,000 or more, by time remaining until maturity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Greater than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5"/>
        </w:trPr>
        <w:tc>
          <w:tcPr>
            <w:tcW w:w="66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or less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294,426</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six months through one year</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120,078</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one year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70,582</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580,221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time deposits, brokered time deposits and reciprocal time deposits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2022, we had $509.6 million of time deposits (see note #8 to the Consolidated Financial Statements) that mature in the next 12 months. Historically, a majority of these maturing time deposits are renewed by our customers. Additionally, $3.85 billion of our deposits at December 31, 2022,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currently have adequate liquidity at our Bank because of our cash and cash equivalents, our portfolio of securities available for sale, our access to secured advances from the FHLB, and our ability to issue Brokered CDs.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also believe that the available cash on hand at the parent company (including time deposits) of approximately $50.5 million as of December 31, 2022, provides sufficient liquidity resources at the parent company to meet operating expenses, to make interest payments on our subordinated debt and debentures and to pay a cash dividend on our common stock for the foreseeable future.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certain contractual obligations. Such obligations include requirements to make future payments on debt and lease arrangements, contractual commitments for capital expenditures, and service contracts.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7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debentures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not qualifying as regulatory capital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Amount qualifying as regulatory capital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78,368</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323,401</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74,582</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398,484</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426,032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476,852</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Consolidated Statement of Financial Condition under the caption “Subordinated debt” and the December 31, 2022 and 2021 balances of $39.4 million and $39.4 million, respectively, is net of remaining unamortized deferred issuance costs that are being amortized through the maturity date into interest expense on other borrowings and subordinated debt and debentures in our Consolidated Statement of Operations.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have four special purpose entities with $39.7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Consolidated Statements of Financial Condition.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Federal Reserve has issued rules regarding trust preferred securities as a component of the Tier 1 capital of bank holding companies. The aggregate amount of trust preferred securities (and certain other capital elements) is limited to 25% of Tier 1 capital elements, net of goodwill (net of any associated deferred tax liability). The amount of trust preferred securities and certain other elements in excess of the limit can be included in Tier 2 capital, subject to restrictions. Although the Dodd-Frank Act further limited Tier 1 treatment for trust preferred securities, those new limits did not apply to our outstanding trust preferred securities. Further, the capital rules allow for the treatment of our trust preferred securities as qualifying regulatory capital.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Common shareholders’ equity decreased to $347.6 million at December 31, 2022 from $398.5 million at December 31, 2021, due primarily to the change in our accumulated other comprehensive income (due primarily to a change in the fair value of securities AFS), share repurchases and dividends that we paid which were partially offset by our net income. Our tangible common equity (“TCE”) totaled $316.7 million and $366.8 million, respectively, at those same dates. Our ratio of TCE to tangible assets was 6.37% and 7.85% at December 31, 2022 and 2021, respectively. TCE and the ratio of TCE to tangible assets are non-GAAP measures. TCE represents total common equity less intangible assets. (See “Securities.”)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2022, our Board of Directors authorized the 2023 share repurchase plan. Under the terms of the 2023 share repurchase plan, we are authorized to buy back up to 1,100,000 shares, or approximately 5%, of our outstanding common stock. This repurchase plan commenced on January 1, 2023, and is expected to last through December 31, 2023.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2021, our Board of Directors authorized the 2022 share repurchase plan. Under the original terms of the share repurchase plan, we were authorized to buy back 1,100,000 shares, or approximately 5% of our outstanding common stock. The share repurchase plan expired on December 31, 2022. We repurchased 181,586 shares during 2022 at an average cost of $22.08 per share.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currently pay a quarterly cash dividend on our common stock. The annual total dividends paid were $0.88, $0.84 and $0.80 per share for 2022, 2021 and 2020, respectively. We currently favor a dividend payout ratio between 30% and 50% of net income.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and 2021, our Bank (and holding company) continued to meet the requirements to be considered “well-capitalized” under federal regulatory standards (also see note #20 to the Consolidated Financial Statements).</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Asset/liability management. </w:t>
      </w:r>
      <w:r>
        <w:rPr>
          <w:rFonts w:ascii="Times New Roman" w:cs="Times New Roman" w:eastAsia="Times New Roman" w:hAnsi="Times New Roman"/>
          <w:sz w:val="18"/>
          <w:szCs w:val="18"/>
          <w:color w:val="auto"/>
        </w:rPr>
        <w:t>Interest-rate risk is created by differences in the cash flow characteristics of our assets and liabilities. Options embedded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financial instruments, including caps on adjustable-rate loans as well as borrowers’ rights to prepay fixed-rate loans, also create interest-rate risk.</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74"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inherent in our Consolidated Statements of Financial Condition.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During 2022, both our interest rate risk profile as measured by our short term earnings simulation and our longer term interest rate risk measure based on changes in economic value indicates more exposure to higher rates and less exposure to lower rates. The shift is due to a combination of higher asset duration and lower liability duration. On the asset side, duration increased due to growth in portfolio mortgage loans combined with lower cash and security AFS and HTM balances. On the liability side duration declined as the majority of earning asset growth was funded with short duration wholesale funding. We are carefully monitoring the change in the composition of our balance sheet and the impact of potential future changes in interest rates on our changes in market value of portfolio equity and changes in net interest income. As a result, we may add some longer-term borrowings, may utilize derivatives (interest rate swaps and interest rate caps) to manage interest rate risk and may continue to sell some portfolio mortgage loans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CHANGES IN MARKET VALUE OF PORTFOLIO EQUITY AND NET INTEREST INCOME</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8"/>
                <w:szCs w:val="18"/>
                <w:color w:val="auto"/>
              </w:rPr>
            </w:pPr>
          </w:p>
        </w:tc>
        <w:tc>
          <w:tcPr>
            <w:tcW w:w="1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6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4"/>
              </w:rPr>
              <w:t>Equity</w:t>
            </w:r>
            <w:r>
              <w:rPr>
                <w:rFonts w:ascii="Times New Roman" w:cs="Times New Roman" w:eastAsia="Times New Roman" w:hAnsi="Times New Roman"/>
                <w:sz w:val="23"/>
                <w:szCs w:val="23"/>
                <w:b w:val="1"/>
                <w:bCs w:val="1"/>
                <w:color w:val="auto"/>
                <w:w w:val="94"/>
                <w:vertAlign w:val="superscript"/>
              </w:rPr>
              <w:t>(1)</w:t>
            </w: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3"/>
              </w:rPr>
              <w:t>Income</w:t>
            </w:r>
            <w:r>
              <w:rPr>
                <w:rFonts w:ascii="Times New Roman" w:cs="Times New Roman" w:eastAsia="Times New Roman" w:hAnsi="Times New Roman"/>
                <w:sz w:val="23"/>
                <w:szCs w:val="23"/>
                <w:b w:val="1"/>
                <w:bCs w:val="1"/>
                <w:color w:val="auto"/>
                <w:w w:val="93"/>
                <w:vertAlign w:val="superscript"/>
              </w:rPr>
              <w:t>(2)</w:t>
            </w: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2"/>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4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457,800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165,800</w:t>
            </w: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(0.90)%</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4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500,700</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(7.98)</w:t>
            </w:r>
          </w:p>
        </w:tc>
        <w:tc>
          <w:tcPr>
            <w:tcW w:w="28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167,000</w:t>
            </w: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544,100</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167,300</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4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586,400</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7.77</w:t>
            </w:r>
          </w:p>
        </w:tc>
        <w:tc>
          <w:tcPr>
            <w:tcW w:w="28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166,600</w:t>
            </w: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decline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608,800</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11.89</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164,000</w:t>
            </w: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49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514,200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137,800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2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4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550,900</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0.86</w:t>
            </w:r>
          </w:p>
        </w:tc>
        <w:tc>
          <w:tcPr>
            <w:tcW w:w="28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136,800</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546,200</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133,400</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4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473,000</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(13.40)</w:t>
            </w:r>
          </w:p>
        </w:tc>
        <w:tc>
          <w:tcPr>
            <w:tcW w:w="28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126,700</w:t>
            </w:r>
          </w:p>
        </w:tc>
        <w:tc>
          <w:tcPr>
            <w:tcW w:w="14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1" w:lineRule="exact"/>
        <w:rPr>
          <w:sz w:val="20"/>
          <w:szCs w:val="20"/>
          <w:color w:val="auto"/>
        </w:rPr>
      </w:pPr>
    </w:p>
    <w:p>
      <w:pPr>
        <w:jc w:val="both"/>
        <w:ind w:left="340" w:hanging="332"/>
        <w:spacing w:after="0" w:line="250"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net interest income under immediate parallel shifts in interest rates over the next twelve months, based upon a static Consolidated Statement of Financial Condition, which includes debt and related financial derivative instruments, and do not consider loan fees.</w:t>
      </w:r>
    </w:p>
    <w:p>
      <w:pPr>
        <w:spacing w:after="0" w:line="18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Accounting Standards Update. </w:t>
      </w:r>
      <w:r>
        <w:rPr>
          <w:rFonts w:ascii="Times New Roman" w:cs="Times New Roman" w:eastAsia="Times New Roman" w:hAnsi="Times New Roman"/>
          <w:sz w:val="18"/>
          <w:szCs w:val="18"/>
          <w:color w:val="auto"/>
        </w:rPr>
        <w:t>See note #1 to the Consolidated Financial Statements included elsewhere in this report for details on recently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pronouncements and their impact on our consolidated financial statements.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VALUATION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available for sale, loans held for sale,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#21 to the Consolidated Financial Statements for a complete discussion on our use of fair valuation of financial instruments and the related measurement techniques.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LITIGATION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however we have excluded such matters from the disclosure contained in the preceding paragraph in all cases where we believe the possibility of us paying damages to any opposing party is remote.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financial position or results of operations.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methodology for determining the ACL and related provision for credit losses is described above in “Portfolio Loans and asset quality.” In particular, this area of accounting requires a significant amount of judgment because a multitude of factors can influence the ultimate collection of a loan or other type of credit. It is extremely difficult to precisely measure the amount of expected credit losses in our loan portfolio. We use a rigorous process to attempt to accurately quantify the necessary ACL and related provision for credit losses, but there can be no assurance that our modeling process will successfully identify all of the expected credit losses in our loan portfolio. As a result, we could record future provisions for credit losses that may be significantly different than the levels that we recorded in prior periods. See also notes #1 and #4 to the Consolidated Financial Statements included within this report for further discussion on CECL.</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December 31, 2022 and 2021, we had approximately $42.5 million and $26.2 million, respectively, of mortgage loan servicing rights capitalized on our Consolidated Statements of Financial Condition. The fair value of our mortgage loan servicing rights has been determined based on a valuation model used by an independent third party. There are several critical assumptions involved in establishing the value of this asset including estimated future prepayment speeds on the underlying mortgage loans, the interest rate used to discount the net cash flows from the mortgage loan servicing, the estimated amount of ancillary income that will be received in the future (such as late fees) and the estimated cost to service the mortgage loans. We believe the assumptions that we utilize in our valuation are reasonable based upon accepted industry practices for valuing mortgage loan servicing rights and represent neither the most conservative or aggressive assumptions.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REPORTING</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management of Independent Bank Corporation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assessed the effectiveness of our internal control over financial reporting as of December 31, 2022. In making this assessment, we used the criteria established in the 2013 Internal Control — Integrated Framework issued by the Committee of Sponsoring Organizations of the Treadway Commission (COSO). Based on our assessment, management has concluded that as of December 31, 2022, the Company’s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audit report on the effectiveness of the Company’s internal control over financial reporting as of December 31, 2022. Their report immediately follows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156845</wp:posOffset>
            </wp:positionV>
            <wp:extent cx="1954530" cy="557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954530" cy="5575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156845</wp:posOffset>
            </wp:positionV>
            <wp:extent cx="685800" cy="557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6858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Kessel</w:t>
            </w:r>
          </w:p>
        </w:tc>
        <w:tc>
          <w:tcPr>
            <w:tcW w:w="73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Gavin A. Mohr</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w:t>
            </w:r>
          </w:p>
        </w:tc>
        <w:tc>
          <w:tcPr>
            <w:tcW w:w="73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73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52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c>
          <w:tcPr>
            <w:tcW w:w="7340" w:type="dxa"/>
            <w:vAlign w:val="bottom"/>
          </w:tcPr>
          <w:p>
            <w:pPr>
              <w:spacing w:after="0"/>
              <w:rPr>
                <w:sz w:val="24"/>
                <w:szCs w:val="24"/>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 2023</w:t>
            </w:r>
          </w:p>
        </w:tc>
        <w:tc>
          <w:tcPr>
            <w:tcW w:w="7340" w:type="dxa"/>
            <w:vAlign w:val="bottom"/>
          </w:tcPr>
          <w:p>
            <w:pPr>
              <w:spacing w:after="0"/>
              <w:rPr>
                <w:sz w:val="20"/>
                <w:szCs w:val="20"/>
                <w:color w:val="auto"/>
              </w:rPr>
            </w:pPr>
          </w:p>
        </w:tc>
      </w:tr>
      <w:tr>
        <w:trPr>
          <w:trHeight w:val="932"/>
        </w:trPr>
        <w:tc>
          <w:tcPr>
            <w:tcW w:w="3900" w:type="dxa"/>
            <w:vAlign w:val="bottom"/>
          </w:tcPr>
          <w:p>
            <w:pPr>
              <w:spacing w:after="0"/>
              <w:rPr>
                <w:sz w:val="24"/>
                <w:szCs w:val="24"/>
                <w:color w:val="auto"/>
              </w:rPr>
            </w:pPr>
          </w:p>
        </w:tc>
        <w:tc>
          <w:tcPr>
            <w:tcW w:w="73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39</w:t>
            </w:r>
          </w:p>
        </w:tc>
      </w:tr>
      <w:tr>
        <w:trPr>
          <w:trHeight w:val="115"/>
        </w:trPr>
        <w:tc>
          <w:tcPr>
            <w:tcW w:w="3900" w:type="dxa"/>
            <w:vAlign w:val="bottom"/>
            <w:tcBorders>
              <w:bottom w:val="single" w:sz="8" w:color="9A9A9A"/>
            </w:tcBorders>
          </w:tcPr>
          <w:p>
            <w:pPr>
              <w:spacing w:after="0"/>
              <w:rPr>
                <w:sz w:val="10"/>
                <w:szCs w:val="10"/>
                <w:color w:val="auto"/>
              </w:rPr>
            </w:pPr>
          </w:p>
        </w:tc>
        <w:tc>
          <w:tcPr>
            <w:tcW w:w="7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 of Independent Bank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Independent Bank Corporation (the “Corporation”) as of December 31, 2022 and 2021, the related consolidated statements of operations, comprehensive income (loss), shareholders’ equity, and cash flows for each of the years in the three-year period ended December 31, 2022, and the related notes (collectively referred to as the "financial statements"). We also have audited the Corporation’s internal control over financial reporting as of December 31, 2022, based on criteria established in Internal Control – Integrated Framework: (2013) issued by the Committee of Sponsoring Organizations of the Treadway Commission (COSO).</w:t>
      </w:r>
    </w:p>
    <w:p>
      <w:pPr>
        <w:spacing w:after="0" w:line="21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Corporation as of December 31, 2022 and 2021, and the results of its operations and its cash flows for each of the years in the three-year period ended December 31, 2022 in conformity with accounting principles generally accepted in the United States of America. Also in our opinion, the Corporation maintained, in all material respects, effective internal control over financial reporting as of December 31, 2022, based on criteria established in Internal Control – Integrated Framework: (2013) issued by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discussed in Note 1 to the financial statements, the Corporation has changed its method of accounting for credit losses effective January 1, 2021 due to the adoption of Financial Accounting Standards Board (“FASB”) Accounting Standards Codification No. 326, Financial Instruments - Credit Losses (“ASC 326”). The Corporation adopted the new credit loss standard using the modified retrospective method such that prior period amounts are not adjusted and continue to be reported in accordance with previously applicable generally accepted accounting principles. Certain aspects of the application of the new credit loss standard are communicated as a critical audit matter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Corporation’s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Corporation’s financial statements and an opinion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(ACL) for loans – Subjective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1 and 4 to the Consolidated Financial Statements.</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 2021 (“adoption date”), the Corporation adopted ASU 2016-13, Financial Instruments – Credit Losses (Topic 326) under a modified retrospective approach, which required the Corporation to estimate expected credit losses for its financial assets carried at amortized cost utilizing the current expected credit loss (“CECL”) methodology. The ACL under the CECL methodology is a significant estimate recorded within the Corporation’s financial statements with a reported balance for loans of $52.4 million as of December 31, 2022. The ACL model for loans consists of three components: 1) the specific analysis of individually evaluated loans; 2) pooled analysis of loans with similar risk characteristics based on historical experience using a discounted cash flow model, adjusted for current conditions, reasonable and supportable forecasts and expected prepayments; and 3) additional allowances based on subjective factors.</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subjective factors include consideration of the following: local and general economic business factors and trends, portfolio concentrations and changes in the size, and/or the general terms of the overall loan portfolio. Due to the significant judgment applied by management to determine the effect of the subjective factors, we identified the effect of the subjective factors on the ACL for loans as a critical audit matter as it involved a high degree of auditor judgment and required significant audit effort, including the need to involve more experienced audit personnel.</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effectiveness of controls over the subjective factors used in the ACL calculation including controls addressing:</w:t>
      </w:r>
    </w:p>
    <w:p>
      <w:pPr>
        <w:spacing w:after="0" w:line="11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review of the reasonableness of the significant assumptions applied in the development of the subjective factors and the relevance to the loan segment to which they are applied.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Mathematical accuracy of the subjective factors applied to the loan segments in the ACL calculation.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testing management’s determination of the subjective factors used in the ACL estimate, including:</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developing the subjective factors, which included assessing the relevance and reliability of data used to develop the subjective factors, including evaluating their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judgments and assumptions for reasonableness. Among other procedures, our evaluation considered evidence from internal and external sources.</w:t>
      </w:r>
    </w:p>
    <w:p>
      <w:pPr>
        <w:spacing w:after="0" w:line="54" w:lineRule="exact"/>
        <w:rPr>
          <w:sz w:val="20"/>
          <w:szCs w:val="20"/>
          <w:color w:val="auto"/>
        </w:rPr>
      </w:pPr>
    </w:p>
    <w:p>
      <w:pPr>
        <w:ind w:left="1300" w:hanging="320"/>
        <w:spacing w:after="0" w:line="282" w:lineRule="auto"/>
        <w:tabs>
          <w:tab w:leader="none" w:pos="13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Analytically evaluating the subjective factors for directional consistency, testing for reasonableness, and obtaining evidence for significant changes.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the subjective factors applied to the loan segments in the ACL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231775</wp:posOffset>
            </wp:positionV>
            <wp:extent cx="1285875" cy="6000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2858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Crowe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Corporation’s auditor since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Bend,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2023</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center"/>
              <w:ind w:right="288"/>
              <w:spacing w:after="0" w:line="158"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51,069</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109,473</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779,347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1,412,830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$335,418 at December 31, 2022 and zero at December 31, 2021)</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374,818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18,427</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55,470</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lower of cost or fair value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1,466,853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1,203,581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1,368,409</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1,139,659</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630,090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561,805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Loans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3,465,352</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2,905,045</w:t>
            </w:r>
          </w:p>
        </w:tc>
        <w:tc>
          <w:tcPr>
            <w:tcW w:w="0" w:type="dxa"/>
            <w:vAlign w:val="bottom"/>
          </w:tcPr>
          <w:p>
            <w:pPr>
              <w:spacing w:after="0"/>
              <w:rPr>
                <w:sz w:val="1"/>
                <w:szCs w:val="1"/>
                <w:color w:val="auto"/>
              </w:rPr>
            </w:pP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(47,252)</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Loans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3,412,917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2,857,793</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36,404</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55,279</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42,489</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26,232</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66,140</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4,999,787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4,704,740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1,269,759</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1,321,601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1,973,308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1,897,487</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602,575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586,626</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321,492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308,438</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211,935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Deposits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4,379,069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4,117,090</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30,009</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39,357</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39,592</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108,023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80,208</w:t>
            </w:r>
          </w:p>
        </w:tc>
        <w:tc>
          <w:tcPr>
            <w:tcW w:w="0" w:type="dxa"/>
            <w:vAlign w:val="bottom"/>
          </w:tcPr>
          <w:p>
            <w:pPr>
              <w:spacing w:after="0"/>
              <w:rPr>
                <w:sz w:val="1"/>
                <w:szCs w:val="1"/>
                <w:color w:val="auto"/>
              </w:rPr>
            </w:pPr>
          </w:p>
        </w:tc>
      </w:tr>
      <w:tr>
        <w:trPr>
          <w:trHeight w:val="18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4,652,191</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4,306,256</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21,063,971 shares at December 31, 2022 and</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21,171,036 shares at December 31, 2021</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320,991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323,401</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119,368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74,582</w:t>
            </w:r>
          </w:p>
        </w:tc>
        <w:tc>
          <w:tcPr>
            <w:tcW w:w="0" w:type="dxa"/>
            <w:vAlign w:val="bottom"/>
          </w:tcPr>
          <w:p>
            <w:pPr>
              <w:spacing w:after="0"/>
              <w:rPr>
                <w:sz w:val="1"/>
                <w:szCs w:val="1"/>
                <w:color w:val="auto"/>
              </w:rPr>
            </w:pP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347,596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398,484</w:t>
            </w:r>
          </w:p>
        </w:tc>
        <w:tc>
          <w:tcPr>
            <w:tcW w:w="0" w:type="dxa"/>
            <w:vAlign w:val="bottom"/>
          </w:tcPr>
          <w:p>
            <w:pPr>
              <w:spacing w:after="0"/>
              <w:rPr>
                <w:sz w:val="1"/>
                <w:szCs w:val="1"/>
                <w:color w:val="auto"/>
              </w:rPr>
            </w:pPr>
          </w:p>
        </w:tc>
      </w:tr>
      <w:tr>
        <w:trPr>
          <w:trHeight w:val="209"/>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4,999,787</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4,704,740</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4"/>
          </w:tcPr>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Borders>
              <w:bottom w:val="single" w:sz="8" w:color="auto"/>
            </w:tcBorders>
          </w:tcPr>
          <w:p>
            <w:pPr>
              <w:spacing w:after="0"/>
              <w:rPr>
                <w:sz w:val="24"/>
                <w:szCs w:val="24"/>
                <w:color w:val="auto"/>
              </w:rPr>
            </w:pPr>
          </w:p>
        </w:tc>
      </w:tr>
      <w:tr>
        <w:trPr>
          <w:trHeight w:val="243"/>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43"/>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300" w:type="dxa"/>
            <w:vAlign w:val="bottom"/>
            <w:gridSpan w:val="7"/>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123,159</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Tax-exempt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138,080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139,829</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123,612</w:t>
            </w:r>
          </w:p>
        </w:tc>
      </w:tr>
      <w:tr>
        <w:trPr>
          <w:trHeight w:val="25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(1)</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(losses) on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loans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62,560</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w:t>
            </w: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80,745</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74,781</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collection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related to unfunded lending commitments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related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5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7,796</w:t>
            </w:r>
          </w:p>
        </w:tc>
      </w:tr>
      <w:tr>
        <w:trPr>
          <w:trHeight w:val="25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122,413</w:t>
            </w:r>
          </w:p>
        </w:tc>
      </w:tr>
      <w:tr>
        <w:trPr>
          <w:trHeight w:val="250"/>
        </w:trPr>
        <w:tc>
          <w:tcPr>
            <w:tcW w:w="6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69,481</w:t>
            </w:r>
          </w:p>
        </w:tc>
      </w:tr>
      <w:tr>
        <w:trPr>
          <w:trHeight w:val="25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13,329</w:t>
            </w:r>
          </w:p>
        </w:tc>
      </w:tr>
      <w:tr>
        <w:trPr>
          <w:trHeight w:val="256"/>
        </w:trPr>
        <w:tc>
          <w:tcPr>
            <w:tcW w:w="6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20" w:hanging="332"/>
        <w:spacing w:after="0" w:line="282"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2021, calculation is based on CECL methodology. Prior to January 1, 2021, calculation was based on the probable incurred loss methodology.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326"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gridSpan w:val="7"/>
          </w:tcPr>
          <w:p>
            <w:pPr>
              <w:ind w:left="25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Borders>
              <w:bottom w:val="single" w:sz="8" w:color="auto"/>
            </w:tcBorders>
          </w:tcPr>
          <w:p>
            <w:pPr>
              <w:spacing w:after="0"/>
              <w:rPr>
                <w:sz w:val="24"/>
                <w:szCs w:val="24"/>
                <w:color w:val="auto"/>
              </w:rPr>
            </w:pPr>
          </w:p>
        </w:tc>
      </w:tr>
      <w:tr>
        <w:trPr>
          <w:trHeight w:val="243"/>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arising during period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r>
      <w:tr>
        <w:trPr>
          <w:trHeight w:val="21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unrealized gains and losses for which a portion of other than temporary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8"/>
        </w:trPr>
        <w:tc>
          <w:tcPr>
            <w:tcW w:w="6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impairment has been recognized in earnings</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1"/>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unrealized loss at time of transfer on securities available for sale transferred to</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held to maturity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net unrealized losses on securities transferred to held to maturity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 for (gains) losses included in earnings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198"/>
        </w:trPr>
        <w:tc>
          <w:tcPr>
            <w:tcW w:w="6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8"/>
        </w:trPr>
        <w:tc>
          <w:tcPr>
            <w:tcW w:w="6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r>
      <w:tr>
        <w:trPr>
          <w:trHeight w:val="250"/>
        </w:trPr>
        <w:tc>
          <w:tcPr>
            <w:tcW w:w="6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198"/>
        </w:trPr>
        <w:tc>
          <w:tcPr>
            <w:tcW w:w="6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8"/>
        </w:trPr>
        <w:tc>
          <w:tcPr>
            <w:tcW w:w="6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securities available for sale, net of tax</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losses arising during period</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expense recognized in earnings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198"/>
        </w:trPr>
        <w:tc>
          <w:tcPr>
            <w:tcW w:w="6600" w:type="dxa"/>
            <w:vAlign w:val="bottom"/>
            <w:tcBorders>
              <w:top w:val="single" w:sz="8" w:color="CCEEFF"/>
            </w:tcBorders>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gains recognized in other comprehensive income (loss) on derivative</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48"/>
        </w:trPr>
        <w:tc>
          <w:tcPr>
            <w:tcW w:w="6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instruments</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50"/>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198"/>
        </w:trPr>
        <w:tc>
          <w:tcPr>
            <w:tcW w:w="6600" w:type="dxa"/>
            <w:vAlign w:val="bottom"/>
            <w:tcBorders>
              <w:top w:val="single" w:sz="8" w:color="CCEEFF"/>
            </w:tcBorders>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gains recognized in other comprehensive income (loss) on derivative</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41"/>
        </w:trPr>
        <w:tc>
          <w:tcPr>
            <w:tcW w:w="6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instruments, net of tax</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w:t>
            </w:r>
          </w:p>
        </w:tc>
      </w:tr>
      <w:tr>
        <w:trPr>
          <w:trHeight w:val="281"/>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gridSpan w:val="10"/>
          </w:tcPr>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0"/>
        </w:trPr>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7"/>
                <w:szCs w:val="17"/>
                <w:color w:val="auto"/>
              </w:rPr>
            </w:pPr>
          </w:p>
        </w:tc>
        <w:tc>
          <w:tcPr>
            <w:tcW w:w="140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rPr>
              <w:t>Common</w:t>
            </w:r>
          </w:p>
        </w:tc>
        <w:tc>
          <w:tcPr>
            <w:tcW w:w="280" w:type="dxa"/>
            <w:vAlign w:val="bottom"/>
          </w:tcPr>
          <w:p>
            <w:pPr>
              <w:spacing w:after="0"/>
              <w:rPr>
                <w:sz w:val="17"/>
                <w:szCs w:val="17"/>
                <w:color w:val="auto"/>
              </w:rPr>
            </w:pPr>
          </w:p>
        </w:tc>
        <w:tc>
          <w:tcPr>
            <w:tcW w:w="14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7"/>
                <w:szCs w:val="17"/>
                <w:color w:val="auto"/>
              </w:rPr>
            </w:pPr>
          </w:p>
        </w:tc>
        <w:tc>
          <w:tcPr>
            <w:tcW w:w="15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17"/>
                <w:szCs w:val="17"/>
                <w:color w:val="auto"/>
              </w:rPr>
            </w:pPr>
          </w:p>
        </w:tc>
        <w:tc>
          <w:tcPr>
            <w:tcW w:w="140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59"/>
        </w:trPr>
        <w:tc>
          <w:tcPr>
            <w:tcW w:w="4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50"/>
        </w:trPr>
        <w:tc>
          <w:tcPr>
            <w:tcW w:w="4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tc>
        <w:tc>
          <w:tcPr>
            <w:tcW w:w="1400" w:type="dxa"/>
            <w:vAlign w:val="bottom"/>
          </w:tcPr>
          <w:p>
            <w:pPr>
              <w:spacing w:after="0"/>
              <w:rPr>
                <w:sz w:val="21"/>
                <w:szCs w:val="21"/>
                <w:color w:val="auto"/>
              </w:rPr>
            </w:pP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1, 2020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350,169</w:t>
            </w: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2020</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56,152</w:t>
            </w: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$0.80 per share</w:t>
            </w: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w:t>
            </w: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708,956 shares of common stock</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(14,231)</w:t>
            </w: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17,317 shares of common stock</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1"/>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103,429 shares of</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1"/>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8"/>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of 39,633 shares of common stock)</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w:t>
            </w:r>
          </w:p>
        </w:tc>
      </w:tr>
      <w:tr>
        <w:trPr>
          <w:trHeight w:val="257"/>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2020</w:t>
            </w:r>
          </w:p>
        </w:tc>
        <w:tc>
          <w:tcPr>
            <w:tcW w:w="2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339,353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389,522</w:t>
            </w: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ASU 2016-13</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r>
      <w:tr>
        <w:trPr>
          <w:trHeight w:val="257"/>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2020, as adjusted</w:t>
            </w:r>
          </w:p>
        </w:tc>
        <w:tc>
          <w:tcPr>
            <w:tcW w:w="2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339,353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379,219</w:t>
            </w: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2021</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62,895</w:t>
            </w: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$0.84 per share</w:t>
            </w: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814,910 shares of common stock</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40,350 shares of common stock</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1"/>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128,018 shares of</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1"/>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Share based compensation withholding obligation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of 36,222 shares of common stock)</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r>
      <w:tr>
        <w:trPr>
          <w:trHeight w:val="257"/>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2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398,484</w:t>
            </w: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2022</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63,351</w:t>
            </w: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$0.88 per share</w:t>
            </w: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181,586 shares of common stock</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40,532 shares of common stock</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1"/>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62,114 shares of</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1"/>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8"/>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of 28,125 shares of common stock)</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r>
      <w:tr>
        <w:trPr>
          <w:trHeight w:val="282"/>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320,991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63,351</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56,152</w:t>
            </w:r>
          </w:p>
        </w:tc>
        <w:tc>
          <w:tcPr>
            <w:tcW w:w="0" w:type="dxa"/>
            <w:vAlign w:val="bottom"/>
          </w:tcPr>
          <w:p>
            <w:pPr>
              <w:spacing w:after="0"/>
              <w:rPr>
                <w:sz w:val="1"/>
                <w:szCs w:val="1"/>
                <w:color w:val="auto"/>
              </w:rPr>
            </w:pP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549,079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1,283,741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1,478,908</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(1,210,897)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(1,438,982)</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credit losses (1)</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12,463</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deferred loan fees (costs)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166"/>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depreciation, amortization of intangible assets and premiums and accretion of discounts on securities,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loans and interest bearing deposits - time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(62,560)</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losses on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in accrued income and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(7,966)</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in accrued expenses and other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0" w:type="dxa"/>
            <w:vAlign w:val="bottom"/>
          </w:tcPr>
          <w:p>
            <w:pPr>
              <w:spacing w:after="0"/>
              <w:rPr>
                <w:sz w:val="1"/>
                <w:szCs w:val="1"/>
                <w:color w:val="auto"/>
              </w:rPr>
            </w:pPr>
          </w:p>
        </w:tc>
      </w:tr>
      <w:tr>
        <w:trPr>
          <w:trHeight w:val="186"/>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Adjustments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31,281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47,259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110,154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58,684</w:t>
            </w:r>
          </w:p>
        </w:tc>
        <w:tc>
          <w:tcPr>
            <w:tcW w:w="0" w:type="dxa"/>
            <w:vAlign w:val="bottom"/>
          </w:tcPr>
          <w:p>
            <w:pPr>
              <w:spacing w:after="0"/>
              <w:rPr>
                <w:sz w:val="1"/>
                <w:szCs w:val="1"/>
                <w:color w:val="auto"/>
              </w:rPr>
            </w:pP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USED IN INVESTING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85,371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38,095</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306,691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(824,348)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(859,068)</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maturity of interest bearing deposits - time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Federal Home Loan Bank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(41,861)</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(563,064)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(553,908)</w:t>
            </w:r>
          </w:p>
        </w:tc>
        <w:tc>
          <w:tcPr>
            <w:tcW w:w="0" w:type="dxa"/>
            <w:vAlign w:val="bottom"/>
          </w:tcPr>
          <w:p>
            <w:pPr>
              <w:spacing w:after="0"/>
              <w:rPr>
                <w:sz w:val="1"/>
                <w:szCs w:val="1"/>
                <w:color w:val="auto"/>
              </w:rPr>
            </w:pP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total deposits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261,979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479,735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600,628</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(decrease) in other borrowings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(24,994)</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239,254</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(272,910)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subordinated debt, net of issuance costs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39,236</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(17,618)</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0" w:type="dxa"/>
            <w:vAlign w:val="bottom"/>
          </w:tcPr>
          <w:p>
            <w:pPr>
              <w:spacing w:after="0"/>
              <w:rPr>
                <w:sz w:val="1"/>
                <w:szCs w:val="1"/>
                <w:color w:val="auto"/>
              </w:rPr>
            </w:pPr>
          </w:p>
        </w:tc>
      </w:tr>
      <w:tr>
        <w:trPr>
          <w:trHeight w:val="186"/>
        </w:trPr>
        <w:tc>
          <w:tcPr>
            <w:tcW w:w="6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294,858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443,678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548,625</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53,401</w:t>
            </w: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65,304</w:t>
            </w:r>
          </w:p>
        </w:tc>
        <w:tc>
          <w:tcPr>
            <w:tcW w:w="0" w:type="dxa"/>
            <w:vAlign w:val="bottom"/>
          </w:tcPr>
          <w:p>
            <w:pPr>
              <w:spacing w:after="0"/>
              <w:rPr>
                <w:sz w:val="1"/>
                <w:szCs w:val="1"/>
                <w:color w:val="auto"/>
              </w:rPr>
            </w:pPr>
          </w:p>
        </w:tc>
      </w:tr>
      <w:tr>
        <w:trPr>
          <w:trHeight w:val="24"/>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118,705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6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17,657</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16,912</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15,500</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of securities available for sale to held to maturity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of mortgage loans to held for sale</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Securitization of portfolio loans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securities available for sale not yet settled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40" w:right="140" w:hanging="332"/>
        <w:spacing w:after="0" w:line="281"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2021, calculation is based on CECL methodology. Prior to January 1, 2021, calculation was based on the probable incurred loss methodology.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663"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63"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ACCOUNTING POLICIES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accounting and reporting policies and practices of Independent Bank Corporation and subsidiaries (‘‘IBCP’’) conform to accounting principles generally accepted in the United States of America and prevailing practices within the banking industry. Our critical accounting policies include the determination of the allowance for credit losses and the valuation of capitalized mortgage loan servicing rights. We are required to make material estimates and assumptions that are particularly susceptible to changes in the near term as we prepare the consolidated financial statements and report amounts for each of these items. Actual results may vary from these estimates.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subsidiary, Independent Bank (‘‘Bank’’), transacts business in the single industry of commercial banking. Our Bank’s activities cover traditional phases of commercial banking, including checking and savings accounts, commercial lending, direct and indirect consumer financing and mortgage lending. Our principal markets are the rural and suburban communities across Lower Michigan that are served by our Bank’s branches and loan production offices as well as one loan production office in Ohio. At December 31, 2022, 69.6% of our Bank’s loan portfolio was secured by real estate.</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Independent Bank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income, expenses, assets and liabilities of the subsidiaries are included in the respective accounts of the consolidated financial statements, after elimination of all intercompany accounts and transactions.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STATEMENTS OF CASH FLOWS </w:t>
      </w:r>
      <w:r>
        <w:rPr>
          <w:rFonts w:ascii="Times New Roman" w:cs="Times New Roman" w:eastAsia="Times New Roman" w:hAnsi="Times New Roman"/>
          <w:sz w:val="18"/>
          <w:szCs w:val="18"/>
          <w:color w:val="auto"/>
        </w:rPr>
        <w:t>— For purposes of reporting cash flows, cash and cash equivalents include cash on hand, amounts due from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bearing deposits and federal funds sold. Generally, federal funds are sold for one-day periods. We report net cash flows for customer loan and deposit transactions and for short-term borrowings.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BEARING DEPOSITS </w:t>
      </w:r>
      <w:r>
        <w:rPr>
          <w:rFonts w:ascii="Times New Roman" w:cs="Times New Roman" w:eastAsia="Times New Roman" w:hAnsi="Times New Roman"/>
          <w:sz w:val="18"/>
          <w:szCs w:val="18"/>
          <w:color w:val="auto"/>
        </w:rPr>
        <w:t>— Interest bearing deposits consist of overnight deposits with the Federal Reserve Bank.</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LOANS HELD FOR SALE </w:t>
      </w:r>
      <w:r>
        <w:rPr>
          <w:rFonts w:ascii="Times New Roman" w:cs="Times New Roman" w:eastAsia="Times New Roman" w:hAnsi="Times New Roman"/>
          <w:sz w:val="18"/>
          <w:szCs w:val="18"/>
          <w:color w:val="auto"/>
        </w:rPr>
        <w:t>— Mortgage loans originated and intended for sale in the secondary market are carried at fair value. Fair value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realized gains and losses, are recorded in current earnings. Certain portfolio loans were reclassified to held for sale as of December 31, 2022 and December 31, 2021, were carried at the lower of cost or fair value on an aggregate loan basis and were sold during the first quarters of 2023 and 2022, respectively.</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SEGMENTS </w:t>
      </w:r>
      <w:r>
        <w:rPr>
          <w:rFonts w:ascii="Times New Roman" w:cs="Times New Roman" w:eastAsia="Times New Roman" w:hAnsi="Times New Roman"/>
          <w:sz w:val="18"/>
          <w:szCs w:val="18"/>
          <w:color w:val="auto"/>
        </w:rPr>
        <w:t>— While chief decision-makers monitor the revenue streams of our various products and services, operations are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financial performance is evaluated as one single unit. Discrete financial information is not available other than on a consolidated basis for material lines of business.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CAPITALIZED MORTGAGE LOAN SERVICING RIGHTS </w:t>
      </w:r>
      <w:r>
        <w:rPr>
          <w:rFonts w:ascii="Times New Roman" w:cs="Times New Roman" w:eastAsia="Times New Roman" w:hAnsi="Times New Roman"/>
          <w:sz w:val="18"/>
          <w:szCs w:val="18"/>
          <w:color w:val="auto"/>
        </w:rPr>
        <w:t>— We account for our capitalized mortgage loan servicing rights under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of accounting. We recognize as separate assets the rights to service mortgage loans for others. The fair value of capitalized mortgage loan servicing rights has been determined based upon fair value indications for similar servicing. Under the fair value method we measure capitalized mortgage loan servicing rights at fair value at each reporting date and report changes in fair value of capitalized mortgage loan servicing rights in earnings in the period in which the changes occur and are included in mortgage loan servicing, net in the Consolidated Statements of Operations. The fair value of capitalized mortgage loan servicing rights are subject to significant fluctuations as a result of changes in estimated and actual prepayment speeds and default rates and losses.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 servicing income is recorded for fees earned for servicing loans previously sold. The fees are generally based on a contractual percentage of the outstanding principal and are recorded as income when earned. Mortgage loan servicing fees, excluding fair value changes of capitalized mortgage loan servicing rights, totaled $8.6 million, $7.9 million and $6.9 million for the years ended December 31, 2022, 2021 and 2020, respectively. Late fees and ancillary fees related to loan servicing are not material.</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TRANSFERS OF FINANCIAL ASSETS </w:t>
      </w:r>
      <w:r>
        <w:rPr>
          <w:rFonts w:ascii="Times New Roman" w:cs="Times New Roman" w:eastAsia="Times New Roman" w:hAnsi="Times New Roman"/>
          <w:sz w:val="18"/>
          <w:szCs w:val="18"/>
          <w:color w:val="auto"/>
        </w:rPr>
        <w:t>— Transfers of financial assets are accounted for as sales when control over the assets has been relinquished.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transferred assets is deemed to be surrendered when the assets have been isolated from us, the transferee obtains the right (free of conditions that constrain it from taking advantage of that right) to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pledge or exchange the transferred assets, and we do not maintain effective control over the transferred assets through an agreement to repurchase them before their maturity.</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 We classify our securities as equity, trading, held to maturity ("HTM") or available for sale ("AFS"). Equity securities are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certain equity stocks and are reported at fair value with realized and unrealized gains and losses included in earnings. Trading securities are bought and held principally for the purpose of selling them in the near term and are reported at fair value with realized and unrealized gains and losses included in earnings. Securities HTM represent those securities for which we have the positive intent and ability to hold until maturity and are reported at cost, adjusted for amortization of premiums and accretion of discounts computed on the level-yield method. During 2022 we transferred certain securities AFS with an amortized cost and unrealized loss at the date of transfer of $418.1 million and $26.5 million, respectively to HTM. See note #3 for further discussion of this transfer. We did not have any equity securities or trading securities at December 31, 2022 and 2021 and did not have any securities HTM at December 31, 2021. Securities AFS represent those securities not classified as equity, trading or held to maturity and are reported at fair value with unrealized gains and losses, net of applicable income taxes reported in other comprehensive income (loss).</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allowance for credit losses ("ACL") is recorded, limited to the amount that the fair value of the security is less than its amortized cost basis. Any impairment that has not been recorded through an ACL is recognized in other comprehensive income (loss), net of applicable taxes.</w:t>
      </w:r>
    </w:p>
    <w:p>
      <w:pPr>
        <w:spacing w:after="0" w:line="1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losses.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Accrued interest receivable on securities HTM is excluded from the estimate of credit losses.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Gains and losses realized on the sale of securities available for sale are determined using the specific identification method and are recognized on a trade-date basis.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FEDERAL HOME LOAN BANK (‘‘FHLB’’) STOCK </w:t>
      </w:r>
      <w:r>
        <w:rPr>
          <w:rFonts w:ascii="Times New Roman" w:cs="Times New Roman" w:eastAsia="Times New Roman" w:hAnsi="Times New Roman"/>
          <w:sz w:val="18"/>
          <w:szCs w:val="18"/>
          <w:color w:val="auto"/>
        </w:rPr>
        <w:t>— Our Bank subsidiary is a member of the FHLB system. Members are required to own a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FEDERAL RESERVE BANK (‘‘FRB’’) STOCK </w:t>
      </w:r>
      <w:r>
        <w:rPr>
          <w:rFonts w:ascii="Times New Roman" w:cs="Times New Roman" w:eastAsia="Times New Roman" w:hAnsi="Times New Roman"/>
          <w:sz w:val="18"/>
          <w:szCs w:val="18"/>
          <w:color w:val="auto"/>
        </w:rPr>
        <w:t>— Our Bank subsidiary is a member of its regional Federal Reserve Bank. FRB stock is carried at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LOAN REVENUE RECOGNITION </w:t>
      </w:r>
      <w:r>
        <w:rPr>
          <w:rFonts w:ascii="Times New Roman" w:cs="Times New Roman" w:eastAsia="Times New Roman" w:hAnsi="Times New Roman"/>
          <w:sz w:val="18"/>
          <w:szCs w:val="18"/>
          <w:color w:val="auto"/>
        </w:rPr>
        <w:t>— Interest on loans is accrued based on the principal amounts outstanding. In general, the accrual of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is discontinued when a loan becomes 90 days past due for commercial loans and installment loans and when a loan misses four consecutive payments for mortgage loans and the borrower’s capacity to repay the loan and collateral values appear insufficient for each loan class. However, loans may be placed on non-accrual status regardless of whether or not such loans are considered past due if, in management’s opinion, the borrower is unable to meet payment obligations as they become due or as required by regulatory provisions. All interest accrued but not received for all loans placed on non-accrual is reversed from interest income. Payments on such loans are generally applied to the principal balance until qualifying to be returned to accrual status. A non-accrual loan may be restored to accrual status when interest and principal payments are current and the loan appears otherwise collectible. Delinquency status for all classes in the commercial and installment loan portfolio segments is based on the actual number of days past due as required by the contractual terms of the loan agreement while delinquency status for mortgage loan portfolio segment classes is based on the number of payments past due.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loan fees and direct loan origination costs are deferred and recognized as an adjustment of yield generally over the contractual life of the related loan. Fees received in connection with loan commitments are deferred until the loan is advanced and are then recognized generally over the contractual life of the loan as an adjustment of yield. Fees on commitments that expire unused are recognized at expiration. Fees received for letters of credit are recognized as revenue over the life of the commitment.</w:t>
      </w:r>
    </w:p>
    <w:p>
      <w:pPr>
        <w:spacing w:after="0" w:line="17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 Our loan portfolio is disaggregated into segments for purposes of determining the ACL which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mortgage and installment loans. These segments are further disaggregated into classes for purposes of monitoring and assessing credit quality based on certain risk characteristics. Classes within the commercial loan segment include (i) commercial and industrial and (ii) commercial real estate. Classes within the mortgage loan segment include (i) 1-4 family owner occupied - jumbo, (ii) 1-4 family owner occupied - non-jumbo, (iii) 1-4 family non-owner occupied (iv) 1-4 family - 2nd lien and (v) resort lending. Classes within the installment loan segment include (i) boat lending, (ii) recreational vehicle lending, and (iii) other. Commercial loans are subject to adverse market conditions which may impact the borrower’s ability to make repayment on the loan or could cause a decline in the value of the collateral that secures the loan. Mortgage and installment loans are subject to adverse employment conditions in the local economy which could increase default rates. In addition, mortgage loans and real estate based installment loans are subject to adverse market conditions which could cause a decline in the value of collateral that secures the loan. For an analysis of the ACL by portfolio segment and credit quality information by class, see note #4.</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troubled debt restructurings (“TDR”);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 size. Commercial classes are additionally segmented by risk rating, and mortgage and installment loan classes by credit score tier, which are updated at least semi-annually.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2021 we adopted Accounting Standards Update (“ASU”) 2016-13, ‘‘Financial Instruments — Credit Losses (Topic 326), Measurement of Credit Losses on Financial Instruments’’. using the modified retrospective method for all financial assets measured at amortized cost and unfunded lending commitments. Prior to January 1, 2021, the calculation of the allowance was based on the probable incurred loss methodology.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Increases in the ACL are recorded by a provision for credit losses charged to expense. Although we periodically allocate portions of the ACL to specific loans and loan portfolios, the entire ACL is available for losses.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charge-off commercial, homogenous residential mortgage and installment loans when they are deemed uncollectible or reach a predetermined number of days past due based on loan product, industry practice and other factors. Collection efforts may continue and recoveries may occur after a loan is charged against the ACL.</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75"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Section 4013 of the Coronavirus Aid, Relief, and Economic Security (“CARES Act”) provided temporary relief from the accounting and reporting requirements for troubled debt restructurings (“TDR”) regarding certain loan modifications for our customers. Section 4013 specified that COVID-19 related modifications on loans that were current as of December 31, 2019 were not TDRs. While the provisions of Section 4013 were in place, we assisted both commercial and retail (mortgage and installment) borrowers with accommodations that included reduced or suspended payments. While these loans were in accommodation plans (prior to the expiration of Section 4013 on January 1, 2022) they were not being reported as past due in keeping with the guidance in Section 4013. Loans not covered under these provisions, which have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been modified resulting in a concession, and which the borrower is experiencing financial difficulties, are considered to be TDRs. We measure our investment in a TDR loan using one of three methods: the loan’s observable market price, the fair value of the collateral or the present value of expected future cash flows discounted at the loan’s effective interest rate. Large groups of smaller balance homogeneous loans, such as those loans included in each installment and mortgage loan class, are collectively evaluated and accordingly, they are not separately identified for disclosure. TDR loans are measured at the present value of estimated future cash flows using the loan’s effective interest rate at inception of the loan. If a TDR is considered to be a collateral dependent loan, the loan is reported net, at the fair value of collateral. A loan can be removed from TDR status if it is subsequently restructured and the borrower is no longer experiencing financial difficulties and the newly restructured agreement does not contain any concessions to the borrower. The new agreement must specify market terms, including a contractual interest rate not less than a market interest rate for a new loan with similar credit risk characteristics, and other terms no less favorable to us than those we would offer for a similar new loan.</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stated at cost less accumulated depreciation and amortization.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is computed using the straight-line method over the estimated useful lives of the related assets. Buildings are generally depreciated over a period not exceeding 39 years and equipment is generally depreciated over periods not exceeding 7 years. Leasehold improvements are depreciated over the shorter of their estimated useful life or lease period.</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OWNED LIFE INSURANCE </w:t>
      </w:r>
      <w:r>
        <w:rPr>
          <w:rFonts w:ascii="Times New Roman" w:cs="Times New Roman" w:eastAsia="Times New Roman" w:hAnsi="Times New Roman"/>
          <w:sz w:val="18"/>
          <w:szCs w:val="18"/>
          <w:color w:val="auto"/>
        </w:rPr>
        <w:t>— We have purchased a group flexible premium non-participating variable life insurance contract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259 lives (who were salaried employees at the time we purchased the contract) in order to recover the cost of providing certain employee benefits. Bank owned life insurance is recorded at its cash surrender value or the amount that can be currently realized.</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REAL ESTATE AND REPOSSESSED ASSETS </w:t>
      </w:r>
      <w:r>
        <w:rPr>
          <w:rFonts w:ascii="Times New Roman" w:cs="Times New Roman" w:eastAsia="Times New Roman" w:hAnsi="Times New Roman"/>
          <w:sz w:val="18"/>
          <w:szCs w:val="18"/>
          <w:color w:val="auto"/>
        </w:rPr>
        <w:t>— Other real estate at the time of acquisition is recorded at fair value, less estimated costs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which becomes the property’s new basis. Fair value is typically determined by a third party appraisal of the property. Any write-downs at date of acquisition are charged to the ACL. Expense incurred in maintaining other real estate and subsequent write-downs to reflect declines in value and gains or losses on the sale of other real estate are recorded in non-interest expense in the Consolidated Statements of Operations. Non-real estate repossessed assets are treated in a similar manner.</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INTANGIBLES </w:t>
      </w:r>
      <w:r>
        <w:rPr>
          <w:rFonts w:ascii="Times New Roman" w:cs="Times New Roman" w:eastAsia="Times New Roman" w:hAnsi="Times New Roman"/>
          <w:sz w:val="18"/>
          <w:szCs w:val="18"/>
          <w:color w:val="auto"/>
        </w:rPr>
        <w:t>— Other intangible assets consist of core deposits. They are initially measured at fair value and then are amortized on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and accelerated methods over their estimated useful lives, which range from 10 to 15 years.</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arises from business combinations and is generally determined as the excess of the fair value of the consideration transferred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fair value of the net assets acquired and liabilities assumed as of the acquisition date. Goodwill acquired in a purchase business combination and determined to have an indefinite useful life is not amortized, but tested for impairment at least annually or more frequently if events and circumstances exists that indicate that a goodwill impairment test should be performed. We have selected December 31 as the date to perform the annual impairment test. Goodwill is the only intangible asset with an indefinite life on our Consolidated Statements of Financial Condition.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employ the asset and liability method of accounting for income taxes. This method establishes deferred tax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for the temporary differences between the financial reporting basis and the tax basis of our assets and liabilities at tax rates expected to be in effect when such amounts are realized or settled. Under this method, the effect of a change in tax rates is recognized in the period that includes the enactment date. The deferred tax asset is subject to a valuation allowance for that portion of the asset for which it is more likely than not that it will not be realized.</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 interest and/or penalties related to income tax matters in income tax expense in the Consolidated Statements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file a consolidated federal income tax return. Intercompany tax liabilities are settled as if each subsidiary filed a separate return.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COMMITMENTS TO EXTEND CREDIT AND RELATED FINANCIAL INSTRUMENTS </w:t>
      </w:r>
      <w:r>
        <w:rPr>
          <w:rFonts w:ascii="Times New Roman" w:cs="Times New Roman" w:eastAsia="Times New Roman" w:hAnsi="Times New Roman"/>
          <w:sz w:val="18"/>
          <w:szCs w:val="18"/>
          <w:color w:val="auto"/>
        </w:rPr>
        <w:t>— Financial instruments may include commitments to extend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letters of credit is represented by the contractual amounts of those instruments. In general, we use a similar methodology to estimate our liability for these off-balance sheet credit exposures as we do for our ACL. For commercial related commitments, we estimate liability using our loan rating system and for mortgage and installment commitments we estimate liability principally upon historical loss experience. Our estimated liability for off balance sheet commitments is included in accrued expenses and other liabilities in our Consolidated Statements of Financial Condition and any charge or recovery is recorded in non-interest expense – costs related to unfunded lending commitments in our Consolidated Statements of Operations.</w:t>
      </w:r>
    </w:p>
    <w:p>
      <w:pPr>
        <w:spacing w:after="0" w:line="18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We record derivatives on our Consolidated Statements of Financial Condition as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their fair value. The accounting for increases and decreases in the value of derivatives depends upon the use of derivatives and whether the derivatives qualify for hedge accounting.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inception of the derivative we designate the derivative as one of three types based on our intention and belief as to likely effectiveness as a hedge. These three types are (1) a hedge of the fair value of a recognized asset or liability or of an unrecognized firm commitment (‘‘Fair Value Hedge’’),</w:t>
      </w:r>
    </w:p>
    <w:p>
      <w:pPr>
        <w:jc w:val="both"/>
        <w:ind w:firstLine="8"/>
        <w:spacing w:after="0" w:line="251" w:lineRule="auto"/>
        <w:tabs>
          <w:tab w:leader="none" w:pos="2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interest income in our Consolidated Statements of Operations. For a Cash Flow Hedge, the gain or loss on the derivative is reported in other comprehensive income (loss) and is reclassified into earnings in the same periods during which the hedged transaction affects earnings. For instruments with no hedging designation, the gain or loss on the derivative is reported in earnings. These free standing instruments consist of (i) mortgage banking related derivatives and include rate-lock loan commitments to fund mortgage loans (interest rate locks) to be sold into the secondary market and mandatory forward commitments for the future delivery of these mortgage loans, (ii) certain pay-fixed and pay-variable interest rate swap agreements related to commercial loan customers, (iii) certain purchased and written options related to a time deposit product and (iv) swaption agreements related to certain construction loans held for sale. The fair value of rate-lock mortgage loan commitments is based on agency cash window loan pricing for comparable assets and the fair value of mandatory commitments to sell mortgage loans is based on mortgage backed security pricing for comparable assets. We enter into mandatory forward commitments for the future delivery of mortgage loans generally when interest rate locks are entered into in order to hedge the change in interest rates resulting from our commitments to fund the loans. Changes in the fair values of these derivatives are included in net gains on mortgage loans in the Consolidated Statements of Operations. Fair values of the pay-fixed and pay-variable interest rate swap agreements are derived from proprietary models which utilize current market data and are included in net interest income in the Consolidated Statements of Operations. Fair values of the purchased and written options were based on prices of financial instruments with similar characteristics and were included in net interest income in the Consolidated Statements of Operations. Fair values of swaption agreements were derived from proprietary models which utilize current market data and were included in net gains on mortgage loans in the Consolidated Statements of Operations.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settlements on derivatives that qualify for hedge accounting are recorded in net interest income in the Consolidated Statements of Operations. Net cash settlements on derivatives that do not qualify for hedge accounting are reported in non-interest income (mortgage banking related derivatives) or net interest income (interest rate swap agreements and options) in the Consolidated Statements of Operations. Cash flows on hedges are classified in the cash flow statement the same as the cash flows of the items being hedged.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formally document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Consolidated Statements of Financial Condition or to specific firm commitments or forecasted transactions. We discontinue hedge accounting when it is determined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in earnings. When a Fair Value Hedge is discontinued, the hedged asset or liability is no longer adjusted for changes in fair value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(loss) are amortized into earnings over the same periods which the hedged transactions will affect earnings.</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COMPREHENSIVE INCOME (LOSS) </w:t>
      </w:r>
      <w:r>
        <w:rPr>
          <w:rFonts w:ascii="Times New Roman" w:cs="Times New Roman" w:eastAsia="Times New Roman" w:hAnsi="Times New Roman"/>
          <w:sz w:val="18"/>
          <w:szCs w:val="18"/>
          <w:color w:val="auto"/>
        </w:rPr>
        <w:t>— Comprehensive income consists of net income and unrealized gains and losses, net of tax, on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sale and derivative instruments classified as cash flow hedges.</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INCOME PER COMMON SHARE </w:t>
      </w:r>
      <w:r>
        <w:rPr>
          <w:rFonts w:ascii="Times New Roman" w:cs="Times New Roman" w:eastAsia="Times New Roman" w:hAnsi="Times New Roman"/>
          <w:sz w:val="18"/>
          <w:szCs w:val="18"/>
          <w:color w:val="auto"/>
        </w:rPr>
        <w:t>— Basic net income per common share is computed by dividing net income by the weighted average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shares outstanding during the period and participating share awards. All outstanding unvested share-based payment awards that contain rights to nonforfeitable dividends are considered participating securities for this calculation. For diluted net income per common share, net income is divided by the weighted average number of common shares outstanding during the period plus the assumed exercise of stock options, performance share units and stock units for a deferred compensation plan for non-employee directors.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BASED COMPENSATION </w:t>
      </w:r>
      <w:r>
        <w:rPr>
          <w:rFonts w:ascii="Times New Roman" w:cs="Times New Roman" w:eastAsia="Times New Roman" w:hAnsi="Times New Roman"/>
          <w:sz w:val="18"/>
          <w:szCs w:val="18"/>
          <w:color w:val="auto"/>
        </w:rPr>
        <w:t>— Cost is recognized for non-vested share awards issued to employees based on the fair value of these awards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grant. A simulation analysis which considers potential outcomes for a large number of independent scenarios is utilized to estimate the fair value of performance share units and the market price of our common stock at the date of grant is used for other non-vested share awards. Cost is recognized over the required service period, generally defined as the vesting period. Forfeitures are recognized as they occur. Cost is also recognized for stock issued to non-employee directors. These shares vest immediately and cost is recognized during the period they are issued.</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At December 31, 2022, 0.1 million shares of common stock were reserved for issuance under the dividend reinvestment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0.7 million shares of common stock were reserved for issuance under our long-term incentive plans.</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 </w:t>
      </w:r>
      <w:r>
        <w:rPr>
          <w:rFonts w:ascii="Times New Roman" w:cs="Times New Roman" w:eastAsia="Times New Roman" w:hAnsi="Times New Roman"/>
          <w:sz w:val="18"/>
          <w:szCs w:val="18"/>
          <w:color w:val="auto"/>
        </w:rPr>
        <w:t>— Certain amounts in the 2021 and 2020 consolidated financial statements have been reclassified to conform to the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ADOPTION OF NEW ACCOUNTING STANDARDS </w:t>
      </w:r>
      <w:r>
        <w:rPr>
          <w:rFonts w:ascii="Times New Roman" w:cs="Times New Roman" w:eastAsia="Times New Roman" w:hAnsi="Times New Roman"/>
          <w:sz w:val="18"/>
          <w:szCs w:val="18"/>
          <w:color w:val="auto"/>
        </w:rPr>
        <w:t>— In March, 2022, the Financial Accounting Standards Board ("FASB") issued ASU 2022-01,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and Hedging (Topic 815): Fair Value Hedging – Portfolio Layer Method”. This ASU expands the current “last-of-layer” hedge method to allow multiple hedged layers of a single closed portfolio as well as to include non prepayable financial assets. This ASU also provides additional guidance on the accounting for and disclosure of certain hedge basis adjustments and specifies how hedge basis adjustments should be considered when determining credit losses for assets included in a closed portfolio. This ASU is required in reporting periods beginning after December 15, 2022, with early adoption permitted. We early adopted this ASU in the second quarter of 2022 with no material impact to our Consolidated Financial Statements.</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and in December 2022 the FASB issued ASU 2022-06, "Reference Rate Reform (Topic 848), Deferral of the Sunset Date of Topic 848". These new ASUs provide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formed a cross-functional project team to lead this transition from LIBOR to a planned adoption of reference rates which could include Secured Overnight Financing Rate (“SOFR”), among others. We utilized the timeline guidance published by the Alternative Reference Rates Committee to develop and achieve internal milestones during this transitional period. We had discontinued the use of new LIBOR-based loans as of December 31, 2021, according to regulatory guidelines. We also discontinued the use of new LIBOR-based interest rate derivatives as of December 31, 2021. The amended guidance under Topic 848 and our ability to elect its temporary optional expedients and exceptions are effective for us through December 31, 2024. We expect to adopt the LIBOR transition relief allowed under this standard.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2022, the FASB issued ASU 2022-02, “Financial Instruments – Credit Losses (Topic 326): Troubled Debt Restructuring and Vintage Disclosures”. This ASU eliminates the troubled debt restructuring (“TDR”) accounting model for creditors that have already adopted Topic 326, which is commonly referred to as the current expected credit loss (“CECL”) model. In lieu of the TDR accounting model, creditors now will apply the general loan modification guidance in Subtopic 310-20 to all loan modifications, including modifications made for borrowers experiencing financial difficulty. Under the general loan modification guidance, a modification is treated as a new loan only if the terms of the new loan are at least as favorable to the lender as the terms for comparable loans to other customers with similar collection risks, and modifications to the terms of the original loan are more than minor. If either condition is not met, the modification is accounted for as the continuation of the old loan with any effect of the modification treated as a prospective adjustment to the loan’s effective interest rate. In addition, this ASU requires the disclosure of gross charge-offs recorded in the current period for financing receivables by origination year. For entities that have adopted Topic 326, ASU 2022-02 takes effect in reporting periods beginning after December 15, 2022, with early adoption permitted. The adoption of this ASU on January 1, 2023, did not have a material impact on our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RESTRICTIONS ON CASH AND DUE FROM BANKS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March 2020 the FRB, in response to the COVID-19 pandemic, reduced our Bank’s reserve balance requirements to zero. Prior to that time our Bank was required to maintain reserve balances in the form of vault cash and balances with the FRB. The average reserve balances to be maintained during 2022 and 2021 were zero. We do not maintain compensating balances with correspondent banks. We may also be required to maintain reserve balances related to certain mortgage banking related derivatives not classified as hedges. These balances are held at unrelated financial institutions and totaled $0.3 million and zero at December 31, 2022 and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SECURITIES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AFS consist of the following at December 31:</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13"/>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Amortized</w:t>
            </w: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Unrealized</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5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r>
      <w:tr>
        <w:trPr>
          <w:trHeight w:val="243"/>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90,458</w:t>
            </w: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93,845</w:t>
            </w: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194,725</w:t>
            </w: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295,677</w:t>
            </w: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78,157</w:t>
            </w: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82"/>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866,363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779,347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34,674</w:t>
            </w: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307,985</w:t>
            </w: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22,926</w:t>
            </w: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102,615</w:t>
            </w: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216,170</w:t>
            </w: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576,076</w:t>
            </w: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149,959</w:t>
            </w: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government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82"/>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1,404,858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1,412,830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Securities HTM consist of the following at December 31: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Transferred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8"/>
              </w:rPr>
              <w:t>Amortized</w:t>
            </w: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 (1)</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560" w:type="dxa"/>
            <w:vAlign w:val="bottom"/>
            <w:gridSpan w:val="2"/>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w w:val="94"/>
              </w:rPr>
              <w:t>2022</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U.S. agency residential</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U.S. agency commercial</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political subdivisions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ectPr>
          <w:pgSz w:w="11900" w:h="16838" w:orient="portrait"/>
          <w:cols w:equalWidth="0" w:num="1">
            <w:col w:w="11260"/>
          </w:cols>
          <w:pgMar w:left="3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 2022, we transferred certain securities AFS with an amortized cost and unrealized loss at the date of transfer of $418.1 million and $26.5 million, respectively to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We have the ability and intent to hold these securities until they mature, at which time we expect to receive full value for these securities.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investments’ gross unrealized losses and fair values for securities AFS aggregated by investment type and length of time that individual securities have been at a continuous unrealized loss position, at December 31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Less Than Twelve Months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Twelve Months or More</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tcPr>
          <w:p>
            <w:pPr>
              <w:spacing w:after="0"/>
              <w:rPr>
                <w:sz w:val="21"/>
                <w:szCs w:val="21"/>
                <w:color w:val="auto"/>
              </w:rPr>
            </w:pPr>
          </w:p>
        </w:tc>
      </w:tr>
      <w:tr>
        <w:trPr>
          <w:trHeight w:val="221"/>
        </w:trPr>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9"/>
        </w:trPr>
        <w:tc>
          <w:tcPr>
            <w:tcW w:w="3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3"/>
        </w:trPr>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5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r>
      <w:tr>
        <w:trPr>
          <w:trHeight w:val="26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5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r>
      <w:tr>
        <w:trPr>
          <w:trHeight w:val="26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r>
      <w:tr>
        <w:trPr>
          <w:trHeight w:val="211"/>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1"/>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50,565</w:t>
            </w:r>
          </w:p>
        </w:tc>
      </w:tr>
      <w:tr>
        <w:trPr>
          <w:trHeight w:val="26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r>
      <w:tr>
        <w:trPr>
          <w:trHeight w:val="25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82"/>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275,781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490,301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766,082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6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r>
      <w:tr>
        <w:trPr>
          <w:trHeight w:val="25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6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5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8"/>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8"/>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5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57"/>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December 31, 2022. Accrued interest receivable on securities AFS of $4.7 million and $6.0 million at December 31, 2022 and 2021, respectively is excluded from the estimate of credit losses and is included in accrued income and other assets in the Consolidated Statements of Financial Condition.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U.S. agency, U.S. agency residential mortgage-backed and U.S. agency commercial mortgage backed securities — at December 31, 2022, we had 31 U.S. agency, 172 U.S. agency residential mortgage-backed and 13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Private label mortgage backed, other asset backed and corporate securities — at December 31, 2022, we had 93 private label mortgage backed, 139 other asset backed, and 84 corporate securities whose fair value is less than amortized cost. The unrealized losses are primarily due to credit spread widening and/or an increase in interest rates since acquisition.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Obligations of states and political subdivisions — at December 31, 2022, we had 336 municipal securities whose fair value is less than amortized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unrealized losses are primarily due to an increase in interest rates since acquisition.</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Trust preferred securities — at December 31, 2022, we had one trust preferred security whose fair value is less than amortized cost. This trust preferred securities is a single issue security issued by a trust subsidiary of a bank holding company. The pricing of trust preferred securities has suffered from credit spread widening. This security is rated by a major rating agency as investment grade.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management does not intend to liquidate any of the securities discussed above and it is more likely than not that we will not be required to sell these securities prior to recovery of these unrealized losses.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recorded no credit related charges in our Consolidated Statements of Operations related to securities available for sale during 2022, 2021, and 2020.</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losses.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Accrued interest receivable on securities HTM of $1.8 million at December 31, 2022, is excluded from the estimate of credit losses and is included in accrued income and other assets in the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Furthermore, as of December 31, 2022, there were no past due principal and interest payments associated with these securities. An allowance for credit losses of $168,000 was recorded on non U.S. agency securities HTM based on applying the long-term historical credit loss rate, as published by Moody’s, for similarly rated securities.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 quarterly basis, we monitor the credit quality of securities HTM through the use of credit ratings. The carrying value of securities HTM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aggregated by credit quality follow: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Private</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8"/>
                <w:szCs w:val="18"/>
                <w:color w:val="auto"/>
              </w:rPr>
              <w:t>Label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rPr>
              <w:t>of States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4"/>
              </w:rPr>
              <w:t>Trust</w:t>
            </w:r>
          </w:p>
        </w:tc>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w w:val="99"/>
              </w:rPr>
              <w:t>Mortgage-</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5"/>
                <w:szCs w:val="15"/>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Corporate</w:t>
            </w: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Backed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Preferred</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Credit rating:</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40,118</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Non-rated</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0" w:type="dxa"/>
            <w:vAlign w:val="bottom"/>
          </w:tcPr>
          <w:p>
            <w:pPr>
              <w:spacing w:after="0"/>
              <w:rPr>
                <w:sz w:val="1"/>
                <w:szCs w:val="1"/>
                <w:color w:val="auto"/>
              </w:rPr>
            </w:pPr>
          </w:p>
        </w:tc>
      </w:tr>
      <w:tr>
        <w:trPr>
          <w:trHeight w:val="22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168,134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224,736</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the ACL by security HTM type for the year ended December 31,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Private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160" w:type="dxa"/>
            <w:vAlign w:val="bottom"/>
          </w:tcPr>
          <w:p>
            <w:pPr>
              <w:jc w:val="center"/>
              <w:ind w:left="210"/>
              <w:spacing w:after="0" w:line="176" w:lineRule="exact"/>
              <w:rPr>
                <w:sz w:val="20"/>
                <w:szCs w:val="20"/>
                <w:color w:val="auto"/>
              </w:rPr>
            </w:pPr>
            <w:r>
              <w:rPr>
                <w:rFonts w:ascii="Times New Roman" w:cs="Times New Roman" w:eastAsia="Times New Roman" w:hAnsi="Times New Roman"/>
                <w:sz w:val="18"/>
                <w:szCs w:val="18"/>
                <w:color w:val="auto"/>
              </w:rPr>
              <w:t>Label</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of States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4"/>
              </w:rPr>
              <w:t>Trust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160" w:type="dxa"/>
            <w:vAlign w:val="bottom"/>
          </w:tcPr>
          <w:p>
            <w:pPr>
              <w:jc w:val="center"/>
              <w:ind w:left="190"/>
              <w:spacing w:after="0" w:line="176" w:lineRule="exact"/>
              <w:rPr>
                <w:sz w:val="20"/>
                <w:szCs w:val="20"/>
                <w:color w:val="auto"/>
              </w:rPr>
            </w:pPr>
            <w:r>
              <w:rPr>
                <w:rFonts w:ascii="Times New Roman" w:cs="Times New Roman" w:eastAsia="Times New Roman" w:hAnsi="Times New Roman"/>
                <w:sz w:val="18"/>
                <w:szCs w:val="18"/>
                <w:color w:val="auto"/>
                <w:w w:val="99"/>
              </w:rPr>
              <w:t>Mortgage-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1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Backed</w:t>
            </w: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Corporate</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Preferred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amortized cost and fair value of securities AFS and securities HTM at December 31, 2022, by contractual maturity, follow: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AFS</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HTM</w:t>
            </w:r>
          </w:p>
        </w:tc>
        <w:tc>
          <w:tcPr>
            <w:tcW w:w="960" w:type="dxa"/>
            <w:vAlign w:val="bottom"/>
            <w:tcBorders>
              <w:bottom w:val="single" w:sz="8" w:color="auto"/>
            </w:tcBorders>
          </w:tcPr>
          <w:p>
            <w:pPr>
              <w:spacing w:after="0"/>
              <w:rPr>
                <w:sz w:val="20"/>
                <w:szCs w:val="20"/>
                <w:color w:val="auto"/>
              </w:rPr>
            </w:pPr>
          </w:p>
        </w:tc>
      </w:tr>
      <w:tr>
        <w:trPr>
          <w:trHeight w:val="178"/>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8"/>
                <w:szCs w:val="18"/>
                <w:color w:val="auto"/>
              </w:rPr>
              <w:t>Amortized</w:t>
            </w:r>
          </w:p>
        </w:tc>
        <w:tc>
          <w:tcPr>
            <w:tcW w:w="520" w:type="dxa"/>
            <w:vAlign w:val="bottom"/>
          </w:tcPr>
          <w:p>
            <w:pPr>
              <w:spacing w:after="0"/>
              <w:rPr>
                <w:sz w:val="15"/>
                <w:szCs w:val="15"/>
                <w:color w:val="auto"/>
              </w:rPr>
            </w:pPr>
          </w:p>
        </w:tc>
        <w:tc>
          <w:tcPr>
            <w:tcW w:w="960" w:type="dxa"/>
            <w:vAlign w:val="bottom"/>
          </w:tcPr>
          <w:p>
            <w:pPr>
              <w:jc w:val="center"/>
              <w:ind w:right="410"/>
              <w:spacing w:after="0" w:line="177"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20"/>
              <w:spacing w:after="0" w:line="177" w:lineRule="exact"/>
              <w:rPr>
                <w:sz w:val="20"/>
                <w:szCs w:val="20"/>
                <w:color w:val="auto"/>
              </w:rPr>
            </w:pPr>
            <w:r>
              <w:rPr>
                <w:rFonts w:ascii="Times New Roman" w:cs="Times New Roman" w:eastAsia="Times New Roman" w:hAnsi="Times New Roman"/>
                <w:sz w:val="18"/>
                <w:szCs w:val="18"/>
                <w:color w:val="auto"/>
              </w:rPr>
              <w:t>Amortized</w:t>
            </w:r>
          </w:p>
        </w:tc>
        <w:tc>
          <w:tcPr>
            <w:tcW w:w="520" w:type="dxa"/>
            <w:vAlign w:val="bottom"/>
          </w:tcPr>
          <w:p>
            <w:pPr>
              <w:spacing w:after="0"/>
              <w:rPr>
                <w:sz w:val="15"/>
                <w:szCs w:val="15"/>
                <w:color w:val="auto"/>
              </w:rPr>
            </w:pPr>
          </w:p>
        </w:tc>
        <w:tc>
          <w:tcPr>
            <w:tcW w:w="960" w:type="dxa"/>
            <w:vAlign w:val="bottom"/>
          </w:tcPr>
          <w:p>
            <w:pPr>
              <w:jc w:val="right"/>
              <w:ind w:right="510"/>
              <w:spacing w:after="0" w:line="177"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Cost</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43"/>
        </w:trPr>
        <w:tc>
          <w:tcPr>
            <w:tcW w:w="5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Maturing after one year but within five years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40,838</w:t>
            </w: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after five years but within ten years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108,819</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100,641</w:t>
            </w:r>
          </w:p>
        </w:tc>
      </w:tr>
      <w:tr>
        <w:trPr>
          <w:trHeight w:val="25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ten years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207,482</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175,527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73,663</w:t>
            </w:r>
          </w:p>
        </w:tc>
      </w:tr>
      <w:tr>
        <w:trPr>
          <w:trHeight w:val="223"/>
        </w:trPr>
        <w:tc>
          <w:tcPr>
            <w:tcW w:w="5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447,665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221,070</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103,256</w:t>
            </w: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102,196</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200,755</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866,363</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398,052</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335,418</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8"/>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actual maturity may differ from the contractual maturity because issuers may have the right to call or prepay obligations with or without call or prepayment penalties.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proceeds from the sale of securities available for sale and gains and losses for the years ended December 31 follow: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Realized</w:t>
            </w:r>
          </w:p>
        </w:tc>
        <w:tc>
          <w:tcPr>
            <w:tcW w:w="110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50"/>
        </w:trPr>
        <w:tc>
          <w:tcPr>
            <w:tcW w:w="6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6600" w:type="dxa"/>
            <w:vAlign w:val="bottom"/>
            <w:shd w:val="clear" w:color="auto" w:fill="CCEEFF"/>
          </w:tcPr>
          <w:p>
            <w:pPr>
              <w:jc w:val="right"/>
              <w:ind w:right="613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70,523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50"/>
        </w:trPr>
        <w:tc>
          <w:tcPr>
            <w:tcW w:w="6600" w:type="dxa"/>
            <w:vAlign w:val="bottom"/>
          </w:tcPr>
          <w:p>
            <w:pPr>
              <w:jc w:val="right"/>
              <w:ind w:right="6130"/>
              <w:spacing w:after="0"/>
              <w:rPr>
                <w:sz w:val="20"/>
                <w:szCs w:val="20"/>
                <w:color w:val="auto"/>
              </w:rPr>
            </w:pPr>
            <w:r>
              <w:rPr>
                <w:rFonts w:ascii="Times New Roman" w:cs="Times New Roman" w:eastAsia="Times New Roman" w:hAnsi="Times New Roman"/>
                <w:sz w:val="18"/>
                <w:szCs w:val="18"/>
                <w:color w:val="auto"/>
                <w:w w:val="99"/>
              </w:rPr>
              <w:t>2021</w:t>
            </w:r>
          </w:p>
        </w:tc>
        <w:tc>
          <w:tcPr>
            <w:tcW w:w="2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85,371</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63"/>
        </w:trPr>
        <w:tc>
          <w:tcPr>
            <w:tcW w:w="6600" w:type="dxa"/>
            <w:vAlign w:val="bottom"/>
            <w:shd w:val="clear" w:color="auto" w:fill="CCEEFF"/>
          </w:tcPr>
          <w:p>
            <w:pPr>
              <w:jc w:val="right"/>
              <w:ind w:right="6130"/>
              <w:spacing w:after="0"/>
              <w:rPr>
                <w:sz w:val="20"/>
                <w:szCs w:val="20"/>
                <w:color w:val="auto"/>
              </w:rPr>
            </w:pPr>
            <w:r>
              <w:rPr>
                <w:rFonts w:ascii="Times New Roman" w:cs="Times New Roman" w:eastAsia="Times New Roman" w:hAnsi="Times New Roman"/>
                <w:sz w:val="18"/>
                <w:szCs w:val="18"/>
                <w:color w:val="auto"/>
                <w:w w:val="99"/>
              </w:rPr>
              <w:t>2020</w:t>
            </w: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38,095</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available for sale with a book value of $10.5 million at December 31, 2021, were pledged to secure borrowings, derivatives, public deposits and for other purposes as required by law. There were no securities available for sale pledged at December 31, 2022. There were no investment obligations of state and political subdivisions that were payable from or secured by the same source of revenue or taxing authority that exceeded 10% of consolidated total shareholders’ equity at December 31, 2022 or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LOANS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loan portfolios by class at December 31 follow:</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3"/>
        </w:trPr>
        <w:tc>
          <w:tcPr>
            <w:tcW w:w="8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3"/>
        </w:trPr>
        <w:tc>
          <w:tcPr>
            <w:tcW w:w="8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21"/>
                <w:szCs w:val="21"/>
                <w:color w:val="auto"/>
              </w:rPr>
            </w:pPr>
          </w:p>
        </w:tc>
      </w:tr>
      <w:tr>
        <w:trPr>
          <w:trHeight w:val="26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732,463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593,112</w:t>
            </w:r>
          </w:p>
        </w:tc>
      </w:tr>
      <w:tr>
        <w:trPr>
          <w:trHeight w:val="25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734,390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610,469</w:t>
            </w:r>
          </w:p>
        </w:tc>
      </w:tr>
      <w:tr>
        <w:trPr>
          <w:trHeight w:val="250"/>
        </w:trPr>
        <w:tc>
          <w:tcPr>
            <w:tcW w:w="8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commercial</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1,466,853</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1,203,581</w:t>
            </w:r>
          </w:p>
        </w:tc>
      </w:tr>
      <w:tr>
        <w:trPr>
          <w:trHeight w:val="257"/>
        </w:trPr>
        <w:tc>
          <w:tcPr>
            <w:tcW w:w="8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541,023</w:t>
            </w:r>
          </w:p>
        </w:tc>
      </w:tr>
      <w:tr>
        <w:trPr>
          <w:trHeight w:val="26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266,410</w:t>
            </w:r>
          </w:p>
        </w:tc>
      </w:tr>
      <w:tr>
        <w:trPr>
          <w:trHeight w:val="25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194,852</w:t>
            </w:r>
          </w:p>
        </w:tc>
      </w:tr>
      <w:tr>
        <w:trPr>
          <w:trHeight w:val="26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- 2nd lien</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88,729</w:t>
            </w:r>
          </w:p>
        </w:tc>
      </w:tr>
      <w:tr>
        <w:trPr>
          <w:trHeight w:val="25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Resort lending</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41,837</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48,645</w:t>
            </w:r>
          </w:p>
        </w:tc>
      </w:tr>
      <w:tr>
        <w:trPr>
          <w:trHeight w:val="250"/>
        </w:trPr>
        <w:tc>
          <w:tcPr>
            <w:tcW w:w="8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mortgage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1,368,409</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1,139,659</w:t>
            </w:r>
          </w:p>
        </w:tc>
      </w:tr>
      <w:tr>
        <w:trPr>
          <w:trHeight w:val="256"/>
        </w:trPr>
        <w:tc>
          <w:tcPr>
            <w:tcW w:w="8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Boat lending</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228,140</w:t>
            </w:r>
          </w:p>
        </w:tc>
      </w:tr>
      <w:tr>
        <w:trPr>
          <w:trHeight w:val="26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270,673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234,745</w:t>
            </w:r>
          </w:p>
        </w:tc>
      </w:tr>
      <w:tr>
        <w:trPr>
          <w:trHeight w:val="25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106,452</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98,920</w:t>
            </w:r>
          </w:p>
        </w:tc>
      </w:tr>
      <w:tr>
        <w:trPr>
          <w:trHeight w:val="250"/>
        </w:trPr>
        <w:tc>
          <w:tcPr>
            <w:tcW w:w="8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installment</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630,090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561,805</w:t>
            </w:r>
          </w:p>
        </w:tc>
      </w:tr>
      <w:tr>
        <w:trPr>
          <w:trHeight w:val="256"/>
        </w:trPr>
        <w:tc>
          <w:tcPr>
            <w:tcW w:w="8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3,465,352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2,905,045</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(52,435)</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(47,252)</w:t>
            </w:r>
          </w:p>
        </w:tc>
      </w:tr>
      <w:tr>
        <w:trPr>
          <w:trHeight w:val="281"/>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Loans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3,412,917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2,857,793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Loans include net deferred loan costs of $26.6 million and $22.4 million at December 31, 2022 and 2021, respectively.</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2022, we sold $63.4 million of portfolio residential fixed rate and adjustable rate mortgage loans servicing retained and recognized a gain on sale of $0.55 million. During 2021, we sold $9.6 million of portfolio residential fixed rate mortgage loans servicing retained into the secondary market and recognized a gain on sale of $0.45 million. During 2020, we sold $2.4 million of residential adjustable rate mortgage loans servicing released to another financial institution and recognized a gain on sale of $0.07 million. We also securitized $26.3 million of portfolio residential fixed rate mortgage loans servicing retained with Freddie Mac and recognized a gain on sale of $0.72 million. These loan sale transactions were done primarily for asset/liability management purposes.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the ACL by portfolio segment for the years ended December 31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Subjective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9"/>
        </w:trPr>
        <w:tc>
          <w:tcPr>
            <w:tcW w:w="40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Installment</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4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3"/>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w:t>
            </w:r>
          </w:p>
        </w:tc>
      </w:tr>
      <w:tr>
        <w:trPr>
          <w:trHeight w:val="25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r>
      <w:tr>
        <w:trPr>
          <w:trHeight w:val="257"/>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57"/>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52,435</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4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35,429</w:t>
            </w:r>
          </w:p>
        </w:tc>
      </w:tr>
      <w:tr>
        <w:trPr>
          <w:trHeight w:val="25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Impact of adoption of CECL</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18"/>
        </w:trPr>
        <w:tc>
          <w:tcPr>
            <w:tcW w:w="4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Initial allowance on loans purchased with credit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4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deterioration</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57"/>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5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47,252</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4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26,148</w:t>
            </w:r>
          </w:p>
        </w:tc>
      </w:tr>
      <w:tr>
        <w:trPr>
          <w:trHeight w:val="25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credit losses (1)</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57"/>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w:t>
            </w:r>
          </w:p>
        </w:tc>
      </w:tr>
      <w:tr>
        <w:trPr>
          <w:trHeight w:val="25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35,429</w:t>
            </w: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80" w:right="20" w:hanging="454"/>
        <w:spacing w:after="0" w:line="266" w:lineRule="auto"/>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2021, calculation is based on CECL methodology. Prior to January 1, 2021, calculation was based on the probable incurred loss methodology.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allocation of the ACL by portfolio segment at December 31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2021</w:t>
            </w:r>
          </w:p>
        </w:tc>
      </w:tr>
      <w:tr>
        <w:trPr>
          <w:trHeight w:val="225"/>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Allowance</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Percent</w:t>
            </w:r>
          </w:p>
        </w:tc>
        <w:tc>
          <w:tcPr>
            <w:tcW w:w="220" w:type="dxa"/>
            <w:vAlign w:val="bottom"/>
          </w:tcPr>
          <w:p>
            <w:pPr>
              <w:spacing w:after="0"/>
              <w:rPr>
                <w:sz w:val="19"/>
                <w:szCs w:val="19"/>
                <w:color w:val="auto"/>
              </w:rPr>
            </w:pPr>
          </w:p>
        </w:tc>
        <w:tc>
          <w:tcPr>
            <w:tcW w:w="13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Allowance</w:t>
            </w:r>
          </w:p>
        </w:tc>
        <w:tc>
          <w:tcPr>
            <w:tcW w:w="15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Percent</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for Credit</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Loans</w:t>
            </w:r>
          </w:p>
        </w:tc>
        <w:tc>
          <w:tcPr>
            <w:tcW w:w="22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for Credit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Loans</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Losses</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to Total</w:t>
            </w:r>
          </w:p>
        </w:tc>
        <w:tc>
          <w:tcPr>
            <w:tcW w:w="220" w:type="dxa"/>
            <w:vAlign w:val="bottom"/>
          </w:tcPr>
          <w:p>
            <w:pPr>
              <w:spacing w:after="0"/>
              <w:rPr>
                <w:sz w:val="18"/>
                <w:szCs w:val="18"/>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Losses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Total</w:t>
            </w:r>
          </w:p>
        </w:tc>
      </w:tr>
      <w:tr>
        <w:trPr>
          <w:trHeight w:val="234"/>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Amount</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Portfolio Loans</w:t>
            </w:r>
          </w:p>
        </w:tc>
        <w:tc>
          <w:tcPr>
            <w:tcW w:w="220" w:type="dxa"/>
            <w:vAlign w:val="bottom"/>
          </w:tcPr>
          <w:p>
            <w:pPr>
              <w:spacing w:after="0"/>
              <w:rPr>
                <w:sz w:val="20"/>
                <w:szCs w:val="20"/>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Amount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Portfolio Loans</w:t>
            </w: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5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1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(Dollars in thousands)</w:t>
            </w:r>
          </w:p>
        </w:tc>
        <w:tc>
          <w:tcPr>
            <w:tcW w:w="1520" w:type="dxa"/>
            <w:vAlign w:val="bottom"/>
          </w:tcPr>
          <w:p>
            <w:pPr>
              <w:spacing w:after="0"/>
              <w:rPr>
                <w:sz w:val="21"/>
                <w:szCs w:val="2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13,817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11,519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21,633</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19,221</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4,290</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3,749</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Subjective allocation</w:t>
            </w:r>
          </w:p>
        </w:tc>
        <w:tc>
          <w:tcPr>
            <w:tcW w:w="2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12,695</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12,763</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52,435</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47,252</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Loans on non-accrual status and past due more than 90 days (‘‘Non-performing Loans’’) at December 31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342900</wp:posOffset>
            </wp:positionV>
            <wp:extent cx="46805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Non-Accrual</w:t>
            </w: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4"/>
              </w:rPr>
              <w:t>Total</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90+ and</w:t>
            </w:r>
          </w:p>
        </w:tc>
        <w:tc>
          <w:tcPr>
            <w:tcW w:w="180" w:type="dxa"/>
            <w:vAlign w:val="bottom"/>
          </w:tcPr>
          <w:p>
            <w:pPr>
              <w:spacing w:after="0"/>
              <w:rPr>
                <w:sz w:val="16"/>
                <w:szCs w:val="16"/>
                <w:color w:val="auto"/>
              </w:rPr>
            </w:pPr>
          </w:p>
        </w:tc>
        <w:tc>
          <w:tcPr>
            <w:tcW w:w="104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w w:val="99"/>
              </w:rPr>
              <w:t>Total Non-</w:t>
            </w:r>
          </w:p>
        </w:tc>
      </w:tr>
      <w:tr>
        <w:trPr>
          <w:trHeight w:val="176"/>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Non-Accrual with no</w:t>
            </w:r>
          </w:p>
        </w:tc>
        <w:tc>
          <w:tcPr>
            <w:tcW w:w="140" w:type="dxa"/>
            <w:vAlign w:val="bottom"/>
          </w:tcPr>
          <w:p>
            <w:pPr>
              <w:spacing w:after="0"/>
              <w:rPr>
                <w:sz w:val="15"/>
                <w:szCs w:val="15"/>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with an Allowance for</w:t>
            </w:r>
          </w:p>
        </w:tc>
        <w:tc>
          <w:tcPr>
            <w:tcW w:w="2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7"/>
              </w:rPr>
              <w:t>Non-</w:t>
            </w:r>
          </w:p>
        </w:tc>
        <w:tc>
          <w:tcPr>
            <w:tcW w:w="2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Still</w:t>
            </w:r>
          </w:p>
        </w:tc>
        <w:tc>
          <w:tcPr>
            <w:tcW w:w="180" w:type="dxa"/>
            <w:vAlign w:val="bottom"/>
          </w:tcPr>
          <w:p>
            <w:pPr>
              <w:spacing w:after="0"/>
              <w:rPr>
                <w:sz w:val="15"/>
                <w:szCs w:val="15"/>
                <w:color w:val="auto"/>
              </w:rPr>
            </w:pPr>
          </w:p>
        </w:tc>
        <w:tc>
          <w:tcPr>
            <w:tcW w:w="104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rPr>
              <w:t>Performing</w:t>
            </w: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Allowance for Credit Loss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Credit Loss</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Accrual</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Accruing</w:t>
            </w:r>
          </w:p>
        </w:tc>
        <w:tc>
          <w:tcPr>
            <w:tcW w:w="180" w:type="dxa"/>
            <w:vAlign w:val="bottom"/>
          </w:tcPr>
          <w:p>
            <w:pPr>
              <w:spacing w:after="0"/>
              <w:rPr>
                <w:sz w:val="18"/>
                <w:szCs w:val="18"/>
                <w:color w:val="auto"/>
              </w:rPr>
            </w:pPr>
          </w:p>
        </w:tc>
        <w:tc>
          <w:tcPr>
            <w:tcW w:w="104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rPr>
              <w:t>Loans</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gridSpan w:val="5"/>
          </w:tcPr>
          <w:p>
            <w:pPr>
              <w:ind w:left="1240"/>
              <w:spacing w:after="0"/>
              <w:rPr>
                <w:sz w:val="20"/>
                <w:szCs w:val="20"/>
                <w:color w:val="auto"/>
              </w:rPr>
            </w:pPr>
            <w:r>
              <w:rPr>
                <w:rFonts w:ascii="Times New Roman" w:cs="Times New Roman" w:eastAsia="Times New Roman" w:hAnsi="Times New Roman"/>
                <w:sz w:val="15"/>
                <w:szCs w:val="15"/>
                <w:color w:val="auto"/>
              </w:rPr>
              <w:t>(In thousands)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3880" w:type="dxa"/>
            <w:vAlign w:val="bottom"/>
            <w:gridSpan w:val="2"/>
          </w:tcPr>
          <w:p>
            <w:pPr>
              <w:jc w:val="right"/>
              <w:ind w:right="3444"/>
              <w:spacing w:after="0"/>
              <w:rPr>
                <w:sz w:val="20"/>
                <w:szCs w:val="20"/>
                <w:color w:val="auto"/>
              </w:rPr>
            </w:pPr>
            <w:r>
              <w:rPr>
                <w:rFonts w:ascii="Times New Roman" w:cs="Times New Roman" w:eastAsia="Times New Roman" w:hAnsi="Times New Roman"/>
                <w:sz w:val="15"/>
                <w:szCs w:val="15"/>
                <w:color w:val="auto"/>
              </w:rPr>
              <w:t>2022</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and industrial (1)</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 real estate</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Mortgage</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owner occupied - jumbo</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owner occupied - non-jumbo (2)</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1,929</w:t>
            </w: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non-owner occupied</w:t>
            </w:r>
          </w:p>
        </w:tc>
        <w:tc>
          <w:tcPr>
            <w:tcW w:w="18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- 2nd lien</w:t>
            </w:r>
          </w:p>
        </w:tc>
        <w:tc>
          <w:tcPr>
            <w:tcW w:w="1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Resort lending</w:t>
            </w:r>
          </w:p>
        </w:tc>
        <w:tc>
          <w:tcPr>
            <w:tcW w:w="18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Boat lending</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Recreational vehicle lending</w:t>
            </w:r>
          </w:p>
        </w:tc>
        <w:tc>
          <w:tcPr>
            <w:tcW w:w="1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r>
      <w:tr>
        <w:trPr>
          <w:trHeight w:val="22"/>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interest excluded from total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8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jc w:val="right"/>
              <w:ind w:right="3444"/>
              <w:spacing w:after="0"/>
              <w:rPr>
                <w:sz w:val="20"/>
                <w:szCs w:val="20"/>
                <w:color w:val="auto"/>
              </w:rPr>
            </w:pPr>
            <w:r>
              <w:rPr>
                <w:rFonts w:ascii="Times New Roman" w:cs="Times New Roman" w:eastAsia="Times New Roman" w:hAnsi="Times New Roman"/>
                <w:sz w:val="15"/>
                <w:szCs w:val="15"/>
                <w:color w:val="auto"/>
              </w:rPr>
              <w:t>2021</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and industrial (1)</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 real estate</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Mortgage</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owner occupied - jumbo</w:t>
            </w:r>
          </w:p>
        </w:tc>
        <w:tc>
          <w:tcPr>
            <w:tcW w:w="18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owner occupied - non-jumbo (2)</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1,952</w:t>
            </w: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non-owner occupied</w:t>
            </w:r>
          </w:p>
        </w:tc>
        <w:tc>
          <w:tcPr>
            <w:tcW w:w="18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- 2nd lien</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Resort lending</w:t>
            </w:r>
          </w:p>
        </w:tc>
        <w:tc>
          <w:tcPr>
            <w:tcW w:w="18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w:t>
            </w: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Boat lending</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r>
      <w:tr>
        <w:trPr>
          <w:trHeight w:val="22"/>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Recreational vehicle lending</w:t>
            </w:r>
          </w:p>
        </w:tc>
        <w:tc>
          <w:tcPr>
            <w:tcW w:w="1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r>
      <w:tr>
        <w:trPr>
          <w:trHeight w:val="208"/>
        </w:trPr>
        <w:tc>
          <w:tcPr>
            <w:tcW w:w="2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r>
      <w:tr>
        <w:trPr>
          <w:trHeight w:val="22"/>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1,319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5,110</w:t>
            </w:r>
          </w:p>
        </w:tc>
      </w:tr>
      <w:tr>
        <w:trPr>
          <w:trHeight w:val="20"/>
        </w:trPr>
        <w:tc>
          <w:tcPr>
            <w:tcW w:w="38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6"/>
        </w:trPr>
        <w:tc>
          <w:tcPr>
            <w:tcW w:w="3880" w:type="dxa"/>
            <w:vAlign w:val="bottom"/>
            <w:gridSpan w:val="2"/>
          </w:tcPr>
          <w:p>
            <w:pPr>
              <w:jc w:val="right"/>
              <w:ind w:right="1564"/>
              <w:spacing w:after="0"/>
              <w:rPr>
                <w:sz w:val="20"/>
                <w:szCs w:val="20"/>
                <w:color w:val="auto"/>
              </w:rPr>
            </w:pPr>
            <w:r>
              <w:rPr>
                <w:rFonts w:ascii="Times New Roman" w:cs="Times New Roman" w:eastAsia="Times New Roman" w:hAnsi="Times New Roman"/>
                <w:sz w:val="15"/>
                <w:szCs w:val="15"/>
                <w:color w:val="auto"/>
              </w:rPr>
              <w:t>Accrued interest excluded from total</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00" w:right="20" w:hanging="454"/>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commercial and industrial loans exclude $0.029 million and $0.047 million of government guaranteed loans at December 31, 2022 and 2021, respectively.</w:t>
      </w:r>
    </w:p>
    <w:p>
      <w:pPr>
        <w:spacing w:after="0" w:line="94" w:lineRule="exact"/>
        <w:rPr>
          <w:rFonts w:ascii="Times New Roman" w:cs="Times New Roman" w:eastAsia="Times New Roman" w:hAnsi="Times New Roman"/>
          <w:sz w:val="18"/>
          <w:szCs w:val="18"/>
          <w:color w:val="auto"/>
        </w:rPr>
      </w:pPr>
    </w:p>
    <w:p>
      <w:pPr>
        <w:ind w:left="500" w:right="20" w:hanging="454"/>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1-4 family owner occupied – non jumbo loans exclude $1.631 million and $0.388 million of government guaranteed loans at December 31, 2022 and 2021, respectively.</w:t>
      </w:r>
    </w:p>
    <w:p>
      <w:pPr>
        <w:sectPr>
          <w:pgSz w:w="11900" w:h="16838" w:orient="portrait"/>
          <w:cols w:equalWidth="0" w:num="1">
            <w:col w:w="11260"/>
          </w:cols>
          <w:pgMar w:left="3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non-performing loans had continued to accrue interest in accordance with their original terms, approximately $0.2 million, $0.2 million and $0.5 million of interest income would have been recognized in each of the years ended 2022, 2021 and 2020, respectively. Interest income recorded on these loans was approximately zero during each of the years ended 2022, 2021 and 2020.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amortized cost of collateral-dependent loans by class at December 31,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Collateral Type</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Allowance</w:t>
            </w: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w w:val="96"/>
              </w:rPr>
              <w:t>Real</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55"/>
        </w:trPr>
        <w:tc>
          <w:tcPr>
            <w:tcW w:w="43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Estate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Credit Losses</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- 2nd lien</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Resort lending</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Boat lending</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1,764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- 2nd lien</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Resort lending</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Boat lending</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aging analysis of loans by class at December 31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color w:val="auto"/>
              </w:rPr>
              <w:t>Loans Past Due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Loans not</w:t>
            </w:r>
          </w:p>
        </w:tc>
        <w:tc>
          <w:tcPr>
            <w:tcW w:w="26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30-59 days</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60-89 days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90+ days</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Past Due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Loans</w:t>
            </w:r>
          </w:p>
        </w:tc>
      </w:tr>
      <w:tr>
        <w:trPr>
          <w:trHeight w:val="243"/>
        </w:trPr>
        <w:tc>
          <w:tcPr>
            <w:tcW w:w="3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4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732,463</w:t>
            </w:r>
          </w:p>
        </w:tc>
      </w:tr>
      <w:tr>
        <w:trPr>
          <w:trHeight w:val="25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734,390</w:t>
            </w:r>
          </w:p>
        </w:tc>
      </w:tr>
      <w:tr>
        <w:trPr>
          <w:trHeight w:val="26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752,563</w:t>
            </w:r>
          </w:p>
        </w:tc>
      </w:tr>
      <w:tr>
        <w:trPr>
          <w:trHeight w:val="26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285,632</w:t>
            </w:r>
          </w:p>
        </w:tc>
      </w:tr>
      <w:tr>
        <w:trPr>
          <w:trHeight w:val="25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183,100</w:t>
            </w:r>
          </w:p>
        </w:tc>
      </w:tr>
      <w:tr>
        <w:trPr>
          <w:trHeight w:val="26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105,277</w:t>
            </w:r>
          </w:p>
        </w:tc>
      </w:tr>
      <w:tr>
        <w:trPr>
          <w:trHeight w:val="25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41,837</w:t>
            </w:r>
          </w:p>
        </w:tc>
      </w:tr>
      <w:tr>
        <w:trPr>
          <w:trHeight w:val="26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252,965</w:t>
            </w:r>
          </w:p>
        </w:tc>
      </w:tr>
      <w:tr>
        <w:trPr>
          <w:trHeight w:val="26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270,673</w:t>
            </w:r>
          </w:p>
        </w:tc>
      </w:tr>
      <w:tr>
        <w:trPr>
          <w:trHeight w:val="250"/>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106,452</w:t>
            </w:r>
          </w:p>
        </w:tc>
      </w:tr>
      <w:tr>
        <w:trPr>
          <w:trHeight w:val="288"/>
        </w:trPr>
        <w:tc>
          <w:tcPr>
            <w:tcW w:w="3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3,459,369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3,465,352</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593,048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593,112</w:t>
            </w:r>
          </w:p>
        </w:tc>
      </w:tr>
      <w:tr>
        <w:trPr>
          <w:trHeight w:val="26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610,469</w:t>
            </w:r>
          </w:p>
        </w:tc>
      </w:tr>
      <w:tr>
        <w:trPr>
          <w:trHeight w:val="25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541,023</w:t>
            </w:r>
          </w:p>
        </w:tc>
      </w:tr>
      <w:tr>
        <w:trPr>
          <w:trHeight w:val="25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266,410</w:t>
            </w:r>
          </w:p>
        </w:tc>
      </w:tr>
      <w:tr>
        <w:trPr>
          <w:trHeight w:val="26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194,852</w:t>
            </w:r>
          </w:p>
        </w:tc>
      </w:tr>
      <w:tr>
        <w:trPr>
          <w:trHeight w:val="25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88,729</w:t>
            </w:r>
          </w:p>
        </w:tc>
      </w:tr>
      <w:tr>
        <w:trPr>
          <w:trHeight w:val="26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48,645</w:t>
            </w:r>
          </w:p>
        </w:tc>
      </w:tr>
      <w:tr>
        <w:trPr>
          <w:trHeight w:val="250"/>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228,140</w:t>
            </w:r>
          </w:p>
        </w:tc>
      </w:tr>
      <w:tr>
        <w:trPr>
          <w:trHeight w:val="25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234,745</w:t>
            </w:r>
          </w:p>
        </w:tc>
      </w:tr>
      <w:tr>
        <w:trPr>
          <w:trHeight w:val="257"/>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98,920</w:t>
            </w:r>
          </w:p>
        </w:tc>
      </w:tr>
      <w:tr>
        <w:trPr>
          <w:trHeight w:val="256"/>
        </w:trPr>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2,899,514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2,905,045</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1"/>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Average recorded investment in and interest income earned (of which the majority of these amounts were received in cash and related primarily to performing TDR’s) on impaired loans by class for the year ended December 31, 2020 follows (1):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1"/>
        </w:trPr>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2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176"/>
        </w:trPr>
        <w:tc>
          <w:tcPr>
            <w:tcW w:w="7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40" w:type="dxa"/>
            <w:vAlign w:val="bottom"/>
          </w:tcPr>
          <w:p>
            <w:pPr>
              <w:spacing w:after="0"/>
              <w:rPr>
                <w:sz w:val="15"/>
                <w:szCs w:val="15"/>
                <w:color w:val="auto"/>
              </w:rPr>
            </w:pPr>
          </w:p>
        </w:tc>
        <w:tc>
          <w:tcPr>
            <w:tcW w:w="12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190"/>
        </w:trPr>
        <w:tc>
          <w:tcPr>
            <w:tcW w:w="7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6"/>
                <w:szCs w:val="16"/>
                <w:color w:val="auto"/>
              </w:rPr>
            </w:pPr>
          </w:p>
        </w:tc>
        <w:tc>
          <w:tcPr>
            <w:tcW w:w="12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Recognized</w:t>
            </w:r>
          </w:p>
        </w:tc>
      </w:tr>
      <w:tr>
        <w:trPr>
          <w:trHeight w:val="23"/>
        </w:trPr>
        <w:tc>
          <w:tcPr>
            <w:tcW w:w="7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186"/>
        </w:trPr>
        <w:tc>
          <w:tcPr>
            <w:tcW w:w="7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With no related ACL recorded: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1-4 family - 2nd lien</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Resort lending</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Boat lending</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With an ACL recorded: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1-4 family - 2nd lien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Resort lending</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Boat lending</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6"/>
        </w:trPr>
        <w:tc>
          <w:tcPr>
            <w:tcW w:w="7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55,600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4,828</w:t>
            </w:r>
          </w:p>
        </w:tc>
      </w:tr>
      <w:tr>
        <w:trPr>
          <w:trHeight w:val="23"/>
        </w:trPr>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93"/>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1-4 family - 2nd lien</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Resort lending</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r>
      <w:tr>
        <w:trPr>
          <w:trHeight w:val="23"/>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Boat lending</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7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3"/>
        </w:trPr>
        <w:tc>
          <w:tcPr>
            <w:tcW w:w="7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24"/>
        </w:trPr>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7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57,324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80" w:right="320" w:hanging="454"/>
        <w:spacing w:after="0" w:line="266" w:lineRule="auto"/>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2021, calculation is based on CECL methodology. Prior to January 1, 2021, calculation was based on the probable incurred loss methodology.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Troubled debt restructurings at December 31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Performing TDR’s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Non-performing TDR’s (2)</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3128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Retail (1)</w:t>
            </w: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29,155</w:t>
            </w:r>
          </w:p>
        </w:tc>
      </w:tr>
      <w:tr>
        <w:trPr>
          <w:trHeight w:val="263"/>
        </w:trPr>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w w:val="99"/>
              </w:rPr>
              <w:t>(3)</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27,034</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30,189</w:t>
            </w:r>
          </w:p>
        </w:tc>
      </w:tr>
      <w:tr>
        <w:trPr>
          <w:trHeight w:val="27"/>
        </w:trPr>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r>
      <w:tr>
        <w:trPr>
          <w:trHeight w:val="574"/>
        </w:trPr>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-899795</wp:posOffset>
            </wp:positionV>
            <wp:extent cx="713232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-574040</wp:posOffset>
            </wp:positionV>
            <wp:extent cx="713232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31286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Retail (1)</w:t>
            </w: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6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TDR’s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31,589</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36,070</w:t>
            </w:r>
          </w:p>
        </w:tc>
      </w:tr>
      <w:tr>
        <w:trPr>
          <w:trHeight w:val="25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Non-performing TDR’s (2)</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2"/>
                <w:szCs w:val="12"/>
                <w:color w:val="auto"/>
                <w:w w:val="99"/>
              </w:rPr>
              <w:t>(3)</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7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pacing w:after="0" w:line="283" w:lineRule="exact"/>
        <w:rPr>
          <w:sz w:val="20"/>
          <w:szCs w:val="20"/>
          <w:color w:val="auto"/>
        </w:rPr>
      </w:pPr>
    </w:p>
    <w:p>
      <w:pPr>
        <w:ind w:left="480" w:hanging="454"/>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loans include mortgage and installment loan portfolio segments.</w:t>
      </w:r>
    </w:p>
    <w:p>
      <w:pPr>
        <w:spacing w:after="0" w:line="171"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non-performing loans table above.</w:t>
      </w:r>
    </w:p>
    <w:p>
      <w:pPr>
        <w:spacing w:after="0" w:line="171"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loans on non-accrual at the time of modification until six payments are received on a timely basis.</w:t>
      </w:r>
    </w:p>
    <w:p>
      <w:pPr>
        <w:spacing w:after="0" w:line="3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allocated $3.7 million and $3.6 million of reserves to customers whose loan terms have been modified in troubled debt restructurings as of December 31, 2022 and 2021, respectively. We have committed to lend additional amounts totaling up to $0.04 million at December 31, 2022 and 2021 to customers with outstanding loans that are classified as troubled debt restructurings.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terms of certain loans have been modified as troubled debt restructurings and generally included one or a combination of the following: a reduction of the stated interest rate of the loan; an extension of the maturity date at a stated rate of interest lower than the current market rate for a new loan with similar risk; or a permanent reduction of the recorded investment in the loan.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Loans that have been classified as troubled debt restructurings during the years ended December 31 follow (1):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Pre-modification   Post-modification</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2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2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6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Pre-modification   Post-modification</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2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2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5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5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6"/>
        </w:trPr>
        <w:tc>
          <w:tcPr>
            <w:tcW w:w="7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80" w:right="60" w:hanging="454"/>
        <w:spacing w:after="0" w:line="282"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TDR modifications during the year ended December 31, 2021 . The loan modifications during 2020 in the table above did not qualify for relief from TDR accounting under the CARES 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troubled debt restructurings described above increased the ACL by $0.03 million and $0.04 million during the years ended December 31, 2022 and 2020, respectively and resulted in charge offs of zero during each of the years ended December 31, 2022 and 2020,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troubled debt restructurings that subsequently defaulted within twelve months following modification during 2022, 2021, and 2020.</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terms of certain other loans were modified during the years ending December 31, 2022, 2021 and 2020 that did not meet the definition of a troubled debt restructuring. The modification of these loans could have included modification of the terms of a loan to borrowers who were not experiencing financial difficulties or a delay in a payment that was considered to be insignificant.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Paycheck Protection Program (“PPP”) due to COVID-19 - </w:t>
      </w:r>
      <w:r>
        <w:rPr>
          <w:rFonts w:ascii="Times New Roman" w:cs="Times New Roman" w:eastAsia="Times New Roman" w:hAnsi="Times New Roman"/>
          <w:sz w:val="18"/>
          <w:szCs w:val="18"/>
          <w:color w:val="auto"/>
        </w:rPr>
        <w:t>The 2020 CARES Act included a loan program administered through the U.S. Small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Administration (‘‘SBA’’) referred to as the PPP. Under the PPP, small businesses and other entities and individuals could apply for loans, subject to numerous limitations and eligibility criteria. We were a participating lender in the PPP. The PPP opened on April 3, 2020 providing American small businesses with cash-flow assistance through 100% federally guaranteed loans through the SBA. The PPP initially closed on August 8, 2020 (“Round 1”). In December, 2020, additional funding was allocated for the PPP (“Round 2”), whose loans were also eligible for forgiveness. Round 2 closed on May 31, 2021.</w:t>
      </w:r>
    </w:p>
    <w:p>
      <w:pPr>
        <w:spacing w:after="0" w:line="186" w:lineRule="exact"/>
        <w:rPr>
          <w:sz w:val="20"/>
          <w:szCs w:val="20"/>
          <w:color w:val="auto"/>
        </w:rPr>
      </w:pPr>
    </w:p>
    <w:p>
      <w:pPr>
        <w:jc w:val="both"/>
        <w:ind w:firstLine="332"/>
        <w:spacing w:after="0" w:line="256" w:lineRule="auto"/>
        <w:tabs>
          <w:tab w:leader="none" w:pos="67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included in the commercial and industrial class of the commercial loan portfolio segment. As these loans are 100% guaranteed through the SBA the allowance for credit losses recorded on these loans is zero. There were no PPP loans and no unaccreted fees outstanding at December 31, 2022. At December 31, 2021 there were 186 PPP loans outstanding with a total principal balance of $26.4 million and $0.8 of unaccreted net fees outstanding. PPP loans funded totaled zero, $135.5 million and $261.1 million during the years ended December 31, 2022, 2021 and 2020, respectively. Interest and fees on loans in our consolidated statement of operations includes $0.8 million, $8.9 million and $5.6 million during the years ended December 31, 2022, 2021 and 2020, respectively related to the accretion of net loan fees on PPP loans.</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Credit Quality Indicators </w:t>
      </w:r>
      <w:r>
        <w:rPr>
          <w:rFonts w:ascii="Times New Roman" w:cs="Times New Roman" w:eastAsia="Times New Roman" w:hAnsi="Times New Roman"/>
          <w:sz w:val="18"/>
          <w:szCs w:val="18"/>
          <w:color w:val="auto"/>
        </w:rPr>
        <w:t>– As part of our on-going monitoring of the credit quality of our loan portfolios, we track certain credit quality indicators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Rating 1 through 6</w:t>
      </w:r>
      <w:r>
        <w:rPr>
          <w:rFonts w:ascii="Times New Roman" w:cs="Times New Roman" w:eastAsia="Times New Roman" w:hAnsi="Times New Roman"/>
          <w:sz w:val="18"/>
          <w:szCs w:val="18"/>
          <w:color w:val="auto"/>
        </w:rPr>
        <w:t>: These loans are generally referred to as our ‘‘non-watch’’ commercial credits that include very high or exceptional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fundamentals through acceptable credit fundamentals.</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Rating 7 and 8</w:t>
      </w:r>
      <w:r>
        <w:rPr>
          <w:rFonts w:ascii="Times New Roman" w:cs="Times New Roman" w:eastAsia="Times New Roman" w:hAnsi="Times New Roman"/>
          <w:sz w:val="18"/>
          <w:szCs w:val="18"/>
          <w:color w:val="auto"/>
        </w:rPr>
        <w:t>: These loans are generally referred to as our ‘‘watch’’ commercial credits. These ratings include loans to borrowers that 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credit weakness or downward trends. If not checked or cured these trends could weaken our asset or credit position. While potentially weak, no loss of principal or interest is envisioned with these ratings.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Rating 9</w:t>
      </w:r>
      <w:r>
        <w:rPr>
          <w:rFonts w:ascii="Times New Roman" w:cs="Times New Roman" w:eastAsia="Times New Roman" w:hAnsi="Times New Roman"/>
          <w:sz w:val="18"/>
          <w:szCs w:val="18"/>
          <w:color w:val="auto"/>
        </w:rPr>
        <w:t>: These loans are generally referred to as our ‘‘substandard accruing’’ commercial credits. This rating includes loans to borrowers that 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Rating 10 and 11</w:t>
      </w:r>
      <w:r>
        <w:rPr>
          <w:rFonts w:ascii="Times New Roman" w:cs="Times New Roman" w:eastAsia="Times New Roman" w:hAnsi="Times New Roman"/>
          <w:sz w:val="18"/>
          <w:szCs w:val="18"/>
          <w:color w:val="auto"/>
        </w:rPr>
        <w:t>: These loans are generally referred to as our ‘‘substandard - non-accrual’’ and ‘‘doubtful’’ commercial credits. These ratings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borrowers with weaknesses that make collection of debt in full, on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current facts, conditions and values at best questionable and at worst improbable. All of these loans are placed in non-accrual.</w:t>
      </w:r>
    </w:p>
    <w:p>
      <w:pPr>
        <w:spacing w:after="0" w:line="22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Rating 12</w:t>
      </w:r>
      <w:r>
        <w:rPr>
          <w:rFonts w:ascii="Times New Roman" w:cs="Times New Roman" w:eastAsia="Times New Roman" w:hAnsi="Times New Roman"/>
          <w:sz w:val="18"/>
          <w:szCs w:val="18"/>
          <w:color w:val="auto"/>
        </w:rPr>
        <w:t>: These loans are generally referred to as our ‘‘loss’’ commercial credits. This rating includes loans to borrowers that are deemed incapable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and are charged-off.</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tables summarize loan ratings by loan class for our commercial loan portfolio segment at December 31:</w:t>
      </w:r>
    </w:p>
    <w:p>
      <w:pPr>
        <w:spacing w:after="0" w:line="27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Commercial</w:t>
      </w:r>
    </w:p>
    <w:p>
      <w:pPr>
        <w:spacing w:after="0" w:line="39" w:lineRule="exact"/>
        <w:rPr>
          <w:sz w:val="20"/>
          <w:szCs w:val="20"/>
          <w:color w:val="auto"/>
        </w:rPr>
      </w:pPr>
    </w:p>
    <w:tbl>
      <w:tblPr>
        <w:tblLayout w:type="fixed"/>
        <w:tblInd w:w="2240" w:type="dxa"/>
        <w:tblCellMar>
          <w:top w:w="0" w:type="dxa"/>
          <w:left w:w="0" w:type="dxa"/>
          <w:bottom w:w="0" w:type="dxa"/>
          <w:right w:w="0" w:type="dxa"/>
        </w:tblCellMar>
      </w:tblPr>
      <w:tr>
        <w:trPr>
          <w:trHeight w:val="202"/>
        </w:trPr>
        <w:tc>
          <w:tcPr>
            <w:tcW w:w="10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Revolving</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4420" w:type="dxa"/>
            <w:vAlign w:val="bottom"/>
            <w:gridSpan w:val="4"/>
            <w:vMerge w:val="restart"/>
          </w:tcPr>
          <w:p>
            <w:pPr>
              <w:jc w:val="right"/>
              <w:ind w:right="339"/>
              <w:spacing w:after="0"/>
              <w:rPr>
                <w:sz w:val="20"/>
                <w:szCs w:val="20"/>
                <w:color w:val="auto"/>
              </w:rPr>
            </w:pPr>
            <w:r>
              <w:rPr>
                <w:rFonts w:ascii="Times New Roman" w:cs="Times New Roman" w:eastAsia="Times New Roman" w:hAnsi="Times New Roman"/>
                <w:sz w:val="16"/>
                <w:szCs w:val="16"/>
                <w:color w:val="auto"/>
              </w:rPr>
              <w:t>Term Loans Amortized Cost Basis by Origination Year</w:t>
            </w:r>
          </w:p>
        </w:tc>
        <w:tc>
          <w:tcPr>
            <w:tcW w:w="106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Loans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60" w:type="dxa"/>
            <w:vAlign w:val="bottom"/>
          </w:tcPr>
          <w:p>
            <w:pPr>
              <w:spacing w:after="0"/>
              <w:rPr>
                <w:sz w:val="11"/>
                <w:szCs w:val="11"/>
                <w:color w:val="auto"/>
              </w:rPr>
            </w:pPr>
          </w:p>
        </w:tc>
        <w:tc>
          <w:tcPr>
            <w:tcW w:w="4420" w:type="dxa"/>
            <w:vAlign w:val="bottom"/>
            <w:gridSpan w:val="4"/>
            <w:vMerge w:val="continue"/>
          </w:tcPr>
          <w:p>
            <w:pPr>
              <w:spacing w:after="0"/>
              <w:rPr>
                <w:sz w:val="11"/>
                <w:szCs w:val="11"/>
                <w:color w:val="auto"/>
              </w:rPr>
            </w:pPr>
          </w:p>
        </w:tc>
        <w:tc>
          <w:tcPr>
            <w:tcW w:w="1060" w:type="dxa"/>
            <w:vAlign w:val="bottom"/>
          </w:tcPr>
          <w:p>
            <w:pPr>
              <w:spacing w:after="0"/>
              <w:rPr>
                <w:sz w:val="11"/>
                <w:szCs w:val="11"/>
                <w:color w:val="auto"/>
              </w:rPr>
            </w:pPr>
          </w:p>
        </w:tc>
        <w:tc>
          <w:tcPr>
            <w:tcW w:w="13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6"/>
                <w:szCs w:val="16"/>
                <w:color w:val="auto"/>
              </w:rPr>
              <w:t>Amortized</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6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2020</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2019</w:t>
            </w: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2018</w:t>
            </w:r>
          </w:p>
        </w:tc>
        <w:tc>
          <w:tcPr>
            <w:tcW w:w="10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Prior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Cost Basis</w:t>
            </w:r>
          </w:p>
        </w:tc>
        <w:tc>
          <w:tcPr>
            <w:tcW w:w="1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20955</wp:posOffset>
            </wp:positionV>
            <wp:extent cx="57092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color w:val="auto"/>
        </w:rPr>
        <w:t>(In thousands)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p>
      <w:pPr>
        <w:sectPr>
          <w:pgSz w:w="11900" w:h="16838" w:orient="portrait"/>
          <w:cols w:equalWidth="0" w:num="1">
            <w:col w:w="11240"/>
          </w:cols>
          <w:pgMar w:left="320" w:top="121" w:right="339" w:bottom="1440" w:gutter="0" w:footer="0" w:header="0"/>
        </w:sectPr>
      </w:pPr>
    </w:p>
    <w:p>
      <w:pPr>
        <w:spacing w:after="0" w:line="59"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Non-watch (1-6)</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89,251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Watch (7-8)</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Substandard Accrual (9)</w:t>
            </w:r>
          </w:p>
        </w:tc>
        <w:tc>
          <w:tcPr>
            <w:tcW w:w="2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Non-Accrual (10-11)</w:t>
            </w:r>
          </w:p>
        </w:tc>
        <w:tc>
          <w:tcPr>
            <w:tcW w:w="2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158,241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94,761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59,141</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Accrued interest excluded</w:t>
            </w: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60" w:type="dxa"/>
            <w:vAlign w:val="bottom"/>
            <w:vMerge w:val="continue"/>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3"/>
                <w:szCs w:val="13"/>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from total</w:t>
            </w:r>
          </w:p>
        </w:tc>
        <w:tc>
          <w:tcPr>
            <w:tcW w:w="2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2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Non-watch (1-6)</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170,238</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154,918</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38,062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Watch (7-8)</w:t>
            </w:r>
          </w:p>
        </w:tc>
        <w:tc>
          <w:tcPr>
            <w:tcW w:w="2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Substandard Accrual (9)</w:t>
            </w:r>
          </w:p>
        </w:tc>
        <w:tc>
          <w:tcPr>
            <w:tcW w:w="2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Non-Accrual (10-11)</w:t>
            </w:r>
          </w:p>
        </w:tc>
        <w:tc>
          <w:tcPr>
            <w:tcW w:w="2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170,238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155,100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38,375</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Accrued interest excluded</w:t>
            </w: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60" w:type="dxa"/>
            <w:vAlign w:val="bottom"/>
            <w:vMerge w:val="continue"/>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3"/>
                <w:szCs w:val="13"/>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from total</w:t>
            </w:r>
          </w:p>
        </w:tc>
        <w:tc>
          <w:tcPr>
            <w:tcW w:w="2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Commercial</w:t>
            </w: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Non-watch (1-6)</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327,799</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244,169</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96,354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Watch (7-8)</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Substandard Accrual (9)</w:t>
            </w:r>
          </w:p>
        </w:tc>
        <w:tc>
          <w:tcPr>
            <w:tcW w:w="2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Non-Accrual (10-11)</w:t>
            </w:r>
          </w:p>
        </w:tc>
        <w:tc>
          <w:tcPr>
            <w:tcW w:w="2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328,479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249,861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97,516</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Accrued interest excluded</w:t>
            </w: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60" w:type="dxa"/>
            <w:vAlign w:val="bottom"/>
            <w:vMerge w:val="continue"/>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3"/>
                <w:szCs w:val="13"/>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from total</w:t>
            </w:r>
          </w:p>
        </w:tc>
        <w:tc>
          <w:tcPr>
            <w:tcW w:w="2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-3856990</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45,792</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30,715</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95,908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237,906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715,425</w:t>
            </w:r>
          </w:p>
        </w:tc>
        <w:tc>
          <w:tcPr>
            <w:tcW w:w="0" w:type="dxa"/>
            <w:vAlign w:val="bottom"/>
          </w:tcPr>
          <w:p>
            <w:pPr>
              <w:spacing w:after="0"/>
              <w:rPr>
                <w:sz w:val="1"/>
                <w:szCs w:val="1"/>
                <w:color w:val="auto"/>
              </w:rPr>
            </w:pPr>
          </w:p>
        </w:tc>
      </w:tr>
      <w:tr>
        <w:trPr>
          <w:trHeight w:val="24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1,690</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15,062</w:t>
            </w:r>
          </w:p>
        </w:tc>
        <w:tc>
          <w:tcPr>
            <w:tcW w:w="0" w:type="dxa"/>
            <w:vAlign w:val="bottom"/>
          </w:tcPr>
          <w:p>
            <w:pPr>
              <w:spacing w:after="0"/>
              <w:rPr>
                <w:sz w:val="1"/>
                <w:szCs w:val="1"/>
                <w:color w:val="auto"/>
              </w:rPr>
            </w:pPr>
          </w:p>
        </w:tc>
      </w:tr>
      <w:tr>
        <w:trPr>
          <w:trHeight w:val="24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388</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0" w:type="dxa"/>
            <w:vAlign w:val="bottom"/>
          </w:tcPr>
          <w:p>
            <w:pPr>
              <w:spacing w:after="0"/>
              <w:rPr>
                <w:sz w:val="1"/>
                <w:szCs w:val="1"/>
                <w:color w:val="auto"/>
              </w:rPr>
            </w:pPr>
          </w:p>
        </w:tc>
      </w:tr>
      <w:tr>
        <w:trPr>
          <w:trHeight w:val="24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47,870</w:t>
            </w: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8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30,929</w:t>
            </w: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100,822</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240,699</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732,463</w:t>
            </w: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4"/>
                <w:szCs w:val="24"/>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0"/>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97,762</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56,580</w:t>
            </w:r>
          </w:p>
        </w:tc>
        <w:tc>
          <w:tcPr>
            <w:tcW w:w="100" w:type="dxa"/>
            <w:vAlign w:val="bottom"/>
          </w:tcPr>
          <w:p>
            <w:pPr>
              <w:spacing w:after="0"/>
              <w:rPr>
                <w:sz w:val="24"/>
                <w:szCs w:val="24"/>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159,514</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42,030</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719,104</w:t>
            </w:r>
          </w:p>
        </w:tc>
        <w:tc>
          <w:tcPr>
            <w:tcW w:w="0" w:type="dxa"/>
            <w:vAlign w:val="bottom"/>
          </w:tcPr>
          <w:p>
            <w:pPr>
              <w:spacing w:after="0"/>
              <w:rPr>
                <w:sz w:val="1"/>
                <w:szCs w:val="1"/>
                <w:color w:val="auto"/>
              </w:rPr>
            </w:pPr>
          </w:p>
        </w:tc>
      </w:tr>
      <w:tr>
        <w:trPr>
          <w:trHeight w:val="24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4,769</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8,027</w:t>
            </w:r>
          </w:p>
        </w:tc>
        <w:tc>
          <w:tcPr>
            <w:tcW w:w="0" w:type="dxa"/>
            <w:vAlign w:val="bottom"/>
          </w:tcPr>
          <w:p>
            <w:pPr>
              <w:spacing w:after="0"/>
              <w:rPr>
                <w:sz w:val="1"/>
                <w:szCs w:val="1"/>
                <w:color w:val="auto"/>
              </w:rPr>
            </w:pPr>
          </w:p>
        </w:tc>
      </w:tr>
      <w:tr>
        <w:trPr>
          <w:trHeight w:val="24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7,259</w:t>
            </w:r>
          </w:p>
        </w:tc>
        <w:tc>
          <w:tcPr>
            <w:tcW w:w="0" w:type="dxa"/>
            <w:vAlign w:val="bottom"/>
          </w:tcPr>
          <w:p>
            <w:pPr>
              <w:spacing w:after="0"/>
              <w:rPr>
                <w:sz w:val="1"/>
                <w:szCs w:val="1"/>
                <w:color w:val="auto"/>
              </w:rPr>
            </w:pPr>
          </w:p>
        </w:tc>
      </w:tr>
      <w:tr>
        <w:trPr>
          <w:trHeight w:val="24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6"/>
              </w:rPr>
              <w:t>102,712</w:t>
            </w: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8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59,604</w:t>
            </w: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166,219</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42,142</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734,390</w:t>
            </w: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368</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24"/>
                <w:szCs w:val="24"/>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143,554</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87,295</w:t>
            </w:r>
          </w:p>
        </w:tc>
        <w:tc>
          <w:tcPr>
            <w:tcW w:w="100" w:type="dxa"/>
            <w:vAlign w:val="bottom"/>
          </w:tcPr>
          <w:p>
            <w:pPr>
              <w:spacing w:after="0"/>
              <w:rPr>
                <w:sz w:val="24"/>
                <w:szCs w:val="24"/>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255,422</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279,936</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1,434,529</w:t>
            </w:r>
          </w:p>
        </w:tc>
        <w:tc>
          <w:tcPr>
            <w:tcW w:w="0" w:type="dxa"/>
            <w:vAlign w:val="bottom"/>
          </w:tcPr>
          <w:p>
            <w:pPr>
              <w:spacing w:after="0"/>
              <w:rPr>
                <w:sz w:val="1"/>
                <w:szCs w:val="1"/>
                <w:color w:val="auto"/>
              </w:rPr>
            </w:pPr>
          </w:p>
        </w:tc>
      </w:tr>
      <w:tr>
        <w:trPr>
          <w:trHeight w:val="24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6,459</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23,089</w:t>
            </w:r>
          </w:p>
        </w:tc>
        <w:tc>
          <w:tcPr>
            <w:tcW w:w="0" w:type="dxa"/>
            <w:vAlign w:val="bottom"/>
          </w:tcPr>
          <w:p>
            <w:pPr>
              <w:spacing w:after="0"/>
              <w:rPr>
                <w:sz w:val="1"/>
                <w:szCs w:val="1"/>
                <w:color w:val="auto"/>
              </w:rPr>
            </w:pPr>
          </w:p>
        </w:tc>
      </w:tr>
      <w:tr>
        <w:trPr>
          <w:trHeight w:val="24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569</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9,197</w:t>
            </w:r>
          </w:p>
        </w:tc>
        <w:tc>
          <w:tcPr>
            <w:tcW w:w="0" w:type="dxa"/>
            <w:vAlign w:val="bottom"/>
          </w:tcPr>
          <w:p>
            <w:pPr>
              <w:spacing w:after="0"/>
              <w:rPr>
                <w:sz w:val="1"/>
                <w:szCs w:val="1"/>
                <w:color w:val="auto"/>
              </w:rPr>
            </w:pPr>
          </w:p>
        </w:tc>
      </w:tr>
      <w:tr>
        <w:trPr>
          <w:trHeight w:val="243"/>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6"/>
              </w:rPr>
              <w:t>150,582</w:t>
            </w: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8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90,533</w:t>
            </w: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267,041</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282,841</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1,466,853</w:t>
            </w: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473</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24"/>
                <w:szCs w:val="24"/>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-33655</wp:posOffset>
            </wp:positionV>
            <wp:extent cx="642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642620"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-8255</wp:posOffset>
            </wp:positionV>
            <wp:extent cx="642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642620"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-273685</wp:posOffset>
            </wp:positionV>
            <wp:extent cx="6426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-1422400</wp:posOffset>
            </wp:positionV>
            <wp:extent cx="6426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-1662430</wp:posOffset>
            </wp:positionV>
            <wp:extent cx="6426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-2811145</wp:posOffset>
            </wp:positionV>
            <wp:extent cx="6426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-3051175</wp:posOffset>
            </wp:positionV>
            <wp:extent cx="6426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320"/>
            <w:col w:w="526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color w:val="auto"/>
              </w:rPr>
              <w:t>Commercial</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20" w:type="dxa"/>
            <w:vAlign w:val="bottom"/>
            <w:gridSpan w:val="11"/>
            <w:vMerge w:val="restart"/>
          </w:tcPr>
          <w:p>
            <w:pPr>
              <w:ind w:left="180"/>
              <w:spacing w:after="0"/>
              <w:rPr>
                <w:sz w:val="20"/>
                <w:szCs w:val="20"/>
                <w:color w:val="auto"/>
              </w:rPr>
            </w:pPr>
            <w:r>
              <w:rPr>
                <w:rFonts w:ascii="Times New Roman" w:cs="Times New Roman" w:eastAsia="Times New Roman" w:hAnsi="Times New Roman"/>
                <w:sz w:val="16"/>
                <w:szCs w:val="16"/>
                <w:color w:val="auto"/>
              </w:rPr>
              <w:t>Term Loans Amortized Cost Basis by Origination Year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20" w:type="dxa"/>
            <w:vAlign w:val="bottom"/>
            <w:gridSpan w:val="11"/>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6"/>
                <w:szCs w:val="16"/>
                <w:color w:val="auto"/>
              </w:rPr>
              <w:t>Amortized</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Prior</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Cost Basis</w:t>
            </w: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Non-watch (1-6)</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144,579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572,731</w:t>
            </w:r>
          </w:p>
        </w:tc>
        <w:tc>
          <w:tcPr>
            <w:tcW w:w="0" w:type="dxa"/>
            <w:vAlign w:val="bottom"/>
          </w:tcPr>
          <w:p>
            <w:pPr>
              <w:spacing w:after="0"/>
              <w:rPr>
                <w:sz w:val="1"/>
                <w:szCs w:val="1"/>
                <w:color w:val="auto"/>
              </w:rPr>
            </w:pPr>
          </w:p>
        </w:tc>
      </w:tr>
      <w:tr>
        <w:trPr>
          <w:trHeight w:val="21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Watch (7-8)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9,019</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Substandard Accrual (9)</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11,300</w:t>
            </w:r>
          </w:p>
        </w:tc>
        <w:tc>
          <w:tcPr>
            <w:tcW w:w="0" w:type="dxa"/>
            <w:vAlign w:val="bottom"/>
          </w:tcPr>
          <w:p>
            <w:pPr>
              <w:spacing w:after="0"/>
              <w:rPr>
                <w:sz w:val="1"/>
                <w:szCs w:val="1"/>
                <w:color w:val="auto"/>
              </w:rPr>
            </w:pPr>
          </w:p>
        </w:tc>
      </w:tr>
      <w:tr>
        <w:trPr>
          <w:trHeight w:val="21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Non-Accrual (10-11)</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151,848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593,112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180"/>
              <w:spacing w:after="0" w:line="179" w:lineRule="exact"/>
              <w:rPr>
                <w:sz w:val="20"/>
                <w:szCs w:val="20"/>
                <w:color w:val="auto"/>
              </w:rPr>
            </w:pPr>
            <w:r>
              <w:rPr>
                <w:rFonts w:ascii="Times New Roman" w:cs="Times New Roman" w:eastAsia="Times New Roman" w:hAnsi="Times New Roman"/>
                <w:sz w:val="16"/>
                <w:szCs w:val="16"/>
                <w:color w:val="auto"/>
              </w:rPr>
              <w:t>Accrued interest excluded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40" w:type="dxa"/>
            <w:vAlign w:val="bottom"/>
            <w:vMerge w:val="continue"/>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2"/>
                <w:szCs w:val="12"/>
                <w:color w:val="auto"/>
              </w:rPr>
            </w:pP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0" w:type="dxa"/>
            <w:vAlign w:val="bottom"/>
          </w:tcPr>
          <w:p>
            <w:pPr>
              <w:spacing w:after="0"/>
              <w:rPr>
                <w:sz w:val="1"/>
                <w:szCs w:val="1"/>
                <w:color w:val="auto"/>
              </w:rPr>
            </w:pPr>
          </w:p>
        </w:tc>
      </w:tr>
      <w:tr>
        <w:trPr>
          <w:trHeight w:val="208"/>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from total</w:t>
            </w: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real estate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Non-watch (1-6)</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55,479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593,566</w:t>
            </w:r>
          </w:p>
        </w:tc>
        <w:tc>
          <w:tcPr>
            <w:tcW w:w="0" w:type="dxa"/>
            <w:vAlign w:val="bottom"/>
          </w:tcPr>
          <w:p>
            <w:pPr>
              <w:spacing w:after="0"/>
              <w:rPr>
                <w:sz w:val="1"/>
                <w:szCs w:val="1"/>
                <w:color w:val="auto"/>
              </w:rPr>
            </w:pPr>
          </w:p>
        </w:tc>
      </w:tr>
      <w:tr>
        <w:trPr>
          <w:trHeight w:val="21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Watch (7-8)</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14,161</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Substandard Accrual (9)</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0" w:type="dxa"/>
            <w:vAlign w:val="bottom"/>
          </w:tcPr>
          <w:p>
            <w:pPr>
              <w:spacing w:after="0"/>
              <w:rPr>
                <w:sz w:val="1"/>
                <w:szCs w:val="1"/>
                <w:color w:val="auto"/>
              </w:rPr>
            </w:pPr>
          </w:p>
        </w:tc>
      </w:tr>
      <w:tr>
        <w:trPr>
          <w:trHeight w:val="21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Non-Accrual (10-11)</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610,469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180"/>
              <w:spacing w:after="0" w:line="179" w:lineRule="exact"/>
              <w:rPr>
                <w:sz w:val="20"/>
                <w:szCs w:val="20"/>
                <w:color w:val="auto"/>
              </w:rPr>
            </w:pPr>
            <w:r>
              <w:rPr>
                <w:rFonts w:ascii="Times New Roman" w:cs="Times New Roman" w:eastAsia="Times New Roman" w:hAnsi="Times New Roman"/>
                <w:sz w:val="16"/>
                <w:szCs w:val="16"/>
                <w:color w:val="auto"/>
              </w:rPr>
              <w:t>Accrued interest excluded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40" w:type="dxa"/>
            <w:vAlign w:val="bottom"/>
            <w:vMerge w:val="continue"/>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2"/>
                <w:szCs w:val="12"/>
                <w:color w:val="auto"/>
              </w:rPr>
            </w:pP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208"/>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from total</w:t>
            </w: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Non-watch (1-6)</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125,335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176,130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1,166,297</w:t>
            </w:r>
          </w:p>
        </w:tc>
        <w:tc>
          <w:tcPr>
            <w:tcW w:w="0" w:type="dxa"/>
            <w:vAlign w:val="bottom"/>
          </w:tcPr>
          <w:p>
            <w:pPr>
              <w:spacing w:after="0"/>
              <w:rPr>
                <w:sz w:val="1"/>
                <w:szCs w:val="1"/>
                <w:color w:val="auto"/>
              </w:rPr>
            </w:pPr>
          </w:p>
        </w:tc>
      </w:tr>
      <w:tr>
        <w:trPr>
          <w:trHeight w:val="21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Watch (7-8)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23,180</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Substandard Accrual (9)</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14,042</w:t>
            </w:r>
          </w:p>
        </w:tc>
        <w:tc>
          <w:tcPr>
            <w:tcW w:w="0" w:type="dxa"/>
            <w:vAlign w:val="bottom"/>
          </w:tcPr>
          <w:p>
            <w:pPr>
              <w:spacing w:after="0"/>
              <w:rPr>
                <w:sz w:val="1"/>
                <w:szCs w:val="1"/>
                <w:color w:val="auto"/>
              </w:rPr>
            </w:pPr>
          </w:p>
        </w:tc>
      </w:tr>
      <w:tr>
        <w:trPr>
          <w:trHeight w:val="21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Non-Accrual (10-11)</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125,661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183,399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1,203,581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180"/>
              <w:spacing w:after="0" w:line="179" w:lineRule="exact"/>
              <w:rPr>
                <w:sz w:val="20"/>
                <w:szCs w:val="20"/>
                <w:color w:val="auto"/>
              </w:rPr>
            </w:pPr>
            <w:r>
              <w:rPr>
                <w:rFonts w:ascii="Times New Roman" w:cs="Times New Roman" w:eastAsia="Times New Roman" w:hAnsi="Times New Roman"/>
                <w:sz w:val="16"/>
                <w:szCs w:val="16"/>
                <w:color w:val="auto"/>
              </w:rPr>
              <w:t>Accrued interest excluded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40" w:type="dxa"/>
            <w:vAlign w:val="bottom"/>
            <w:vMerge w:val="continue"/>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2"/>
                <w:szCs w:val="12"/>
                <w:color w:val="auto"/>
              </w:rPr>
            </w:pP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0" w:type="dxa"/>
            <w:vAlign w:val="bottom"/>
          </w:tcPr>
          <w:p>
            <w:pPr>
              <w:spacing w:after="0"/>
              <w:rPr>
                <w:sz w:val="1"/>
                <w:szCs w:val="1"/>
                <w:color w:val="auto"/>
              </w:rPr>
            </w:pPr>
          </w:p>
        </w:tc>
      </w:tr>
      <w:tr>
        <w:trPr>
          <w:trHeight w:val="208"/>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from total</w:t>
            </w: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each of our mortgage and installment portfolio segment classes we generally monitor credit quality based on the credit scores of the borrowers. These credit scores are generally updated semi-annually. The following tables summarize credit scores by loan class for our mortgage and installment loan portfolio segments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color w:val="auto"/>
                <w:w w:val="98"/>
              </w:rPr>
              <w:t>Mortgage (1)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5"/>
              </w:rPr>
              <w:t>Revolving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9"/>
            <w:vMerge w:val="restart"/>
          </w:tcPr>
          <w:p>
            <w:pPr>
              <w:jc w:val="right"/>
              <w:spacing w:after="0"/>
              <w:rPr>
                <w:sz w:val="20"/>
                <w:szCs w:val="20"/>
                <w:color w:val="auto"/>
              </w:rPr>
            </w:pPr>
            <w:r>
              <w:rPr>
                <w:rFonts w:ascii="Times New Roman" w:cs="Times New Roman" w:eastAsia="Times New Roman" w:hAnsi="Times New Roman"/>
                <w:sz w:val="13"/>
                <w:szCs w:val="13"/>
                <w:color w:val="auto"/>
              </w:rPr>
              <w:t>Term Loans Amortized Cost Basis by Origination Year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4"/>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120" w:type="dxa"/>
            <w:vAlign w:val="bottom"/>
            <w:gridSpan w:val="9"/>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restart"/>
          </w:tcPr>
          <w:p>
            <w:pPr>
              <w:jc w:val="center"/>
              <w:ind w:right="260"/>
              <w:spacing w:after="0" w:line="106"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Prior</w:t>
            </w: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7"/>
              </w:rPr>
              <w:t>Cost Basis</w:t>
            </w: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color w:val="auto"/>
                <w:w w:val="96"/>
              </w:rPr>
              <w:t>(In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2022</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1-4 family owner occupied - jumbo</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54,637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115,033</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97,269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393,219</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179,877</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50,515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10,135</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168,357</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359,013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129,415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40,986</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12,310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38,797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752,563</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0" w:type="dxa"/>
            <w:vAlign w:val="bottom"/>
          </w:tcPr>
          <w:p>
            <w:pPr>
              <w:spacing w:after="0"/>
              <w:rPr>
                <w:sz w:val="1"/>
                <w:szCs w:val="1"/>
                <w:color w:val="auto"/>
              </w:rPr>
            </w:pPr>
          </w:p>
        </w:tc>
      </w:tr>
      <w:tr>
        <w:trPr>
          <w:trHeight w:val="21"/>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1-4 family owner occupied - non-jumbo</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8,894</w:t>
            </w:r>
          </w:p>
        </w:tc>
        <w:tc>
          <w:tcPr>
            <w:tcW w:w="80" w:type="dxa"/>
            <w:vAlign w:val="bottom"/>
          </w:tcPr>
          <w:p>
            <w:pPr>
              <w:spacing w:after="0"/>
              <w:rPr>
                <w:sz w:val="15"/>
                <w:szCs w:val="15"/>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10,498</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3,220</w:t>
            </w:r>
          </w:p>
        </w:tc>
        <w:tc>
          <w:tcPr>
            <w:tcW w:w="8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6,074</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37,998</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33,833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112,492</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71,997</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32,924</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13,202</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8,079</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6,094</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2,846</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69,878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285,632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8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1-4 family non-owner occupied</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31,239</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95,817</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37,957</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13,145</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3,369</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37,669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12,003</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31,752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8,893</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183,100</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2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1-4 family - 2nd lien</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Pr>
          <w:p>
            <w:pPr>
              <w:spacing w:after="0"/>
              <w:rPr>
                <w:sz w:val="15"/>
                <w:szCs w:val="15"/>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9,944</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38,346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50,133</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29,094</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10,770</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3,606</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105,277</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ind w:left="200"/>
              <w:spacing w:after="0"/>
              <w:rPr>
                <w:sz w:val="20"/>
                <w:szCs w:val="20"/>
                <w:color w:val="auto"/>
              </w:rPr>
            </w:pPr>
            <w:r>
              <w:rPr>
                <w:rFonts w:ascii="Times New Roman" w:cs="Times New Roman" w:eastAsia="Times New Roman" w:hAnsi="Times New Roman"/>
                <w:sz w:val="13"/>
                <w:szCs w:val="13"/>
                <w:color w:val="auto"/>
              </w:rPr>
              <w:t>Mortgage - continued (1)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5"/>
              </w:rPr>
              <w:t>Revolving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40" w:type="dxa"/>
            <w:vAlign w:val="bottom"/>
            <w:gridSpan w:val="9"/>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Term Loans Amortized Cost Basis by Origination Year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4"/>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06"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9"/>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Prior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Cost Basis</w:t>
            </w: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Resort lending</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7,728</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20,142</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7,181</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5,573</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5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35,803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41,837</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Mortgage</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37,225</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75,154</w:t>
            </w: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28,038</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16,845</w:t>
            </w:r>
          </w:p>
        </w:tc>
        <w:tc>
          <w:tcPr>
            <w:tcW w:w="80" w:type="dxa"/>
            <w:vAlign w:val="bottom"/>
          </w:tcPr>
          <w:p>
            <w:pPr>
              <w:spacing w:after="0"/>
              <w:rPr>
                <w:sz w:val="15"/>
                <w:szCs w:val="15"/>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6,282</w:t>
            </w: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26,396</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12,002</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201,942</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156,427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256,276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101,298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29,060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65,818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53,097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671,803</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62,106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27,956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326,106</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28,648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112,927</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31,207</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12,480</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8,504</w:t>
            </w:r>
          </w:p>
        </w:tc>
        <w:tc>
          <w:tcPr>
            <w:tcW w:w="0" w:type="dxa"/>
            <w:vAlign w:val="bottom"/>
          </w:tcPr>
          <w:p>
            <w:pPr>
              <w:spacing w:after="0"/>
              <w:rPr>
                <w:sz w:val="1"/>
                <w:szCs w:val="1"/>
                <w:color w:val="auto"/>
              </w:rPr>
            </w:pPr>
          </w:p>
        </w:tc>
      </w:tr>
      <w:tr>
        <w:trPr>
          <w:trHeight w:val="30"/>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3,440</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281,325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484,225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74,596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34,613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107,037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1,368,409</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4,116</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color w:val="auto"/>
                <w:w w:val="98"/>
              </w:rPr>
              <w:t>Mortgage (1)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5"/>
              </w:rPr>
              <w:t>Revolving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9"/>
            <w:vMerge w:val="restart"/>
          </w:tcPr>
          <w:p>
            <w:pPr>
              <w:jc w:val="right"/>
              <w:spacing w:after="0"/>
              <w:rPr>
                <w:sz w:val="20"/>
                <w:szCs w:val="20"/>
                <w:color w:val="auto"/>
              </w:rPr>
            </w:pPr>
            <w:r>
              <w:rPr>
                <w:rFonts w:ascii="Times New Roman" w:cs="Times New Roman" w:eastAsia="Times New Roman" w:hAnsi="Times New Roman"/>
                <w:sz w:val="13"/>
                <w:szCs w:val="13"/>
                <w:color w:val="auto"/>
              </w:rPr>
              <w:t>Term Loans Amortized Cost Basis by Origination Year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color w:val="auto"/>
                <w:w w:val="94"/>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120" w:type="dxa"/>
            <w:vAlign w:val="bottom"/>
            <w:gridSpan w:val="9"/>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restart"/>
          </w:tcPr>
          <w:p>
            <w:pPr>
              <w:jc w:val="center"/>
              <w:ind w:right="260"/>
              <w:spacing w:after="0" w:line="106"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Prior</w:t>
            </w: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7"/>
              </w:rPr>
              <w:t>Cost Basis</w:t>
            </w: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color w:val="auto"/>
                <w:w w:val="96"/>
              </w:rPr>
              <w:t>(In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1-4 family owner occupied - jumbo</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31,137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67,888</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135,292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281,955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67,255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34,665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132,710</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47,182</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8,020</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255,101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159,738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58,281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20,402</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33,038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12,092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541,023</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0" w:type="dxa"/>
            <w:vAlign w:val="bottom"/>
          </w:tcPr>
          <w:p>
            <w:pPr>
              <w:spacing w:after="0"/>
              <w:rPr>
                <w:sz w:val="1"/>
                <w:szCs w:val="1"/>
                <w:color w:val="auto"/>
              </w:rPr>
            </w:pPr>
          </w:p>
        </w:tc>
      </w:tr>
      <w:tr>
        <w:trPr>
          <w:trHeight w:val="21"/>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1-4 family owner occupied - non-jumbo</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6,185</w:t>
            </w:r>
          </w:p>
        </w:tc>
        <w:tc>
          <w:tcPr>
            <w:tcW w:w="80" w:type="dxa"/>
            <w:vAlign w:val="bottom"/>
          </w:tcPr>
          <w:p>
            <w:pPr>
              <w:spacing w:after="0"/>
              <w:rPr>
                <w:sz w:val="15"/>
                <w:szCs w:val="15"/>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5,534</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3,756</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w:t>
            </w:r>
          </w:p>
        </w:tc>
        <w:tc>
          <w:tcPr>
            <w:tcW w:w="8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3,566</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4,569</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30,150</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33,227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98,605</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71,188</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34,423</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9,101</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4,502</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67,441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17,251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21,070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266,410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8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1-4 family non-owner occupied</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30,832</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102,347</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38,752</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17,490</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8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82,835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34,655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16,503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7,832</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31,158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10,898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194,852</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2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1-4 family - 2nd lien</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80" w:type="dxa"/>
            <w:vAlign w:val="bottom"/>
          </w:tcPr>
          <w:p>
            <w:pPr>
              <w:spacing w:after="0"/>
              <w:rPr>
                <w:sz w:val="15"/>
                <w:szCs w:val="15"/>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5"/>
                <w:szCs w:val="15"/>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10,984</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41,000</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23,743</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8,361</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0" w:type="dxa"/>
            <w:vAlign w:val="bottom"/>
          </w:tcPr>
          <w:p>
            <w:pPr>
              <w:spacing w:after="0"/>
              <w:rPr>
                <w:sz w:val="1"/>
                <w:szCs w:val="1"/>
                <w:color w:val="auto"/>
              </w:rPr>
            </w:pPr>
          </w:p>
        </w:tc>
      </w:tr>
      <w:tr>
        <w:trPr>
          <w:trHeight w:val="173"/>
        </w:trPr>
        <w:tc>
          <w:tcPr>
            <w:tcW w:w="2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62,176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88,729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ind w:left="200"/>
              <w:spacing w:after="0"/>
              <w:rPr>
                <w:sz w:val="20"/>
                <w:szCs w:val="20"/>
                <w:color w:val="auto"/>
              </w:rPr>
            </w:pPr>
            <w:r>
              <w:rPr>
                <w:rFonts w:ascii="Times New Roman" w:cs="Times New Roman" w:eastAsia="Times New Roman" w:hAnsi="Times New Roman"/>
                <w:sz w:val="13"/>
                <w:szCs w:val="13"/>
                <w:color w:val="auto"/>
              </w:rPr>
              <w:t>Mortgage - continued (1)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5"/>
              </w:rPr>
              <w:t>Revolving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40" w:type="dxa"/>
            <w:vAlign w:val="bottom"/>
            <w:gridSpan w:val="9"/>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Term Loans Amortized Cost Basis by Origination Year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4"/>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06"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9"/>
              </w:rPr>
              <w:t>2017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Prior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Cost Basis</w:t>
            </w: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2021</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Resort lending</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7,621</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22,300</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9,594</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7,008</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5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44,208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48,645</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Mortgage</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53,143</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25,936</w:t>
            </w: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15,530</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6,907</w:t>
            </w:r>
          </w:p>
        </w:tc>
        <w:tc>
          <w:tcPr>
            <w:tcW w:w="80" w:type="dxa"/>
            <w:vAlign w:val="bottom"/>
          </w:tcPr>
          <w:p>
            <w:pPr>
              <w:spacing w:after="0"/>
              <w:rPr>
                <w:sz w:val="15"/>
                <w:szCs w:val="15"/>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13,975</w:t>
            </w:r>
          </w:p>
        </w:tc>
        <w:tc>
          <w:tcPr>
            <w:tcW w:w="1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17,854</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14,130</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147,475</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215,481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138,434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51,241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27,234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49,590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45,935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546,207</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104,365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275,987</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26,828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114,464</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32,212</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12,534</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7,390</w:t>
            </w:r>
          </w:p>
        </w:tc>
        <w:tc>
          <w:tcPr>
            <w:tcW w:w="0" w:type="dxa"/>
            <w:vAlign w:val="bottom"/>
          </w:tcPr>
          <w:p>
            <w:pPr>
              <w:spacing w:after="0"/>
              <w:rPr>
                <w:sz w:val="1"/>
                <w:szCs w:val="1"/>
                <w:color w:val="auto"/>
              </w:rPr>
            </w:pPr>
          </w:p>
        </w:tc>
      </w:tr>
      <w:tr>
        <w:trPr>
          <w:trHeight w:val="30"/>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w:t>
            </w:r>
          </w:p>
        </w:tc>
        <w:tc>
          <w:tcPr>
            <w:tcW w:w="0" w:type="dxa"/>
            <w:vAlign w:val="bottom"/>
          </w:tcPr>
          <w:p>
            <w:pPr>
              <w:spacing w:after="0"/>
              <w:rPr>
                <w:sz w:val="1"/>
                <w:szCs w:val="1"/>
                <w:color w:val="auto"/>
              </w:rPr>
            </w:pPr>
          </w:p>
        </w:tc>
      </w:tr>
      <w:tr>
        <w:trPr>
          <w:trHeight w:val="173"/>
        </w:trPr>
        <w:tc>
          <w:tcPr>
            <w:tcW w:w="25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410,933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101,997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49,073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96,515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1,139,659</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80" w:hanging="454"/>
        <w:spacing w:after="0"/>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scores have been updated within the last twelve months.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Installment (1)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7"/>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gridSpan w:val="8"/>
          </w:tcPr>
          <w:p>
            <w:pPr>
              <w:jc w:val="center"/>
              <w:ind w:right="320"/>
              <w:spacing w:after="0"/>
              <w:rPr>
                <w:sz w:val="20"/>
                <w:szCs w:val="20"/>
                <w:color w:val="auto"/>
              </w:rPr>
            </w:pPr>
            <w:r>
              <w:rPr>
                <w:rFonts w:ascii="Times New Roman" w:cs="Times New Roman" w:eastAsia="Times New Roman" w:hAnsi="Times New Roman"/>
                <w:sz w:val="13"/>
                <w:szCs w:val="13"/>
                <w:color w:val="auto"/>
                <w:w w:val="96"/>
              </w:rPr>
              <w:t>Term Loans Amortized Cost Basis by Origination Year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7"/>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2"/>
              </w:rPr>
              <w:t>2019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Prior</w:t>
            </w:r>
          </w:p>
        </w:tc>
        <w:tc>
          <w:tcPr>
            <w:tcW w:w="260" w:type="dxa"/>
            <w:vAlign w:val="bottom"/>
          </w:tcPr>
          <w:p>
            <w:pPr>
              <w:spacing w:after="0"/>
              <w:rPr>
                <w:sz w:val="14"/>
                <w:szCs w:val="14"/>
                <w:color w:val="auto"/>
              </w:rPr>
            </w:pPr>
          </w:p>
        </w:tc>
        <w:tc>
          <w:tcPr>
            <w:tcW w:w="86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Total</w:t>
            </w:r>
          </w:p>
        </w:tc>
      </w:tr>
      <w:tr>
        <w:trPr>
          <w:trHeight w:val="29"/>
        </w:trPr>
        <w:tc>
          <w:tcPr>
            <w:tcW w:w="2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7"/>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6"/>
              </w:rPr>
              <w:t>(In thousands)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2022</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Boat lending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9"/>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35,724</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146,032</w:t>
            </w:r>
          </w:p>
        </w:tc>
      </w:tr>
      <w:tr>
        <w:trPr>
          <w:trHeight w:val="29"/>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52,712</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14,101</w:t>
            </w:r>
          </w:p>
        </w:tc>
      </w:tr>
      <w:tr>
        <w:trPr>
          <w:trHeight w:val="29"/>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3,009</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w:t>
            </w:r>
          </w:p>
        </w:tc>
      </w:tr>
      <w:tr>
        <w:trPr>
          <w:trHeight w:val="29"/>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29"/>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2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72,682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65,428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33,576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29,128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22,350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29,801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252,965</w:t>
            </w: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2"/>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2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3"/>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Recreational vehicle lending</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9,327</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10,752</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4,834</w:t>
            </w:r>
          </w:p>
        </w:tc>
        <w:tc>
          <w:tcPr>
            <w:tcW w:w="80" w:type="dxa"/>
            <w:vAlign w:val="bottom"/>
          </w:tcPr>
          <w:p>
            <w:pPr>
              <w:spacing w:after="0"/>
              <w:rPr>
                <w:sz w:val="15"/>
                <w:szCs w:val="15"/>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3,416</w:t>
            </w:r>
          </w:p>
        </w:tc>
        <w:tc>
          <w:tcPr>
            <w:tcW w:w="10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w:t>
            </w:r>
          </w:p>
        </w:tc>
        <w:tc>
          <w:tcPr>
            <w:tcW w:w="10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37,172</w:t>
            </w:r>
          </w:p>
        </w:tc>
      </w:tr>
      <w:tr>
        <w:trPr>
          <w:trHeight w:val="29"/>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51,555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49,949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16,175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146,407</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65,445</w:t>
            </w:r>
          </w:p>
        </w:tc>
      </w:tr>
      <w:tr>
        <w:trPr>
          <w:trHeight w:val="29"/>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16,119</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3,721</w:t>
            </w:r>
          </w:p>
        </w:tc>
      </w:tr>
      <w:tr>
        <w:trPr>
          <w:trHeight w:val="29"/>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2"/>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r>
      <w:tr>
        <w:trPr>
          <w:trHeight w:val="30"/>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0"/>
        </w:trPr>
        <w:tc>
          <w:tcPr>
            <w:tcW w:w="28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89,938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94,529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23,305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270,673</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w:t>
            </w: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1"/>
        </w:trPr>
        <w:tc>
          <w:tcPr>
            <w:tcW w:w="2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3"/>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0"/>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2"/>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7,109</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39,869</w:t>
            </w:r>
          </w:p>
        </w:tc>
      </w:tr>
      <w:tr>
        <w:trPr>
          <w:trHeight w:val="30"/>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26,222</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28,926</w:t>
            </w:r>
          </w:p>
        </w:tc>
      </w:tr>
      <w:tr>
        <w:trPr>
          <w:trHeight w:val="30"/>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2,348</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w:t>
            </w:r>
          </w:p>
        </w:tc>
      </w:tr>
      <w:tr>
        <w:trPr>
          <w:trHeight w:val="30"/>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30"/>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r>
      <w:tr>
        <w:trPr>
          <w:trHeight w:val="195"/>
        </w:trPr>
        <w:tc>
          <w:tcPr>
            <w:tcW w:w="2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51,861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22,954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11,773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9,025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106,452</w:t>
            </w: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2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3"/>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installment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19,202</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21,162</w:t>
            </w:r>
          </w:p>
        </w:tc>
        <w:tc>
          <w:tcPr>
            <w:tcW w:w="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10,878</w:t>
            </w:r>
          </w:p>
        </w:tc>
        <w:tc>
          <w:tcPr>
            <w:tcW w:w="80" w:type="dxa"/>
            <w:vAlign w:val="bottom"/>
          </w:tcPr>
          <w:p>
            <w:pPr>
              <w:spacing w:after="0"/>
              <w:rPr>
                <w:sz w:val="15"/>
                <w:szCs w:val="15"/>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7,394</w:t>
            </w:r>
          </w:p>
        </w:tc>
        <w:tc>
          <w:tcPr>
            <w:tcW w:w="10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11,005</w:t>
            </w:r>
          </w:p>
        </w:tc>
        <w:tc>
          <w:tcPr>
            <w:tcW w:w="10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80,005</w:t>
            </w:r>
          </w:p>
        </w:tc>
      </w:tr>
      <w:tr>
        <w:trPr>
          <w:trHeight w:val="30"/>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111,745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97,453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41,875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31,819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332,308</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46,166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144,379</w:t>
            </w:r>
          </w:p>
        </w:tc>
      </w:tr>
      <w:tr>
        <w:trPr>
          <w:trHeight w:val="30"/>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31,686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59,146</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9,078</w:t>
            </w:r>
          </w:p>
        </w:tc>
      </w:tr>
      <w:tr>
        <w:trPr>
          <w:trHeight w:val="30"/>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w:t>
            </w:r>
          </w:p>
        </w:tc>
      </w:tr>
      <w:tr>
        <w:trPr>
          <w:trHeight w:val="30"/>
        </w:trPr>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3"/>
        </w:trPr>
        <w:tc>
          <w:tcPr>
            <w:tcW w:w="2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7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r>
      <w:tr>
        <w:trPr>
          <w:trHeight w:val="30"/>
        </w:trPr>
        <w:tc>
          <w:tcPr>
            <w:tcW w:w="2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0"/>
        </w:trPr>
        <w:tc>
          <w:tcPr>
            <w:tcW w:w="28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214,481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182,911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75,947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59,530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55,192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630,090</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8"/>
        </w:trPr>
        <w:tc>
          <w:tcPr>
            <w:tcW w:w="2860" w:type="dxa"/>
            <w:vAlign w:val="bottom"/>
          </w:tcPr>
          <w:p>
            <w:pPr>
              <w:ind w:left="180"/>
              <w:spacing w:after="0" w:line="149" w:lineRule="exact"/>
              <w:rPr>
                <w:sz w:val="20"/>
                <w:szCs w:val="20"/>
                <w:color w:val="auto"/>
              </w:rPr>
            </w:pPr>
            <w:r>
              <w:rPr>
                <w:rFonts w:ascii="Times New Roman" w:cs="Times New Roman" w:eastAsia="Times New Roman" w:hAnsi="Times New Roman"/>
                <w:sz w:val="13"/>
                <w:szCs w:val="13"/>
                <w:color w:val="auto"/>
              </w:rPr>
              <w:t>Accrued interest excluded from total</w:t>
            </w:r>
          </w:p>
        </w:tc>
        <w:tc>
          <w:tcPr>
            <w:tcW w:w="26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2"/>
                <w:szCs w:val="12"/>
                <w:color w:val="auto"/>
              </w:rPr>
            </w:pPr>
          </w:p>
        </w:tc>
        <w:tc>
          <w:tcPr>
            <w:tcW w:w="24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2"/>
                <w:szCs w:val="12"/>
                <w:color w:val="auto"/>
              </w:rPr>
            </w:pPr>
          </w:p>
        </w:tc>
        <w:tc>
          <w:tcPr>
            <w:tcW w:w="24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181</w:t>
            </w:r>
          </w:p>
        </w:tc>
        <w:tc>
          <w:tcPr>
            <w:tcW w:w="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155</w:t>
            </w:r>
          </w:p>
        </w:tc>
        <w:tc>
          <w:tcPr>
            <w:tcW w:w="80" w:type="dxa"/>
            <w:vAlign w:val="bottom"/>
          </w:tcPr>
          <w:p>
            <w:pPr>
              <w:spacing w:after="0"/>
              <w:rPr>
                <w:sz w:val="12"/>
                <w:szCs w:val="12"/>
                <w:color w:val="auto"/>
              </w:rPr>
            </w:pPr>
          </w:p>
        </w:tc>
        <w:tc>
          <w:tcPr>
            <w:tcW w:w="26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2"/>
                <w:szCs w:val="12"/>
                <w:color w:val="auto"/>
              </w:rPr>
            </w:pPr>
          </w:p>
        </w:tc>
        <w:tc>
          <w:tcPr>
            <w:tcW w:w="26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2"/>
                <w:szCs w:val="12"/>
                <w:color w:val="auto"/>
              </w:rPr>
            </w:pPr>
          </w:p>
        </w:tc>
        <w:tc>
          <w:tcPr>
            <w:tcW w:w="26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1,484</w:t>
            </w:r>
          </w:p>
        </w:tc>
      </w:tr>
      <w:tr>
        <w:trPr>
          <w:trHeight w:val="30"/>
        </w:trPr>
        <w:tc>
          <w:tcPr>
            <w:tcW w:w="2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color w:val="auto"/>
                <w:w w:val="96"/>
              </w:rPr>
              <w:t>Installment (1)</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
        </w:trPr>
        <w:tc>
          <w:tcPr>
            <w:tcW w:w="2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gridSpan w:val="8"/>
          </w:tcPr>
          <w:p>
            <w:pPr>
              <w:jc w:val="center"/>
              <w:ind w:right="520"/>
              <w:spacing w:after="0"/>
              <w:rPr>
                <w:sz w:val="20"/>
                <w:szCs w:val="20"/>
                <w:color w:val="auto"/>
              </w:rPr>
            </w:pPr>
            <w:r>
              <w:rPr>
                <w:rFonts w:ascii="Times New Roman" w:cs="Times New Roman" w:eastAsia="Times New Roman" w:hAnsi="Times New Roman"/>
                <w:sz w:val="13"/>
                <w:szCs w:val="13"/>
                <w:color w:val="auto"/>
                <w:w w:val="96"/>
              </w:rPr>
              <w:t>Term Loans Amortized Cost Basis by Origination Year</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
        </w:trPr>
        <w:tc>
          <w:tcPr>
            <w:tcW w:w="2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2021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2020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2018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2017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Prior</w:t>
            </w:r>
          </w:p>
        </w:tc>
        <w:tc>
          <w:tcPr>
            <w:tcW w:w="240" w:type="dxa"/>
            <w:vAlign w:val="bottom"/>
          </w:tcPr>
          <w:p>
            <w:pPr>
              <w:spacing w:after="0"/>
              <w:rPr>
                <w:sz w:val="14"/>
                <w:szCs w:val="14"/>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Total</w:t>
            </w:r>
          </w:p>
        </w:tc>
      </w:tr>
      <w:tr>
        <w:trPr>
          <w:trHeight w:val="29"/>
        </w:trPr>
        <w:tc>
          <w:tcPr>
            <w:tcW w:w="2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6"/>
              </w:rPr>
              <w:t>(In thousands)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2021</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2"/>
        </w:trPr>
        <w:tc>
          <w:tcPr>
            <w:tcW w:w="2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Boat lending</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9"/>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7,513</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5,786</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6,015</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4,906</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31,621</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47,434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21,052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129,903</w:t>
            </w:r>
          </w:p>
        </w:tc>
      </w:tr>
      <w:tr>
        <w:trPr>
          <w:trHeight w:val="29"/>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19,180</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9,724</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8,263</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6,467</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51,696</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11,592</w:t>
            </w:r>
          </w:p>
        </w:tc>
      </w:tr>
      <w:tr>
        <w:trPr>
          <w:trHeight w:val="29"/>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r>
      <w:tr>
        <w:trPr>
          <w:trHeight w:val="29"/>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29"/>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2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78,582</w:t>
            </w:r>
          </w:p>
        </w:tc>
        <w:tc>
          <w:tcPr>
            <w:tcW w:w="1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42,706</w:t>
            </w: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37,931</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28,812</w:t>
            </w:r>
          </w:p>
        </w:tc>
        <w:tc>
          <w:tcPr>
            <w:tcW w:w="1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17,508</w:t>
            </w:r>
          </w:p>
        </w:tc>
        <w:tc>
          <w:tcPr>
            <w:tcW w:w="2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22,601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228,140</w:t>
            </w: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1"/>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3"/>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Recreational vehicle lending</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8,475</w:t>
            </w:r>
          </w:p>
        </w:tc>
        <w:tc>
          <w:tcPr>
            <w:tcW w:w="18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5,121</w:t>
            </w:r>
          </w:p>
        </w:tc>
        <w:tc>
          <w:tcPr>
            <w:tcW w:w="2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5,837</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4,627</w:t>
            </w:r>
          </w:p>
        </w:tc>
        <w:tc>
          <w:tcPr>
            <w:tcW w:w="1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2,456</w:t>
            </w:r>
          </w:p>
        </w:tc>
        <w:tc>
          <w:tcPr>
            <w:tcW w:w="2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30,110</w:t>
            </w:r>
          </w:p>
        </w:tc>
      </w:tr>
      <w:tr>
        <w:trPr>
          <w:trHeight w:val="29"/>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66,834</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22,707</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17,173</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11,973</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5,281</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130,762</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56,139</w:t>
            </w:r>
          </w:p>
        </w:tc>
      </w:tr>
      <w:tr>
        <w:trPr>
          <w:trHeight w:val="29"/>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7,390</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2,423</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14,157</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2,285</w:t>
            </w:r>
          </w:p>
        </w:tc>
      </w:tr>
      <w:tr>
        <w:trPr>
          <w:trHeight w:val="29"/>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r>
      <w:tr>
        <w:trPr>
          <w:trHeight w:val="30"/>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2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0"/>
        </w:trPr>
        <w:tc>
          <w:tcPr>
            <w:tcW w:w="2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116,701</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40,280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31,591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234,745</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8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w:t>
            </w: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1"/>
        </w:trPr>
        <w:tc>
          <w:tcPr>
            <w:tcW w:w="2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3"/>
        </w:trPr>
        <w:tc>
          <w:tcPr>
            <w:tcW w:w="2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0"/>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2,328</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7,179</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13,923</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37,179</w:t>
            </w:r>
          </w:p>
        </w:tc>
      </w:tr>
      <w:tr>
        <w:trPr>
          <w:trHeight w:val="29"/>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10,791</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5,426</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3,301</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24,517</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25,681</w:t>
            </w:r>
          </w:p>
        </w:tc>
      </w:tr>
      <w:tr>
        <w:trPr>
          <w:trHeight w:val="30"/>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w:t>
            </w:r>
          </w:p>
        </w:tc>
      </w:tr>
      <w:tr>
        <w:trPr>
          <w:trHeight w:val="30"/>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30"/>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w:t>
            </w:r>
          </w:p>
        </w:tc>
      </w:tr>
      <w:tr>
        <w:trPr>
          <w:trHeight w:val="195"/>
        </w:trPr>
        <w:tc>
          <w:tcPr>
            <w:tcW w:w="2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49,118</w:t>
            </w:r>
          </w:p>
        </w:tc>
        <w:tc>
          <w:tcPr>
            <w:tcW w:w="1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18,183</w:t>
            </w: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12,614</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7,039</w:t>
            </w:r>
          </w:p>
        </w:tc>
        <w:tc>
          <w:tcPr>
            <w:tcW w:w="1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4,387</w:t>
            </w:r>
          </w:p>
        </w:tc>
        <w:tc>
          <w:tcPr>
            <w:tcW w:w="2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98,920</w:t>
            </w: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1"/>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3"/>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installment</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800 and above</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18,316</w:t>
            </w:r>
          </w:p>
        </w:tc>
        <w:tc>
          <w:tcPr>
            <w:tcW w:w="180" w:type="dxa"/>
            <w:vAlign w:val="bottom"/>
          </w:tcPr>
          <w:p>
            <w:pPr>
              <w:spacing w:after="0"/>
              <w:rPr>
                <w:sz w:val="15"/>
                <w:szCs w:val="15"/>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12,331</w:t>
            </w:r>
          </w:p>
        </w:tc>
        <w:tc>
          <w:tcPr>
            <w:tcW w:w="20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13,345</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10,415</w:t>
            </w:r>
          </w:p>
        </w:tc>
        <w:tc>
          <w:tcPr>
            <w:tcW w:w="18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5,781</w:t>
            </w:r>
          </w:p>
        </w:tc>
        <w:tc>
          <w:tcPr>
            <w:tcW w:w="2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8,722</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68,910</w:t>
            </w:r>
          </w:p>
        </w:tc>
      </w:tr>
      <w:tr>
        <w:trPr>
          <w:trHeight w:val="30"/>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750-799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128,191</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56,768</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44,299</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30,829</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17,261</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20,496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297,844</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700-749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62,673</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24,650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132,352</w:t>
            </w:r>
          </w:p>
        </w:tc>
      </w:tr>
      <w:tr>
        <w:trPr>
          <w:trHeight w:val="30"/>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650-699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31,402</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5,817</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5,392</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2,828</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51,430</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600-649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6,634</w:t>
            </w:r>
          </w:p>
        </w:tc>
      </w:tr>
      <w:tr>
        <w:trPr>
          <w:trHeight w:val="30"/>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550-599</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2,453</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500-549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w:t>
            </w:r>
          </w:p>
        </w:tc>
      </w:tr>
      <w:tr>
        <w:trPr>
          <w:trHeight w:val="30"/>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Under 500</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r>
      <w:tr>
        <w:trPr>
          <w:trHeight w:val="173"/>
        </w:trPr>
        <w:tc>
          <w:tcPr>
            <w:tcW w:w="2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Unknown</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r>
      <w:tr>
        <w:trPr>
          <w:trHeight w:val="30"/>
        </w:trPr>
        <w:tc>
          <w:tcPr>
            <w:tcW w:w="2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0"/>
        </w:trPr>
        <w:tc>
          <w:tcPr>
            <w:tcW w:w="2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244,401</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101,169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82,136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57,880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44,097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561,805</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2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 excluded from total</w:t>
            </w: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18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w:t>
            </w:r>
          </w:p>
        </w:tc>
      </w:tr>
      <w:tr>
        <w:trPr>
          <w:trHeight w:val="22"/>
        </w:trPr>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80" w:hanging="454"/>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scores have been updated within the last twelve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Mortgage loans serviced for others are not reported as assets on the Consolidated Statements of Financial Condition. The principal balances of these loans at December 31 follow: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serviced for:</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Fannie Mae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1,840,221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1,753,255</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Freddie Mac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1,344,675</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Ginnie Mae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170,983</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FHLB</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49,581</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3,493,312</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3,323,521</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Custodial deposit accounts maintained in connection with mortgage loans serviced for others totaled $28.4 million and $39.4 million, at December 31, 2022 and 2021, respectively.</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do not remain well capitalized for regulatory purposes (see note #20), meet certain minimum capital levels or certain profitability requirements or if we incur a rapid decline in net worth, we could lose our ability to sell and/or service loans to these investors. This could impact our ability to generate net gains on mortgage loans and generate servicing income. A forced liquidation of our servicing portfolio could also impact the value that could be recovered on this asset. Fannie Mae has the most stringent eligibility requirements covering capital levels, profitability and decline in net worth. Fannie Mae requires seller/servicers to be well capitalized for regulatory purposes. For the profitability requirement, we cannot record four or more consecutive quarterly losses and experience a 30% decline in net worth over the same period. Our net worth cannot decline by more than 25% in one quarter or more than 40% over two consecutive quarters.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capitalized mortgage loan servicing rights for the years ended December 31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w:t>
            </w:r>
          </w:p>
        </w:tc>
        <w:tc>
          <w:tcPr>
            <w:tcW w:w="0" w:type="dxa"/>
            <w:vAlign w:val="bottom"/>
          </w:tcPr>
          <w:p>
            <w:pPr>
              <w:spacing w:after="0"/>
              <w:rPr>
                <w:sz w:val="1"/>
                <w:szCs w:val="1"/>
                <w:color w:val="auto"/>
              </w:rPr>
            </w:pP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due to price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Change in fair value due to pay downs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Loans sold and serviced that have had servicing rights capitalized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3,493,312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3,323,521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2,982,833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of capitalized mortgage loan servicing rights was determined using an average coupon rate of 3.60%, average servicing fee of 0.26%, average discount rate of 10.12% and an average Public Securities Association (‘‘PSA’’) prepayment rate of 133 for December 31, 2022; and average coupon rate of 3.46%, average servicing fee of 0.256%, average discount rate of 10.07% and an average PSA prepayment rate of 232 for December 31,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OTHER REAL ESTATE</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01"/>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A summary of other real estate activity for the years ended December 31 follows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4"/>
        </w:trPr>
        <w:tc>
          <w:tcPr>
            <w:tcW w:w="66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50"/>
        </w:trPr>
        <w:tc>
          <w:tcPr>
            <w:tcW w:w="6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 net of valuation allowance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transferred to other real estate</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6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 other real estate</w:t>
            </w: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50"/>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to valuation allowance charged to expense</w:t>
            </w:r>
          </w:p>
        </w:tc>
        <w:tc>
          <w:tcPr>
            <w:tcW w:w="100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5"/>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 net of valuation allowance</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79" w:lineRule="exact"/>
        <w:rPr>
          <w:sz w:val="20"/>
          <w:szCs w:val="20"/>
          <w:color w:val="auto"/>
        </w:rPr>
      </w:pPr>
    </w:p>
    <w:p>
      <w:pPr>
        <w:ind w:left="480" w:hanging="454"/>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excludes other repossessed assets totaling $0.01 million and $0.01 million at December 31, 2022 and 2021, respectively.</w:t>
      </w:r>
    </w:p>
    <w:p>
      <w:pPr>
        <w:spacing w:after="0" w:line="3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periodically review our real estate properties and establish valuation allowances on these properties if values have declined since the date of acquisition. An analysis of our valuation allowance for other real estate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50"/>
        </w:trPr>
        <w:tc>
          <w:tcPr>
            <w:tcW w:w="6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6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040" w:type="dxa"/>
            <w:vAlign w:val="bottom"/>
          </w:tcPr>
          <w:p>
            <w:pPr>
              <w:spacing w:after="0"/>
              <w:rPr>
                <w:sz w:val="22"/>
                <w:szCs w:val="22"/>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2"/>
                <w:szCs w:val="22"/>
                <w:color w:val="auto"/>
              </w:rPr>
            </w:pPr>
          </w:p>
        </w:tc>
        <w:tc>
          <w:tcPr>
            <w:tcW w:w="13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7"/>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 write-downs upon sale</w:t>
            </w:r>
          </w:p>
        </w:tc>
        <w:tc>
          <w:tcPr>
            <w:tcW w:w="10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660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2022 and 2021, the balance of other real estate includes $0.4 million and $0.2 million, respectively of foreclosed residential real estate properties. Retail mortgage loans secured by residential real estate properties for which formal foreclosure proceedings are in process according to local requirements totaled $0.8 million and $0.6 million at December 31, 2022 and 2021, respectively.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real estate and repossessed assets totaling $0.5 million and $0.2 million at December 31, 2022 and 2021, respectively, are presented net of the valuation allowance on the Consolidated Statements of Financial Condition.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property and equipment at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58,870</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75,770</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74,844</w:t>
            </w: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151,010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(118,020)</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(114,606)</w:t>
            </w:r>
          </w:p>
        </w:tc>
      </w:tr>
      <w:tr>
        <w:trPr>
          <w:trHeight w:val="24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35,893</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36,404</w:t>
            </w: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$5.3 million, $5.4 million and $5.3 million in 2022, 2021 and 2020,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 of amortization, at December 31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5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8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 - core 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 - goodwill</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2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2022, the Bank (our reporting unit) had positive equity and elected to perform a qualitative assessment to determine if it was more likely than not that the fair value of the Bank exceeds its carrying value, including goodwill. The qualitative assessment indicated that it was more likely than not that the fair value of the Bank exceeded its carrying value, resulting in no impairment.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amortization expense was $0.8 million, $1.0 million and $1.0 million during the years ended 2022, 2021 and 2020, respectively.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estimated core deposit intangible amortization at December 31, 2022,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3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DEPOSITS</w:t>
            </w: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interest expense on deposits for the years ended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Reciprocal</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0" w:type="dxa"/>
            <w:vAlign w:val="bottom"/>
          </w:tcPr>
          <w:p>
            <w:pPr>
              <w:spacing w:after="0"/>
              <w:rPr>
                <w:sz w:val="1"/>
                <w:szCs w:val="1"/>
                <w:color w:val="auto"/>
              </w:rPr>
            </w:pPr>
          </w:p>
        </w:tc>
      </w:tr>
      <w:tr>
        <w:trPr>
          <w:trHeight w:val="26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time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Aggregate time deposits in denominations of $0.25 million or more amounted to $82.9 million and $93.1 million at December 31, 2022 and 2021,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864"/>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the maturity of time deposits at December 31, 2022, follows (1):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86"/>
        </w:trPr>
        <w:tc>
          <w:tcPr>
            <w:tcW w:w="9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509,639</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54,808</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5"/>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580,221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(1)</w:t>
        <w:tab/>
        <w:t>Includes time deposits, brokered time deposits and reciprocal time deposits</w:t>
      </w:r>
    </w:p>
    <w:p>
      <w:pPr>
        <w:spacing w:after="0" w:line="3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Reciprocal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reciprocal deposits at December 31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554,585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559,664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46,794</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24,416</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602,575</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586,626</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OTHER BORROWINGS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other borrowings at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FRB</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from the FHLB</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86,006</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Borrowings with the FRB at December 31, 2022 and 2021 were $61.0 million and zero, respectively. These borrowings contractually mature in 2023 and have an average interest rate of 4.50%. Average borrowings with the FRB during the years ended December 31, 2022, 2021 and 2020 totaled $26.354 million, zero and $1.546 million, respectively. We had unused borrowing capacity with the FRB (subject to the FRB’s credit requirements and policies) of $330.4 million at December 31, 2022. Collateral for FRB borrowings are certain commercial and installment loans. Interest expense on borrowings with the FRB amounted to $0.754 million, zero and $0.004 million for the years ended December 31, 2022, 2021 and 2020, respectively.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Advances from the FHLB are secured by unencumbered qualifying mortgage and home equity loans with a market value equal to at least 125% to 165%, respectively, of outstanding advances. Advances are also secured by FHLB stock that we own, which totaled $7.9 million at December 31, 2022. Unused borrowing capacity with the FHLB (subject to the FHLB’s credit requirements and policies) was $881.3 million at December 31, 2022. Interest expense on advances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amounted to $0.2 million, $0.2 million and $0.5 million for the years ended December 31, 2022, 2021 and 2020, respectively. We prepaid $30.0 million, zero and zero FHLB advances during 2022, 2021 or 2020,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member of the FHLB, we must own FHLB stock equal to the greater of 0.10% of total assets or 4.5% of our outstanding advances and loans sold to the FHLB. At December 31, 2022, we were in compliance with the FHLB stock ownership requirements.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maturity dates, weighted average interest rates and contractually required repayments of FHLB advances at December 31 follow: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50"/>
        </w:trPr>
        <w:tc>
          <w:tcPr>
            <w:tcW w:w="4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50"/>
        </w:trPr>
        <w:tc>
          <w:tcPr>
            <w:tcW w:w="4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3"/>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Rate Advances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50"/>
        </w:trPr>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3"/>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2028 and thereafter</w:t>
            </w:r>
          </w:p>
        </w:tc>
        <w:tc>
          <w:tcPr>
            <w:tcW w:w="260" w:type="dxa"/>
            <w:vAlign w:val="bottom"/>
            <w:tcBorders>
              <w:bottom w:val="single" w:sz="8" w:color="242424"/>
            </w:tcBorders>
            <w:shd w:val="clear" w:color="auto" w:fill="CCEEFF"/>
          </w:tcPr>
          <w:p>
            <w:pPr>
              <w:spacing w:after="0"/>
              <w:rPr>
                <w:sz w:val="22"/>
                <w:szCs w:val="22"/>
                <w:color w:val="auto"/>
              </w:rPr>
            </w:pPr>
          </w:p>
        </w:tc>
        <w:tc>
          <w:tcPr>
            <w:tcW w:w="118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tcBorders>
              <w:bottom w:val="single" w:sz="8" w:color="242424"/>
            </w:tcBorders>
            <w:shd w:val="clear" w:color="auto" w:fill="CCEEFF"/>
          </w:tcPr>
          <w:p>
            <w:pPr>
              <w:spacing w:after="0"/>
              <w:rPr>
                <w:sz w:val="22"/>
                <w:szCs w:val="22"/>
                <w:color w:val="auto"/>
              </w:rPr>
            </w:pPr>
          </w:p>
        </w:tc>
        <w:tc>
          <w:tcPr>
            <w:tcW w:w="112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Borders>
              <w:bottom w:val="single" w:sz="8" w:color="242424"/>
            </w:tcBorders>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0.74 %</w:t>
            </w:r>
          </w:p>
        </w:tc>
      </w:tr>
      <w:tr>
        <w:trPr>
          <w:trHeight w:val="250"/>
        </w:trPr>
        <w:tc>
          <w:tcPr>
            <w:tcW w:w="4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fixed rate advances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0.74 %</w:t>
            </w:r>
          </w:p>
        </w:tc>
      </w:tr>
      <w:tr>
        <w:trPr>
          <w:trHeight w:val="20"/>
        </w:trPr>
        <w:tc>
          <w:tcPr>
            <w:tcW w:w="4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42424"/>
              <w:bottom w:val="single" w:sz="8" w:color="242424"/>
            </w:tcBorders>
          </w:tcPr>
          <w:p>
            <w:pPr>
              <w:spacing w:after="0" w:line="20" w:lineRule="exact"/>
              <w:rPr>
                <w:sz w:val="1"/>
                <w:szCs w:val="1"/>
                <w:color w:val="auto"/>
              </w:rPr>
            </w:pPr>
          </w:p>
        </w:tc>
        <w:tc>
          <w:tcPr>
            <w:tcW w:w="1120" w:type="dxa"/>
            <w:vAlign w:val="bottom"/>
            <w:tcBorders>
              <w:top w:val="single" w:sz="8" w:color="242424"/>
              <w:bottom w:val="single" w:sz="8" w:color="242424"/>
            </w:tcBorders>
          </w:tcPr>
          <w:p>
            <w:pPr>
              <w:spacing w:after="0" w:line="20" w:lineRule="exact"/>
              <w:rPr>
                <w:sz w:val="1"/>
                <w:szCs w:val="1"/>
                <w:color w:val="auto"/>
              </w:rPr>
            </w:pPr>
          </w:p>
        </w:tc>
        <w:tc>
          <w:tcPr>
            <w:tcW w:w="80" w:type="dxa"/>
            <w:vAlign w:val="bottom"/>
            <w:tcBorders>
              <w:top w:val="single" w:sz="8" w:color="242424"/>
              <w:bottom w:val="single" w:sz="8" w:color="242424"/>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on federal funds purchased totaled zero, zero and $0.01 million for the years ended December 31, 2022, 2021 and 2020, respectively.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Assets, consisting of FHLB stock and loans, pledged to secure other borrowings and unused borrowing capacity totaled $2.1 billion at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SUBORDINATED DEBT AND DEBENTURES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(May 31, 2030 maturity date) and a five year call option. The initial coupon rate is 5.95% fixed for five years and then floats at the Secured Overnight Financing Rate (“SOFR”) plus 5.825%. These notes are presented in the Consolidated Statement of Financial Condition under the caption “Subordinated debt” and the balances of $39.43 million and $39.40 million at December 31, 2022 and 2021, respectively are net of remaining unamortized deferred issuance costs of approximately $0.57 million and $0.64 million, respectively that are being amortized through the maturity date into interest expense on other borrowings and subordinated debt and debentures in our Consolidated Statement of Operations. We may redeem the notes, in whole or in part, on or after May 31, 2025, and redeem the notes at any time in whole upon certain other events. Any redemption of the notes will be subject to prior regulatory approval to the extent required.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formed various special purpose entities (the ‘‘trusts’’) for the purpose of issuing trust preferred securities in either public or pooled offerings or in private placements. Independent Bank Corporation owns all of the common stock of each trust and has issued subordinated debentures to each trust in exchange for all of the proceeds from the issuance of the common stock and the trust preferred securities. Trust preferred securities totaling $38.4 million at both December 31, 2022 and 2021, qualified as Tier 1 regulatory capital.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trusts are not consolidated with Independent Bank Corporation and accordingly, we report the common securities of the trusts held by us in accrued income and other assets and the subordinated debentures that we have issued to the trusts in the liability section of our Consolidated Statements of Financial Condition.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result of a previous acquisition we acquired TCSB Statutory Trust I as summarized in the tables below at a discount. The discount at acquisition totaled $1.4 million and is being amortized through its maturity date and is included in interest expense – other borrowings and subordinated debt and debentures in the Consolidated Statements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Summary information regarding subordinated debentures as of December 31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40" w:type="dxa"/>
            <w:vAlign w:val="bottom"/>
            <w:tcBorders>
              <w:bottom w:val="single" w:sz="8" w:color="auto"/>
            </w:tcBorders>
          </w:tcPr>
          <w:p>
            <w:pPr>
              <w:spacing w:after="0"/>
              <w:rPr>
                <w:sz w:val="21"/>
                <w:szCs w:val="21"/>
                <w:color w:val="auto"/>
              </w:rPr>
            </w:pPr>
          </w:p>
        </w:tc>
      </w:tr>
      <w:tr>
        <w:trPr>
          <w:trHeight w:val="221"/>
        </w:trPr>
        <w:tc>
          <w:tcPr>
            <w:tcW w:w="28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1440" w:type="dxa"/>
            <w:vAlign w:val="bottom"/>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2820" w:type="dxa"/>
            <w:vAlign w:val="bottom"/>
          </w:tcPr>
          <w:p>
            <w:pPr>
              <w:spacing w:after="0"/>
              <w:rPr>
                <w:sz w:val="18"/>
                <w:szCs w:val="18"/>
                <w:color w:val="auto"/>
              </w:rPr>
            </w:pPr>
          </w:p>
        </w:tc>
        <w:tc>
          <w:tcPr>
            <w:tcW w:w="37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Subordinated</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59"/>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78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Debentures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43"/>
        </w:trPr>
        <w:tc>
          <w:tcPr>
            <w:tcW w:w="2820" w:type="dxa"/>
            <w:vAlign w:val="bottom"/>
            <w:tcBorders>
              <w:top w:val="single" w:sz="8" w:color="auto"/>
            </w:tcBorders>
          </w:tcPr>
          <w:p>
            <w:pPr>
              <w:spacing w:after="0"/>
              <w:rPr>
                <w:sz w:val="21"/>
                <w:szCs w:val="21"/>
                <w:color w:val="auto"/>
              </w:rPr>
            </w:pPr>
          </w:p>
        </w:tc>
        <w:tc>
          <w:tcPr>
            <w:tcW w:w="3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40" w:type="dxa"/>
            <w:vAlign w:val="bottom"/>
            <w:tcBorders>
              <w:top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III</w:t>
      </w:r>
      <w:r>
        <w:rPr>
          <w:sz w:val="20"/>
          <w:szCs w:val="20"/>
          <w:color w:val="auto"/>
        </w:rPr>
        <w:tab/>
      </w:r>
      <w:r>
        <w:rPr>
          <w:rFonts w:ascii="Times New Roman" w:cs="Times New Roman" w:eastAsia="Times New Roman" w:hAnsi="Times New Roman"/>
          <w:sz w:val="18"/>
          <w:szCs w:val="18"/>
          <w:color w:val="auto"/>
        </w:rPr>
        <w:t>May 2007</w:t>
      </w:r>
    </w:p>
    <w:p>
      <w:pPr>
        <w:spacing w:after="0" w:line="50"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IV</w:t>
      </w:r>
      <w:r>
        <w:rPr>
          <w:sz w:val="20"/>
          <w:szCs w:val="20"/>
          <w:color w:val="auto"/>
        </w:rPr>
        <w:tab/>
      </w:r>
      <w:r>
        <w:rPr>
          <w:rFonts w:ascii="Times New Roman" w:cs="Times New Roman" w:eastAsia="Times New Roman" w:hAnsi="Times New Roman"/>
          <w:sz w:val="18"/>
          <w:szCs w:val="18"/>
          <w:color w:val="auto"/>
        </w:rPr>
        <w:t>September 2007</w:t>
      </w:r>
    </w:p>
    <w:p>
      <w:pPr>
        <w:spacing w:after="0" w:line="50"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Midwest Guaranty Trust I</w:t>
      </w:r>
      <w:r>
        <w:rPr>
          <w:sz w:val="20"/>
          <w:szCs w:val="20"/>
          <w:color w:val="auto"/>
        </w:rPr>
        <w:tab/>
      </w:r>
      <w:r>
        <w:rPr>
          <w:rFonts w:ascii="Times New Roman" w:cs="Times New Roman" w:eastAsia="Times New Roman" w:hAnsi="Times New Roman"/>
          <w:sz w:val="17"/>
          <w:szCs w:val="17"/>
          <w:color w:val="auto"/>
        </w:rPr>
        <w:t>November 2002</w:t>
      </w:r>
    </w:p>
    <w:p>
      <w:pPr>
        <w:spacing w:after="0" w:line="50"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TCSB Statutory Trust I</w:t>
      </w:r>
      <w:r>
        <w:rPr>
          <w:sz w:val="20"/>
          <w:szCs w:val="20"/>
          <w:color w:val="auto"/>
        </w:rPr>
        <w:tab/>
      </w:r>
      <w:r>
        <w:rPr>
          <w:rFonts w:ascii="Times New Roman" w:cs="Times New Roman" w:eastAsia="Times New Roman" w:hAnsi="Times New Roman"/>
          <w:sz w:val="18"/>
          <w:szCs w:val="18"/>
          <w:color w:val="auto"/>
        </w:rPr>
        <w:t>March 2005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Discount on TCSB Statutory Trust I</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12,372</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57"/>
        </w:trPr>
        <w:tc>
          <w:tcPr>
            <w:tcW w:w="5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15,465</w:t>
            </w:r>
          </w:p>
        </w:tc>
        <w:tc>
          <w:tcPr>
            <w:tcW w:w="5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6"/>
        </w:trPr>
        <w:tc>
          <w:tcPr>
            <w:tcW w:w="5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7,732</w:t>
            </w:r>
          </w:p>
        </w:tc>
        <w:tc>
          <w:tcPr>
            <w:tcW w:w="5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7"/>
        </w:trPr>
        <w:tc>
          <w:tcPr>
            <w:tcW w:w="5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5,155</w:t>
            </w:r>
          </w:p>
        </w:tc>
        <w:tc>
          <w:tcPr>
            <w:tcW w:w="5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3"/>
        </w:trPr>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39,660</w:t>
            </w:r>
          </w:p>
        </w:tc>
        <w:tc>
          <w:tcPr>
            <w:tcW w:w="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38,436</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-693420</wp:posOffset>
            </wp:positionV>
            <wp:extent cx="713232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-368300</wp:posOffset>
            </wp:positionV>
            <wp:extent cx="713232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121" w:right="339" w:bottom="1440"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40" w:type="dxa"/>
            <w:vAlign w:val="bottom"/>
            <w:tcBorders>
              <w:bottom w:val="single" w:sz="8" w:color="auto"/>
            </w:tcBorders>
          </w:tcPr>
          <w:p>
            <w:pPr>
              <w:spacing w:after="0"/>
              <w:rPr>
                <w:sz w:val="21"/>
                <w:szCs w:val="21"/>
                <w:color w:val="auto"/>
              </w:rPr>
            </w:pPr>
          </w:p>
        </w:tc>
      </w:tr>
      <w:tr>
        <w:trPr>
          <w:trHeight w:val="221"/>
        </w:trPr>
        <w:tc>
          <w:tcPr>
            <w:tcW w:w="28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1440" w:type="dxa"/>
            <w:vAlign w:val="bottom"/>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2820" w:type="dxa"/>
            <w:vAlign w:val="bottom"/>
          </w:tcPr>
          <w:p>
            <w:pPr>
              <w:spacing w:after="0"/>
              <w:rPr>
                <w:sz w:val="18"/>
                <w:szCs w:val="18"/>
                <w:color w:val="auto"/>
              </w:rPr>
            </w:pPr>
          </w:p>
        </w:tc>
        <w:tc>
          <w:tcPr>
            <w:tcW w:w="378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Subordinated</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5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78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Debentures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43"/>
        </w:trPr>
        <w:tc>
          <w:tcPr>
            <w:tcW w:w="2820" w:type="dxa"/>
            <w:vAlign w:val="bottom"/>
            <w:tcBorders>
              <w:top w:val="single" w:sz="8" w:color="auto"/>
            </w:tcBorders>
          </w:tcPr>
          <w:p>
            <w:pPr>
              <w:spacing w:after="0"/>
              <w:rPr>
                <w:sz w:val="21"/>
                <w:szCs w:val="21"/>
                <w:color w:val="auto"/>
              </w:rPr>
            </w:pPr>
          </w:p>
        </w:tc>
        <w:tc>
          <w:tcPr>
            <w:tcW w:w="3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40" w:type="dxa"/>
            <w:vAlign w:val="bottom"/>
            <w:tcBorders>
              <w:top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2"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III</w:t>
      </w:r>
      <w:r>
        <w:rPr>
          <w:sz w:val="20"/>
          <w:szCs w:val="20"/>
          <w:color w:val="auto"/>
        </w:rPr>
        <w:tab/>
      </w:r>
      <w:r>
        <w:rPr>
          <w:rFonts w:ascii="Times New Roman" w:cs="Times New Roman" w:eastAsia="Times New Roman" w:hAnsi="Times New Roman"/>
          <w:sz w:val="18"/>
          <w:szCs w:val="18"/>
          <w:color w:val="auto"/>
        </w:rPr>
        <w:t>May 2007</w:t>
      </w:r>
    </w:p>
    <w:p>
      <w:pPr>
        <w:spacing w:after="0" w:line="50"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IV</w:t>
      </w:r>
      <w:r>
        <w:rPr>
          <w:sz w:val="20"/>
          <w:szCs w:val="20"/>
          <w:color w:val="auto"/>
        </w:rPr>
        <w:tab/>
      </w:r>
      <w:r>
        <w:rPr>
          <w:rFonts w:ascii="Times New Roman" w:cs="Times New Roman" w:eastAsia="Times New Roman" w:hAnsi="Times New Roman"/>
          <w:sz w:val="18"/>
          <w:szCs w:val="18"/>
          <w:color w:val="auto"/>
        </w:rPr>
        <w:t>September 2007</w:t>
      </w:r>
    </w:p>
    <w:p>
      <w:pPr>
        <w:spacing w:after="0" w:line="50"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Midwest Guaranty Trust I</w:t>
      </w:r>
      <w:r>
        <w:rPr>
          <w:sz w:val="20"/>
          <w:szCs w:val="20"/>
          <w:color w:val="auto"/>
        </w:rPr>
        <w:tab/>
      </w:r>
      <w:r>
        <w:rPr>
          <w:rFonts w:ascii="Times New Roman" w:cs="Times New Roman" w:eastAsia="Times New Roman" w:hAnsi="Times New Roman"/>
          <w:sz w:val="17"/>
          <w:szCs w:val="17"/>
          <w:color w:val="auto"/>
        </w:rPr>
        <w:t>November 2002</w:t>
      </w:r>
    </w:p>
    <w:p>
      <w:pPr>
        <w:spacing w:after="0" w:line="50"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TCSB Statutory Trust I</w:t>
      </w:r>
      <w:r>
        <w:rPr>
          <w:sz w:val="20"/>
          <w:szCs w:val="20"/>
          <w:color w:val="auto"/>
        </w:rPr>
        <w:tab/>
      </w:r>
      <w:r>
        <w:rPr>
          <w:rFonts w:ascii="Times New Roman" w:cs="Times New Roman" w:eastAsia="Times New Roman" w:hAnsi="Times New Roman"/>
          <w:sz w:val="18"/>
          <w:szCs w:val="18"/>
          <w:color w:val="auto"/>
        </w:rPr>
        <w:t>March 2005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Discount on TCSB Statutory Trust I</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12,372</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56"/>
        </w:trPr>
        <w:tc>
          <w:tcPr>
            <w:tcW w:w="5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15,465</w:t>
            </w:r>
          </w:p>
        </w:tc>
        <w:tc>
          <w:tcPr>
            <w:tcW w:w="5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7"/>
        </w:trPr>
        <w:tc>
          <w:tcPr>
            <w:tcW w:w="5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7,732</w:t>
            </w:r>
          </w:p>
        </w:tc>
        <w:tc>
          <w:tcPr>
            <w:tcW w:w="5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6"/>
        </w:trPr>
        <w:tc>
          <w:tcPr>
            <w:tcW w:w="5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5,155</w:t>
            </w:r>
          </w:p>
        </w:tc>
        <w:tc>
          <w:tcPr>
            <w:tcW w:w="5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3"/>
        </w:trPr>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39,592</w:t>
            </w:r>
          </w:p>
        </w:tc>
        <w:tc>
          <w:tcPr>
            <w:tcW w:w="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38,368</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7"/>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-694055</wp:posOffset>
            </wp:positionV>
            <wp:extent cx="71323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-368300</wp:posOffset>
            </wp:positionV>
            <wp:extent cx="713232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121" w:right="339" w:bottom="1440" w:gutter="0" w:footer="0" w:header="0"/>
          <w:type w:val="continuous"/>
        </w:sectPr>
      </w:pP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key terms for the subordinated debentures and trust preferred securities that were outstanding at December 31, 2022 and 2021 follow: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27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3000" w:type="dxa"/>
            <w:vAlign w:val="bottom"/>
          </w:tcPr>
          <w:p>
            <w:pPr>
              <w:spacing w:after="0"/>
              <w:rPr>
                <w:sz w:val="18"/>
                <w:szCs w:val="18"/>
                <w:color w:val="auto"/>
              </w:rPr>
            </w:pPr>
          </w:p>
        </w:tc>
        <w:tc>
          <w:tcPr>
            <w:tcW w:w="31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First Permitted</w:t>
            </w:r>
          </w:p>
        </w:tc>
      </w:tr>
      <w:tr>
        <w:trPr>
          <w:trHeight w:val="259"/>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7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0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31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Redemption Date</w:t>
            </w:r>
          </w:p>
        </w:tc>
      </w:tr>
      <w:tr>
        <w:trPr>
          <w:trHeight w:val="256"/>
        </w:trPr>
        <w:tc>
          <w:tcPr>
            <w:tcW w:w="23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57"/>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IBC Capital Finance III</w:t>
            </w:r>
          </w:p>
        </w:tc>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July 30, 2037</w:t>
            </w:r>
          </w:p>
        </w:tc>
        <w:tc>
          <w:tcPr>
            <w:tcW w:w="3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 month LIBOR plus 1.60%</w:t>
            </w:r>
          </w:p>
        </w:tc>
        <w:tc>
          <w:tcPr>
            <w:tcW w:w="3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July 30, 2012</w:t>
            </w:r>
          </w:p>
        </w:tc>
      </w:tr>
      <w:tr>
        <w:trPr>
          <w:trHeight w:val="25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IBC Capital Finance IV</w:t>
            </w:r>
          </w:p>
        </w:tc>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September 15, 2037</w:t>
            </w:r>
          </w:p>
        </w:tc>
        <w:tc>
          <w:tcPr>
            <w:tcW w:w="3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 month LIBOR plus 2.85%</w:t>
            </w:r>
          </w:p>
        </w:tc>
        <w:tc>
          <w:tcPr>
            <w:tcW w:w="3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September 15, 2012</w:t>
            </w:r>
          </w:p>
        </w:tc>
      </w:tr>
      <w:tr>
        <w:trPr>
          <w:trHeight w:val="26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Midwest Guaranty Trust I</w:t>
            </w:r>
          </w:p>
        </w:tc>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November 7, 2032</w:t>
            </w:r>
          </w:p>
        </w:tc>
        <w:tc>
          <w:tcPr>
            <w:tcW w:w="3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 month LIBOR plus 3.45%</w:t>
            </w:r>
          </w:p>
        </w:tc>
        <w:tc>
          <w:tcPr>
            <w:tcW w:w="3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November 7, 2007</w:t>
            </w: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TCSB Statutory Trust I</w:t>
            </w:r>
          </w:p>
        </w:tc>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March 17, 2035</w:t>
            </w:r>
          </w:p>
        </w:tc>
        <w:tc>
          <w:tcPr>
            <w:tcW w:w="3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 month LIBOR plus 2.20%</w:t>
            </w:r>
          </w:p>
        </w:tc>
        <w:tc>
          <w:tcPr>
            <w:tcW w:w="3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March 17, 2010</w:t>
            </w:r>
          </w:p>
        </w:tc>
      </w:tr>
    </w:tbl>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subordinated debentures and trust preferred securities are cumulative and have a feature that permits us to defer distributions (payment of interest) from time to time for a period not to exceed 20 consecutive quarters. Interest is payable quarterly on each of the subordinated debentures and trust preferred securities and no distributions were deferred at December 31, 2022 and 2021.</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the right to redeem the subordinated debentures and trust preferred securities (at par) in whole or in part from time to time on or after the first permitted redemption date specified above or upon the occurrence of specific events defined within the trust indenture agreements.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Distributions (payment of interest) on the trust preferred securities are included in interest expense – other borrowings and subordinated debt and debentures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CONTINGENT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financial instruments with off-balance sheet risk to meet the financing needs of customers or to reduce exposure to fluctuations in interest rates. These financial instruments may include 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standby letters of credit is represented by the contractual amounts of those instruments.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financial instruments with off-balance sheet risk at December 31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9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 whose risk is represented by contract amounts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811,957</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672,693</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8,371</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generally require payment of a fee. Since commitments may expire without being drawn upon, the commitment amounts do not represent future cash requirements. Commitments are issued subject to similar underwriting standards, including collateral requirements, as are generally involved in the extension of credit facilities.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Standby letters of credit are written conditional commitments issued to guarantee the performance of a customer to a third party. The credit risk involved in such transactions is essentially the same as that involved in extending loan facilities and, accordingly, standby letters of credit are issued subject to similar underwriting standards, including collateral requirements, as are generally involved in the extension of credit facilities. The majority of the standby letters of credit are on-demand with no stated maturity date and have variable rates that range from 1.00% to 13.50%.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w:t>
      </w:r>
    </w:p>
    <w:p>
      <w:pPr>
        <w:spacing w:after="0" w:line="24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Pressures from heightened inflation, rising interest rates, elevated energy prices, supply chain disruptions, concerns over the Russia-Ukraine war, and foreign currency exchange rate fluctuations continue to create significant economic uncertainty. In an effort to combat inflationary pressures, the Federal Reserve Board increased the federal funds rate by a total of 4.25% over 2022, including a 75-basis point increase in November 2022 and a 50-basis point increase in December 2022. The rate was increased by another 25-basis points in February 2023. Many policymakers expect rates to continue to rise into 2023. The ongoing Russia-Ukraine war, its impact on energy prices, and related events are likely to continue to create additional pressure on economic activity. The resulting responses by the U.S. and other countries (including the imposition of economic sanctions and export restrictions), and the potential for wider conflict has increased volatility and uncertainty in global financial markets and could result in significant market disruptions, including in our customers’ industries or sectors.</w:t>
      </w:r>
    </w:p>
    <w:p>
      <w:pPr>
        <w:spacing w:after="0" w:line="214"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economy. However, a high degree of uncertainty still exists with respect to the impact of the fluid global economic conditions on the future performance of our loan portfolio.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Stock</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1.5991 Class A shares for every 1 Class B share and the closing price of VISA Class A shares on February 21, 2023 of $220.62 per share, our 12,566 Class B shares would have a current “value” of approximately $4.4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SHAREHOLDERS’ EQUITY AND NET INCOME PER COMMON SHARE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authorized share repurchase plans to buy back up to 5% of our outstanding common stock during 2022, 2021 and 2020. During 2022, 2021 and 2020 repurchases were made through open market and negotiated transactions and totaled 181,586, 814,910 and 708,956 shares of common stock, respectively for an aggregate purchase price of $4.0 million, $17.3 million and $14.2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basic and diluted net income per common share for the years ended December 31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69"/>
        </w:trPr>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gridSpan w:val="6"/>
          </w:tcPr>
          <w:p>
            <w:pPr>
              <w:jc w:val="center"/>
              <w:ind w:left="5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 thousands, except per share</w:t>
            </w:r>
          </w:p>
        </w:tc>
        <w:tc>
          <w:tcPr>
            <w:tcW w:w="1020" w:type="dxa"/>
            <w:vAlign w:val="bottom"/>
          </w:tcPr>
          <w:p>
            <w:pPr>
              <w:spacing w:after="0"/>
              <w:rPr>
                <w:sz w:val="14"/>
                <w:szCs w:val="14"/>
                <w:color w:val="auto"/>
              </w:rPr>
            </w:pPr>
          </w:p>
        </w:tc>
      </w:tr>
      <w:tr>
        <w:trPr>
          <w:trHeight w:val="241"/>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21,977</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 for deferred compensation plan for non-employee directors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stock options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 for calculation of diluted earnings per share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283" w:lineRule="exact"/>
        <w:rPr>
          <w:sz w:val="20"/>
          <w:szCs w:val="20"/>
          <w:color w:val="auto"/>
        </w:rPr>
      </w:pPr>
    </w:p>
    <w:p>
      <w:pPr>
        <w:ind w:left="480" w:hanging="454"/>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per common share includes weighted average common shares outstanding during the period and participating share awards.</w:t>
      </w:r>
    </w:p>
    <w:p>
      <w:pPr>
        <w:spacing w:after="0" w:line="33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Weighted average stock options outstanding that were not considered in computing diluted net income per common share because they were anti-dilutive were zero for each year ended 2022, 2021 and 2020,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INCOME TAX</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composition of income tax expense for the years ended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15,459</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(2,130)</w:t>
            </w:r>
          </w:p>
        </w:tc>
      </w:tr>
      <w:tr>
        <w:trPr>
          <w:trHeight w:val="24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13,329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to the amount computed by applying the statutory federal income tax rate of 21% for 2022, 2021 and 2020 to the income before income tax for the years ended December 31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 applied to income before income tax</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 income housing tax credit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meals, entertainment and memberships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December 31 follow: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3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securities AFS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securities HTM transferred from AFS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Incentive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for unfunded lending commitments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premium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reimbursement on sold loans reserve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than temporary impairment charge on securities available for sale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accrual loan 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loan fees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right of use asset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premiums,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securities AFS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Deferred tax assets, net (1)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80" w:hanging="454"/>
        <w:spacing w:after="0"/>
        <w:tabs>
          <w:tab w:leader="none" w:pos="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on the Consolidated Statements of Financial Position.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2022 and 2021, that the realization of substantially all of our deferred tax assets continues to be more likely than not.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unrecognized tax benefits for the years ended December 31 follow:</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3"/>
        </w:trPr>
        <w:tc>
          <w:tcPr>
            <w:tcW w:w="660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due to the statute of limitations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due to settlements</w:t>
            </w:r>
          </w:p>
        </w:tc>
        <w:tc>
          <w:tcPr>
            <w:tcW w:w="10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recognized, the entire amount of unrecognized tax benefits, net of $0.04 million of federal tax on state benefits, would affect our effective tax rate. We do not expect the total amount of unrecognized tax benefits to significantly increase or decrease in the next twelve months. No amounts were expensed for interest and penalties for the years ended December 31, 2022, 2021 and 2020. No amounts were accrued for interest and penalties at December 31, 2022, 2021 and 2020. At December 31, 2022, U.S. Federal tax years 2019 through the present remain open to examination.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 BASED COMPENSATION AND BENEFIT PLANS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0.6 million shares of common stock as of December 31, 2022. The non-employee director stock purchase plan permits the grant of additional share based payments for up to 0.1 million shares of common stock as of December 31, 2022. Share based awards and payments are measured at fair value at the date of grant and are expensed over the requisite service period. Common shares issued upon exercise of stock options come from currently authorized but unissued shares.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2022, 2021 and 2020 pursuant to our long-term incentive plan, we granted 0.06 million, 0.09 million and 0.06 million shares, respectively of restricted stock and 0.02 million during each year of performance stock units (‘‘PSUs’’), to certain officers. The shares of restricted stock and PSUs cliff vest after a period of three years. The performance criteria of the PSUs granted in 2022 is split evenly between a comparison of (i) our total shareholder return and (ii) our return on average assets each over the three year period starting on the grant date to these same criteria over that period to an index of our banking peers. The performance criteria of the PSUs granted in 2021 and 2020 is based on a comparison of our total shareholder return over the three year period starting on the grant date to the same criteria over that period to an index of our banking peers.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We issued 0.02 million shares to directors pursuant to this plan during each of the years ending 2022, 2021 and 2020 and expensed their value during those same periods.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compensation expense recognized for grants pursuant to our long-term incentive plan was $1.8 million, $1.6 million and $1.6 million in 2022, 2021 and 2020, respectively. The corresponding tax benefit relating to this expense was $0.4 million, $0.3 million, and $0.3 million during each year, respectively. Total expense recognized for non-employee director share based payments was $0.4 million, $0.4 million, and $0.4 million for the years ending 2022, 2021 and 2020, respectively. The corresponding tax benefit relating to this expense was $0.08 million, $0.08 million and $0.07 million in 2022, 2021 and 2020,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the total expected compensation cost related to non-vested restricted stock and PSUs not yet recognized was $2.3 million. The weighted-average period over which this amount will be recognized is 1.74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outstanding stock option grants and related transactions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Aggregated</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8.32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8.32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summary of outstanding non-vested stock and related transactions follows:</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5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Certain information regarding options exercised during the periods ending December 31 follows:</w:t>
            </w: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68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w:t>
            </w: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proceeds received</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8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realized</w:t>
            </w: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401(k) and employee stock ownership plans covering substantially all of our full-time employees. We matched 50% of employee contributions to the 401(k) plan up to a maximum of 8% of participating employees’ eligible wages for 2022, 2021 and 2020. Contributions to the employee stock ownership plan are determined annually and require approval of our Board of Directors. The maximum contribution is 6% of employees’ eligible wages. Contributions to the employee stock ownership plan were 2% for each of 2022, 2021 and 2020. Amounts expensed for these retirement plans were $2.9 million, $3.3 million and $3.2 million in 2022, 2021 and 2020, respectively.</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employees participate in various performance-based compensation plans. Amounts expensed for all incentive plans totaled $12.7 million, $15.6 million and $15.7 million in 2022, 2021 and 2020,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provide certain health care and life insurance programs to substantially all full-time employees. Amounts expensed for these programs totaled $6.2 million, $6.1 million and $4.8 million in 2022, 2021 and 2020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insurance programs are also available to retired employees at their own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OTHER NON-INTEREST INCOME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non-interest income for the years ended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2"/>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fees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r>
      <w:tr>
        <w:trPr>
          <w:trHeight w:val="24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non-interest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DERIVATIVE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record derivatives on our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derivative financial instruments according to the type of hedge in which they are designated at December 31 follow: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40" w:type="dxa"/>
            <w:vAlign w:val="bottom"/>
          </w:tcPr>
          <w:p>
            <w:pPr>
              <w:spacing w:after="0"/>
              <w:rPr>
                <w:sz w:val="18"/>
                <w:szCs w:val="18"/>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0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3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1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installment</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 - securities available for sale</w:t>
            </w:r>
          </w:p>
        </w:tc>
        <w:tc>
          <w:tcPr>
            <w:tcW w:w="1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40" w:type="dxa"/>
            <w:vAlign w:val="bottom"/>
            <w:tcBorders>
              <w:bottom w:val="single" w:sz="8" w:color="auto"/>
            </w:tcBorders>
          </w:tcPr>
          <w:p>
            <w:pPr>
              <w:spacing w:after="0"/>
              <w:rPr>
                <w:sz w:val="19"/>
                <w:szCs w:val="19"/>
                <w:color w:val="auto"/>
              </w:rPr>
            </w:pPr>
          </w:p>
        </w:tc>
        <w:tc>
          <w:tcPr>
            <w:tcW w:w="16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221,266</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1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49,258</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279,005</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1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279,005</w:t>
            </w:r>
          </w:p>
        </w:tc>
        <w:tc>
          <w:tcPr>
            <w:tcW w:w="40" w:type="dxa"/>
            <w:vAlign w:val="bottom"/>
            <w:tcBorders>
              <w:bottom w:val="single" w:sz="8" w:color="auto"/>
            </w:tcBorders>
            <w:shd w:val="clear" w:color="auto" w:fill="CCEEFF"/>
          </w:tcPr>
          <w:p>
            <w:pPr>
              <w:spacing w:after="0"/>
              <w:rPr>
                <w:sz w:val="19"/>
                <w:szCs w:val="19"/>
                <w:color w:val="auto"/>
              </w:rPr>
            </w:pP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0" w:type="dxa"/>
            <w:vAlign w:val="bottom"/>
          </w:tcPr>
          <w:p>
            <w:pPr>
              <w:spacing w:after="0"/>
              <w:rPr>
                <w:sz w:val="1"/>
                <w:szCs w:val="1"/>
                <w:color w:val="auto"/>
              </w:rPr>
            </w:pPr>
          </w:p>
        </w:tc>
      </w:tr>
      <w:tr>
        <w:trPr>
          <w:trHeight w:val="22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627,186</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6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3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40" w:type="dxa"/>
            <w:vAlign w:val="bottom"/>
          </w:tcPr>
          <w:p>
            <w:pPr>
              <w:spacing w:after="0"/>
              <w:rPr>
                <w:sz w:val="18"/>
                <w:szCs w:val="18"/>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0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40" w:type="dxa"/>
            <w:vAlign w:val="bottom"/>
            <w:tcBorders>
              <w:bottom w:val="single" w:sz="8" w:color="auto"/>
            </w:tcBorders>
          </w:tcPr>
          <w:p>
            <w:pPr>
              <w:spacing w:after="0"/>
              <w:rPr>
                <w:sz w:val="19"/>
                <w:szCs w:val="19"/>
                <w:color w:val="auto"/>
              </w:rPr>
            </w:pPr>
          </w:p>
        </w:tc>
        <w:tc>
          <w:tcPr>
            <w:tcW w:w="16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155,648</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129,846</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97,737</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207,080</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207,080</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swaption agreement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40" w:type="dxa"/>
            <w:vAlign w:val="bottom"/>
            <w:tcBorders>
              <w:bottom w:val="single" w:sz="8" w:color="auto"/>
            </w:tcBorders>
            <w:shd w:val="clear" w:color="auto" w:fill="CCEEFF"/>
          </w:tcPr>
          <w:p>
            <w:pPr>
              <w:spacing w:after="0"/>
              <w:rPr>
                <w:sz w:val="19"/>
                <w:szCs w:val="19"/>
                <w:color w:val="auto"/>
              </w:rPr>
            </w:pP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741,743</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pay-fixed interest rate swaps to protect a portion of the fair value of a certain fixed rate commercial loan and certain installment loans (‘‘Fair Value Hedge – Portfolio Loans’’). As a result, changes in the fair values of the pay-fixed interest rate swaps are expected to offset changes in the fair values of the fixed rate portfolio loans due to fluctuations in interest rates. We record the fair values of Fair Value Hedge – Portfolio Loans in accrued income and other assets and accrued expenses and other liabilities on our Consolidated Statements of Financial Condition. The hedged items (fixed rate commercial loan and certain fixed rate installment loans) are also recorded at fair value which offsets the adjustment to the Fair Value Hedge – Portfolio Loans. On an ongoing basis, we adjust our Consolidated Statements of Financial Condition to reflect the then current fair values of both the Fair Value Hedge – Portfolio Loans and the hedged items. The related gains or losses are reported in interest income – interest and fees on loans in our Consolidated Statements of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pay-fixed interest rate swaps and interest rate cap agreements to protect a portion of the fair value of certain securities available for sale (‘‘Fair Value Hedge – AFS Securities’’). As a result, the change in the fair value of the pay-fixed interest rate swaps and interest rate cap agreements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Consolidated Statements of Financial Condition. The hedged items (fixed rate securities available for sale) are also recorded at fair value which offsets the adjustment to the Fair Value Hedge – AFS Securities. On an ongoing basis, we adjust our Consolidated Statements of Financial Condition to reflect the then current fair value of both the Fair Value Hedge – AFS Securities and the hedged item. The related gains or losses are reported in interest income – interest on securities – taxable and interest income – interest on securities – tax-exempt in our Consolidated Statements of Operations.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In prior years we had entered into certain derivative financial instruments to mitigate exposure to fluctuations in cash flows resulting from changes in interest rates (‘‘Cash Flow Hedges’’). Cash Flow Hedges had included certain pay-fixed interest rate swap and interest rate cap agreements. Pay-fixed interest rate swap agreements convert the variable-rate cash flows on debt obligations to fixed-rates. </w:t>
      </w:r>
      <w:r>
        <w:rPr>
          <w:rFonts w:ascii="Times New Roman" w:cs="Times New Roman" w:eastAsia="Times New Roman" w:hAnsi="Times New Roman"/>
          <w:sz w:val="18"/>
          <w:szCs w:val="18"/>
          <w:color w:val="000000"/>
        </w:rPr>
        <w:t>Under interest-rate cap agreements, we received cash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if interest rates rose above a predetermined level. As a result, we effectively have variable-rate debt with an established maximum rate. The no hedge designation "Interest rate cap agreements" and "Interest rate swap agreements" in the tables presented had previously qualified for cash flow hedge accounting but were classified to a no hedge designation during 2020 and any changes in fair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value since the transfers to the no hedge designation have been recognized in interest expense – other borrowings and subordinated debt and debentures in our Consolidated Statements of Operations. Also in 2020 it became probable that the forecasted transactions being hedged by these interest rate cap agreements would not occur by the end of the originally specified time period and all remaining unrealized losses included as a component of accumulated other comprehensive income (loss) were reclassified into earnings at that time. During 2022 we terminated $75.0 million of interest rate caps while $15.0 million matured.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have not been designated as hedges. The fair value of these derivative financial instruments has been recorded on our Consolidated Statements of Financial Condition and is adjusted on an ongoing basis to reflect their then current fair value. The changes in fair value of derivative financial instruments not designated as hedges are recognized in earnings.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 Lock Commitments and Mandatory Commitments are recognized currently as part of net gains on mortgage loans in the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Consolidated Statements of Operations. All of the interest rate swap agreements-commercial with no hedge designation in the table above relate to this program.</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had purchased a swaption agreement during 2021 and in an attempt to reduce the impact of price fluctuations of certain mortgage construction loans held for sale. The swaption agreement is presented as "Interest rate swaption agreement" in the tables below. The swaption agreement terminated during 2022. The changes in the fair value of the swaption agreement was recognized currently as part of net gains on mortgage loans in our Condensed Consolidated Statements of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prior periods we offered to our deposit customers an equity linked time deposit product (‘‘Altitude CD’’). The Altitude CD was a time deposit that provided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Consolidated Statements of Operations. The written and purchased options in the table above relate to this Altitude CD product and matured during the fourth quarter of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 the impact that the derivative financial instruments discussed above have on individual line items in the Consolidated Statements of Financial Condition for the periods presented: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right="220" w:hanging="161"/>
        <w:spacing w:after="0" w:line="301" w:lineRule="auto"/>
        <w:rPr>
          <w:sz w:val="20"/>
          <w:szCs w:val="20"/>
          <w:color w:val="auto"/>
        </w:rPr>
      </w:pPr>
      <w:r>
        <w:rPr>
          <w:rFonts w:ascii="Times New Roman" w:cs="Times New Roman" w:eastAsia="Times New Roman" w:hAnsi="Times New Roman"/>
          <w:sz w:val="14"/>
          <w:szCs w:val="14"/>
          <w:color w:val="auto"/>
        </w:rPr>
        <w:t>Derivatives designated as hedging instruments</w:t>
      </w:r>
    </w:p>
    <w:p>
      <w:pPr>
        <w:spacing w:after="0" w:line="1" w:lineRule="exact"/>
        <w:rPr>
          <w:sz w:val="20"/>
          <w:szCs w:val="20"/>
          <w:color w:val="auto"/>
        </w:rPr>
      </w:pPr>
    </w:p>
    <w:p>
      <w:pPr>
        <w:ind w:left="360" w:right="440" w:hanging="161"/>
        <w:spacing w:after="0" w:line="301" w:lineRule="auto"/>
        <w:rPr>
          <w:sz w:val="20"/>
          <w:szCs w:val="20"/>
          <w:color w:val="auto"/>
        </w:rPr>
      </w:pPr>
      <w:r>
        <w:rPr>
          <w:rFonts w:ascii="Times New Roman" w:cs="Times New Roman" w:eastAsia="Times New Roman" w:hAnsi="Times New Roman"/>
          <w:sz w:val="14"/>
          <w:szCs w:val="14"/>
          <w:color w:val="auto"/>
        </w:rPr>
        <w:t>Pay-fixed interest rate swap agreements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Interest rate cap agreements</w:t>
      </w:r>
    </w:p>
    <w:p>
      <w:pPr>
        <w:spacing w:after="0" w:line="285" w:lineRule="exact"/>
        <w:rPr>
          <w:sz w:val="20"/>
          <w:szCs w:val="20"/>
          <w:color w:val="auto"/>
        </w:rPr>
      </w:pPr>
    </w:p>
    <w:p>
      <w:pPr>
        <w:ind w:left="180" w:hanging="161"/>
        <w:spacing w:after="0" w:line="298" w:lineRule="auto"/>
        <w:rPr>
          <w:sz w:val="20"/>
          <w:szCs w:val="20"/>
          <w:color w:val="auto"/>
        </w:rPr>
      </w:pPr>
      <w:r>
        <w:rPr>
          <w:rFonts w:ascii="Times New Roman" w:cs="Times New Roman" w:eastAsia="Times New Roman" w:hAnsi="Times New Roman"/>
          <w:sz w:val="14"/>
          <w:szCs w:val="14"/>
          <w:color w:val="auto"/>
        </w:rPr>
        <w:t>Derivatives not designated as hedging instruments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Pr>
          <w:p>
            <w:pPr>
              <w:spacing w:after="0"/>
              <w:rPr>
                <w:sz w:val="16"/>
                <w:szCs w:val="16"/>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8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2"/>
        </w:trPr>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Sheet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Sheet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84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7"/>
                <w:szCs w:val="17"/>
                <w:color w:val="auto"/>
              </w:rPr>
            </w:pPr>
          </w:p>
        </w:tc>
        <w:tc>
          <w:tcPr>
            <w:tcW w:w="9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20,430</w:t>
            </w:r>
          </w:p>
        </w:tc>
        <w:tc>
          <w:tcPr>
            <w:tcW w:w="10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w:t>
            </w:r>
          </w:p>
        </w:tc>
        <w:tc>
          <w:tcPr>
            <w:tcW w:w="10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liabilities   $</w:t>
            </w:r>
          </w:p>
        </w:tc>
        <w:tc>
          <w:tcPr>
            <w:tcW w:w="8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230"/>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8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-530225</wp:posOffset>
            </wp:positionV>
            <wp:extent cx="7132320" cy="2571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-127635</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19" w:lineRule="exact"/>
        <w:rPr>
          <w:sz w:val="20"/>
          <w:szCs w:val="20"/>
          <w:color w:val="auto"/>
        </w:rPr>
      </w:pPr>
    </w:p>
    <w:p>
      <w:pPr>
        <w:sectPr>
          <w:pgSz w:w="11900" w:h="16838" w:orient="portrait"/>
          <w:cols w:equalWidth="0" w:num="2">
            <w:col w:w="2220" w:space="280"/>
            <w:col w:w="8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Rate-lock mortgage loan commitments</w:t>
            </w:r>
          </w:p>
        </w:tc>
        <w:tc>
          <w:tcPr>
            <w:tcW w:w="1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1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1,056</w:t>
            </w:r>
          </w:p>
        </w:tc>
        <w:tc>
          <w:tcPr>
            <w:tcW w:w="1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Mandatory commitments to sell</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2"/>
        </w:trPr>
        <w:tc>
          <w:tcPr>
            <w:tcW w:w="2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mortgage loans</w:t>
            </w: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3"/>
        </w:trPr>
        <w:tc>
          <w:tcPr>
            <w:tcW w:w="2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0"/>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Pay-fixed interest rate swap</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5"/>
        </w:trPr>
        <w:tc>
          <w:tcPr>
            <w:tcW w:w="2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agreements - commercial</w:t>
            </w:r>
          </w:p>
        </w:tc>
        <w:tc>
          <w:tcPr>
            <w:tcW w:w="1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17,567</w:t>
            </w:r>
          </w:p>
        </w:tc>
        <w:tc>
          <w:tcPr>
            <w:tcW w:w="1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504</w:t>
            </w:r>
          </w:p>
        </w:tc>
        <w:tc>
          <w:tcPr>
            <w:tcW w:w="1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5,344</w:t>
            </w:r>
          </w:p>
        </w:tc>
      </w:tr>
      <w:tr>
        <w:trPr>
          <w:trHeight w:val="180"/>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Pay-variable interest rate swap</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2"/>
        </w:trPr>
        <w:tc>
          <w:tcPr>
            <w:tcW w:w="2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agreements - commercial</w:t>
            </w: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5,344</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17,567</w:t>
            </w: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3"/>
        </w:trPr>
        <w:tc>
          <w:tcPr>
            <w:tcW w:w="2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0"/>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1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swaption agreement</w:t>
            </w: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2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18,386</w:t>
            </w:r>
          </w:p>
        </w:tc>
        <w:tc>
          <w:tcPr>
            <w:tcW w:w="1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1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19,127</w:t>
            </w:r>
          </w:p>
        </w:tc>
        <w:tc>
          <w:tcPr>
            <w:tcW w:w="1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w:t>
            </w:r>
          </w:p>
        </w:tc>
      </w:tr>
      <w:tr>
        <w:trPr>
          <w:trHeight w:val="191"/>
        </w:trPr>
        <w:tc>
          <w:tcPr>
            <w:tcW w:w="2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derivatives</w:t>
            </w:r>
          </w:p>
        </w:tc>
        <w:tc>
          <w:tcPr>
            <w:tcW w:w="112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39,747</w:t>
            </w:r>
          </w:p>
        </w:tc>
        <w:tc>
          <w:tcPr>
            <w:tcW w:w="12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12,283</w:t>
            </w:r>
          </w:p>
        </w:tc>
        <w:tc>
          <w:tcPr>
            <w:tcW w:w="120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19,127</w:t>
            </w:r>
          </w:p>
        </w:tc>
        <w:tc>
          <w:tcPr>
            <w:tcW w:w="12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5,961</w:t>
            </w:r>
          </w:p>
        </w:tc>
      </w:tr>
      <w:tr>
        <w:trPr>
          <w:trHeight w:val="25"/>
        </w:trPr>
        <w:tc>
          <w:tcPr>
            <w:tcW w:w="2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derivative financial instruments on the Consolidated Statements of Operations follows: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Location of</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Gain (Loss)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Reclassified</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from</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Gain (loss) Recognized</w:t>
            </w:r>
          </w:p>
        </w:tc>
        <w:tc>
          <w:tcPr>
            <w:tcW w:w="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Reclassified from</w:t>
            </w: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gridSpan w:val="6"/>
            <w:vMerge w:val="continue"/>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 Other</w:t>
            </w: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gridSpan w:val="6"/>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5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gridSpan w:val="6"/>
            <w:vMerge w:val="continue"/>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Location of</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160" w:type="dxa"/>
            <w:vAlign w:val="bottom"/>
            <w:gridSpan w:val="8"/>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Income (Loss) into Income</w:t>
            </w:r>
          </w:p>
        </w:tc>
        <w:tc>
          <w:tcPr>
            <w:tcW w:w="1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Recognized</w:t>
            </w: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into Income</w:t>
            </w:r>
          </w:p>
        </w:tc>
        <w:tc>
          <w:tcPr>
            <w:tcW w:w="140" w:type="dxa"/>
            <w:vAlign w:val="bottom"/>
          </w:tcPr>
          <w:p>
            <w:pPr>
              <w:spacing w:after="0"/>
              <w:rPr>
                <w:sz w:val="7"/>
                <w:szCs w:val="7"/>
                <w:color w:val="auto"/>
              </w:rPr>
            </w:pPr>
          </w:p>
        </w:tc>
        <w:tc>
          <w:tcPr>
            <w:tcW w:w="2160" w:type="dxa"/>
            <w:vAlign w:val="bottom"/>
            <w:gridSpan w:val="8"/>
            <w:vMerge w:val="continue"/>
          </w:tcPr>
          <w:p>
            <w:pPr>
              <w:spacing w:after="0"/>
              <w:rPr>
                <w:sz w:val="7"/>
                <w:szCs w:val="7"/>
                <w:color w:val="auto"/>
              </w:rPr>
            </w:pPr>
          </w:p>
        </w:tc>
        <w:tc>
          <w:tcPr>
            <w:tcW w:w="138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Gain (Loss)</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(Effective Portion)</w:t>
            </w:r>
          </w:p>
        </w:tc>
        <w:tc>
          <w:tcPr>
            <w:tcW w:w="4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gridSpan w:val="6"/>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(Effective Portion)</w:t>
            </w:r>
          </w:p>
        </w:tc>
        <w:tc>
          <w:tcPr>
            <w:tcW w:w="5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in Income</w:t>
            </w: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13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(Effective</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gridSpan w:val="6"/>
            <w:vMerge w:val="continue"/>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vMerge w:val="restart"/>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Recognized</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84"/>
              </w:rPr>
              <w:t>2020</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Portion)</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3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 Income</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66"/>
        </w:trPr>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Hedges</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Pay-fixed interest rate</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swap agreement -</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and fees on</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commercial</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loans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0" w:type="dxa"/>
            <w:vAlign w:val="bottom"/>
          </w:tcPr>
          <w:p>
            <w:pPr>
              <w:spacing w:after="0"/>
              <w:rPr>
                <w:sz w:val="1"/>
                <w:szCs w:val="1"/>
                <w:color w:val="auto"/>
              </w:rPr>
            </w:pPr>
          </w:p>
        </w:tc>
      </w:tr>
      <w:tr>
        <w:trPr>
          <w:trHeight w:val="157"/>
        </w:trPr>
        <w:tc>
          <w:tcPr>
            <w:tcW w:w="1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Pay-fixed interest rate</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swap agreement -</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on securities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securities available for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available for sale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sale</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tax-exempt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Pay-fixed interest rate</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swap agreement -</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and fees on</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installment</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loans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58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Cash Flow Hedges</w:t>
            </w: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rate cap</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agreements</w:t>
            </w: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center"/>
              <w:ind w:left="77"/>
              <w:spacing w:after="0"/>
              <w:rPr>
                <w:sz w:val="20"/>
                <w:szCs w:val="20"/>
                <w:color w:val="auto"/>
              </w:rPr>
            </w:pPr>
            <w:r>
              <w:rPr>
                <w:rFonts w:ascii="Times New Roman" w:cs="Times New Roman" w:eastAsia="Times New Roman" w:hAnsi="Times New Roman"/>
                <w:sz w:val="13"/>
                <w:szCs w:val="13"/>
                <w:color w:val="auto"/>
              </w:rPr>
              <w:t>125</w:t>
            </w:r>
          </w:p>
        </w:tc>
        <w:tc>
          <w:tcPr>
            <w:tcW w:w="1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(1,885)</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Pay-fixed interest rate</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swap agreements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2"/>
              </w:rPr>
              <w:t>(479)</w:t>
            </w:r>
          </w:p>
        </w:tc>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color w:val="auto"/>
                <w:w w:val="92"/>
              </w:rPr>
              <w:t>(354)</w:t>
            </w:r>
          </w:p>
        </w:tc>
        <w:tc>
          <w:tcPr>
            <w:tcW w:w="13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58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No hedge designation</w:t>
            </w:r>
          </w:p>
        </w:tc>
        <w:tc>
          <w:tcPr>
            <w:tcW w:w="4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Rate-lock mortgage loan</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gains on</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commitments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mortgage loans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(3,196)</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w:t>
            </w:r>
          </w:p>
        </w:tc>
        <w:tc>
          <w:tcPr>
            <w:tcW w:w="80" w:type="dxa"/>
            <w:vAlign w:val="bottom"/>
          </w:tcPr>
          <w:p>
            <w:pPr>
              <w:spacing w:after="0"/>
              <w:rPr>
                <w:sz w:val="16"/>
                <w:szCs w:val="16"/>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5,608</w:t>
            </w: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Mandatory commitments</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gains on</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 sell mortgage loans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mortgage loans</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0" w:type="dxa"/>
            <w:vAlign w:val="bottom"/>
          </w:tcPr>
          <w:p>
            <w:pPr>
              <w:spacing w:after="0"/>
              <w:rPr>
                <w:sz w:val="1"/>
                <w:szCs w:val="1"/>
                <w:color w:val="auto"/>
              </w:rPr>
            </w:pPr>
          </w:p>
        </w:tc>
      </w:tr>
      <w:tr>
        <w:trPr>
          <w:trHeight w:val="157"/>
        </w:trPr>
        <w:tc>
          <w:tcPr>
            <w:tcW w:w="1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Pay-fixed interest rate</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swap agreements -</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commercial</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(6,059)</w:t>
            </w: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Pay-variable interest rate</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swap agreements -</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commercial</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6,059</w:t>
            </w:r>
          </w:p>
        </w:tc>
        <w:tc>
          <w:tcPr>
            <w:tcW w:w="0" w:type="dxa"/>
            <w:vAlign w:val="bottom"/>
          </w:tcPr>
          <w:p>
            <w:pPr>
              <w:spacing w:after="0"/>
              <w:rPr>
                <w:sz w:val="1"/>
                <w:szCs w:val="1"/>
                <w:color w:val="auto"/>
              </w:rPr>
            </w:pPr>
          </w:p>
        </w:tc>
      </w:tr>
      <w:tr>
        <w:trPr>
          <w:trHeight w:val="157"/>
        </w:trPr>
        <w:tc>
          <w:tcPr>
            <w:tcW w:w="1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rate swaption</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gains on</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mortgage loans</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Pay-fixed interest rate</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swap agreements</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57"/>
        </w:trPr>
        <w:tc>
          <w:tcPr>
            <w:tcW w:w="1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rate cap</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Purchased options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96"/>
        </w:trPr>
        <w:tc>
          <w:tcPr>
            <w:tcW w:w="1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Written options</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99"/>
        </w:trPr>
        <w:tc>
          <w:tcPr>
            <w:tcW w:w="1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4,989</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directors and executive officers, including companies in which they are officers or have significant ownership, were loan and deposit customers during 2022 and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loans to our directors and executive officers (which includes loans to entities in which the individual owns a 10% or more voting interest) for the years ended December 31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8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2,416</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loans and advances</w:t>
            </w:r>
          </w:p>
        </w:tc>
        <w:tc>
          <w:tcPr>
            <w:tcW w:w="9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5,722</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(1,259)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7,742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6,879</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$1.91 million in loan commitments to directors and executive officers at both December 31, 2022 and 2021. Of these, commitments of $0.01 million and $0.02 million were outstanding at December 31, 2022 and 2021, respectively, and included in the table above.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Deposits held by us for directors and executive officers totaled $2.6 million and $3.4 million at December 31,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LEASES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Leases are classified as operating or finance leases at the lease commencement date (we did not have any finance leases as of December 31, 2022).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cost components of our operating leases follows: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2"/>
        </w:trPr>
        <w:tc>
          <w:tcPr>
            <w:tcW w:w="66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0"/>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Variable lease costs consist primarily of taxes, insurance, and common area or other maintenance costs for our leased facilities.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follows: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72"/>
        </w:trPr>
        <w:tc>
          <w:tcPr>
            <w:tcW w:w="794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19"/>
                <w:szCs w:val="19"/>
                <w:color w:val="auto"/>
              </w:rPr>
            </w:pPr>
          </w:p>
        </w:tc>
      </w:tr>
      <w:tr>
        <w:trPr>
          <w:trHeight w:val="29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 of use asset (1)</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5,544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6,481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Lease liabilities (2)</w:t>
            </w:r>
          </w:p>
        </w:tc>
        <w:tc>
          <w:tcPr>
            <w:tcW w:w="980" w:type="dxa"/>
            <w:vAlign w:val="bottom"/>
            <w:tcBorders>
              <w:bottom w:val="single" w:sz="8" w:color="auto"/>
            </w:tcBorders>
          </w:tcPr>
          <w:p>
            <w:pPr>
              <w:jc w:val="right"/>
              <w:ind w:right="7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93"/>
              </w:rPr>
              <w:t>5,769</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6,602</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7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our Consolidated Statements of Financial Condition.</w:t>
      </w:r>
    </w:p>
    <w:p>
      <w:pPr>
        <w:spacing w:after="0" w:line="27" w:lineRule="exact"/>
        <w:rPr>
          <w:rFonts w:ascii="Times New Roman" w:cs="Times New Roman" w:eastAsia="Times New Roman" w:hAnsi="Times New Roman"/>
          <w:sz w:val="18"/>
          <w:szCs w:val="18"/>
          <w:color w:val="auto"/>
        </w:rPr>
      </w:pPr>
    </w:p>
    <w:p>
      <w:pPr>
        <w:ind w:left="340" w:right="2880" w:hanging="332"/>
        <w:spacing w:after="0" w:line="541" w:lineRule="auto"/>
        <w:tabs>
          <w:tab w:leader="none" w:pos="33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Consolidated Statements of Financial Condition. Maturity analysis of our lease liabilities at December 31, 2022 based on required contractual payments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48"/>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CONCENTRATIONS OF CREDIT RISK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Credit risk is the risk to earnings and capital arising from an obligor’s failure to meet the terms of any contract with our organization or otherwise failing to perform as agreed. Credit risk can occur outside of our traditional lending activities and can exist in any activity where success depends on counterparty, issuer or borrower performance. Concentrations of credit risk (whether on- or off-balance sheet) arising from financial instruments can exist in relation to individual borrowers or groups of borrowers, certain types of collateral, certain types of industries or certain geographic regions. Credit risk associated with these concentrations could arise when a significant amount of loans or other financial instruments, related by similar characteristics, are simultaneously impacted by changes in economic or other conditions that cause their probability of repayment or other type of settlement to be adversely affected. Our major concentrations of credit risk arise by collateral type and by industry. The significant concentrations by collateral type at December 31, 2022, include $1.220 billion of loans secured by residential real estate and $319.2 million of construction and land development loans.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within our commercial real estate and commercial and industrial loan classes, we had significant standard industry classification concentrations in the following categories as of December 31, 2022: Lessors of Nonresidential Real Estate ($442.2 million); Construction ($139.8 million); Lessors of Residential Real Estate ($124.7 million); Health Care and Social Assistance ($105.6 million); Manufacturing ($92.2 million); and Accommodation and Food Services ($87.7 million). A geographic concentration arises because we primarily conduct our lending activities in the State of Michigan.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REGULATORY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December 31, 2022,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Bank had positive undivided profits of $137.2 million. It is not our intent to have dividends paid in amounts that would reduce the capital of our Bank to levels below those which we consider prudent or that would not be in accordance with guidelines of regulatory authorities.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December 31, 2022 and 2021, categorized our Bank as well capitalized.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actual capital amounts and ratios at December 31 follow</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Minimum for</w:t>
            </w:r>
          </w:p>
        </w:tc>
        <w:tc>
          <w:tcPr>
            <w:tcW w:w="200" w:type="dxa"/>
            <w:vAlign w:val="bottom"/>
          </w:tcPr>
          <w:p>
            <w:pPr>
              <w:spacing w:after="0"/>
              <w:rPr>
                <w:sz w:val="18"/>
                <w:szCs w:val="18"/>
                <w:color w:val="auto"/>
              </w:rPr>
            </w:pPr>
          </w:p>
        </w:tc>
        <w:tc>
          <w:tcPr>
            <w:tcW w:w="24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Minimum for</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Adequately Capitalized</w:t>
            </w:r>
          </w:p>
        </w:tc>
        <w:tc>
          <w:tcPr>
            <w:tcW w:w="200" w:type="dxa"/>
            <w:vAlign w:val="bottom"/>
          </w:tcPr>
          <w:p>
            <w:pPr>
              <w:spacing w:after="0"/>
              <w:rPr>
                <w:sz w:val="18"/>
                <w:szCs w:val="18"/>
                <w:color w:val="auto"/>
              </w:rPr>
            </w:pPr>
          </w:p>
        </w:tc>
        <w:tc>
          <w:tcPr>
            <w:tcW w:w="24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Well-Capitalized</w:t>
            </w:r>
          </w:p>
        </w:tc>
        <w:tc>
          <w:tcPr>
            <w:tcW w:w="0" w:type="dxa"/>
            <w:vAlign w:val="bottom"/>
          </w:tcPr>
          <w:p>
            <w:pPr>
              <w:spacing w:after="0"/>
              <w:rPr>
                <w:sz w:val="1"/>
                <w:szCs w:val="1"/>
                <w:color w:val="auto"/>
              </w:rPr>
            </w:pPr>
          </w:p>
        </w:tc>
      </w:tr>
      <w:tr>
        <w:trPr>
          <w:trHeight w:val="265"/>
        </w:trPr>
        <w:tc>
          <w:tcPr>
            <w:tcW w:w="3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Institutions</w:t>
            </w:r>
          </w:p>
        </w:tc>
        <w:tc>
          <w:tcPr>
            <w:tcW w:w="8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Institutions</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5"/>
              </w:rPr>
              <w:t>Ratio</w:t>
            </w:r>
          </w:p>
        </w:tc>
        <w:tc>
          <w:tcPr>
            <w:tcW w:w="0" w:type="dxa"/>
            <w:vAlign w:val="bottom"/>
          </w:tcPr>
          <w:p>
            <w:pPr>
              <w:spacing w:after="0"/>
              <w:rPr>
                <w:sz w:val="1"/>
                <w:szCs w:val="1"/>
                <w:color w:val="auto"/>
              </w:rPr>
            </w:pPr>
          </w:p>
        </w:tc>
      </w:tr>
      <w:tr>
        <w:trPr>
          <w:trHeight w:val="232"/>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536,549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315,059</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480,886</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314,733</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393,416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447,299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236,294</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431,685</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236,049</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314,733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assets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408,863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177,221</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4.50 %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431,685</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177,037</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255,720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447,299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201,875</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431,685</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201,820</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252,275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488,495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268,991</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438,352</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268,808</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336,011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406,645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201,743</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396,351</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201,606</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268,808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assets</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368,277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151,307</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396,351</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151,205</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218,407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406,645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185,034</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396,351</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185,077</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231,347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9" w:lineRule="exact"/>
        <w:rPr>
          <w:sz w:val="20"/>
          <w:szCs w:val="20"/>
          <w:color w:val="auto"/>
        </w:rPr>
      </w:pPr>
    </w:p>
    <w:p>
      <w:pPr>
        <w:ind w:right="3680" w:firstLine="26"/>
        <w:spacing w:after="0" w:line="391" w:lineRule="auto"/>
        <w:tabs>
          <w:tab w:leader="none" w:pos="4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ratios do not reflect a capital conservation buffer of 2.50% at December 31, 2022 and 2021. NA - Not applicable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our regulatory capital are as follows: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9"/>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Independent Bank</w:t>
            </w:r>
          </w:p>
        </w:tc>
      </w:tr>
      <w:tr>
        <w:trPr>
          <w:trHeight w:val="237"/>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56"/>
        </w:trPr>
        <w:tc>
          <w:tcPr>
            <w:tcW w:w="5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426,558</w:t>
            </w: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(deduct)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for regulatory purposes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r>
      <w:tr>
        <w:trPr>
          <w:trHeight w:val="229"/>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(31,636)</w:t>
            </w: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CECL (1)</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r>
      <w:tr>
        <w:trPr>
          <w:trHeight w:val="223"/>
        </w:trPr>
        <w:tc>
          <w:tcPr>
            <w:tcW w:w="5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368,277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396,351</w:t>
            </w:r>
          </w:p>
        </w:tc>
      </w:tr>
      <w:tr>
        <w:trPr>
          <w:trHeight w:val="22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Qualifying trust preferred securities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Tier 1 capital</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447,299</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406,645</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431,685</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396,351</w:t>
            </w:r>
          </w:p>
        </w:tc>
      </w:tr>
      <w:tr>
        <w:trPr>
          <w:trHeight w:val="22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Subordinated debt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credit losses and allowance for unfunded lending</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1"/>
        </w:trPr>
        <w:tc>
          <w:tcPr>
            <w:tcW w:w="50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commitments limited to 1.25% of total risk-weighted assets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42,001</w:t>
            </w:r>
          </w:p>
        </w:tc>
      </w:tr>
      <w:tr>
        <w:trPr>
          <w:trHeight w:val="248"/>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risk-based capital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488,495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438,352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80" w:hanging="454"/>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elected the three years CECL transition method for regulatory purposes.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FAIR VALUE DISCLOSURES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used the following methods and significant assumptions to estimate fair value:</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Where quoted market prices are available in an active market, securities are classified as Level 1 of the valuation hierarchy. We currently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any Level 1 securities. If quoted market prices are not available for the specific security, then fair values are estimated by (1) using quoted market prices of securities with similar characteristics,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8"/>
        <w:spacing w:after="0" w:line="258" w:lineRule="auto"/>
        <w:tabs>
          <w:tab w:leader="none" w:pos="2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Loans held for sale</w:t>
      </w:r>
      <w:r>
        <w:rPr>
          <w:rFonts w:ascii="Times New Roman" w:cs="Times New Roman" w:eastAsia="Times New Roman" w:hAnsi="Times New Roman"/>
          <w:sz w:val="18"/>
          <w:szCs w:val="18"/>
          <w:color w:val="auto"/>
        </w:rPr>
        <w:t>: The fair value of mortgage loans held for sale, carried at fair value is based on agency cash window loan pricing for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(recurring Level 2) and the fair value of mortgage loans held for sale carried at the lower of cost or fair value is based on a quoted sales price (non-recurring Level 1).</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Collateral dependent </w:t>
      </w:r>
      <w:r>
        <w:rPr>
          <w:rFonts w:ascii="Times New Roman" w:cs="Times New Roman" w:eastAsia="Times New Roman" w:hAnsi="Times New Roman"/>
          <w:sz w:val="18"/>
          <w:szCs w:val="18"/>
          <w:i w:val="1"/>
          <w:iCs w:val="1"/>
          <w:color w:val="000000"/>
        </w:rPr>
        <w:t>loans with specific loss allocations based on collateral value</w:t>
      </w:r>
      <w:r>
        <w:rPr>
          <w:rFonts w:ascii="Times New Roman" w:cs="Times New Roman" w:eastAsia="Times New Roman" w:hAnsi="Times New Roman"/>
          <w:sz w:val="18"/>
          <w:szCs w:val="18"/>
          <w:color w:val="000000"/>
        </w:rPr>
        <w:t>: From time to time, certain collateral dependent loans will have an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Other real estate</w:t>
      </w:r>
      <w:r>
        <w:rPr>
          <w:rFonts w:ascii="Times New Roman" w:cs="Times New Roman" w:eastAsia="Times New Roman" w:hAnsi="Times New Roman"/>
          <w:sz w:val="18"/>
          <w:szCs w:val="18"/>
          <w:color w:val="auto"/>
        </w:rPr>
        <w:t>: At the time of acquisition, other real estate is recorded at fair value, less estimated costs to sell, which becomes the property’s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Subsequent write-downs to reflect declines in value since the time of acquisition may occur from time to time and are recorded in net gains on other real estate and repossessed assets, which is part of non-interest expense - other in the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Capitalized mortgage loan servicing rights</w:t>
      </w:r>
      <w:r>
        <w:rPr>
          <w:rFonts w:ascii="Times New Roman" w:cs="Times New Roman" w:eastAsia="Times New Roman" w:hAnsi="Times New Roman"/>
          <w:sz w:val="18"/>
          <w:szCs w:val="18"/>
          <w:color w:val="auto"/>
        </w:rPr>
        <w:t>: The fair value of capitalized mortgage loan servicing rights is based on a valuation model used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The fair value of rate-lock mortgage loan commitments is based on agency cash window loan pricing for comparable assets and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mandatory commitments to sell mortgage loans is based on mortgage backed security pricing for comparable assets (recurring Level 2). The fair value of interest rate swap, interest rate cap and swaption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and liabilities measured at fair value, including financial assets for which we have elected the fair value option,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Fair Value Measurements Using</w:t>
            </w:r>
          </w:p>
        </w:tc>
        <w:tc>
          <w:tcPr>
            <w:tcW w:w="1220" w:type="dxa"/>
            <w:vAlign w:val="bottom"/>
            <w:tcBorders>
              <w:bottom w:val="single" w:sz="8" w:color="auto"/>
            </w:tcBorders>
          </w:tcPr>
          <w:p>
            <w:pPr>
              <w:spacing w:after="0"/>
              <w:rPr>
                <w:sz w:val="15"/>
                <w:szCs w:val="15"/>
                <w:color w:val="auto"/>
              </w:rPr>
            </w:pPr>
          </w:p>
        </w:tc>
      </w:tr>
      <w:tr>
        <w:trPr>
          <w:trHeight w:val="155"/>
        </w:trPr>
        <w:tc>
          <w:tcPr>
            <w:tcW w:w="5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80" w:type="dxa"/>
            <w:vAlign w:val="bottom"/>
            <w:gridSpan w:val="2"/>
          </w:tcPr>
          <w:p>
            <w:pPr>
              <w:jc w:val="center"/>
              <w:ind w:right="437"/>
              <w:spacing w:after="0"/>
              <w:rPr>
                <w:sz w:val="20"/>
                <w:szCs w:val="20"/>
                <w:color w:val="auto"/>
              </w:rPr>
            </w:pPr>
            <w:r>
              <w:rPr>
                <w:rFonts w:ascii="Times New Roman" w:cs="Times New Roman" w:eastAsia="Times New Roman" w:hAnsi="Times New Roman"/>
                <w:sz w:val="13"/>
                <w:szCs w:val="13"/>
                <w:b w:val="1"/>
                <w:bCs w:val="1"/>
                <w:color w:val="auto"/>
                <w:w w:val="96"/>
              </w:rPr>
              <w:t>Quoted Prices</w:t>
            </w: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8"/>
        </w:trPr>
        <w:tc>
          <w:tcPr>
            <w:tcW w:w="5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ind w:left="377"/>
              <w:spacing w:after="0"/>
              <w:rPr>
                <w:sz w:val="20"/>
                <w:szCs w:val="20"/>
                <w:color w:val="auto"/>
              </w:rPr>
            </w:pPr>
            <w:r>
              <w:rPr>
                <w:rFonts w:ascii="Times New Roman" w:cs="Times New Roman" w:eastAsia="Times New Roman" w:hAnsi="Times New Roman"/>
                <w:sz w:val="13"/>
                <w:szCs w:val="13"/>
                <w:b w:val="1"/>
                <w:bCs w:val="1"/>
                <w:color w:val="auto"/>
                <w:w w:val="96"/>
              </w:rPr>
              <w:t>in Active</w:t>
            </w: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8"/>
        </w:trPr>
        <w:tc>
          <w:tcPr>
            <w:tcW w:w="5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7"/>
              </w:rPr>
              <w:t>Markets</w:t>
            </w:r>
          </w:p>
        </w:tc>
        <w:tc>
          <w:tcPr>
            <w:tcW w:w="940" w:type="dxa"/>
            <w:vAlign w:val="bottom"/>
          </w:tcPr>
          <w:p>
            <w:pPr>
              <w:spacing w:after="0"/>
              <w:rPr>
                <w:sz w:val="12"/>
                <w:szCs w:val="12"/>
                <w:color w:val="auto"/>
              </w:rPr>
            </w:pPr>
          </w:p>
        </w:tc>
        <w:tc>
          <w:tcPr>
            <w:tcW w:w="1100" w:type="dxa"/>
            <w:vAlign w:val="bottom"/>
          </w:tcPr>
          <w:p>
            <w:pPr>
              <w:jc w:val="center"/>
              <w:ind w:right="377"/>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340" w:type="dxa"/>
            <w:vAlign w:val="bottom"/>
          </w:tcPr>
          <w:p>
            <w:pPr>
              <w:spacing w:after="0"/>
              <w:rPr>
                <w:sz w:val="12"/>
                <w:szCs w:val="12"/>
                <w:color w:val="auto"/>
              </w:rPr>
            </w:pPr>
          </w:p>
        </w:tc>
        <w:tc>
          <w:tcPr>
            <w:tcW w:w="1220" w:type="dxa"/>
            <w:vAlign w:val="bottom"/>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r>
      <w:tr>
        <w:trPr>
          <w:trHeight w:val="148"/>
        </w:trPr>
        <w:tc>
          <w:tcPr>
            <w:tcW w:w="5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center"/>
              <w:ind w:left="377"/>
              <w:spacing w:after="0"/>
              <w:rPr>
                <w:sz w:val="20"/>
                <w:szCs w:val="20"/>
                <w:color w:val="auto"/>
              </w:rPr>
            </w:pPr>
            <w:r>
              <w:rPr>
                <w:rFonts w:ascii="Times New Roman" w:cs="Times New Roman" w:eastAsia="Times New Roman" w:hAnsi="Times New Roman"/>
                <w:sz w:val="13"/>
                <w:szCs w:val="13"/>
                <w:b w:val="1"/>
                <w:bCs w:val="1"/>
                <w:color w:val="auto"/>
                <w:w w:val="96"/>
              </w:rPr>
              <w:t>for</w:t>
            </w:r>
          </w:p>
        </w:tc>
        <w:tc>
          <w:tcPr>
            <w:tcW w:w="940" w:type="dxa"/>
            <w:vAlign w:val="bottom"/>
          </w:tcPr>
          <w:p>
            <w:pPr>
              <w:spacing w:after="0"/>
              <w:rPr>
                <w:sz w:val="12"/>
                <w:szCs w:val="12"/>
                <w:color w:val="auto"/>
              </w:rPr>
            </w:pPr>
          </w:p>
        </w:tc>
        <w:tc>
          <w:tcPr>
            <w:tcW w:w="1100" w:type="dxa"/>
            <w:vAlign w:val="bottom"/>
          </w:tcPr>
          <w:p>
            <w:pPr>
              <w:jc w:val="center"/>
              <w:ind w:right="35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340" w:type="dxa"/>
            <w:vAlign w:val="bottom"/>
          </w:tcPr>
          <w:p>
            <w:pPr>
              <w:spacing w:after="0"/>
              <w:rPr>
                <w:sz w:val="12"/>
                <w:szCs w:val="12"/>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5"/>
              </w:rPr>
              <w:t>Un-</w:t>
            </w:r>
          </w:p>
        </w:tc>
      </w:tr>
      <w:tr>
        <w:trPr>
          <w:trHeight w:val="148"/>
        </w:trPr>
        <w:tc>
          <w:tcPr>
            <w:tcW w:w="5040" w:type="dxa"/>
            <w:vAlign w:val="bottom"/>
          </w:tcPr>
          <w:p>
            <w:pPr>
              <w:spacing w:after="0"/>
              <w:rPr>
                <w:sz w:val="12"/>
                <w:szCs w:val="12"/>
                <w:color w:val="auto"/>
              </w:rPr>
            </w:pPr>
          </w:p>
        </w:tc>
        <w:tc>
          <w:tcPr>
            <w:tcW w:w="156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040" w:type="dxa"/>
            <w:vAlign w:val="bottom"/>
          </w:tcPr>
          <w:p>
            <w:pPr>
              <w:jc w:val="center"/>
              <w:ind w:left="377"/>
              <w:spacing w:after="0"/>
              <w:rPr>
                <w:sz w:val="20"/>
                <w:szCs w:val="20"/>
                <w:color w:val="auto"/>
              </w:rPr>
            </w:pPr>
            <w:r>
              <w:rPr>
                <w:rFonts w:ascii="Times New Roman" w:cs="Times New Roman" w:eastAsia="Times New Roman" w:hAnsi="Times New Roman"/>
                <w:sz w:val="13"/>
                <w:szCs w:val="13"/>
                <w:b w:val="1"/>
                <w:bCs w:val="1"/>
                <w:color w:val="auto"/>
                <w:w w:val="97"/>
              </w:rPr>
              <w:t>Identical</w:t>
            </w:r>
          </w:p>
        </w:tc>
        <w:tc>
          <w:tcPr>
            <w:tcW w:w="940" w:type="dxa"/>
            <w:vAlign w:val="bottom"/>
          </w:tcPr>
          <w:p>
            <w:pPr>
              <w:spacing w:after="0"/>
              <w:rPr>
                <w:sz w:val="12"/>
                <w:szCs w:val="12"/>
                <w:color w:val="auto"/>
              </w:rPr>
            </w:pPr>
          </w:p>
        </w:tc>
        <w:tc>
          <w:tcPr>
            <w:tcW w:w="1100" w:type="dxa"/>
            <w:vAlign w:val="bottom"/>
          </w:tcPr>
          <w:p>
            <w:pPr>
              <w:jc w:val="center"/>
              <w:ind w:right="357"/>
              <w:spacing w:after="0"/>
              <w:rPr>
                <w:sz w:val="20"/>
                <w:szCs w:val="20"/>
                <w:color w:val="auto"/>
              </w:rPr>
            </w:pPr>
            <w:r>
              <w:rPr>
                <w:rFonts w:ascii="Times New Roman" w:cs="Times New Roman" w:eastAsia="Times New Roman" w:hAnsi="Times New Roman"/>
                <w:sz w:val="13"/>
                <w:szCs w:val="13"/>
                <w:b w:val="1"/>
                <w:bCs w:val="1"/>
                <w:color w:val="auto"/>
                <w:w w:val="94"/>
              </w:rPr>
              <w:t>Observable</w:t>
            </w:r>
          </w:p>
        </w:tc>
        <w:tc>
          <w:tcPr>
            <w:tcW w:w="340" w:type="dxa"/>
            <w:vAlign w:val="bottom"/>
          </w:tcPr>
          <w:p>
            <w:pPr>
              <w:spacing w:after="0"/>
              <w:rPr>
                <w:sz w:val="12"/>
                <w:szCs w:val="12"/>
                <w:color w:val="auto"/>
              </w:rPr>
            </w:pPr>
          </w:p>
        </w:tc>
        <w:tc>
          <w:tcPr>
            <w:tcW w:w="1220" w:type="dxa"/>
            <w:vAlign w:val="bottom"/>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observable</w:t>
            </w:r>
          </w:p>
        </w:tc>
      </w:tr>
      <w:tr>
        <w:trPr>
          <w:trHeight w:val="149"/>
        </w:trPr>
        <w:tc>
          <w:tcPr>
            <w:tcW w:w="5040" w:type="dxa"/>
            <w:vAlign w:val="bottom"/>
          </w:tcPr>
          <w:p>
            <w:pPr>
              <w:spacing w:after="0"/>
              <w:rPr>
                <w:sz w:val="12"/>
                <w:szCs w:val="12"/>
                <w:color w:val="auto"/>
              </w:rPr>
            </w:pPr>
          </w:p>
        </w:tc>
        <w:tc>
          <w:tcPr>
            <w:tcW w:w="1000" w:type="dxa"/>
            <w:vAlign w:val="bottom"/>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8"/>
              </w:rPr>
              <w:t>Measure-</w:t>
            </w:r>
          </w:p>
        </w:tc>
        <w:tc>
          <w:tcPr>
            <w:tcW w:w="560" w:type="dxa"/>
            <w:vAlign w:val="bottom"/>
          </w:tcPr>
          <w:p>
            <w:pPr>
              <w:spacing w:after="0"/>
              <w:rPr>
                <w:sz w:val="12"/>
                <w:szCs w:val="12"/>
                <w:color w:val="auto"/>
              </w:rPr>
            </w:pPr>
          </w:p>
        </w:tc>
        <w:tc>
          <w:tcPr>
            <w:tcW w:w="1040" w:type="dxa"/>
            <w:vAlign w:val="bottom"/>
          </w:tcPr>
          <w:p>
            <w:pPr>
              <w:jc w:val="center"/>
              <w:ind w:left="397"/>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940" w:type="dxa"/>
            <w:vAlign w:val="bottom"/>
          </w:tcPr>
          <w:p>
            <w:pPr>
              <w:spacing w:after="0"/>
              <w:rPr>
                <w:sz w:val="12"/>
                <w:szCs w:val="12"/>
                <w:color w:val="auto"/>
              </w:rPr>
            </w:pPr>
          </w:p>
        </w:tc>
        <w:tc>
          <w:tcPr>
            <w:tcW w:w="1100" w:type="dxa"/>
            <w:vAlign w:val="bottom"/>
          </w:tcPr>
          <w:p>
            <w:pPr>
              <w:jc w:val="center"/>
              <w:ind w:right="357"/>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340" w:type="dxa"/>
            <w:vAlign w:val="bottom"/>
          </w:tcPr>
          <w:p>
            <w:pPr>
              <w:spacing w:after="0"/>
              <w:rPr>
                <w:sz w:val="12"/>
                <w:szCs w:val="12"/>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9"/>
              </w:rPr>
              <w:t>Inputs</w:t>
            </w:r>
          </w:p>
        </w:tc>
      </w:tr>
      <w:tr>
        <w:trPr>
          <w:trHeight w:val="180"/>
        </w:trPr>
        <w:tc>
          <w:tcPr>
            <w:tcW w:w="5040" w:type="dxa"/>
            <w:vAlign w:val="bottom"/>
          </w:tcPr>
          <w:p>
            <w:pPr>
              <w:spacing w:after="0"/>
              <w:rPr>
                <w:sz w:val="15"/>
                <w:szCs w:val="15"/>
                <w:color w:val="auto"/>
              </w:rPr>
            </w:pPr>
          </w:p>
        </w:tc>
        <w:tc>
          <w:tcPr>
            <w:tcW w:w="1000" w:type="dxa"/>
            <w:vAlign w:val="bottom"/>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6"/>
              </w:rPr>
              <w:t>ments</w:t>
            </w:r>
          </w:p>
        </w:tc>
        <w:tc>
          <w:tcPr>
            <w:tcW w:w="560" w:type="dxa"/>
            <w:vAlign w:val="bottom"/>
          </w:tcPr>
          <w:p>
            <w:pPr>
              <w:spacing w:after="0"/>
              <w:rPr>
                <w:sz w:val="15"/>
                <w:szCs w:val="15"/>
                <w:color w:val="auto"/>
              </w:rPr>
            </w:pPr>
          </w:p>
        </w:tc>
        <w:tc>
          <w:tcPr>
            <w:tcW w:w="1040" w:type="dxa"/>
            <w:vAlign w:val="bottom"/>
          </w:tcPr>
          <w:p>
            <w:pPr>
              <w:jc w:val="center"/>
              <w:ind w:left="377"/>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940" w:type="dxa"/>
            <w:vAlign w:val="bottom"/>
          </w:tcPr>
          <w:p>
            <w:pPr>
              <w:spacing w:after="0"/>
              <w:rPr>
                <w:sz w:val="15"/>
                <w:szCs w:val="15"/>
                <w:color w:val="auto"/>
              </w:rPr>
            </w:pPr>
          </w:p>
        </w:tc>
        <w:tc>
          <w:tcPr>
            <w:tcW w:w="1100" w:type="dxa"/>
            <w:vAlign w:val="bottom"/>
          </w:tcPr>
          <w:p>
            <w:pPr>
              <w:jc w:val="center"/>
              <w:ind w:right="357"/>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340" w:type="dxa"/>
            <w:vAlign w:val="bottom"/>
          </w:tcPr>
          <w:p>
            <w:pPr>
              <w:spacing w:after="0"/>
              <w:rPr>
                <w:sz w:val="15"/>
                <w:szCs w:val="15"/>
                <w:color w:val="auto"/>
              </w:rPr>
            </w:pPr>
          </w:p>
        </w:tc>
        <w:tc>
          <w:tcPr>
            <w:tcW w:w="1220" w:type="dxa"/>
            <w:vAlign w:val="bottom"/>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8"/>
              </w:rPr>
              <w:t>(Level 3)</w:t>
            </w:r>
          </w:p>
        </w:tc>
      </w:tr>
      <w:tr>
        <w:trPr>
          <w:trHeight w:val="29"/>
        </w:trPr>
        <w:tc>
          <w:tcPr>
            <w:tcW w:w="5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5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December 31, 2022:</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4"/>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Measured at Fair Value on a Recurring Basis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5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3"/>
        </w:trPr>
        <w:tc>
          <w:tcPr>
            <w:tcW w:w="50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Securities available for sale</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3"/>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U.S. agency</w:t>
            </w:r>
          </w:p>
        </w:tc>
        <w:tc>
          <w:tcPr>
            <w:tcW w:w="100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12,101</w:t>
            </w:r>
          </w:p>
        </w:tc>
        <w:tc>
          <w:tcPr>
            <w:tcW w:w="104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   $</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12,101</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U.S. agency residential mortgage-backed</w:t>
            </w:r>
          </w:p>
        </w:tc>
        <w:tc>
          <w:tcPr>
            <w:tcW w:w="10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90,458</w:t>
            </w:r>
          </w:p>
        </w:tc>
        <w:tc>
          <w:tcPr>
            <w:tcW w:w="1040" w:type="dxa"/>
            <w:vAlign w:val="bottom"/>
          </w:tcPr>
          <w:p>
            <w:pPr>
              <w:spacing w:after="0"/>
              <w:rPr>
                <w:sz w:val="14"/>
                <w:szCs w:val="14"/>
                <w:color w:val="auto"/>
              </w:rPr>
            </w:pPr>
          </w:p>
        </w:tc>
        <w:tc>
          <w:tcPr>
            <w:tcW w:w="9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90,458</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U.S. agency commercial mortgage-backed</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13,453</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13,453</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Private label mortgage-backed</w:t>
            </w:r>
          </w:p>
        </w:tc>
        <w:tc>
          <w:tcPr>
            <w:tcW w:w="10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93,845</w:t>
            </w:r>
          </w:p>
        </w:tc>
        <w:tc>
          <w:tcPr>
            <w:tcW w:w="1040" w:type="dxa"/>
            <w:vAlign w:val="bottom"/>
          </w:tcPr>
          <w:p>
            <w:pPr>
              <w:spacing w:after="0"/>
              <w:rPr>
                <w:sz w:val="14"/>
                <w:szCs w:val="14"/>
                <w:color w:val="auto"/>
              </w:rPr>
            </w:pPr>
          </w:p>
        </w:tc>
        <w:tc>
          <w:tcPr>
            <w:tcW w:w="9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93,845</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Other asset backed</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4"/>
              </w:rPr>
              <w:t>194,725</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194,725</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Obligations of states and political subdivisions</w:t>
            </w:r>
          </w:p>
        </w:tc>
        <w:tc>
          <w:tcPr>
            <w:tcW w:w="10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4"/>
              </w:rPr>
              <w:t>295,677</w:t>
            </w:r>
          </w:p>
        </w:tc>
        <w:tc>
          <w:tcPr>
            <w:tcW w:w="1040" w:type="dxa"/>
            <w:vAlign w:val="bottom"/>
          </w:tcPr>
          <w:p>
            <w:pPr>
              <w:spacing w:after="0"/>
              <w:rPr>
                <w:sz w:val="14"/>
                <w:szCs w:val="14"/>
                <w:color w:val="auto"/>
              </w:rPr>
            </w:pPr>
          </w:p>
        </w:tc>
        <w:tc>
          <w:tcPr>
            <w:tcW w:w="9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295,677</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Corporate</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78,157</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78,157</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Trust preferred</w:t>
            </w:r>
          </w:p>
        </w:tc>
        <w:tc>
          <w:tcPr>
            <w:tcW w:w="10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931</w:t>
            </w:r>
          </w:p>
        </w:tc>
        <w:tc>
          <w:tcPr>
            <w:tcW w:w="1040" w:type="dxa"/>
            <w:vAlign w:val="bottom"/>
          </w:tcPr>
          <w:p>
            <w:pPr>
              <w:spacing w:after="0"/>
              <w:rPr>
                <w:sz w:val="14"/>
                <w:szCs w:val="14"/>
                <w:color w:val="auto"/>
              </w:rPr>
            </w:pPr>
          </w:p>
        </w:tc>
        <w:tc>
          <w:tcPr>
            <w:tcW w:w="9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931</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Loans held for sale, carried at fair value</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26,518</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26,518</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Capitalized mortgage loan servicing rights</w:t>
            </w:r>
          </w:p>
        </w:tc>
        <w:tc>
          <w:tcPr>
            <w:tcW w:w="10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42,489</w:t>
            </w:r>
          </w:p>
        </w:tc>
        <w:tc>
          <w:tcPr>
            <w:tcW w:w="1040" w:type="dxa"/>
            <w:vAlign w:val="bottom"/>
          </w:tcPr>
          <w:p>
            <w:pPr>
              <w:spacing w:after="0"/>
              <w:rPr>
                <w:sz w:val="14"/>
                <w:szCs w:val="14"/>
                <w:color w:val="auto"/>
              </w:rPr>
            </w:pPr>
          </w:p>
        </w:tc>
        <w:tc>
          <w:tcPr>
            <w:tcW w:w="9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42,489</w:t>
            </w:r>
          </w:p>
        </w:tc>
      </w:tr>
      <w:tr>
        <w:trPr>
          <w:trHeight w:val="181"/>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Derivatives (1)</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39,747</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39,747</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Liabilities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Derivatives (2)</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19,127</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19,127</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54"/>
        </w:trPr>
        <w:tc>
          <w:tcPr>
            <w:tcW w:w="5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17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Measured at Fair Value on a Non-recurring Basis: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0"/>
        </w:trPr>
        <w:tc>
          <w:tcPr>
            <w:tcW w:w="5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Loans held for sale, carried at the lower of cost or fair value</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20,367</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20,367</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Collateral dependent loans (3)</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Commercial</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0"/>
        </w:trPr>
        <w:tc>
          <w:tcPr>
            <w:tcW w:w="50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138</w:t>
            </w:r>
          </w:p>
        </w:tc>
        <w:tc>
          <w:tcPr>
            <w:tcW w:w="1040" w:type="dxa"/>
            <w:vAlign w:val="bottom"/>
          </w:tcPr>
          <w:p>
            <w:pPr>
              <w:spacing w:after="0"/>
              <w:rPr>
                <w:sz w:val="14"/>
                <w:szCs w:val="14"/>
                <w:color w:val="auto"/>
              </w:rPr>
            </w:pPr>
          </w:p>
        </w:tc>
        <w:tc>
          <w:tcPr>
            <w:tcW w:w="9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181"/>
        </w:trPr>
        <w:tc>
          <w:tcPr>
            <w:tcW w:w="5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Commercial real estate</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1,068</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r>
      <w:tr>
        <w:trPr>
          <w:trHeight w:val="170"/>
        </w:trPr>
        <w:tc>
          <w:tcPr>
            <w:tcW w:w="50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Mortgage</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5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1-4 family owner occupied - non-jumbo</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415</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r>
      <w:tr>
        <w:trPr>
          <w:trHeight w:val="170"/>
        </w:trPr>
        <w:tc>
          <w:tcPr>
            <w:tcW w:w="50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1-4 family non-owner occupied</w:t>
            </w:r>
          </w:p>
        </w:tc>
        <w:tc>
          <w:tcPr>
            <w:tcW w:w="10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52</w:t>
            </w:r>
          </w:p>
        </w:tc>
        <w:tc>
          <w:tcPr>
            <w:tcW w:w="1040" w:type="dxa"/>
            <w:vAlign w:val="bottom"/>
          </w:tcPr>
          <w:p>
            <w:pPr>
              <w:spacing w:after="0"/>
              <w:rPr>
                <w:sz w:val="14"/>
                <w:szCs w:val="14"/>
                <w:color w:val="auto"/>
              </w:rPr>
            </w:pPr>
          </w:p>
        </w:tc>
        <w:tc>
          <w:tcPr>
            <w:tcW w:w="9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81"/>
        </w:trPr>
        <w:tc>
          <w:tcPr>
            <w:tcW w:w="5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1-4 family - 2nd lien</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165</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70"/>
        </w:trPr>
        <w:tc>
          <w:tcPr>
            <w:tcW w:w="50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Resort lending</w:t>
            </w:r>
          </w:p>
        </w:tc>
        <w:tc>
          <w:tcPr>
            <w:tcW w:w="10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25</w:t>
            </w:r>
          </w:p>
        </w:tc>
        <w:tc>
          <w:tcPr>
            <w:tcW w:w="1040" w:type="dxa"/>
            <w:vAlign w:val="bottom"/>
          </w:tcPr>
          <w:p>
            <w:pPr>
              <w:spacing w:after="0"/>
              <w:rPr>
                <w:sz w:val="14"/>
                <w:szCs w:val="14"/>
                <w:color w:val="auto"/>
              </w:rPr>
            </w:pPr>
          </w:p>
        </w:tc>
        <w:tc>
          <w:tcPr>
            <w:tcW w:w="9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1"/>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Installment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0"/>
        </w:trPr>
        <w:tc>
          <w:tcPr>
            <w:tcW w:w="50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Boat lending</w:t>
            </w:r>
          </w:p>
        </w:tc>
        <w:tc>
          <w:tcPr>
            <w:tcW w:w="10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196</w:t>
            </w:r>
          </w:p>
        </w:tc>
        <w:tc>
          <w:tcPr>
            <w:tcW w:w="1040" w:type="dxa"/>
            <w:vAlign w:val="bottom"/>
          </w:tcPr>
          <w:p>
            <w:pPr>
              <w:spacing w:after="0"/>
              <w:rPr>
                <w:sz w:val="14"/>
                <w:szCs w:val="14"/>
                <w:color w:val="auto"/>
              </w:rPr>
            </w:pPr>
          </w:p>
        </w:tc>
        <w:tc>
          <w:tcPr>
            <w:tcW w:w="9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r>
      <w:tr>
        <w:trPr>
          <w:trHeight w:val="181"/>
        </w:trPr>
        <w:tc>
          <w:tcPr>
            <w:tcW w:w="5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Recreational vehicle lending</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w:t>
            </w: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4"/>
        </w:trPr>
        <w:tc>
          <w:tcPr>
            <w:tcW w:w="50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Other</w:t>
            </w:r>
          </w:p>
        </w:tc>
        <w:tc>
          <w:tcPr>
            <w:tcW w:w="10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87</w:t>
            </w:r>
          </w:p>
        </w:tc>
        <w:tc>
          <w:tcPr>
            <w:tcW w:w="1040" w:type="dxa"/>
            <w:vAlign w:val="bottom"/>
          </w:tcPr>
          <w:p>
            <w:pPr>
              <w:spacing w:after="0"/>
              <w:rPr>
                <w:sz w:val="14"/>
                <w:szCs w:val="14"/>
                <w:color w:val="auto"/>
              </w:rPr>
            </w:pPr>
          </w:p>
        </w:tc>
        <w:tc>
          <w:tcPr>
            <w:tcW w:w="94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9" w:lineRule="exact"/>
        <w:rPr>
          <w:sz w:val="20"/>
          <w:szCs w:val="20"/>
          <w:color w:val="auto"/>
        </w:rPr>
      </w:pPr>
    </w:p>
    <w:p>
      <w:pPr>
        <w:ind w:left="480" w:hanging="454"/>
        <w:spacing w:after="0"/>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the Consolidated Statements of Financial Condition.</w:t>
      </w:r>
    </w:p>
    <w:p>
      <w:pPr>
        <w:spacing w:after="0" w:line="157"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the Consolidated Statements of Financial Condition.</w:t>
      </w:r>
    </w:p>
    <w:p>
      <w:pPr>
        <w:spacing w:after="0" w:line="171"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8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1"/>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5"/>
        </w:trPr>
        <w:tc>
          <w:tcPr>
            <w:tcW w:w="5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760" w:type="dxa"/>
            <w:vAlign w:val="bottom"/>
          </w:tcPr>
          <w:p>
            <w:pPr>
              <w:spacing w:after="0"/>
              <w:rPr>
                <w:sz w:val="14"/>
                <w:szCs w:val="14"/>
                <w:color w:val="auto"/>
              </w:rPr>
            </w:pPr>
          </w:p>
        </w:tc>
        <w:tc>
          <w:tcPr>
            <w:tcW w:w="12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4"/>
                <w:szCs w:val="14"/>
                <w:color w:val="auto"/>
              </w:rPr>
            </w:pPr>
          </w:p>
        </w:tc>
        <w:tc>
          <w:tcPr>
            <w:tcW w:w="12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5"/>
        </w:trPr>
        <w:tc>
          <w:tcPr>
            <w:tcW w:w="5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for</w:t>
            </w:r>
          </w:p>
        </w:tc>
        <w:tc>
          <w:tcPr>
            <w:tcW w:w="760" w:type="dxa"/>
            <w:vAlign w:val="bottom"/>
          </w:tcPr>
          <w:p>
            <w:pPr>
              <w:spacing w:after="0"/>
              <w:rPr>
                <w:sz w:val="15"/>
                <w:szCs w:val="15"/>
                <w:color w:val="auto"/>
              </w:rPr>
            </w:pPr>
          </w:p>
        </w:tc>
        <w:tc>
          <w:tcPr>
            <w:tcW w:w="12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5"/>
                <w:szCs w:val="15"/>
                <w:color w:val="auto"/>
              </w:rPr>
            </w:pPr>
          </w:p>
        </w:tc>
        <w:tc>
          <w:tcPr>
            <w:tcW w:w="12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Un-</w:t>
            </w:r>
          </w:p>
        </w:tc>
      </w:tr>
      <w:tr>
        <w:trPr>
          <w:trHeight w:val="176"/>
        </w:trPr>
        <w:tc>
          <w:tcPr>
            <w:tcW w:w="5040" w:type="dxa"/>
            <w:vAlign w:val="bottom"/>
          </w:tcPr>
          <w:p>
            <w:pPr>
              <w:spacing w:after="0"/>
              <w:rPr>
                <w:sz w:val="15"/>
                <w:szCs w:val="15"/>
                <w:color w:val="auto"/>
              </w:rPr>
            </w:pPr>
          </w:p>
        </w:tc>
        <w:tc>
          <w:tcPr>
            <w:tcW w:w="15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760" w:type="dxa"/>
            <w:vAlign w:val="bottom"/>
          </w:tcPr>
          <w:p>
            <w:pPr>
              <w:spacing w:after="0"/>
              <w:rPr>
                <w:sz w:val="15"/>
                <w:szCs w:val="15"/>
                <w:color w:val="auto"/>
              </w:rPr>
            </w:pPr>
          </w:p>
        </w:tc>
        <w:tc>
          <w:tcPr>
            <w:tcW w:w="12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60" w:type="dxa"/>
            <w:vAlign w:val="bottom"/>
          </w:tcPr>
          <w:p>
            <w:pPr>
              <w:spacing w:after="0"/>
              <w:rPr>
                <w:sz w:val="15"/>
                <w:szCs w:val="15"/>
                <w:color w:val="auto"/>
              </w:rPr>
            </w:pPr>
          </w:p>
        </w:tc>
        <w:tc>
          <w:tcPr>
            <w:tcW w:w="12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observable</w:t>
            </w:r>
          </w:p>
        </w:tc>
      </w:tr>
      <w:tr>
        <w:trPr>
          <w:trHeight w:val="176"/>
        </w:trPr>
        <w:tc>
          <w:tcPr>
            <w:tcW w:w="5040" w:type="dxa"/>
            <w:vAlign w:val="bottom"/>
          </w:tcPr>
          <w:p>
            <w:pPr>
              <w:spacing w:after="0"/>
              <w:rPr>
                <w:sz w:val="15"/>
                <w:szCs w:val="15"/>
                <w:color w:val="auto"/>
              </w:rPr>
            </w:pPr>
          </w:p>
        </w:tc>
        <w:tc>
          <w:tcPr>
            <w:tcW w:w="15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0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tcPr>
          <w:p>
            <w:pPr>
              <w:spacing w:after="0"/>
              <w:rPr>
                <w:sz w:val="15"/>
                <w:szCs w:val="15"/>
                <w:color w:val="auto"/>
              </w:rPr>
            </w:pPr>
          </w:p>
        </w:tc>
        <w:tc>
          <w:tcPr>
            <w:tcW w:w="12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5"/>
                <w:szCs w:val="15"/>
                <w:color w:val="auto"/>
              </w:rPr>
            </w:pPr>
          </w:p>
        </w:tc>
        <w:tc>
          <w:tcPr>
            <w:tcW w:w="12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204"/>
        </w:trPr>
        <w:tc>
          <w:tcPr>
            <w:tcW w:w="5040" w:type="dxa"/>
            <w:vAlign w:val="bottom"/>
          </w:tcPr>
          <w:p>
            <w:pPr>
              <w:spacing w:after="0"/>
              <w:rPr>
                <w:sz w:val="17"/>
                <w:szCs w:val="17"/>
                <w:color w:val="auto"/>
              </w:rPr>
            </w:pPr>
          </w:p>
        </w:tc>
        <w:tc>
          <w:tcPr>
            <w:tcW w:w="94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ments</w:t>
            </w:r>
          </w:p>
        </w:tc>
        <w:tc>
          <w:tcPr>
            <w:tcW w:w="620" w:type="dxa"/>
            <w:vAlign w:val="bottom"/>
          </w:tcPr>
          <w:p>
            <w:pPr>
              <w:spacing w:after="0"/>
              <w:rPr>
                <w:sz w:val="17"/>
                <w:szCs w:val="17"/>
                <w:color w:val="auto"/>
              </w:rPr>
            </w:pPr>
          </w:p>
        </w:tc>
        <w:tc>
          <w:tcPr>
            <w:tcW w:w="10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60" w:type="dxa"/>
            <w:vAlign w:val="bottom"/>
          </w:tcPr>
          <w:p>
            <w:pPr>
              <w:spacing w:after="0"/>
              <w:rPr>
                <w:sz w:val="17"/>
                <w:szCs w:val="17"/>
                <w:color w:val="auto"/>
              </w:rPr>
            </w:pPr>
          </w:p>
        </w:tc>
        <w:tc>
          <w:tcPr>
            <w:tcW w:w="12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7"/>
                <w:szCs w:val="17"/>
                <w:color w:val="auto"/>
              </w:rPr>
            </w:pPr>
          </w:p>
        </w:tc>
        <w:tc>
          <w:tcPr>
            <w:tcW w:w="12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5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2"/>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Measured at Fair Value on a Recurring Basis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3"/>
        </w:trPr>
        <w:tc>
          <w:tcPr>
            <w:tcW w:w="5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5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U.S. agency</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34,674</w:t>
            </w: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34,674</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U.S. agency residential mortgage-backed</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307,985</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307,985</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U.S. agency commercial mortgage-backed</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22,926</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22,926</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Private label mortgage-backed</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102,615</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102,615</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asset backed</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216,170</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216,170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576,076</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576,076</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Corporate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149,959</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149,959</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Trust preferred</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1,919</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1,919</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Foreign government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506</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506</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55,470</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55,470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Capitalized mortgage loan servicing rights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26,232</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26,232</w:t>
            </w:r>
          </w:p>
        </w:tc>
      </w:tr>
      <w:tr>
        <w:trPr>
          <w:trHeight w:val="195"/>
        </w:trPr>
        <w:tc>
          <w:tcPr>
            <w:tcW w:w="5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Derivatives (1)</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12,283</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12,283</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5"/>
        </w:trPr>
        <w:tc>
          <w:tcPr>
            <w:tcW w:w="5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Derivatives (2)</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5,961</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5,961</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50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195"/>
        </w:trPr>
        <w:tc>
          <w:tcPr>
            <w:tcW w:w="5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Measured at Fair Value on a Non-recurring Basis: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5"/>
        </w:trPr>
        <w:tc>
          <w:tcPr>
            <w:tcW w:w="5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Collateral dependent loans (3)</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Commercial</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5"/>
        </w:trPr>
        <w:tc>
          <w:tcPr>
            <w:tcW w:w="50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1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Commercial real estate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5"/>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Mortgage</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516</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195"/>
        </w:trPr>
        <w:tc>
          <w:tcPr>
            <w:tcW w:w="50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130</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1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1-4 family - 2nd lien</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121</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5"/>
        </w:trPr>
        <w:tc>
          <w:tcPr>
            <w:tcW w:w="50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Resort lending</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1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Installment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5"/>
        </w:trPr>
        <w:tc>
          <w:tcPr>
            <w:tcW w:w="50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Boat lending</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1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77</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8"/>
        </w:trPr>
        <w:tc>
          <w:tcPr>
            <w:tcW w:w="50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106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9" w:lineRule="exact"/>
        <w:rPr>
          <w:sz w:val="20"/>
          <w:szCs w:val="20"/>
          <w:color w:val="auto"/>
        </w:rPr>
      </w:pPr>
    </w:p>
    <w:p>
      <w:pPr>
        <w:ind w:left="480" w:hanging="45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the Consolidated Statements of Financial Condition.</w:t>
      </w:r>
    </w:p>
    <w:p>
      <w:pPr>
        <w:spacing w:after="0" w:line="157"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the Consolidated Statements of Financial Condition.</w:t>
      </w:r>
    </w:p>
    <w:p>
      <w:pPr>
        <w:spacing w:after="0" w:line="171"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fair values of financial assets for which we have elected the fair value option for the years ended December 31 were as follows:</w:t>
      </w:r>
    </w:p>
    <w:p>
      <w:pPr>
        <w:spacing w:after="0" w:line="275"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 Fair</w:t>
            </w: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Values</w:t>
            </w:r>
          </w:p>
        </w:tc>
      </w:tr>
      <w:tr>
        <w:trPr>
          <w:trHeight w:val="216"/>
        </w:trPr>
        <w:tc>
          <w:tcPr>
            <w:tcW w:w="502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Gains (Losses)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Included</w:t>
            </w: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on Assets -</w:t>
            </w:r>
          </w:p>
        </w:tc>
        <w:tc>
          <w:tcPr>
            <w:tcW w:w="200" w:type="dxa"/>
            <w:vAlign w:val="bottom"/>
          </w:tcPr>
          <w:p>
            <w:pPr>
              <w:spacing w:after="0"/>
              <w:rPr>
                <w:sz w:val="18"/>
                <w:szCs w:val="18"/>
                <w:color w:val="auto"/>
              </w:rPr>
            </w:pPr>
          </w:p>
        </w:tc>
        <w:tc>
          <w:tcPr>
            <w:tcW w:w="16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 Current</w:t>
            </w:r>
          </w:p>
        </w:tc>
      </w:t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200" w:type="dxa"/>
            <w:vAlign w:val="bottom"/>
          </w:tcPr>
          <w:p>
            <w:pPr>
              <w:spacing w:after="0"/>
              <w:rPr>
                <w:sz w:val="18"/>
                <w:szCs w:val="18"/>
                <w:color w:val="auto"/>
              </w:rPr>
            </w:pPr>
          </w:p>
        </w:tc>
        <w:tc>
          <w:tcPr>
            <w:tcW w:w="16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38"/>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00" w:type="dxa"/>
            <w:vAlign w:val="bottom"/>
          </w:tcPr>
          <w:p>
            <w:pPr>
              <w:spacing w:after="0"/>
              <w:rPr>
                <w:sz w:val="20"/>
                <w:szCs w:val="20"/>
                <w:color w:val="auto"/>
              </w:rPr>
            </w:pPr>
          </w:p>
        </w:tc>
        <w:tc>
          <w:tcPr>
            <w:tcW w:w="16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Servicing, net</w:t>
            </w: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7"/>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2"/>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80" w:type="dxa"/>
            <w:vAlign w:val="bottom"/>
          </w:tcPr>
          <w:p>
            <w:pPr>
              <w:spacing w:after="0"/>
              <w:rPr>
                <w:sz w:val="20"/>
                <w:szCs w:val="20"/>
                <w:color w:val="auto"/>
              </w:rPr>
            </w:pPr>
          </w:p>
        </w:tc>
      </w:tr>
      <w:tr>
        <w:trPr>
          <w:trHeight w:val="261"/>
        </w:trPr>
        <w:tc>
          <w:tcPr>
            <w:tcW w:w="5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29"/>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10,196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r>
      <w:tr>
        <w:trPr>
          <w:trHeight w:val="270"/>
        </w:trPr>
        <w:tc>
          <w:tcPr>
            <w:tcW w:w="5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tcPr>
          <w:p>
            <w:pPr>
              <w:spacing w:after="0"/>
              <w:rPr>
                <w:sz w:val="19"/>
                <w:szCs w:val="19"/>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29"/>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(2,108)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70"/>
        </w:trPr>
        <w:tc>
          <w:tcPr>
            <w:tcW w:w="5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1,962</w:t>
            </w:r>
          </w:p>
        </w:tc>
        <w:tc>
          <w:tcPr>
            <w:tcW w:w="200" w:type="dxa"/>
            <w:vAlign w:val="bottom"/>
          </w:tcPr>
          <w:p>
            <w:pPr>
              <w:spacing w:after="0"/>
              <w:rPr>
                <w:sz w:val="19"/>
                <w:szCs w:val="19"/>
                <w:color w:val="auto"/>
              </w:rPr>
            </w:pP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30"/>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(16,224)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w:t>
            </w: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those items measured at fair value pursuant to our election of the fair value option, interest income is recorded within the Consolidated Statements of Operations based on the contractual amount of interest income earned on these financial assets and dividend income is recorded based on cash dividends received.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represent impairment charges recognized during the years ended December 31, 2022, 2021 and 2020 relating to assets measured at fair value on a non-recurring basis:</w:t>
      </w:r>
    </w:p>
    <w:p>
      <w:pPr>
        <w:spacing w:after="0" w:line="162" w:lineRule="exact"/>
        <w:rPr>
          <w:sz w:val="20"/>
          <w:szCs w:val="20"/>
          <w:color w:val="auto"/>
        </w:rPr>
      </w:pPr>
    </w:p>
    <w:p>
      <w:pPr>
        <w:jc w:val="both"/>
        <w:ind w:left="820" w:hanging="488"/>
        <w:spacing w:after="0" w:line="258"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that are individually evaluated using the fair value of collateral for collateral dependent loans had a carrying amount of $2.2 million, which is net of a valuation allowance of $2.1 million at December 31, 2022, and had a carrying amount of $1.4 million, which is net of a valuation allowance of $0.6 million at December 31, 2021. An additional provision for credit losses relating to these collateral dependent loans of $1.5 million, $0.3 million and $0.7 million was included in our results of operations for the years ending December 31, 2022, 2021 and 2020, respectively.</w:t>
      </w:r>
    </w:p>
    <w:p>
      <w:pPr>
        <w:spacing w:after="0" w:line="183" w:lineRule="exact"/>
        <w:rPr>
          <w:rFonts w:ascii="Times New Roman" w:cs="Times New Roman" w:eastAsia="Times New Roman" w:hAnsi="Times New Roman"/>
          <w:sz w:val="18"/>
          <w:szCs w:val="18"/>
          <w:color w:val="auto"/>
        </w:rPr>
      </w:pPr>
    </w:p>
    <w:p>
      <w:pPr>
        <w:jc w:val="both"/>
        <w:ind w:left="820" w:hanging="488"/>
        <w:spacing w:after="0" w:line="261" w:lineRule="auto"/>
        <w:tabs>
          <w:tab w:leader="none" w:pos="8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real estate, which is measured using the fair value of the property, had a carrying amount of zero which is net of a valuation allowance of $0.03 million, at December 31, 2021. We did not have any other real estate measured using the fair value of property at December 31, 2022. An additional charge relating to other real estate measured at fair value of zero, zero and $0.03 million was included in our results of operations during the years ended December 31, 2022, 2021 and 2020,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for all assets and (liabilities) measured at fair value on a recurring basis using significant unobservable inputs (Level 3) for the years ended December 31 follows:</w:t>
      </w:r>
    </w:p>
    <w:p>
      <w:pPr>
        <w:spacing w:after="0" w:line="21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Capitalized Mortgage</w:t>
      </w:r>
    </w:p>
    <w:p>
      <w:pPr>
        <w:spacing w:after="0" w:line="3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Loan Servicing Rights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losses realized and unrealized: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Included in results of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w:t>
            </w: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other comprehensive income (loss)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issuances, settlements, maturities and calls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total losses for the period included in earnings attributable to the change 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relating to assets and liabilities still held at December 31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65"/>
        </w:trPr>
        <w:tc>
          <w:tcPr>
            <w:tcW w:w="2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9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80" w:type="dxa"/>
            <w:vAlign w:val="bottom"/>
          </w:tcPr>
          <w:p>
            <w:pPr>
              <w:spacing w:after="0"/>
              <w:rPr>
                <w:sz w:val="23"/>
                <w:szCs w:val="23"/>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2"/>
        </w:trPr>
        <w:tc>
          <w:tcPr>
            <w:tcW w:w="258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jc w:val="right"/>
              <w:ind w:right="410"/>
              <w:spacing w:after="0" w:line="176" w:lineRule="exact"/>
              <w:rPr>
                <w:sz w:val="20"/>
                <w:szCs w:val="20"/>
                <w:color w:val="auto"/>
              </w:rPr>
            </w:pPr>
            <w:r>
              <w:rPr>
                <w:rFonts w:ascii="Times New Roman" w:cs="Times New Roman" w:eastAsia="Times New Roman" w:hAnsi="Times New Roman"/>
                <w:sz w:val="18"/>
                <w:szCs w:val="18"/>
                <w:color w:val="auto"/>
              </w:rPr>
              <w:t>Capitalized mortgage loan</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Present value of net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 to 13.23%</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servicing rights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8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10.12 %</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to service</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 to $150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Ancillary income</w:t>
            </w: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 to 35</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Float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 to 30.40%</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jc w:val="right"/>
              <w:ind w:right="211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80" w:type="dxa"/>
            <w:vAlign w:val="bottom"/>
          </w:tcPr>
          <w:p>
            <w:pPr>
              <w:jc w:val="right"/>
              <w:ind w:right="410"/>
              <w:spacing w:after="0" w:line="176" w:lineRule="exact"/>
              <w:rPr>
                <w:sz w:val="20"/>
                <w:szCs w:val="20"/>
                <w:color w:val="auto"/>
              </w:rPr>
            </w:pPr>
            <w:r>
              <w:rPr>
                <w:rFonts w:ascii="Times New Roman" w:cs="Times New Roman" w:eastAsia="Times New Roman" w:hAnsi="Times New Roman"/>
                <w:sz w:val="18"/>
                <w:szCs w:val="18"/>
                <w:color w:val="auto"/>
              </w:rPr>
              <w:t>Capitalized mortgage loan</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Present value of net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10.00% to 13.00%</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servicing rights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8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10.07 %</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to service</w:t>
            </w: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 to $281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Ancillary income</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 to 30</w:t>
            </w:r>
          </w:p>
        </w:tc>
        <w:tc>
          <w:tcPr>
            <w:tcW w:w="1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 rate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 to 44.21%</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13.92 %</w:t>
            </w:r>
          </w:p>
        </w:tc>
        <w:tc>
          <w:tcPr>
            <w:tcW w:w="0" w:type="dxa"/>
            <w:vAlign w:val="bottom"/>
          </w:tcPr>
          <w:p>
            <w:pPr>
              <w:spacing w:after="0"/>
              <w:rPr>
                <w:sz w:val="1"/>
                <w:szCs w:val="1"/>
                <w:color w:val="auto"/>
              </w:rPr>
            </w:pPr>
          </w:p>
        </w:tc>
      </w:tr>
      <w:tr>
        <w:trPr>
          <w:trHeight w:val="891"/>
        </w:trPr>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measured on a non-recurring basis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8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22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65"/>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22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8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2"/>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approach</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between comparable sales</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 to 20.0%</w:t>
            </w:r>
          </w:p>
        </w:tc>
        <w:tc>
          <w:tcPr>
            <w:tcW w:w="1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Mortgage and Installment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approach</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between comparable sales</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(73.3) to 65.2</w:t>
            </w:r>
          </w:p>
        </w:tc>
        <w:tc>
          <w:tcPr>
            <w:tcW w:w="12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approach</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between comparable sales</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 to 12.0%</w:t>
            </w:r>
          </w:p>
        </w:tc>
        <w:tc>
          <w:tcPr>
            <w:tcW w:w="12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1.5 %</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Mortgage and Installment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approach</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between comparable sales</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 to 29.3</w:t>
            </w:r>
          </w:p>
        </w:tc>
        <w:tc>
          <w:tcPr>
            <w:tcW w:w="12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9" w:lineRule="exact"/>
        <w:rPr>
          <w:sz w:val="20"/>
          <w:szCs w:val="20"/>
          <w:color w:val="auto"/>
        </w:rPr>
      </w:pPr>
    </w:p>
    <w:p>
      <w:pPr>
        <w:jc w:val="both"/>
        <w:ind w:left="580" w:right="20" w:hanging="554"/>
        <w:spacing w:after="0" w:line="266" w:lineRule="auto"/>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valuation techniques and unobservable inputs discussed above, at December 31, 2022 and 2021 certain collateral dependent installment loans totaling approximately $0.30 million and $0.17 million are secured by collateral other than real estate. For the majority of these loans, we apply internal discount rates to industry valuation guides.</w:t>
      </w:r>
    </w:p>
    <w:p>
      <w:pPr>
        <w:spacing w:after="0" w:line="28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remaining contractual principal balance outstanding for loans held for sale for which the fair value option has been elected at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Difference</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32"/>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(2,342)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28,860</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55,470</w:t>
            </w:r>
          </w:p>
        </w:tc>
        <w:tc>
          <w:tcPr>
            <w:tcW w:w="220" w:type="dxa"/>
            <w:vAlign w:val="bottom"/>
          </w:tcPr>
          <w:p>
            <w:pPr>
              <w:spacing w:after="0"/>
              <w:rPr>
                <w:sz w:val="19"/>
                <w:szCs w:val="19"/>
                <w:color w:val="auto"/>
              </w:rPr>
            </w:pPr>
          </w:p>
        </w:tc>
        <w:tc>
          <w:tcPr>
            <w:tcW w:w="13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1,051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92,434</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3,856</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88,578</w:t>
            </w:r>
          </w:p>
        </w:tc>
        <w:tc>
          <w:tcPr>
            <w:tcW w:w="0" w:type="dxa"/>
            <w:vAlign w:val="bottom"/>
          </w:tcPr>
          <w:p>
            <w:pPr>
              <w:spacing w:after="0"/>
              <w:rPr>
                <w:sz w:val="1"/>
                <w:szCs w:val="1"/>
                <w:color w:val="auto"/>
              </w:rPr>
            </w:pPr>
          </w:p>
        </w:tc>
      </w:tr>
      <w:tr>
        <w:trPr>
          <w:trHeight w:val="905"/>
        </w:trPr>
        <w:tc>
          <w:tcPr>
            <w:tcW w:w="3440" w:type="dxa"/>
            <w:vAlign w:val="bottom"/>
          </w:tcPr>
          <w:p>
            <w:pPr>
              <w:spacing w:after="0"/>
              <w:rPr>
                <w:sz w:val="24"/>
                <w:szCs w:val="24"/>
                <w:color w:val="auto"/>
              </w:rPr>
            </w:pPr>
          </w:p>
        </w:tc>
        <w:tc>
          <w:tcPr>
            <w:tcW w:w="3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FAIR VALUES OF FINANCIAL INSTRUMENTS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recorded book balances and fair values at December 31 follow: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Fair Value Using</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97"/>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8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w:t>
            </w:r>
          </w:p>
        </w:tc>
        <w:tc>
          <w:tcPr>
            <w:tcW w:w="160" w:type="dxa"/>
            <w:vAlign w:val="bottom"/>
          </w:tcPr>
          <w:p>
            <w:pPr>
              <w:spacing w:after="0"/>
              <w:rPr>
                <w:sz w:val="17"/>
                <w:szCs w:val="17"/>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7"/>
                <w:szCs w:val="17"/>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w:t>
            </w:r>
          </w:p>
        </w:tc>
      </w:tr>
      <w:tr>
        <w:trPr>
          <w:trHeight w:val="189"/>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8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observable</w:t>
            </w: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Book</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7"/>
                <w:szCs w:val="17"/>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8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29"/>
        </w:trPr>
        <w:tc>
          <w:tcPr>
            <w:tcW w:w="3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09"/>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due from banks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70,180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70,180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70,180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bearing deposits</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4,191</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4,191</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4,191</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779,347</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779,347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779,347</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Securities held to maturity</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374,818</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335,418</w:t>
            </w:r>
          </w:p>
        </w:tc>
        <w:tc>
          <w:tcPr>
            <w:tcW w:w="1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335,418</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 Home Loan Bank and Federal Reserve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Bank Stock</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17,653</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loans and loans held for sale</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3,459,802</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3,185,518</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20,367</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26,518</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3,138,633</w:t>
            </w: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16,513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16,513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10,009</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39,747</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39,747</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39,747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Deposits with no stated maturity (1)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3,798,848</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3,798,848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3,798,848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Deposits with stated maturity (1)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580,221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573,739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573,739</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borrowings</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86,006</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86,006</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86,006</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Subordinated debt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39,433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41,058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41,058</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Subordinated debentures</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39,660</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38,982</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38,982</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2,287</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2,287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19,127</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19,127</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19,127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due from banks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51,069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51,069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51,069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bearing deposits</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58,404</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58,404</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58,404</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Securities available for sale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1,412,830</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1,412,830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1,412,830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Federal Home Loan Bank and Federal Reserve</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0"/>
        </w:trPr>
        <w:tc>
          <w:tcPr>
            <w:tcW w:w="35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Bank Stock</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18,427</w:t>
            </w:r>
          </w:p>
        </w:tc>
        <w:tc>
          <w:tcPr>
            <w:tcW w:w="3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loans and loans held for sale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2,948,074</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2,931,079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35,233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55,470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2,840,376</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12,865</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12,865</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6,028</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6,836</w:t>
            </w: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12,283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12,283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12,283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Deposits with no stated maturity (1)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3,781,298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3,781,298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3,781,298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Deposits with stated maturity (1)</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335,792</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336,006</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336,006</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borrowings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30,009</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30,155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30,155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Subordinated debt</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39,357</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44,999</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44,999</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Subordinated debentures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39,592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33,866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33,866</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497</w:t>
            </w:r>
          </w:p>
        </w:tc>
        <w:tc>
          <w:tcPr>
            <w:tcW w:w="3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497</w:t>
            </w:r>
          </w:p>
        </w:tc>
        <w:tc>
          <w:tcPr>
            <w:tcW w:w="1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5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5,961</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5,961</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ind w:left="480" w:right="20" w:hanging="454"/>
        <w:spacing w:after="0" w:line="185" w:lineRule="auto"/>
        <w:tabs>
          <w:tab w:leader="none" w:pos="480" w:val="left"/>
        </w:tabs>
        <w:numPr>
          <w:ilvl w:val="0"/>
          <w:numId w:val="6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3"/>
          <w:szCs w:val="13"/>
          <w:color w:val="auto"/>
        </w:rPr>
        <w:t>Deposits with no stated maturity include reciprocal deposits with a recorded book balance of $555.781 million and $562.210 million at December 31, 2022 and 2021, respectively. Deposits with a stated maturity include reciprocal deposits with a recorded book balance of $46.794 million and $24.416 million at December 31, 2022 and 2021, respectively.</w:t>
      </w:r>
    </w:p>
    <w:p>
      <w:pPr>
        <w:spacing w:after="0" w:line="3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for commitments to extend credit and standby letters of credit are estimated to approximate their aggregate book balance, which is nominal, and therefore are not disclosed.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ACCUMULATED OTHER COMPREHENSIVE INCOME (LOSS)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accumulated other comprehensive income (loss) (‘‘AOCIL’’), net of tax during the years ended December 31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Dispropor-</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tionate</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Tax Effects</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5"/>
                <w:szCs w:val="15"/>
                <w:b w:val="1"/>
                <w:bCs w:val="1"/>
                <w:color w:val="auto"/>
              </w:rPr>
              <w:t>Securities</w:t>
            </w:r>
          </w:p>
        </w:tc>
        <w:tc>
          <w:tcPr>
            <w:tcW w:w="16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22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Losses on</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Transferred to</w:t>
            </w:r>
          </w:p>
        </w:tc>
        <w:tc>
          <w:tcPr>
            <w:tcW w:w="16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0" w:type="dxa"/>
            <w:vAlign w:val="bottom"/>
          </w:tcPr>
          <w:p>
            <w:pPr>
              <w:spacing w:after="0"/>
              <w:rPr>
                <w:sz w:val="5"/>
                <w:szCs w:val="5"/>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Cash Flow</w:t>
            </w: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80" w:type="dxa"/>
            <w:vAlign w:val="bottom"/>
            <w:gridSpan w:val="3"/>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Securities HTM</w:t>
            </w: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AFS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AFS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5"/>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(93,481)</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55"/>
        </w:trPr>
        <w:tc>
          <w:tcPr>
            <w:tcW w:w="3600" w:type="dxa"/>
            <w:vAlign w:val="bottom"/>
          </w:tcPr>
          <w:p>
            <w:pPr>
              <w:ind w:left="460"/>
              <w:spacing w:after="0" w:line="156" w:lineRule="exact"/>
              <w:rPr>
                <w:sz w:val="20"/>
                <w:szCs w:val="20"/>
                <w:color w:val="auto"/>
              </w:rPr>
            </w:pPr>
            <w:r>
              <w:rPr>
                <w:rFonts w:ascii="Times New Roman" w:cs="Times New Roman" w:eastAsia="Times New Roman" w:hAnsi="Times New Roman"/>
                <w:sz w:val="18"/>
                <w:szCs w:val="18"/>
                <w:color w:val="auto"/>
              </w:rPr>
              <w:t>Net current period other comprehensive</w:t>
            </w: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0" w:type="dxa"/>
            <w:vAlign w:val="bottom"/>
          </w:tcPr>
          <w:p>
            <w:pPr>
              <w:spacing w:after="0"/>
              <w:rPr>
                <w:sz w:val="1"/>
                <w:szCs w:val="1"/>
                <w:color w:val="auto"/>
              </w:rPr>
            </w:pPr>
          </w:p>
        </w:tc>
      </w:tr>
      <w:tr>
        <w:trPr>
          <w:trHeight w:val="248"/>
        </w:trPr>
        <w:tc>
          <w:tcPr>
            <w:tcW w:w="3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0" w:type="dxa"/>
            <w:vAlign w:val="bottom"/>
          </w:tcPr>
          <w:p>
            <w:pPr>
              <w:spacing w:after="0"/>
              <w:rPr>
                <w:sz w:val="1"/>
                <w:szCs w:val="1"/>
                <w:color w:val="auto"/>
              </w:rPr>
            </w:pPr>
          </w:p>
        </w:tc>
      </w:tr>
      <w:tr>
        <w:trPr>
          <w:trHeight w:val="230"/>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155"/>
        </w:trPr>
        <w:tc>
          <w:tcPr>
            <w:tcW w:w="3600" w:type="dxa"/>
            <w:vAlign w:val="bottom"/>
            <w:tcBorders>
              <w:top w:val="single" w:sz="8" w:color="CCEEFF"/>
            </w:tcBorders>
            <w:shd w:val="clear" w:color="auto" w:fill="CCEEFF"/>
          </w:tcPr>
          <w:p>
            <w:pPr>
              <w:ind w:left="520"/>
              <w:spacing w:after="0" w:line="156" w:lineRule="exact"/>
              <w:rPr>
                <w:sz w:val="20"/>
                <w:szCs w:val="20"/>
                <w:color w:val="auto"/>
              </w:rPr>
            </w:pPr>
            <w:r>
              <w:rPr>
                <w:rFonts w:ascii="Times New Roman" w:cs="Times New Roman" w:eastAsia="Times New Roman" w:hAnsi="Times New Roman"/>
                <w:sz w:val="18"/>
                <w:szCs w:val="18"/>
                <w:color w:val="auto"/>
              </w:rPr>
              <w:t>Net current period other comprehensive</w:t>
            </w: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0" w:type="dxa"/>
            <w:vAlign w:val="bottom"/>
          </w:tcPr>
          <w:p>
            <w:pPr>
              <w:spacing w:after="0"/>
              <w:rPr>
                <w:sz w:val="1"/>
                <w:szCs w:val="1"/>
                <w:color w:val="auto"/>
              </w:rPr>
            </w:pPr>
          </w:p>
        </w:tc>
      </w:tr>
      <w:tr>
        <w:trPr>
          <w:trHeight w:val="22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0" w:type="dxa"/>
            <w:vAlign w:val="bottom"/>
          </w:tcPr>
          <w:p>
            <w:pPr>
              <w:spacing w:after="0"/>
              <w:rPr>
                <w:sz w:val="1"/>
                <w:szCs w:val="1"/>
                <w:color w:val="auto"/>
              </w:rPr>
            </w:pPr>
          </w:p>
        </w:tc>
      </w:tr>
      <w:tr>
        <w:trPr>
          <w:trHeight w:val="225"/>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05"/>
        </w:trPr>
        <w:tc>
          <w:tcPr>
            <w:tcW w:w="36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Net current period other comprehensive</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0" w:type="dxa"/>
            <w:vAlign w:val="bottom"/>
          </w:tcPr>
          <w:p>
            <w:pPr>
              <w:spacing w:after="0"/>
              <w:rPr>
                <w:sz w:val="1"/>
                <w:szCs w:val="1"/>
                <w:color w:val="auto"/>
              </w:rPr>
            </w:pPr>
          </w:p>
        </w:tc>
      </w:tr>
      <w:tr>
        <w:trPr>
          <w:trHeight w:val="25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disproportionate tax effects from securities AFS arose primarily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other comprehensive income to earnings is done by the portfolio method whereby the effects will remain in AOCIL as long as we carry a more than inconsequential portfolio of securities AFS.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AOCIL for the years ended December 31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AOCIL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0175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2022</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2021</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Reclassified</w:t>
            </w:r>
          </w:p>
        </w:tc>
        <w:tc>
          <w:tcPr>
            <w:tcW w:w="4780" w:type="dxa"/>
            <w:vAlign w:val="bottom"/>
          </w:tcPr>
          <w:p>
            <w:pPr>
              <w:spacing w:after="0"/>
              <w:rPr>
                <w:sz w:val="18"/>
                <w:szCs w:val="18"/>
                <w:color w:val="auto"/>
              </w:rPr>
            </w:pPr>
          </w:p>
        </w:tc>
      </w:tr>
      <w:tr>
        <w:trPr>
          <w:trHeight w:val="216"/>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Affected Line Item in</w:t>
            </w:r>
          </w:p>
        </w:tc>
      </w:tr>
      <w:tr>
        <w:trPr>
          <w:trHeight w:val="238"/>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AOCIL</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2"/>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140335</wp:posOffset>
            </wp:positionV>
            <wp:extent cx="711517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36" w:lineRule="exact"/>
        <w:rPr>
          <w:sz w:val="20"/>
          <w:szCs w:val="20"/>
          <w:color w:val="auto"/>
        </w:rPr>
      </w:pPr>
    </w:p>
    <w:p>
      <w:pPr>
        <w:ind w:left="1060" w:hanging="1048"/>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  Net gains (losses) on securities available for sale</w:t>
      </w:r>
    </w:p>
    <w:p>
      <w:pPr>
        <w:spacing w:after="0" w:line="27" w:lineRule="exact"/>
        <w:rPr>
          <w:rFonts w:ascii="Times New Roman" w:cs="Times New Roman" w:eastAsia="Times New Roman" w:hAnsi="Times New Roman"/>
          <w:sz w:val="18"/>
          <w:szCs w:val="18"/>
          <w:color w:val="auto"/>
        </w:rPr>
      </w:pPr>
    </w:p>
    <w:p>
      <w:pPr>
        <w:ind w:left="1060" w:right="1660" w:firstLine="165"/>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Net impairment loss recognized in earnings (275) Total reclassifications before tax</w:t>
      </w:r>
    </w:p>
    <w:p>
      <w:pPr>
        <w:spacing w:after="0" w:line="1"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14605</wp:posOffset>
            </wp:positionV>
            <wp:extent cx="711517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-285115</wp:posOffset>
            </wp:positionV>
            <wp:extent cx="7115175"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205740</wp:posOffset>
            </wp:positionV>
            <wp:extent cx="7115175"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9429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000" w:hanging="988"/>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1,411  Net gains (losses) on securities available for sale</w:t>
      </w:r>
    </w:p>
    <w:p>
      <w:pPr>
        <w:spacing w:after="0" w:line="27" w:lineRule="exact"/>
        <w:rPr>
          <w:rFonts w:ascii="Times New Roman" w:cs="Times New Roman" w:eastAsia="Times New Roman" w:hAnsi="Times New Roman"/>
          <w:sz w:val="18"/>
          <w:szCs w:val="18"/>
          <w:color w:val="auto"/>
        </w:rPr>
      </w:pPr>
    </w:p>
    <w:p>
      <w:pPr>
        <w:ind w:left="1000" w:right="1660" w:firstLine="218"/>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Net impairment loss recognized in earnings 1,411 Total reclassifications before tax</w:t>
      </w:r>
    </w:p>
    <w:p>
      <w:pPr>
        <w:spacing w:after="0" w:line="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-430530</wp:posOffset>
            </wp:positionV>
            <wp:extent cx="7115175" cy="4540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15175" cy="454025"/>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980" w:val="left"/>
          <w:tab w:leader="none" w:pos="1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17145</wp:posOffset>
            </wp:positionV>
            <wp:extent cx="711517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640"/>
            <w:col w:w="6380"/>
          </w:cols>
          <w:pgMar w:left="320" w:top="121" w:right="33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(losses) on securities available for sale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impairment loss recognized in earnings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4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112</w:t>
            </w: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INDEPENDENT BANK CORPORATION (PARENT COMPANY ONLY)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are condensed financial statements for our parent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FINANCIAL CONDITION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32"/>
        </w:trPr>
        <w:tc>
          <w:tcPr>
            <w:tcW w:w="660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432,949</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income and other assets</w:t>
            </w:r>
          </w:p>
        </w:tc>
        <w:tc>
          <w:tcPr>
            <w:tcW w:w="3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479,138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39,433</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debentures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39,592</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348,511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399,345</w:t>
            </w:r>
          </w:p>
        </w:tc>
        <w:tc>
          <w:tcPr>
            <w:tcW w:w="0" w:type="dxa"/>
            <w:vAlign w:val="bottom"/>
          </w:tcPr>
          <w:p>
            <w:pPr>
              <w:spacing w:after="0"/>
              <w:rPr>
                <w:sz w:val="1"/>
                <w:szCs w:val="1"/>
                <w:color w:val="auto"/>
              </w:rPr>
            </w:pP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433,652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479,138</w:t>
            </w:r>
          </w:p>
        </w:tc>
        <w:tc>
          <w:tcPr>
            <w:tcW w:w="0" w:type="dxa"/>
            <w:vAlign w:val="bottom"/>
          </w:tcPr>
          <w:p>
            <w:pPr>
              <w:spacing w:after="0"/>
              <w:rPr>
                <w:sz w:val="1"/>
                <w:szCs w:val="1"/>
                <w:color w:val="auto"/>
              </w:rPr>
            </w:pPr>
          </w:p>
        </w:tc>
      </w:tr>
      <w:tr>
        <w:trPr>
          <w:trHeight w:val="20"/>
        </w:trPr>
        <w:tc>
          <w:tcPr>
            <w:tcW w:w="8180" w:type="dxa"/>
            <w:vAlign w:val="bottom"/>
            <w:gridSpan w:val="4"/>
            <w:vMerge w:val="restart"/>
          </w:tcPr>
          <w:p>
            <w:pPr>
              <w:ind w:left="368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0" w:type="dxa"/>
            <w:vAlign w:val="bottom"/>
          </w:tcPr>
          <w:p>
            <w:pPr>
              <w:spacing w:after="0"/>
              <w:rPr>
                <w:sz w:val="1"/>
                <w:szCs w:val="1"/>
                <w:color w:val="auto"/>
              </w:rPr>
            </w:pPr>
          </w:p>
        </w:tc>
      </w:tr>
      <w:tr>
        <w:trPr>
          <w:trHeight w:val="23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from subsidiary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Administrative and other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 and Equity in Undistributed Net Income of Subsidiaries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Equity in Undistributed Net Income of Subsidiaries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56,152</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4"/>
          </w:tcPr>
          <w:p>
            <w:pPr>
              <w:ind w:left="366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3"/>
        </w:trPr>
        <w:tc>
          <w:tcPr>
            <w:tcW w:w="6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56,152</w:t>
            </w:r>
          </w:p>
        </w:tc>
      </w:tr>
      <w:tr>
        <w:trPr>
          <w:trHeight w:val="205"/>
        </w:trPr>
        <w:tc>
          <w:tcPr>
            <w:tcW w:w="66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ADJUSTMENTS TO RECONCILE NET INCOME TO NET CASH FROM</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discount on subordinated debt and debentures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accrued income and other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accrued expenses and other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(34,700)</w:t>
            </w: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(34,730)</w:t>
            </w: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21,422</w:t>
            </w:r>
          </w:p>
        </w:tc>
      </w:tr>
      <w:tr>
        <w:trPr>
          <w:trHeight w:val="223"/>
        </w:trPr>
        <w:tc>
          <w:tcPr>
            <w:tcW w:w="6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interest bearing deposits - time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3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Maturity of interest bearing deposits - time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23"/>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(USED IN)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debt, net of issuance costs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39,236</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9"/>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(14,231)</w:t>
            </w: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From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r>
      <w:tr>
        <w:trPr>
          <w:trHeight w:val="22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 REVENUE FROM CONTRACTS WITH CUSTOMERS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84.1%, 84.6% and 88.1% of total revenues at December 31, 2022, 2021 and 2020, respectively.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Material sources of revenue that are included in the scope of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December 31, 2022 and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Service charges on deposit accounts and other deposit related income</w:t>
      </w:r>
      <w:r>
        <w:rPr>
          <w:rFonts w:ascii="Times New Roman" w:cs="Times New Roman" w:eastAsia="Times New Roman" w:hAnsi="Times New Roman"/>
          <w:sz w:val="18"/>
          <w:szCs w:val="18"/>
          <w:color w:val="auto"/>
        </w:rPr>
        <w:t>: Revenues are earned on depository accounts for commercial and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Interchange income: </w:t>
      </w:r>
      <w:r>
        <w:rPr>
          <w:rFonts w:ascii="Times New Roman" w:cs="Times New Roman" w:eastAsia="Times New Roman" w:hAnsi="Times New Roman"/>
          <w:sz w:val="18"/>
          <w:szCs w:val="18"/>
          <w:color w:val="auto"/>
        </w:rPr>
        <w:t>Interchange income primarily includes debit card interchange and network revenues. Debit card interchange and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are earned on debit card transactions conducted through payment networks such as MasterCard, NYCE (during 2021 and 2020)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and insurance commissions: </w:t>
      </w:r>
      <w:r>
        <w:rPr>
          <w:rFonts w:ascii="Times New Roman" w:cs="Times New Roman" w:eastAsia="Times New Roman" w:hAnsi="Times New Roman"/>
          <w:sz w:val="18"/>
          <w:szCs w:val="18"/>
          <w:color w:val="auto"/>
        </w:rPr>
        <w:t>Investment and insurance commissions include fees and commissions from asset management, custody,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recordkeeping,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Net (gains) losses on other real estate and repossessed assets</w:t>
      </w:r>
      <w:r>
        <w:rPr>
          <w:rFonts w:ascii="Times New Roman" w:cs="Times New Roman" w:eastAsia="Times New Roman" w:hAnsi="Times New Roman"/>
          <w:sz w:val="18"/>
          <w:szCs w:val="18"/>
          <w:color w:val="auto"/>
        </w:rPr>
        <w:t>: We record a gain or loss from the sale of other real estate when control of the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2022, 2021 or 2020 that were financed by 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Disaggregation of our revenue sources by attribute for the years ended December 31 follow:</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Deposit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5"/>
        </w:trPr>
        <w:tc>
          <w:tcPr>
            <w:tcW w:w="35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Commissions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30"/>
        </w:trPr>
        <w:tc>
          <w:tcPr>
            <w:tcW w:w="3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8"/>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70"/>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29"/>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w:t>
            </w:r>
          </w:p>
        </w:tc>
      </w:tr>
      <w:tr>
        <w:trPr>
          <w:trHeight w:val="248"/>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Deposit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5"/>
        </w:trPr>
        <w:tc>
          <w:tcPr>
            <w:tcW w:w="35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Commissions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29"/>
        </w:trPr>
        <w:tc>
          <w:tcPr>
            <w:tcW w:w="3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8"/>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30"/>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30"/>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48"/>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Deposit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5"/>
        </w:trPr>
        <w:tc>
          <w:tcPr>
            <w:tcW w:w="35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Commissions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w:t>
            </w: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9"/>
        </w:trPr>
        <w:tc>
          <w:tcPr>
            <w:tcW w:w="3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8"/>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6"/>
        </w:trPr>
        <w:tc>
          <w:tcPr>
            <w:tcW w:w="35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30"/>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30"/>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9"/>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48"/>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18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 summary of selected quarterly results of operations for the years ended December 31 follows: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9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2"/>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94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44,925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50,978</w:t>
            </w: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33,001</w:t>
            </w: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36,061</w:t>
            </w:r>
          </w:p>
        </w:tc>
        <w:tc>
          <w:tcPr>
            <w:tcW w:w="200" w:type="dxa"/>
            <w:vAlign w:val="bottom"/>
          </w:tcPr>
          <w:p>
            <w:pPr>
              <w:spacing w:after="0"/>
              <w:rPr>
                <w:sz w:val="19"/>
                <w:szCs w:val="19"/>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39,897</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2,379</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3,145</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29"/>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15,880</w:t>
            </w:r>
          </w:p>
        </w:tc>
        <w:tc>
          <w:tcPr>
            <w:tcW w:w="200" w:type="dxa"/>
            <w:vAlign w:val="bottom"/>
          </w:tcPr>
          <w:p>
            <w:pPr>
              <w:spacing w:after="0"/>
              <w:rPr>
                <w:sz w:val="19"/>
                <w:szCs w:val="19"/>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21,247</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17,297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0.62</w:t>
            </w:r>
          </w:p>
        </w:tc>
        <w:tc>
          <w:tcPr>
            <w:tcW w:w="200" w:type="dxa"/>
            <w:vAlign w:val="bottom"/>
          </w:tcPr>
          <w:p>
            <w:pPr>
              <w:spacing w:after="0"/>
              <w:rPr>
                <w:sz w:val="19"/>
                <w:szCs w:val="19"/>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0.82</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32,502</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35,855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36,224</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31,393</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33,803</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34,285</w:t>
            </w:r>
          </w:p>
        </w:tc>
        <w:tc>
          <w:tcPr>
            <w:tcW w:w="0" w:type="dxa"/>
            <w:vAlign w:val="bottom"/>
          </w:tcPr>
          <w:p>
            <w:pPr>
              <w:spacing w:after="0"/>
              <w:rPr>
                <w:sz w:val="1"/>
                <w:szCs w:val="1"/>
                <w:color w:val="auto"/>
              </w:rPr>
            </w:pPr>
          </w:p>
        </w:tc>
      </w:tr>
      <w:tr>
        <w:trPr>
          <w:trHeight w:val="229"/>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15,053</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19,645</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12,388</w:t>
            </w:r>
          </w:p>
        </w:tc>
        <w:tc>
          <w:tcPr>
            <w:tcW w:w="200" w:type="dxa"/>
            <w:vAlign w:val="bottom"/>
          </w:tcPr>
          <w:p>
            <w:pPr>
              <w:spacing w:after="0"/>
              <w:rPr>
                <w:sz w:val="19"/>
                <w:szCs w:val="19"/>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15,962</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0.74</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4"/>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0.73</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fourth quarter of 2021, we recognized a negative fair value adjustment on certain mortgage banking related loans held for sale and derivatives not designated as hedging instruments (see note #16).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6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QUARTERLY SUMMARY (UNAUDITED)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99"/>
        </w:trPr>
        <w:tc>
          <w:tcPr>
            <w:tcW w:w="1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Reported Sales Prices of Common Shares</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Cash Dividends</w:t>
            </w:r>
          </w:p>
        </w:tc>
      </w:tr>
      <w:tr>
        <w:trPr>
          <w:trHeight w:val="237"/>
        </w:trPr>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780" w:type="dxa"/>
            <w:vAlign w:val="bottom"/>
            <w:tcBorders>
              <w:bottom w:val="single" w:sz="8" w:color="auto"/>
            </w:tcBorders>
          </w:tcPr>
          <w:p>
            <w:pPr>
              <w:spacing w:after="0"/>
              <w:rPr>
                <w:sz w:val="20"/>
                <w:szCs w:val="20"/>
                <w:color w:val="auto"/>
              </w:rPr>
            </w:pPr>
          </w:p>
        </w:tc>
      </w:tr>
      <w:tr>
        <w:trPr>
          <w:trHeight w:val="223"/>
        </w:trPr>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8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bl>
    <w:p>
      <w:pPr>
        <w:spacing w:after="0" w:line="2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approximately 1,200 holders of record of our common stock. Our common stock trades on the NASDAQ Global Select Market System under the symbol “IBCP.” The prices shown above are supplied by NASDAQ and reflect the inter-dealer prices and may not include retail markups, markdowns or commissions. There may have been transactions or quotations at higher or lower prices of which we are not aware.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limitations imposed by the provisions of the Michigan Business Corporation Act (which, among other things, limits us from paying dividends to the extent we are insolvent), our ability to pay dividends is limited by our ability to obtain funds from our Bank and by regulatory capital guidelines applicable to us (see note #20).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14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39"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INDEPENDENT BANK CORPORATION</w:t>
            </w:r>
          </w:p>
        </w:tc>
        <w:tc>
          <w:tcPr>
            <w:tcW w:w="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38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Subsidiaries of the Registrant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IBC Capital Finance III</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State of Incorporation</w:t>
            </w:r>
          </w:p>
        </w:tc>
        <w:tc>
          <w:tcPr>
            <w:tcW w:w="0" w:type="dxa"/>
            <w:vAlign w:val="bottom"/>
          </w:tcPr>
          <w:p>
            <w:pPr>
              <w:spacing w:after="0"/>
              <w:rPr>
                <w:sz w:val="1"/>
                <w:szCs w:val="1"/>
                <w:color w:val="auto"/>
              </w:rPr>
            </w:pPr>
          </w:p>
        </w:tc>
      </w:tr>
      <w:tr>
        <w:trPr>
          <w:trHeight w:val="245"/>
        </w:trPr>
        <w:tc>
          <w:tcPr>
            <w:tcW w:w="6700" w:type="dxa"/>
            <w:vAlign w:val="bottom"/>
            <w:gridSpan w:val="3"/>
            <w:vMerge w:val="continue"/>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IBC Capital Finance IV</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Midwest Guaranty Trust I</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TCSB Statutory Trust I</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Bank</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IB Advisory Services, Inc., Grand Rapids, Michigan</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Title Services, Inc., Grand Rapids, Michigan</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 Corporation)</w:t>
            </w: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9"/>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Life Insurance Trust, Grand Rapids, Michigan</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Table excludes insignificant subsidiaries, such as single-member limited liability companies formed solely to hold other real estate.</w:t>
      </w:r>
    </w:p>
    <w:p>
      <w:pPr>
        <w:sectPr>
          <w:pgSz w:w="11900" w:h="16838" w:orient="portrait"/>
          <w:cols w:equalWidth="0" w:num="1">
            <w:col w:w="11240"/>
          </w:cols>
          <w:pgMar w:left="320" w:top="117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firstLine="324"/>
        <w:spacing w:after="0" w:line="22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333-89072, 333-125484, 333-189437, 333-221177, 333-222358, and 333-255976) on Form S-8 of Independent Bank Corporation of our report dated March 3, 2023 relating to the consolidated financial statements and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effectiveness of internal control over financial reporting appearing in the Annual Report on Form 10-K of Independent Bank Corporation for the year ended December 31, 2022.</w:t>
      </w: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Crowe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Bend, Indiana</w:t>
      </w:r>
    </w:p>
    <w:p>
      <w:pPr>
        <w:spacing w:after="0"/>
        <w:rPr>
          <w:sz w:val="20"/>
          <w:szCs w:val="20"/>
          <w:color w:val="auto"/>
        </w:rPr>
      </w:pPr>
      <w:r>
        <w:rPr>
          <w:rFonts w:ascii="Times New Roman" w:cs="Times New Roman" w:eastAsia="Times New Roman" w:hAnsi="Times New Roman"/>
          <w:sz w:val="18"/>
          <w:szCs w:val="18"/>
          <w:color w:val="auto"/>
        </w:rPr>
        <w:t>March 3, 2023</w:t>
      </w:r>
    </w:p>
    <w:p>
      <w:pPr>
        <w:sectPr>
          <w:pgSz w:w="11900" w:h="16838" w:orient="portrait"/>
          <w:cols w:equalWidth="0" w:num="1">
            <w:col w:w="11240"/>
          </w:cols>
          <w:pgMar w:left="320" w:top="1120" w:right="339" w:bottom="1440" w:gutter="0" w:footer="0" w:header="0"/>
        </w:sectPr>
      </w:pPr>
    </w:p>
    <w:bookmarkStart w:id="141" w:name="page142"/>
    <w:bookmarkEnd w:id="141"/>
    <w:p>
      <w:pPr>
        <w:ind w:left="10160"/>
        <w:spacing w:after="0"/>
        <w:rPr>
          <w:sz w:val="20"/>
          <w:szCs w:val="20"/>
          <w:color w:val="auto"/>
        </w:rPr>
      </w:pPr>
      <w:r>
        <w:rPr>
          <w:rFonts w:ascii="Times New Roman" w:cs="Times New Roman" w:eastAsia="Times New Roman" w:hAnsi="Times New Roman"/>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Kessel, certify that:</w:t>
      </w:r>
    </w:p>
    <w:p>
      <w:pPr>
        <w:spacing w:after="0" w:line="22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652"/>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15.15(f)) for the registrant and have:</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20" w:hanging="644"/>
        <w:spacing w:after="0" w:line="250"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2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3, 2023</w:t>
      </w:r>
      <w:r>
        <w:rPr>
          <w:sz w:val="20"/>
          <w:szCs w:val="20"/>
          <w:color w:val="auto"/>
        </w:rPr>
        <w:tab/>
      </w:r>
      <w:r>
        <w:rPr>
          <w:rFonts w:ascii="Times New Roman" w:cs="Times New Roman" w:eastAsia="Times New Roman" w:hAnsi="Times New Roman"/>
          <w:sz w:val="17"/>
          <w:szCs w:val="17"/>
          <w:u w:val="single" w:color="auto"/>
          <w:color w:val="auto"/>
        </w:rPr>
        <w:t>/s/ William B. Kessel</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47" w:right="339" w:bottom="1440" w:gutter="0" w:footer="0" w:header="0"/>
        </w:sectPr>
      </w:pPr>
    </w:p>
    <w:bookmarkStart w:id="142" w:name="page143"/>
    <w:bookmarkEnd w:id="142"/>
    <w:p>
      <w:pPr>
        <w:ind w:left="10160"/>
        <w:spacing w:after="0"/>
        <w:rPr>
          <w:sz w:val="20"/>
          <w:szCs w:val="20"/>
          <w:color w:val="auto"/>
        </w:rPr>
      </w:pPr>
      <w:r>
        <w:rPr>
          <w:rFonts w:ascii="Times New Roman" w:cs="Times New Roman" w:eastAsia="Times New Roman" w:hAnsi="Times New Roman"/>
          <w:sz w:val="17"/>
          <w:szCs w:val="17"/>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A. Mohr, certify that:</w:t>
      </w:r>
    </w:p>
    <w:p>
      <w:pPr>
        <w:spacing w:after="0" w:line="225"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652"/>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15.15(f)) for the registrant and have:</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20" w:hanging="644"/>
        <w:spacing w:after="0" w:line="250" w:lineRule="auto"/>
        <w:tabs>
          <w:tab w:leader="none" w:pos="12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3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3, 2023</w:t>
      </w:r>
      <w:r>
        <w:rPr>
          <w:sz w:val="20"/>
          <w:szCs w:val="20"/>
          <w:color w:val="auto"/>
        </w:rPr>
        <w:tab/>
      </w:r>
      <w:r>
        <w:rPr>
          <w:rFonts w:ascii="Times New Roman" w:cs="Times New Roman" w:eastAsia="Times New Roman" w:hAnsi="Times New Roman"/>
          <w:sz w:val="17"/>
          <w:szCs w:val="17"/>
          <w:u w:val="single" w:color="auto"/>
          <w:color w:val="auto"/>
        </w:rPr>
        <w:t>/s/ Gavin A. Mohr</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Gavin A. Mohr</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William B. Kessel, President and Chief Executive Officer of Independent Bank Corporation, certify pursuant to Section 906 of the Sarbanes-Oxley Act of 2002 that:</w:t>
      </w:r>
    </w:p>
    <w:p>
      <w:pPr>
        <w:spacing w:after="0" w:line="162" w:lineRule="exact"/>
        <w:rPr>
          <w:sz w:val="20"/>
          <w:szCs w:val="20"/>
          <w:color w:val="auto"/>
        </w:rPr>
      </w:pPr>
    </w:p>
    <w:p>
      <w:pPr>
        <w:ind w:left="340" w:hanging="332"/>
        <w:spacing w:after="0" w:line="282" w:lineRule="auto"/>
        <w:tabs>
          <w:tab w:leader="none" w:pos="33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annual period ended December 31, 2022,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annual report on Form 10-K for the annual period ended December 31, 2022, fairly presents, in all material respects, the financial condition and results of operations of Independent Bank Corporation.</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3, 2023</w:t>
      </w:r>
      <w:r>
        <w:rPr>
          <w:sz w:val="20"/>
          <w:szCs w:val="20"/>
          <w:color w:val="auto"/>
        </w:rPr>
        <w:tab/>
      </w:r>
      <w:r>
        <w:rPr>
          <w:rFonts w:ascii="Times New Roman" w:cs="Times New Roman" w:eastAsia="Times New Roman" w:hAnsi="Times New Roman"/>
          <w:sz w:val="17"/>
          <w:szCs w:val="17"/>
          <w:u w:val="single" w:color="auto"/>
          <w:color w:val="auto"/>
        </w:rPr>
        <w:t>/s/ William B. Kessel</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14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A. Mohr, Chief Financial Officer of Independent Bank Corporation, certify pursuant to Section 906 of the Sarbanes-Oxley Act of 2002 that:</w:t>
      </w:r>
    </w:p>
    <w:p>
      <w:pPr>
        <w:spacing w:after="0" w:line="225" w:lineRule="exact"/>
        <w:rPr>
          <w:sz w:val="20"/>
          <w:szCs w:val="20"/>
          <w:color w:val="auto"/>
        </w:rPr>
      </w:pPr>
    </w:p>
    <w:p>
      <w:pPr>
        <w:ind w:left="340" w:hanging="332"/>
        <w:spacing w:after="0" w:line="282" w:lineRule="auto"/>
        <w:tabs>
          <w:tab w:leader="none" w:pos="3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annual period ended December 31, 2022,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annual report on Form 10-K for the annual period ended December 31, 2022, fairly presents, in all material respects, the financial condition and results of operations of Independent Bank Corporation.</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3, 2023</w:t>
      </w:r>
      <w:r>
        <w:rPr>
          <w:sz w:val="20"/>
          <w:szCs w:val="20"/>
          <w:color w:val="auto"/>
        </w:rPr>
        <w:tab/>
      </w:r>
      <w:r>
        <w:rPr>
          <w:rFonts w:ascii="Times New Roman" w:cs="Times New Roman" w:eastAsia="Times New Roman" w:hAnsi="Times New Roman"/>
          <w:sz w:val="17"/>
          <w:szCs w:val="17"/>
          <w:u w:val="single" w:color="auto"/>
          <w:color w:val="auto"/>
        </w:rPr>
        <w:t>/s/ Gavin A. Mohr</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Gavin A. Mohr</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decimal"/>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3"/>
    </w:lvl>
  </w:abstractNum>
  <w:abstractNum w:abstractNumId="4">
    <w:nsid w:val="77465F01"/>
    <w:multiLevelType w:val="hybridMultilevel"/>
    <w:lvl w:ilvl="0">
      <w:lvlJc w:val="left"/>
      <w:lvlText w:val="%1"/>
      <w:numFmt w:val="decimal"/>
      <w:start w:val="21"/>
    </w:lvl>
  </w:abstractNum>
  <w:abstractNum w:abstractNumId="5">
    <w:nsid w:val="7724C67E"/>
    <w:multiLevelType w:val="hybridMultilevel"/>
    <w:lvl w:ilvl="0">
      <w:lvlJc w:val="left"/>
      <w:lvlText w:val="%1"/>
      <w:numFmt w:val="decimal"/>
      <w:start w:val="23"/>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lowerLetter"/>
      <w:start w:val="1"/>
    </w:lvl>
    <w:lvl w:ilvl="1">
      <w:lvlJc w:val="left"/>
      <w:lvlText w:val="(%2)"/>
      <w:numFmt w:val="lowerRoman"/>
      <w:start w:val="1"/>
    </w:lvl>
  </w:abstractNum>
  <w:abstractNum w:abstractNumId="9">
    <w:nsid w:val="51EAD36B"/>
    <w:multiLevelType w:val="hybridMultilevel"/>
    <w:lvl w:ilvl="0">
      <w:lvlJc w:val="left"/>
      <w:lvlText w:val="%1."/>
      <w:numFmt w:val="decimal"/>
      <w:start w:val="2"/>
    </w:lvl>
  </w:abstractNum>
  <w:abstractNum w:abstractNumId="10">
    <w:nsid w:val="2D517796"/>
    <w:multiLevelType w:val="hybridMultilevel"/>
    <w:lvl w:ilvl="0">
      <w:lvlJc w:val="left"/>
      <w:lvlText w:val="(%1)"/>
      <w:numFmt w:val="lowerLetter"/>
      <w:start w:val="1"/>
    </w:lvl>
    <w:lvl w:ilvl="1">
      <w:lvlJc w:val="left"/>
      <w:lvlText w:val="(%2)"/>
      <w:numFmt w:val="lowerRoman"/>
      <w:start w:val="1"/>
    </w:lvl>
  </w:abstractNum>
  <w:abstractNum w:abstractNumId="11">
    <w:nsid w:val="580BD78F"/>
    <w:multiLevelType w:val="hybridMultilevel"/>
    <w:lvl w:ilvl="0">
      <w:lvlJc w:val="left"/>
      <w:lvlText w:val="(%1)"/>
      <w:numFmt w:val="lowerLetter"/>
      <w:start w:val="3"/>
    </w:lvl>
    <w:lvl w:ilvl="1">
      <w:lvlJc w:val="left"/>
      <w:lvlText w:val="(%2)"/>
      <w:numFmt w:val="lowerRoman"/>
      <w:start w:val="1"/>
    </w:lvl>
  </w:abstractNum>
  <w:abstractNum w:abstractNumId="12">
    <w:nsid w:val="153EA438"/>
    <w:multiLevelType w:val="hybridMultilevel"/>
    <w:lvl w:ilvl="0">
      <w:lvlJc w:val="left"/>
      <w:lvlText w:val="%1."/>
      <w:numFmt w:val="decimal"/>
      <w:start w:val="3"/>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Roman"/>
      <w:start w:val="1"/>
    </w:lvl>
  </w:abstractNum>
  <w:abstractNum w:abstractNumId="15">
    <w:nsid w:val="6A2342EC"/>
    <w:multiLevelType w:val="hybridMultilevel"/>
    <w:lvl w:ilvl="0">
      <w:lvlJc w:val="left"/>
      <w:lvlText w:val="(%1)"/>
      <w:numFmt w:val="lowerLetter"/>
      <w:start w:val="2"/>
    </w:lvl>
  </w:abstractNum>
  <w:abstractNum w:abstractNumId="16">
    <w:nsid w:val="2A487CB0"/>
    <w:multiLevelType w:val="hybridMultilevel"/>
    <w:lvl w:ilvl="0">
      <w:lvlJc w:val="left"/>
      <w:lvlText w:val="%1."/>
      <w:numFmt w:val="decimal"/>
      <w:start w:val="4"/>
    </w:lvl>
  </w:abstractNum>
  <w:abstractNum w:abstractNumId="17">
    <w:nsid w:val="1D4ED43B"/>
    <w:multiLevelType w:val="hybridMultilevel"/>
    <w:lvl w:ilvl="0">
      <w:lvlJc w:val="left"/>
      <w:lvlText w:val="(%1)"/>
      <w:numFmt w:val="lowerLetter"/>
      <w:start w:val="1"/>
    </w:lvl>
  </w:abstractNum>
  <w:abstractNum w:abstractNumId="18">
    <w:nsid w:val="725A06FB"/>
    <w:multiLevelType w:val="hybridMultilevel"/>
    <w:lvl w:ilvl="0">
      <w:lvlJc w:val="left"/>
      <w:lvlText w:val="%1."/>
      <w:numFmt w:val="decimal"/>
      <w:start w:val="5"/>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1."/>
      <w:numFmt w:val="decimal"/>
      <w:start w:val="6"/>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lowerRoman"/>
      <w:start w:val="1"/>
    </w:lvl>
  </w:abstractNum>
  <w:abstractNum w:abstractNumId="23">
    <w:nsid w:val="542289EC"/>
    <w:multiLevelType w:val="hybridMultilevel"/>
    <w:lvl w:ilvl="0">
      <w:lvlJc w:val="left"/>
      <w:lvlText w:val="(%1)"/>
      <w:numFmt w:val="lowerLetter"/>
      <w:start w:val="2"/>
    </w:lvl>
  </w:abstractNum>
  <w:abstractNum w:abstractNumId="24">
    <w:nsid w:val="6DE91B18"/>
    <w:multiLevelType w:val="hybridMultilevel"/>
    <w:lvl w:ilvl="0">
      <w:lvlJc w:val="left"/>
      <w:lvlText w:val="%1."/>
      <w:numFmt w:val="decimal"/>
      <w:start w:val="7"/>
    </w:lvl>
  </w:abstractNum>
  <w:abstractNum w:abstractNumId="25">
    <w:nsid w:val="38437FDB"/>
    <w:multiLevelType w:val="hybridMultilevel"/>
    <w:lvl w:ilvl="0">
      <w:lvlJc w:val="left"/>
      <w:lvlText w:val="(%1)"/>
      <w:numFmt w:val="lowerLetter"/>
      <w:start w:val="1"/>
    </w:lvl>
    <w:lvl w:ilvl="1">
      <w:lvlJc w:val="left"/>
      <w:lvlText w:val="(%2)"/>
      <w:numFmt w:val="lowerRoman"/>
      <w:start w:val="1"/>
    </w:lvl>
  </w:abstractNum>
  <w:abstractNum w:abstractNumId="26">
    <w:nsid w:val="7644A45C"/>
    <w:multiLevelType w:val="hybridMultilevel"/>
    <w:lvl w:ilvl="0">
      <w:lvlJc w:val="left"/>
      <w:lvlText w:val="%1."/>
      <w:numFmt w:val="decimal"/>
      <w:start w:val="8"/>
    </w:lvl>
  </w:abstractNum>
  <w:abstractNum w:abstractNumId="27">
    <w:nsid w:val="32FFF902"/>
    <w:multiLevelType w:val="hybridMultilevel"/>
    <w:lvl w:ilvl="0">
      <w:lvlJc w:val="left"/>
      <w:lvlText w:val="(%1)"/>
      <w:numFmt w:val="lowerLetter"/>
      <w:start w:val="1"/>
    </w:lvl>
  </w:abstractNum>
  <w:abstractNum w:abstractNumId="28">
    <w:nsid w:val="684A481A"/>
    <w:multiLevelType w:val="hybridMultilevel"/>
    <w:lvl w:ilvl="0">
      <w:lvlJc w:val="left"/>
      <w:lvlText w:val="(%1)"/>
      <w:numFmt w:val="lowerLetter"/>
      <w:start w:val="3"/>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
      <w:numFmt w:val="bullet"/>
      <w:start w:val="1"/>
    </w:lvl>
    <w:lvl w:ilvl="1">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2"/>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upperLetter"/>
      <w:start w:val="68"/>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2"/>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
      <w:numFmt w:val="bullet"/>
      <w:start w:val="1"/>
    </w:lvl>
    <w:lvl w:ilvl="1">
      <w:lvlJc w:val="left"/>
      <w:lvlText w:val="\emdash "/>
      <w:numFmt w:val="bullet"/>
      <w:start w:val="1"/>
    </w:lvl>
  </w:abstractNum>
  <w:abstractNum w:abstractNumId="64">
    <w:nsid w:val="1F48EAA1"/>
    <w:multiLevelType w:val="hybridMultilevel"/>
    <w:lvl w:ilvl="0">
      <w:lvlJc w:val="left"/>
      <w:lvlText w:val="$"/>
      <w:numFmt w:val="bullet"/>
      <w:start w:val="1"/>
    </w:lvl>
    <w:lvl w:ilvl="1">
      <w:lvlJc w:val="left"/>
      <w:lvlText w:val="\emdash "/>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5" Type="http://schemas.openxmlformats.org/officeDocument/2006/relationships/image" Target="media/image44.png"/><Relationship Id="rId58" Type="http://schemas.openxmlformats.org/officeDocument/2006/relationships/image" Target="media/image45.png"/><Relationship Id="rId61" Type="http://schemas.openxmlformats.org/officeDocument/2006/relationships/image" Target="media/image46.png"/><Relationship Id="rId64"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jpe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jpeg"/><Relationship Id="rId101" Type="http://schemas.openxmlformats.org/officeDocument/2006/relationships/image" Target="media/image83.jpe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jpe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50" Type="http://schemas.openxmlformats.org/officeDocument/2006/relationships/hyperlink" Target="https://www.sec.gov/Archives/edgar/data/39311/000114036117040856/ex3_1.htm" TargetMode="External"/><Relationship Id="rId51" Type="http://schemas.openxmlformats.org/officeDocument/2006/relationships/hyperlink" Target="https://www.sec.gov/Archives/edgar/data/39311/000156761917000394/h10041717x1_ex3-2.htm" TargetMode="External"/><Relationship Id="rId53" Type="http://schemas.openxmlformats.org/officeDocument/2006/relationships/hyperlink" Target="https://www.sec.gov/Archives/edgar/data/39311/000114036120005031/hc10008974x1_ex4.htm" TargetMode="External"/><Relationship Id="rId54" Type="http://schemas.openxmlformats.org/officeDocument/2006/relationships/hyperlink" Target="https://www.sec.gov/Archives/edgar/data/39311/000114036120012543/ex10_1.htm" TargetMode="External"/><Relationship Id="rId56" Type="http://schemas.openxmlformats.org/officeDocument/2006/relationships/hyperlink" Target="https://www.sec.gov/Archives/edgar/data/39311/000114036117047794/s002003x1_ex10-3.htm" TargetMode="External"/><Relationship Id="rId57" Type="http://schemas.openxmlformats.org/officeDocument/2006/relationships/hyperlink" Target="https://www.sec.gov/Archives/edgar/data/39311/000114036117047794/s002003x1_ex10-4.htm" TargetMode="External"/><Relationship Id="rId59" Type="http://schemas.openxmlformats.org/officeDocument/2006/relationships/hyperlink" Target="https://www.sec.gov/Archives/edgar/data/39311/000114036121007399/nc10020480x1_def14a.htm" TargetMode="External"/><Relationship Id="rId60" Type="http://schemas.openxmlformats.org/officeDocument/2006/relationships/hyperlink" Target="https://www.sec.gov/Archives/edgar/data/39311/000114036119008354/ex10_1.htm" TargetMode="External"/><Relationship Id="rId62" Type="http://schemas.openxmlformats.org/officeDocument/2006/relationships/hyperlink" Target="https://www.sec.gov/Archives/edgar/data/39311/000114036111026023/ex10_2.htm" TargetMode="External"/><Relationship Id="rId63" Type="http://schemas.openxmlformats.org/officeDocument/2006/relationships/hyperlink" Target="https://www.sec.gov/Archives/edgar/data/39311/000114036114011558/ex10_12.htm" TargetMode="External"/><Relationship Id="rId65" Type="http://schemas.openxmlformats.org/officeDocument/2006/relationships/hyperlink" Target="https://www.sec.gov/Archives/edgar/data/39311/000156761915000219/s000723x1_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2023-03-03T13:17:33Z</dcterms:created>
  <dcterms:modified xsi:type="dcterms:W3CDTF">2023-03-03T13:17:33Z</dcterms:modified>
</cp:coreProperties>
</file>