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205105</wp:posOffset>
            </wp:positionH>
            <wp:positionV relativeFrom="page">
              <wp:posOffset>678180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702945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SECURITIES AND EXCHANGE COMMISSION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31"/>
          <w:szCs w:val="31"/>
          <w:color w:val="auto"/>
        </w:rPr>
        <w:t>FORM 10-Q</w:t>
      </w:r>
    </w:p>
    <w:p>
      <w:pPr>
        <w:spacing w:after="0" w:line="191" w:lineRule="exact"/>
        <w:rPr>
          <w:sz w:val="24"/>
          <w:szCs w:val="24"/>
          <w:color w:val="auto"/>
        </w:rPr>
      </w:pPr>
    </w:p>
    <w:p>
      <w:pPr>
        <w:ind w:right="520"/>
        <w:spacing w:after="0" w:line="279" w:lineRule="auto"/>
        <w:rPr>
          <w:sz w:val="20"/>
          <w:szCs w:val="20"/>
          <w:color w:val="auto"/>
        </w:rPr>
      </w:pPr>
      <w:r>
        <w:rPr>
          <w:rFonts w:ascii="Arial" w:cs="Arial" w:eastAsia="Arial" w:hAnsi="Arial"/>
          <w:sz w:val="17"/>
          <w:szCs w:val="17"/>
          <w:color w:val="auto"/>
        </w:rPr>
        <w:t xml:space="preserve">QUARTERLY REPORT PURSUANT TO SECTION 13 OR 15(d) OF THE SECURITIES EXCHANGE ACT OF 1934 FOR THE QUARTERLY PERIOD ENDED </w:t>
      </w:r>
      <w:r>
        <w:rPr>
          <w:rFonts w:ascii="Arial" w:cs="Arial" w:eastAsia="Arial" w:hAnsi="Arial"/>
          <w:sz w:val="17"/>
          <w:szCs w:val="17"/>
          <w:u w:val="single" w:color="auto"/>
          <w:color w:val="auto"/>
        </w:rPr>
        <w:t>June 30, 2023</w:t>
      </w:r>
    </w:p>
    <w:p>
      <w:pPr>
        <w:spacing w:after="0" w:line="126" w:lineRule="exact"/>
        <w:rPr>
          <w:sz w:val="24"/>
          <w:szCs w:val="24"/>
          <w:color w:val="auto"/>
        </w:rPr>
      </w:pPr>
    </w:p>
    <w:p>
      <w:pPr>
        <w:spacing w:after="0"/>
        <w:rPr>
          <w:sz w:val="20"/>
          <w:szCs w:val="20"/>
          <w:color w:val="auto"/>
        </w:rPr>
      </w:pPr>
      <w:r>
        <w:rPr>
          <w:rFonts w:ascii="Arial" w:cs="Arial" w:eastAsia="Arial" w:hAnsi="Arial"/>
          <w:sz w:val="17"/>
          <w:szCs w:val="17"/>
          <w:color w:val="auto"/>
        </w:rPr>
        <w:t>Commission file number  0-7818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1087120</wp:posOffset>
            </wp:positionH>
            <wp:positionV relativeFrom="paragraph">
              <wp:posOffset>-8890</wp:posOffset>
            </wp:positionV>
            <wp:extent cx="391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1"/>
          <w:szCs w:val="41"/>
          <w:color w:val="auto"/>
        </w:rPr>
        <w:t>INDEPENDENT BANK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38735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580" w:type="dxa"/>
            <w:vAlign w:val="bottom"/>
          </w:tcPr>
          <w:p>
            <w:pPr>
              <w:jc w:val="center"/>
              <w:spacing w:after="0"/>
              <w:rPr>
                <w:sz w:val="20"/>
                <w:szCs w:val="20"/>
                <w:color w:val="auto"/>
              </w:rPr>
            </w:pPr>
            <w:r>
              <w:rPr>
                <w:rFonts w:ascii="Arial" w:cs="Arial" w:eastAsia="Arial" w:hAnsi="Arial"/>
                <w:sz w:val="17"/>
                <w:szCs w:val="17"/>
                <w:color w:val="auto"/>
                <w:w w:val="96"/>
              </w:rPr>
              <w:t>Michigan</w:t>
            </w:r>
          </w:p>
        </w:tc>
        <w:tc>
          <w:tcPr>
            <w:tcW w:w="5660" w:type="dxa"/>
            <w:vAlign w:val="bottom"/>
            <w:gridSpan w:val="2"/>
          </w:tcPr>
          <w:p>
            <w:pPr>
              <w:jc w:val="right"/>
              <w:ind w:right="2274"/>
              <w:spacing w:after="0"/>
              <w:rPr>
                <w:sz w:val="20"/>
                <w:szCs w:val="20"/>
                <w:color w:val="auto"/>
              </w:rPr>
            </w:pPr>
            <w:r>
              <w:rPr>
                <w:rFonts w:ascii="Arial" w:cs="Arial" w:eastAsia="Arial" w:hAnsi="Arial"/>
                <w:sz w:val="17"/>
                <w:szCs w:val="17"/>
                <w:color w:val="auto"/>
              </w:rPr>
              <w:t>38-2032782</w:t>
            </w:r>
          </w:p>
        </w:tc>
      </w:tr>
      <w:tr>
        <w:trPr>
          <w:trHeight w:val="230"/>
        </w:trPr>
        <w:tc>
          <w:tcPr>
            <w:tcW w:w="55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3"/>
              </w:rPr>
              <w:t>(State or jurisdiction of Incorporation or Organization)</w:t>
            </w:r>
          </w:p>
        </w:tc>
        <w:tc>
          <w:tcPr>
            <w:tcW w:w="100" w:type="dxa"/>
            <w:vAlign w:val="bottom"/>
          </w:tcPr>
          <w:p>
            <w:pPr>
              <w:spacing w:after="0"/>
              <w:rPr>
                <w:sz w:val="20"/>
                <w:szCs w:val="20"/>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(I.R.S. Employer Identification Number)</w:t>
            </w:r>
          </w:p>
        </w:tc>
      </w:tr>
    </w:tbl>
    <w:p>
      <w:pPr>
        <w:spacing w:after="0" w:line="247"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4200 East Beltline, Grand Rapids, Michigan 49525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ind w:left="4260"/>
        <w:spacing w:after="0"/>
        <w:rPr>
          <w:sz w:val="20"/>
          <w:szCs w:val="20"/>
          <w:color w:val="auto"/>
        </w:rPr>
      </w:pPr>
      <w:r>
        <w:rPr>
          <w:rFonts w:ascii="Arial" w:cs="Arial" w:eastAsia="Arial" w:hAnsi="Arial"/>
          <w:sz w:val="17"/>
          <w:szCs w:val="17"/>
          <w:color w:val="auto"/>
        </w:rPr>
        <w:t>(Address of principal executive offices)</w:t>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7"/>
          <w:szCs w:val="17"/>
          <w:u w:val="single" w:color="auto"/>
          <w:color w:val="auto"/>
        </w:rPr>
        <w:t>(616) 527-5820</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address and fiscal year, if changed since last report.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100" w:type="dxa"/>
            <w:vAlign w:val="bottom"/>
          </w:tcPr>
          <w:p>
            <w:pPr>
              <w:spacing w:after="0"/>
              <w:rPr>
                <w:sz w:val="20"/>
                <w:szCs w:val="20"/>
                <w:color w:val="auto"/>
              </w:rPr>
            </w:pPr>
            <w:r>
              <w:rPr>
                <w:rFonts w:ascii="Arial" w:cs="Arial" w:eastAsia="Arial" w:hAnsi="Arial"/>
                <w:sz w:val="17"/>
                <w:szCs w:val="17"/>
                <w:color w:val="auto"/>
                <w:w w:val="94"/>
              </w:rPr>
              <w:t>Securities registered pursuant to Section 12(b) of the Act:</w:t>
            </w: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spacing w:after="0"/>
              <w:rPr>
                <w:sz w:val="18"/>
                <w:szCs w:val="18"/>
                <w:color w:val="auto"/>
              </w:rPr>
            </w:pPr>
          </w:p>
        </w:tc>
      </w:tr>
      <w:tr>
        <w:trPr>
          <w:trHeight w:val="38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100" w:type="dxa"/>
            <w:vAlign w:val="bottom"/>
          </w:tcPr>
          <w:p>
            <w:pPr>
              <w:spacing w:after="0"/>
              <w:rPr>
                <w:sz w:val="24"/>
                <w:szCs w:val="2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Trading Symbol</w:t>
            </w:r>
          </w:p>
        </w:tc>
        <w:tc>
          <w:tcPr>
            <w:tcW w:w="12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Name of each exchange which registered</w:t>
            </w:r>
          </w:p>
        </w:tc>
      </w:tr>
      <w:tr>
        <w:trPr>
          <w:trHeight w:val="230"/>
        </w:trPr>
        <w:tc>
          <w:tcPr>
            <w:tcW w:w="4100" w:type="dxa"/>
            <w:vAlign w:val="bottom"/>
          </w:tcPr>
          <w:p>
            <w:pPr>
              <w:jc w:val="center"/>
              <w:spacing w:after="0"/>
              <w:rPr>
                <w:sz w:val="20"/>
                <w:szCs w:val="20"/>
                <w:color w:val="auto"/>
              </w:rPr>
            </w:pPr>
            <w:r>
              <w:rPr>
                <w:rFonts w:ascii="Arial" w:cs="Arial" w:eastAsia="Arial" w:hAnsi="Arial"/>
                <w:sz w:val="17"/>
                <w:szCs w:val="17"/>
                <w:color w:val="auto"/>
                <w:w w:val="91"/>
              </w:rPr>
              <w:t>Common stock, no par value</w:t>
            </w:r>
          </w:p>
        </w:tc>
        <w:tc>
          <w:tcPr>
            <w:tcW w:w="10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7"/>
                <w:szCs w:val="17"/>
                <w:color w:val="auto"/>
                <w:w w:val="95"/>
              </w:rPr>
              <w:t>IBCP</w:t>
            </w:r>
          </w:p>
        </w:tc>
        <w:tc>
          <w:tcPr>
            <w:tcW w:w="120" w:type="dxa"/>
            <w:vAlign w:val="bottom"/>
          </w:tcPr>
          <w:p>
            <w:pPr>
              <w:spacing w:after="0"/>
              <w:rPr>
                <w:sz w:val="20"/>
                <w:szCs w:val="20"/>
                <w:color w:val="auto"/>
              </w:rPr>
            </w:pPr>
          </w:p>
        </w:tc>
        <w:tc>
          <w:tcPr>
            <w:tcW w:w="4100" w:type="dxa"/>
            <w:vAlign w:val="bottom"/>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260" w:lineRule="exact"/>
        <w:rPr>
          <w:sz w:val="24"/>
          <w:szCs w:val="24"/>
          <w:color w:val="auto"/>
        </w:rPr>
      </w:pPr>
    </w:p>
    <w:p>
      <w:pPr>
        <w:ind w:right="4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documents and reports required to be filed by Sections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142" w:lineRule="exact"/>
        <w:rPr>
          <w:sz w:val="24"/>
          <w:szCs w:val="24"/>
          <w:color w:val="auto"/>
        </w:rPr>
      </w:pPr>
    </w:p>
    <w:p>
      <w:pPr>
        <w:ind w:right="200"/>
        <w:spacing w:after="0" w:line="256"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YES x NO </w:t>
      </w:r>
      <w:r>
        <w:rPr>
          <w:rFonts w:ascii="MS PGothic" w:cs="MS PGothic" w:eastAsia="MS PGothic" w:hAnsi="MS PGothic"/>
          <w:sz w:val="17"/>
          <w:szCs w:val="17"/>
          <w:color w:val="auto"/>
        </w:rPr>
        <w:t>☐</w:t>
      </w:r>
    </w:p>
    <w:p>
      <w:pPr>
        <w:spacing w:after="0" w:line="171" w:lineRule="exact"/>
        <w:rPr>
          <w:sz w:val="24"/>
          <w:szCs w:val="24"/>
          <w:color w:val="auto"/>
        </w:rPr>
      </w:pPr>
    </w:p>
    <w:p>
      <w:pPr>
        <w:ind w:right="340"/>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non-accelerated filer, smaller reporting company or an emerging growth company.</w:t>
      </w:r>
    </w:p>
    <w:p>
      <w:pPr>
        <w:spacing w:after="0" w:line="2"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x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17" w:lineRule="exact"/>
        <w:rPr>
          <w:sz w:val="24"/>
          <w:szCs w:val="24"/>
          <w:color w:val="auto"/>
        </w:rPr>
      </w:pPr>
    </w:p>
    <w:p>
      <w:pPr>
        <w:ind w:right="480"/>
        <w:spacing w:after="0" w:line="20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4" w:lineRule="exact"/>
        <w:rPr>
          <w:sz w:val="24"/>
          <w:szCs w:val="24"/>
          <w:color w:val="auto"/>
        </w:rPr>
      </w:pPr>
    </w:p>
    <w:p>
      <w:pPr>
        <w:ind w:right="800"/>
        <w:spacing w:after="0" w:line="262" w:lineRule="auto"/>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 common stock, no par value, 20,944,217 as of August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803910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170180</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color w:val="auto"/>
        </w:rPr>
        <w:t>INDEPENDENT BANK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7"/>
                <w:szCs w:val="17"/>
                <w:color w:val="auto"/>
              </w:rPr>
              <w:t>Number(s)</w:t>
            </w:r>
          </w:p>
        </w:tc>
      </w:tr>
      <w:tr>
        <w:trPr>
          <w:trHeight w:val="225"/>
        </w:trPr>
        <w:tc>
          <w:tcPr>
            <w:tcW w:w="1020" w:type="dxa"/>
            <w:vAlign w:val="bottom"/>
          </w:tcPr>
          <w:p>
            <w:pPr>
              <w:ind w:left="20"/>
              <w:spacing w:after="0"/>
              <w:rPr>
                <w:sz w:val="20"/>
                <w:szCs w:val="20"/>
                <w:color w:val="auto"/>
              </w:rPr>
            </w:pPr>
            <w:r>
              <w:rPr>
                <w:rFonts w:ascii="Arial" w:cs="Arial" w:eastAsia="Arial" w:hAnsi="Arial"/>
                <w:sz w:val="17"/>
                <w:szCs w:val="17"/>
                <w:color w:val="auto"/>
              </w:rPr>
              <w:t>PART I -</w:t>
            </w:r>
          </w:p>
        </w:tc>
        <w:tc>
          <w:tcPr>
            <w:tcW w:w="8720" w:type="dxa"/>
            <w:vAlign w:val="bottom"/>
            <w:gridSpan w:val="16"/>
          </w:tcPr>
          <w:p>
            <w:pPr>
              <w:spacing w:after="0"/>
              <w:rPr>
                <w:sz w:val="20"/>
                <w:szCs w:val="20"/>
                <w:color w:val="auto"/>
              </w:rPr>
            </w:pPr>
            <w:r>
              <w:rPr>
                <w:rFonts w:ascii="Arial" w:cs="Arial" w:eastAsia="Arial" w:hAnsi="Arial"/>
                <w:sz w:val="17"/>
                <w:szCs w:val="17"/>
                <w:color w:val="auto"/>
              </w:rPr>
              <w:t>Financial Information</w:t>
            </w:r>
          </w:p>
        </w:tc>
        <w:tc>
          <w:tcPr>
            <w:tcW w:w="5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32"/>
        </w:trPr>
        <w:tc>
          <w:tcPr>
            <w:tcW w:w="10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8"/>
        </w:trPr>
        <w:tc>
          <w:tcPr>
            <w:tcW w:w="1020" w:type="dxa"/>
            <w:vAlign w:val="bottom"/>
            <w:tcBorders>
              <w:bottom w:val="single" w:sz="8" w:color="CCEEFF"/>
            </w:tcBorders>
            <w:shd w:val="clear" w:color="auto" w:fill="CCEEFF"/>
          </w:tcPr>
          <w:p>
            <w:pPr>
              <w:ind w:left="20"/>
              <w:spacing w:after="0" w:line="173" w:lineRule="exact"/>
              <w:rPr>
                <w:sz w:val="20"/>
                <w:szCs w:val="20"/>
                <w:color w:val="auto"/>
              </w:rPr>
            </w:pPr>
            <w:r>
              <w:rPr>
                <w:rFonts w:ascii="Arial" w:cs="Arial" w:eastAsia="Arial" w:hAnsi="Arial"/>
                <w:sz w:val="17"/>
                <w:szCs w:val="17"/>
                <w:color w:val="auto"/>
              </w:rPr>
              <w:t>Item 1.</w:t>
            </w:r>
          </w:p>
        </w:tc>
        <w:tc>
          <w:tcPr>
            <w:tcW w:w="6800" w:type="dxa"/>
            <w:vAlign w:val="bottom"/>
            <w:tcBorders>
              <w:bottom w:val="single" w:sz="8" w:color="0000FF"/>
            </w:tcBorders>
            <w:gridSpan w:val="12"/>
            <w:shd w:val="clear" w:color="auto" w:fill="CCEEFF"/>
          </w:tcPr>
          <w:p>
            <w:pPr>
              <w:spacing w:after="0" w:line="173" w:lineRule="exact"/>
              <w:rPr>
                <w:sz w:val="20"/>
                <w:szCs w:val="20"/>
                <w:color w:val="auto"/>
              </w:rPr>
            </w:pPr>
            <w:r>
              <w:rPr>
                <w:rFonts w:ascii="Arial" w:cs="Arial" w:eastAsia="Arial" w:hAnsi="Arial"/>
                <w:sz w:val="17"/>
                <w:szCs w:val="17"/>
                <w:color w:val="0000FF"/>
                <w:w w:val="90"/>
              </w:rPr>
              <w:t>Condensed Consolidated Statements of Financial Condition June 30, 2023 and December 31, 2022</w:t>
            </w:r>
          </w:p>
        </w:tc>
        <w:tc>
          <w:tcPr>
            <w:tcW w:w="1920" w:type="dxa"/>
            <w:vAlign w:val="bottom"/>
            <w:tcBorders>
              <w:bottom w:val="single" w:sz="8" w:color="CCEEFF"/>
            </w:tcBorders>
            <w:gridSpan w:val="4"/>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jc w:val="right"/>
              <w:ind w:right="20"/>
              <w:spacing w:after="0" w:line="173" w:lineRule="exact"/>
              <w:rPr>
                <w:sz w:val="20"/>
                <w:szCs w:val="20"/>
                <w:color w:val="auto"/>
              </w:rPr>
            </w:pPr>
            <w:r>
              <w:rPr>
                <w:rFonts w:ascii="Arial" w:cs="Arial" w:eastAsia="Arial" w:hAnsi="Arial"/>
                <w:sz w:val="17"/>
                <w:szCs w:val="17"/>
                <w:color w:val="auto"/>
              </w:rPr>
              <w:t>3</w:t>
            </w:r>
          </w:p>
        </w:tc>
      </w:tr>
      <w:tr>
        <w:trPr>
          <w:trHeight w:val="193"/>
        </w:trPr>
        <w:tc>
          <w:tcPr>
            <w:tcW w:w="1020" w:type="dxa"/>
            <w:vAlign w:val="bottom"/>
          </w:tcPr>
          <w:p>
            <w:pPr>
              <w:spacing w:after="0"/>
              <w:rPr>
                <w:sz w:val="16"/>
                <w:szCs w:val="16"/>
                <w:color w:val="auto"/>
              </w:rPr>
            </w:pPr>
          </w:p>
        </w:tc>
        <w:tc>
          <w:tcPr>
            <w:tcW w:w="8720" w:type="dxa"/>
            <w:vAlign w:val="bottom"/>
            <w:gridSpan w:val="16"/>
          </w:tcPr>
          <w:p>
            <w:pPr>
              <w:spacing w:after="0" w:line="194" w:lineRule="exact"/>
              <w:rPr>
                <w:sz w:val="20"/>
                <w:szCs w:val="20"/>
                <w:color w:val="auto"/>
              </w:rPr>
            </w:pPr>
            <w:r>
              <w:rPr>
                <w:rFonts w:ascii="Arial" w:cs="Arial" w:eastAsia="Arial" w:hAnsi="Arial"/>
                <w:sz w:val="17"/>
                <w:szCs w:val="17"/>
                <w:color w:val="0000FF"/>
              </w:rPr>
              <w:t>Condensed Consolidated Statements of Operations Three- and Six-month periods ended June 30, 2023 and 2022</w:t>
            </w:r>
          </w:p>
        </w:tc>
        <w:tc>
          <w:tcPr>
            <w:tcW w:w="15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4</w:t>
            </w:r>
          </w:p>
        </w:tc>
      </w:tr>
      <w:tr>
        <w:trPr>
          <w:trHeight w:val="44"/>
        </w:trPr>
        <w:tc>
          <w:tcPr>
            <w:tcW w:w="1020" w:type="dxa"/>
            <w:vAlign w:val="bottom"/>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193"/>
        </w:trPr>
        <w:tc>
          <w:tcPr>
            <w:tcW w:w="1020" w:type="dxa"/>
            <w:vAlign w:val="bottom"/>
            <w:tcBorders>
              <w:bottom w:val="single" w:sz="8" w:color="CCEEFF"/>
            </w:tcBorders>
            <w:shd w:val="clear" w:color="auto" w:fill="CCEEFF"/>
          </w:tcPr>
          <w:p>
            <w:pPr>
              <w:spacing w:after="0"/>
              <w:rPr>
                <w:sz w:val="16"/>
                <w:szCs w:val="16"/>
                <w:color w:val="auto"/>
              </w:rPr>
            </w:pPr>
          </w:p>
        </w:tc>
        <w:tc>
          <w:tcPr>
            <w:tcW w:w="8720" w:type="dxa"/>
            <w:vAlign w:val="bottom"/>
            <w:tcBorders>
              <w:bottom w:val="single" w:sz="8" w:color="0000FF"/>
            </w:tcBorders>
            <w:gridSpan w:val="16"/>
            <w:shd w:val="clear" w:color="auto" w:fill="CCEEFF"/>
          </w:tcPr>
          <w:p>
            <w:pPr>
              <w:spacing w:after="0" w:line="194" w:lineRule="exact"/>
              <w:rPr>
                <w:sz w:val="20"/>
                <w:szCs w:val="20"/>
                <w:color w:val="auto"/>
              </w:rPr>
            </w:pPr>
            <w:r>
              <w:rPr>
                <w:rFonts w:ascii="Arial" w:cs="Arial" w:eastAsia="Arial" w:hAnsi="Arial"/>
                <w:sz w:val="17"/>
                <w:szCs w:val="17"/>
                <w:color w:val="0000FF"/>
                <w:w w:val="90"/>
              </w:rPr>
              <w:t>Condensed Consolidated Statements of Comprehensive Income (Loss) Three- and Six-month periods ended June 30, 2023 and</w:t>
            </w:r>
          </w:p>
        </w:tc>
        <w:tc>
          <w:tcPr>
            <w:tcW w:w="5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r>
      <w:tr>
        <w:trPr>
          <w:trHeight w:val="186"/>
        </w:trPr>
        <w:tc>
          <w:tcPr>
            <w:tcW w:w="1020" w:type="dxa"/>
            <w:vAlign w:val="bottom"/>
            <w:shd w:val="clear" w:color="auto" w:fill="CCEEFF"/>
          </w:tcPr>
          <w:p>
            <w:pPr>
              <w:spacing w:after="0"/>
              <w:rPr>
                <w:sz w:val="16"/>
                <w:szCs w:val="16"/>
                <w:color w:val="auto"/>
              </w:rPr>
            </w:pPr>
          </w:p>
        </w:tc>
        <w:tc>
          <w:tcPr>
            <w:tcW w:w="580" w:type="dxa"/>
            <w:vAlign w:val="bottom"/>
            <w:gridSpan w:val="3"/>
            <w:shd w:val="clear" w:color="auto" w:fill="CCEEFF"/>
          </w:tcPr>
          <w:p>
            <w:pPr>
              <w:ind w:left="160"/>
              <w:spacing w:after="0" w:line="173" w:lineRule="exact"/>
              <w:rPr>
                <w:sz w:val="20"/>
                <w:szCs w:val="20"/>
                <w:color w:val="auto"/>
              </w:rPr>
            </w:pPr>
            <w:r>
              <w:rPr>
                <w:rFonts w:ascii="Arial" w:cs="Arial" w:eastAsia="Arial" w:hAnsi="Arial"/>
                <w:sz w:val="17"/>
                <w:szCs w:val="17"/>
                <w:color w:val="0000FF"/>
              </w:rPr>
              <w:t>2022</w:t>
            </w:r>
          </w:p>
        </w:tc>
        <w:tc>
          <w:tcPr>
            <w:tcW w:w="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00" w:type="dxa"/>
            <w:vAlign w:val="bottom"/>
            <w:gridSpan w:val="3"/>
            <w:shd w:val="clear" w:color="auto" w:fill="CCEEFF"/>
          </w:tcPr>
          <w:p>
            <w:pPr>
              <w:jc w:val="right"/>
              <w:ind w:right="20"/>
              <w:spacing w:after="0" w:line="173" w:lineRule="exact"/>
              <w:rPr>
                <w:sz w:val="20"/>
                <w:szCs w:val="20"/>
                <w:color w:val="auto"/>
              </w:rPr>
            </w:pPr>
            <w:r>
              <w:rPr>
                <w:rFonts w:ascii="Arial" w:cs="Arial" w:eastAsia="Arial" w:hAnsi="Arial"/>
                <w:sz w:val="17"/>
                <w:szCs w:val="17"/>
                <w:color w:val="auto"/>
              </w:rPr>
              <w:t>5</w:t>
            </w:r>
          </w:p>
        </w:tc>
      </w:tr>
      <w:tr>
        <w:trPr>
          <w:trHeight w:val="44"/>
        </w:trPr>
        <w:tc>
          <w:tcPr>
            <w:tcW w:w="102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4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78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r>
      <w:tr>
        <w:trPr>
          <w:trHeight w:val="193"/>
        </w:trPr>
        <w:tc>
          <w:tcPr>
            <w:tcW w:w="1020" w:type="dxa"/>
            <w:vAlign w:val="bottom"/>
          </w:tcPr>
          <w:p>
            <w:pPr>
              <w:spacing w:after="0"/>
              <w:rPr>
                <w:sz w:val="16"/>
                <w:szCs w:val="16"/>
                <w:color w:val="auto"/>
              </w:rPr>
            </w:pPr>
          </w:p>
        </w:tc>
        <w:tc>
          <w:tcPr>
            <w:tcW w:w="8720" w:type="dxa"/>
            <w:vAlign w:val="bottom"/>
            <w:gridSpan w:val="16"/>
          </w:tcPr>
          <w:p>
            <w:pPr>
              <w:spacing w:after="0" w:line="194" w:lineRule="exact"/>
              <w:rPr>
                <w:sz w:val="20"/>
                <w:szCs w:val="20"/>
                <w:color w:val="auto"/>
              </w:rPr>
            </w:pPr>
            <w:r>
              <w:rPr>
                <w:rFonts w:ascii="Arial" w:cs="Arial" w:eastAsia="Arial" w:hAnsi="Arial"/>
                <w:sz w:val="17"/>
                <w:szCs w:val="17"/>
                <w:color w:val="0000FF"/>
              </w:rPr>
              <w:t>Condensed Consolidated Statements of Cash Flows Six-month periods ended June 30, 2023 and 2022</w:t>
            </w:r>
          </w:p>
        </w:tc>
        <w:tc>
          <w:tcPr>
            <w:tcW w:w="15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6</w:t>
            </w:r>
          </w:p>
        </w:tc>
      </w:tr>
      <w:tr>
        <w:trPr>
          <w:trHeight w:val="44"/>
        </w:trPr>
        <w:tc>
          <w:tcPr>
            <w:tcW w:w="1020" w:type="dxa"/>
            <w:vAlign w:val="bottom"/>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78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38"/>
        </w:trPr>
        <w:tc>
          <w:tcPr>
            <w:tcW w:w="1020" w:type="dxa"/>
            <w:vAlign w:val="bottom"/>
            <w:shd w:val="clear" w:color="auto" w:fill="CCEEFF"/>
          </w:tcPr>
          <w:p>
            <w:pPr>
              <w:spacing w:after="0"/>
              <w:rPr>
                <w:sz w:val="20"/>
                <w:szCs w:val="20"/>
                <w:color w:val="auto"/>
              </w:rPr>
            </w:pPr>
          </w:p>
        </w:tc>
        <w:tc>
          <w:tcPr>
            <w:tcW w:w="8720" w:type="dxa"/>
            <w:vAlign w:val="bottom"/>
            <w:gridSpan w:val="16"/>
            <w:shd w:val="clear" w:color="auto" w:fill="CCEEFF"/>
          </w:tcPr>
          <w:p>
            <w:pPr>
              <w:spacing w:after="0" w:line="173" w:lineRule="exact"/>
              <w:rPr>
                <w:sz w:val="20"/>
                <w:szCs w:val="20"/>
                <w:color w:val="auto"/>
              </w:rPr>
            </w:pPr>
            <w:r>
              <w:rPr>
                <w:rFonts w:ascii="Arial" w:cs="Arial" w:eastAsia="Arial" w:hAnsi="Arial"/>
                <w:sz w:val="17"/>
                <w:szCs w:val="17"/>
                <w:color w:val="0000FF"/>
                <w:w w:val="93"/>
              </w:rPr>
              <w:t>Condensed Consolidated Statements of Shareholders' Equity Three- and Six-month periods ended June 30, 2023 and 2022</w:t>
            </w:r>
          </w:p>
        </w:tc>
        <w:tc>
          <w:tcPr>
            <w:tcW w:w="1500" w:type="dxa"/>
            <w:vAlign w:val="bottom"/>
            <w:gridSpan w:val="3"/>
            <w:shd w:val="clear" w:color="auto" w:fill="CCEEFF"/>
          </w:tcPr>
          <w:p>
            <w:pPr>
              <w:jc w:val="right"/>
              <w:ind w:right="20"/>
              <w:spacing w:after="0" w:line="173" w:lineRule="exact"/>
              <w:rPr>
                <w:sz w:val="20"/>
                <w:szCs w:val="20"/>
                <w:color w:val="auto"/>
              </w:rPr>
            </w:pPr>
            <w:r>
              <w:rPr>
                <w:rFonts w:ascii="Arial" w:cs="Arial" w:eastAsia="Arial" w:hAnsi="Arial"/>
                <w:sz w:val="17"/>
                <w:szCs w:val="17"/>
                <w:color w:val="auto"/>
              </w:rPr>
              <w:t>7</w:t>
            </w:r>
          </w:p>
        </w:tc>
      </w:tr>
      <w:tr>
        <w:trPr>
          <w:trHeight w:val="193"/>
        </w:trPr>
        <w:tc>
          <w:tcPr>
            <w:tcW w:w="1020" w:type="dxa"/>
            <w:vAlign w:val="bottom"/>
            <w:tcBorders>
              <w:top w:val="single" w:sz="8" w:color="CCEEFF"/>
            </w:tcBorders>
          </w:tcPr>
          <w:p>
            <w:pPr>
              <w:spacing w:after="0"/>
              <w:rPr>
                <w:sz w:val="16"/>
                <w:szCs w:val="16"/>
                <w:color w:val="auto"/>
              </w:rPr>
            </w:pPr>
          </w:p>
        </w:tc>
        <w:tc>
          <w:tcPr>
            <w:tcW w:w="8400" w:type="dxa"/>
            <w:vAlign w:val="bottom"/>
            <w:tcBorders>
              <w:top w:val="single" w:sz="8" w:color="0000FF"/>
            </w:tcBorders>
            <w:gridSpan w:val="15"/>
          </w:tcPr>
          <w:p>
            <w:pPr>
              <w:spacing w:after="0" w:line="194" w:lineRule="exact"/>
              <w:rPr>
                <w:sz w:val="20"/>
                <w:szCs w:val="20"/>
                <w:color w:val="auto"/>
              </w:rPr>
            </w:pPr>
            <w:r>
              <w:rPr>
                <w:rFonts w:ascii="Arial" w:cs="Arial" w:eastAsia="Arial" w:hAnsi="Arial"/>
                <w:sz w:val="17"/>
                <w:szCs w:val="17"/>
                <w:color w:val="0000FF"/>
              </w:rPr>
              <w:t>Notes to Interim Condensed Consolidated Financial Statements</w:t>
            </w:r>
          </w:p>
        </w:tc>
        <w:tc>
          <w:tcPr>
            <w:tcW w:w="320" w:type="dxa"/>
            <w:vAlign w:val="bottom"/>
            <w:tcBorders>
              <w:top w:val="single" w:sz="8" w:color="CCEEFF"/>
            </w:tcBorders>
          </w:tcPr>
          <w:p>
            <w:pPr>
              <w:spacing w:after="0"/>
              <w:rPr>
                <w:sz w:val="16"/>
                <w:szCs w:val="16"/>
                <w:color w:val="auto"/>
              </w:rPr>
            </w:pPr>
          </w:p>
        </w:tc>
        <w:tc>
          <w:tcPr>
            <w:tcW w:w="1500" w:type="dxa"/>
            <w:vAlign w:val="bottom"/>
            <w:tcBorders>
              <w:top w:val="single" w:sz="8" w:color="CCEEFF"/>
            </w:tcBorders>
            <w:gridSpan w:val="3"/>
          </w:tcPr>
          <w:p>
            <w:pPr>
              <w:jc w:val="right"/>
              <w:ind w:right="20"/>
              <w:spacing w:after="0" w:line="194" w:lineRule="exact"/>
              <w:rPr>
                <w:sz w:val="20"/>
                <w:szCs w:val="20"/>
                <w:color w:val="auto"/>
              </w:rPr>
            </w:pPr>
            <w:r>
              <w:rPr>
                <w:rFonts w:ascii="Arial" w:cs="Arial" w:eastAsia="Arial" w:hAnsi="Arial"/>
                <w:sz w:val="17"/>
                <w:szCs w:val="17"/>
                <w:color w:val="auto"/>
              </w:rPr>
              <w:t>8-62</w:t>
            </w:r>
          </w:p>
        </w:tc>
      </w:tr>
      <w:tr>
        <w:trPr>
          <w:trHeight w:val="32"/>
        </w:trPr>
        <w:tc>
          <w:tcPr>
            <w:tcW w:w="10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25"/>
        </w:trPr>
        <w:tc>
          <w:tcPr>
            <w:tcW w:w="102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Item 2.</w:t>
            </w:r>
          </w:p>
        </w:tc>
        <w:tc>
          <w:tcPr>
            <w:tcW w:w="6140" w:type="dxa"/>
            <w:vAlign w:val="bottom"/>
            <w:tcBorders>
              <w:bottom w:val="single" w:sz="8" w:color="0000FF"/>
            </w:tcBorders>
            <w:gridSpan w:val="11"/>
            <w:shd w:val="clear" w:color="auto" w:fill="CCEEFF"/>
          </w:tcPr>
          <w:p>
            <w:pPr>
              <w:spacing w:after="0" w:line="194" w:lineRule="exact"/>
              <w:rPr>
                <w:sz w:val="20"/>
                <w:szCs w:val="20"/>
                <w:color w:val="auto"/>
              </w:rPr>
            </w:pPr>
            <w:r>
              <w:rPr>
                <w:rFonts w:ascii="Arial" w:cs="Arial" w:eastAsia="Arial" w:hAnsi="Arial"/>
                <w:sz w:val="17"/>
                <w:szCs w:val="17"/>
                <w:color w:val="0000FF"/>
                <w:w w:val="91"/>
              </w:rPr>
              <w:t>Management's Discussion and Analysis of Financial Condition and Results of Operations</w:t>
            </w:r>
          </w:p>
        </w:tc>
        <w:tc>
          <w:tcPr>
            <w:tcW w:w="2580" w:type="dxa"/>
            <w:vAlign w:val="bottom"/>
            <w:tcBorders>
              <w:bottom w:val="single" w:sz="8" w:color="CCEEFF"/>
            </w:tcBorders>
            <w:gridSpan w:val="5"/>
            <w:shd w:val="clear" w:color="auto" w:fill="CCEEFF"/>
          </w:tcPr>
          <w:p>
            <w:pPr>
              <w:spacing w:after="0"/>
              <w:rPr>
                <w:sz w:val="19"/>
                <w:szCs w:val="19"/>
                <w:color w:val="auto"/>
              </w:rPr>
            </w:pPr>
          </w:p>
        </w:tc>
        <w:tc>
          <w:tcPr>
            <w:tcW w:w="1500" w:type="dxa"/>
            <w:vAlign w:val="bottom"/>
            <w:tcBorders>
              <w:bottom w:val="single" w:sz="8" w:color="CCEEFF"/>
            </w:tcBorders>
            <w:gridSpan w:val="3"/>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63-79</w:t>
            </w:r>
          </w:p>
        </w:tc>
      </w:tr>
      <w:tr>
        <w:trPr>
          <w:trHeight w:val="193"/>
        </w:trPr>
        <w:tc>
          <w:tcPr>
            <w:tcW w:w="1020" w:type="dxa"/>
            <w:vAlign w:val="bottom"/>
          </w:tcPr>
          <w:p>
            <w:pPr>
              <w:ind w:left="20"/>
              <w:spacing w:after="0" w:line="194" w:lineRule="exact"/>
              <w:rPr>
                <w:sz w:val="20"/>
                <w:szCs w:val="20"/>
                <w:color w:val="auto"/>
              </w:rPr>
            </w:pPr>
            <w:r>
              <w:rPr>
                <w:rFonts w:ascii="Arial" w:cs="Arial" w:eastAsia="Arial" w:hAnsi="Arial"/>
                <w:sz w:val="17"/>
                <w:szCs w:val="17"/>
                <w:color w:val="auto"/>
              </w:rPr>
              <w:t>Item 3.</w:t>
            </w:r>
          </w:p>
        </w:tc>
        <w:tc>
          <w:tcPr>
            <w:tcW w:w="8720" w:type="dxa"/>
            <w:vAlign w:val="bottom"/>
            <w:gridSpan w:val="16"/>
          </w:tcPr>
          <w:p>
            <w:pPr>
              <w:spacing w:after="0" w:line="194" w:lineRule="exact"/>
              <w:rPr>
                <w:sz w:val="20"/>
                <w:szCs w:val="20"/>
                <w:color w:val="auto"/>
              </w:rPr>
            </w:pPr>
            <w:r>
              <w:rPr>
                <w:rFonts w:ascii="Arial" w:cs="Arial" w:eastAsia="Arial" w:hAnsi="Arial"/>
                <w:sz w:val="17"/>
                <w:szCs w:val="17"/>
                <w:color w:val="0000FF"/>
              </w:rPr>
              <w:t>Quantitative and Qualitative Disclosures about Market Risk</w:t>
            </w:r>
          </w:p>
        </w:tc>
        <w:tc>
          <w:tcPr>
            <w:tcW w:w="15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81</w:t>
            </w:r>
          </w:p>
        </w:tc>
      </w:tr>
      <w:tr>
        <w:trPr>
          <w:trHeight w:val="44"/>
        </w:trPr>
        <w:tc>
          <w:tcPr>
            <w:tcW w:w="1020" w:type="dxa"/>
            <w:vAlign w:val="bottom"/>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44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25"/>
        </w:trPr>
        <w:tc>
          <w:tcPr>
            <w:tcW w:w="10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Item 4.</w:t>
            </w:r>
          </w:p>
        </w:tc>
        <w:tc>
          <w:tcPr>
            <w:tcW w:w="8720" w:type="dxa"/>
            <w:vAlign w:val="bottom"/>
            <w:gridSpan w:val="16"/>
            <w:shd w:val="clear" w:color="auto" w:fill="CCEEFF"/>
          </w:tcPr>
          <w:p>
            <w:pPr>
              <w:spacing w:after="0" w:line="194" w:lineRule="exact"/>
              <w:rPr>
                <w:sz w:val="20"/>
                <w:szCs w:val="20"/>
                <w:color w:val="auto"/>
              </w:rPr>
            </w:pPr>
            <w:r>
              <w:rPr>
                <w:rFonts w:ascii="Arial" w:cs="Arial" w:eastAsia="Arial" w:hAnsi="Arial"/>
                <w:sz w:val="17"/>
                <w:szCs w:val="17"/>
                <w:color w:val="0000FF"/>
              </w:rPr>
              <w:t>Controls and Procedures</w:t>
            </w:r>
          </w:p>
        </w:tc>
        <w:tc>
          <w:tcPr>
            <w:tcW w:w="1500" w:type="dxa"/>
            <w:vAlign w:val="bottom"/>
            <w:gridSpan w:val="3"/>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81</w:t>
            </w:r>
          </w:p>
        </w:tc>
      </w:tr>
      <w:tr>
        <w:trPr>
          <w:trHeight w:val="258"/>
        </w:trPr>
        <w:tc>
          <w:tcPr>
            <w:tcW w:w="1020" w:type="dxa"/>
            <w:vAlign w:val="bottom"/>
            <w:tcBorders>
              <w:top w:val="single" w:sz="8" w:color="CCEE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4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78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66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r>
      <w:tr>
        <w:trPr>
          <w:trHeight w:val="225"/>
        </w:trPr>
        <w:tc>
          <w:tcPr>
            <w:tcW w:w="102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PART II -</w:t>
            </w:r>
          </w:p>
        </w:tc>
        <w:tc>
          <w:tcPr>
            <w:tcW w:w="1260" w:type="dxa"/>
            <w:vAlign w:val="bottom"/>
            <w:tcBorders>
              <w:bottom w:val="single" w:sz="8" w:color="auto"/>
            </w:tcBorders>
            <w:gridSpan w:val="5"/>
            <w:shd w:val="clear" w:color="auto" w:fill="CCEEFF"/>
          </w:tcPr>
          <w:p>
            <w:pPr>
              <w:spacing w:after="0" w:line="194" w:lineRule="exact"/>
              <w:rPr>
                <w:sz w:val="20"/>
                <w:szCs w:val="20"/>
                <w:color w:val="auto"/>
              </w:rPr>
            </w:pPr>
            <w:r>
              <w:rPr>
                <w:rFonts w:ascii="Arial" w:cs="Arial" w:eastAsia="Arial" w:hAnsi="Arial"/>
                <w:sz w:val="17"/>
                <w:szCs w:val="17"/>
                <w:color w:val="auto"/>
                <w:w w:val="93"/>
              </w:rPr>
              <w:t>Other Information</w:t>
            </w:r>
          </w:p>
        </w:tc>
        <w:tc>
          <w:tcPr>
            <w:tcW w:w="7460" w:type="dxa"/>
            <w:vAlign w:val="bottom"/>
            <w:tcBorders>
              <w:bottom w:val="single" w:sz="8" w:color="CCEEFF"/>
            </w:tcBorders>
            <w:gridSpan w:val="11"/>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r>
      <w:tr>
        <w:trPr>
          <w:trHeight w:val="193"/>
        </w:trPr>
        <w:tc>
          <w:tcPr>
            <w:tcW w:w="1020" w:type="dxa"/>
            <w:vAlign w:val="bottom"/>
          </w:tcPr>
          <w:p>
            <w:pPr>
              <w:ind w:left="20"/>
              <w:spacing w:after="0" w:line="194" w:lineRule="exact"/>
              <w:rPr>
                <w:sz w:val="20"/>
                <w:szCs w:val="20"/>
                <w:color w:val="auto"/>
              </w:rPr>
            </w:pPr>
            <w:r>
              <w:rPr>
                <w:rFonts w:ascii="Arial" w:cs="Arial" w:eastAsia="Arial" w:hAnsi="Arial"/>
                <w:sz w:val="17"/>
                <w:szCs w:val="17"/>
                <w:color w:val="auto"/>
              </w:rPr>
              <w:t>Item 1A</w:t>
            </w:r>
          </w:p>
        </w:tc>
        <w:tc>
          <w:tcPr>
            <w:tcW w:w="8720" w:type="dxa"/>
            <w:vAlign w:val="bottom"/>
            <w:gridSpan w:val="16"/>
          </w:tcPr>
          <w:p>
            <w:pPr>
              <w:spacing w:after="0" w:line="194" w:lineRule="exact"/>
              <w:rPr>
                <w:sz w:val="20"/>
                <w:szCs w:val="20"/>
                <w:color w:val="auto"/>
              </w:rPr>
            </w:pPr>
            <w:r>
              <w:rPr>
                <w:rFonts w:ascii="Arial" w:cs="Arial" w:eastAsia="Arial" w:hAnsi="Arial"/>
                <w:sz w:val="17"/>
                <w:szCs w:val="17"/>
                <w:color w:val="0000FF"/>
              </w:rPr>
              <w:t>Risk Factors</w:t>
            </w:r>
          </w:p>
        </w:tc>
        <w:tc>
          <w:tcPr>
            <w:tcW w:w="15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82</w:t>
            </w:r>
          </w:p>
        </w:tc>
      </w:tr>
      <w:tr>
        <w:trPr>
          <w:trHeight w:val="32"/>
        </w:trPr>
        <w:tc>
          <w:tcPr>
            <w:tcW w:w="102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25"/>
        </w:trPr>
        <w:tc>
          <w:tcPr>
            <w:tcW w:w="102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Item 2.</w:t>
            </w:r>
          </w:p>
        </w:tc>
        <w:tc>
          <w:tcPr>
            <w:tcW w:w="4160" w:type="dxa"/>
            <w:vAlign w:val="bottom"/>
            <w:tcBorders>
              <w:bottom w:val="single" w:sz="8" w:color="0000FF"/>
            </w:tcBorders>
            <w:gridSpan w:val="9"/>
            <w:shd w:val="clear" w:color="auto" w:fill="CCEEFF"/>
          </w:tcPr>
          <w:p>
            <w:pPr>
              <w:spacing w:after="0" w:line="194" w:lineRule="exact"/>
              <w:rPr>
                <w:sz w:val="20"/>
                <w:szCs w:val="20"/>
                <w:color w:val="auto"/>
              </w:rPr>
            </w:pPr>
            <w:r>
              <w:rPr>
                <w:rFonts w:ascii="Arial" w:cs="Arial" w:eastAsia="Arial" w:hAnsi="Arial"/>
                <w:sz w:val="17"/>
                <w:szCs w:val="17"/>
                <w:color w:val="0000FF"/>
                <w:w w:val="90"/>
              </w:rPr>
              <w:t>Unregistered Sales of Equity Securities and Use of Proceeds</w:t>
            </w:r>
          </w:p>
        </w:tc>
        <w:tc>
          <w:tcPr>
            <w:tcW w:w="4560" w:type="dxa"/>
            <w:vAlign w:val="bottom"/>
            <w:tcBorders>
              <w:bottom w:val="single" w:sz="8" w:color="CCEEFF"/>
            </w:tcBorders>
            <w:gridSpan w:val="7"/>
            <w:shd w:val="clear" w:color="auto" w:fill="CCEEFF"/>
          </w:tcPr>
          <w:p>
            <w:pPr>
              <w:spacing w:after="0"/>
              <w:rPr>
                <w:sz w:val="19"/>
                <w:szCs w:val="19"/>
                <w:color w:val="auto"/>
              </w:rPr>
            </w:pPr>
          </w:p>
        </w:tc>
        <w:tc>
          <w:tcPr>
            <w:tcW w:w="1500" w:type="dxa"/>
            <w:vAlign w:val="bottom"/>
            <w:tcBorders>
              <w:bottom w:val="single" w:sz="8" w:color="CCEEFF"/>
            </w:tcBorders>
            <w:gridSpan w:val="3"/>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82-83</w:t>
            </w:r>
          </w:p>
        </w:tc>
      </w:tr>
      <w:tr>
        <w:trPr>
          <w:trHeight w:val="193"/>
        </w:trPr>
        <w:tc>
          <w:tcPr>
            <w:tcW w:w="1020" w:type="dxa"/>
            <w:vAlign w:val="bottom"/>
          </w:tcPr>
          <w:p>
            <w:pPr>
              <w:ind w:left="20"/>
              <w:spacing w:after="0" w:line="194" w:lineRule="exact"/>
              <w:rPr>
                <w:sz w:val="20"/>
                <w:szCs w:val="20"/>
                <w:color w:val="auto"/>
              </w:rPr>
            </w:pPr>
            <w:r>
              <w:rPr>
                <w:rFonts w:ascii="Arial" w:cs="Arial" w:eastAsia="Arial" w:hAnsi="Arial"/>
                <w:sz w:val="17"/>
                <w:szCs w:val="17"/>
                <w:color w:val="auto"/>
              </w:rPr>
              <w:t>Item 5.</w:t>
            </w:r>
          </w:p>
        </w:tc>
        <w:tc>
          <w:tcPr>
            <w:tcW w:w="8720" w:type="dxa"/>
            <w:vAlign w:val="bottom"/>
            <w:gridSpan w:val="16"/>
          </w:tcPr>
          <w:p>
            <w:pPr>
              <w:spacing w:after="0" w:line="194" w:lineRule="exact"/>
              <w:rPr>
                <w:sz w:val="20"/>
                <w:szCs w:val="20"/>
                <w:color w:val="auto"/>
              </w:rPr>
            </w:pPr>
            <w:r>
              <w:rPr>
                <w:rFonts w:ascii="Arial" w:cs="Arial" w:eastAsia="Arial" w:hAnsi="Arial"/>
                <w:sz w:val="17"/>
                <w:szCs w:val="17"/>
                <w:color w:val="0000FF"/>
              </w:rPr>
              <w:t>Other Information</w:t>
            </w:r>
          </w:p>
        </w:tc>
        <w:tc>
          <w:tcPr>
            <w:tcW w:w="150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auto"/>
              </w:rPr>
              <w:t>83</w:t>
            </w:r>
          </w:p>
        </w:tc>
      </w:tr>
      <w:tr>
        <w:trPr>
          <w:trHeight w:val="44"/>
        </w:trPr>
        <w:tc>
          <w:tcPr>
            <w:tcW w:w="1020" w:type="dxa"/>
            <w:vAlign w:val="bottom"/>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400" w:type="dxa"/>
            <w:vAlign w:val="bottom"/>
            <w:tcBorders>
              <w:top w:val="single" w:sz="8" w:color="0000FF"/>
            </w:tcBorders>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25"/>
        </w:trPr>
        <w:tc>
          <w:tcPr>
            <w:tcW w:w="102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Item 6.</w:t>
            </w:r>
          </w:p>
        </w:tc>
        <w:tc>
          <w:tcPr>
            <w:tcW w:w="580" w:type="dxa"/>
            <w:vAlign w:val="bottom"/>
            <w:tcBorders>
              <w:bottom w:val="single" w:sz="8" w:color="0000FF"/>
            </w:tcBorders>
            <w:gridSpan w:val="3"/>
            <w:shd w:val="clear" w:color="auto" w:fill="CCEEFF"/>
          </w:tcPr>
          <w:p>
            <w:pPr>
              <w:spacing w:after="0" w:line="194" w:lineRule="exact"/>
              <w:rPr>
                <w:sz w:val="20"/>
                <w:szCs w:val="20"/>
                <w:color w:val="auto"/>
              </w:rPr>
            </w:pPr>
            <w:r>
              <w:rPr>
                <w:rFonts w:ascii="Arial" w:cs="Arial" w:eastAsia="Arial" w:hAnsi="Arial"/>
                <w:sz w:val="17"/>
                <w:szCs w:val="17"/>
                <w:color w:val="0000FF"/>
                <w:w w:val="94"/>
              </w:rPr>
              <w:t>Exhibits</w:t>
            </w:r>
          </w:p>
        </w:tc>
        <w:tc>
          <w:tcPr>
            <w:tcW w:w="8140" w:type="dxa"/>
            <w:vAlign w:val="bottom"/>
            <w:tcBorders>
              <w:bottom w:val="single" w:sz="8" w:color="CCEEFF"/>
            </w:tcBorders>
            <w:gridSpan w:val="13"/>
            <w:shd w:val="clear" w:color="auto" w:fill="CCEEFF"/>
          </w:tcPr>
          <w:p>
            <w:pPr>
              <w:spacing w:after="0"/>
              <w:rPr>
                <w:sz w:val="19"/>
                <w:szCs w:val="19"/>
                <w:color w:val="auto"/>
              </w:rPr>
            </w:pPr>
          </w:p>
        </w:tc>
        <w:tc>
          <w:tcPr>
            <w:tcW w:w="1500" w:type="dxa"/>
            <w:vAlign w:val="bottom"/>
            <w:tcBorders>
              <w:bottom w:val="single" w:sz="8" w:color="CCEEFF"/>
            </w:tcBorders>
            <w:gridSpan w:val="3"/>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83</w:t>
            </w:r>
          </w:p>
        </w:tc>
      </w:tr>
      <w:tr>
        <w:trPr>
          <w:trHeight w:val="849"/>
        </w:trPr>
        <w:tc>
          <w:tcPr>
            <w:tcW w:w="1020" w:type="dxa"/>
            <w:vAlign w:val="bottom"/>
          </w:tcPr>
          <w:p>
            <w:pPr>
              <w:spacing w:after="0"/>
              <w:rPr>
                <w:sz w:val="24"/>
                <w:szCs w:val="24"/>
                <w:color w:val="auto"/>
              </w:rPr>
            </w:pPr>
          </w:p>
        </w:tc>
        <w:tc>
          <w:tcPr>
            <w:tcW w:w="6140" w:type="dxa"/>
            <w:vAlign w:val="bottom"/>
            <w:gridSpan w:val="11"/>
          </w:tcPr>
          <w:p>
            <w:pPr>
              <w:ind w:left="4560"/>
              <w:spacing w:after="0"/>
              <w:rPr>
                <w:sz w:val="20"/>
                <w:szCs w:val="20"/>
                <w:color w:val="auto"/>
              </w:rPr>
            </w:pPr>
            <w:r>
              <w:rPr>
                <w:rFonts w:ascii="Arial" w:cs="Arial" w:eastAsia="Arial" w:hAnsi="Arial"/>
                <w:sz w:val="17"/>
                <w:szCs w:val="17"/>
                <w:color w:val="auto"/>
              </w:rPr>
              <w:t>1</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0"/>
        </w:trPr>
        <w:tc>
          <w:tcPr>
            <w:tcW w:w="10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Statements in this report that are not statements of historical fact, including statements that include terms such as ‘‘will,’’ ‘‘may,’’ ‘‘should,’’ ‘‘believe,’’ ‘‘expect,’’ ‘‘forecast,’’ ‘‘anticipate,’’ ‘‘estimate,’’ ‘‘project,’’ ‘‘intend,’’ ‘‘likely,’’ ‘‘optimistic’’ and ‘‘plan’’ and statements about future or projected financial and operating results, plans, projections, objectives, expectations, and intentions, are forward-looking statements. Forward-looking statements include, but are not limited to, descriptions of plans and objectives for future operations, products or services; projections of our future revenue, earnings or other measures of economic performance; forecasts of credit losses and other asset quality trends; statements about our business and growth strategies; and expectations about economic and market conditions and trends. These forward-looking statements express our current expectations, forecasts of future events, or long-term goals. They are based on assumptions, estimates, and forecasts that, although believed to be reasonable, may turn out to be incorrect. Actual results could differ materially from those discussed in the forward-looking statements for a variety of reasons, including:</w:t>
      </w:r>
    </w:p>
    <w:p>
      <w:pPr>
        <w:spacing w:after="0" w:line="131" w:lineRule="exact"/>
        <w:rPr>
          <w:sz w:val="20"/>
          <w:szCs w:val="20"/>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economic, market, operational, liquidity, credit, and interest rate risks associated with our business;</w:t>
      </w:r>
    </w:p>
    <w:p>
      <w:pPr>
        <w:spacing w:after="0" w:line="21" w:lineRule="exact"/>
        <w:rPr>
          <w:rFonts w:ascii="Arial" w:cs="Arial" w:eastAsia="Arial" w:hAnsi="Arial"/>
          <w:sz w:val="17"/>
          <w:szCs w:val="17"/>
          <w:color w:val="auto"/>
        </w:rPr>
      </w:pPr>
    </w:p>
    <w:p>
      <w:pPr>
        <w:ind w:left="620" w:hanging="307"/>
        <w:spacing w:after="0" w:line="253"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economic conditions generally and in the financial services industry, particularly economic conditions within Michigan and the regional and local real estate markets in which our bank operates;</w:t>
      </w: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failure of assumptions underlying the establishment of, and provisions made to, our allowance for credit losses;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increased competition in the financial services industry, either nationally or regionally;</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achieve loan and deposit growth;</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volatility and direction of market interest rates;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continued services of our management team;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implementation of new legislation, which may have significant effects on us and the financial services industry.</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This list provides examples of factors that could affect the results described by forward-looking statements contained in this report, but the list is not intended to be all-inclusive. The risk factors disclosed in Part I – Item 1A of our Annual Report on Form 10-K for the year ended December 31, 2022, as updated by any new or modified risk factors disclosed in Part II – Item 1A of any subsequently filed Quarterly Report on Form 10-Q, include the known risks our management believes could materially affect the results described by forward-looking statements in this report. However, those risks may not be the only risks we face. Our results of operations, cash flows, financial position, and prospects could also be materially and adversely affected by additional factors that are not presently known to us that we currently consider to be immaterial, or that develop after the date of this report. We cannot assure you that our future results will meet expectations. While we believe the forward-looking statements in this report are reasonable, you should not place undue reliance on any forward-looking statement. In addition, these statements speak only as of the date made. We do not undertake, and expressly disclaim, any obligation to update or alter any statements, whether as a result of new information, future events, or otherwise, except as required by applicable law.</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20" w:type="dxa"/>
            <w:vAlign w:val="bottom"/>
          </w:tcPr>
          <w:p>
            <w:pPr>
              <w:ind w:left="20"/>
              <w:spacing w:after="0"/>
              <w:rPr>
                <w:sz w:val="20"/>
                <w:szCs w:val="20"/>
                <w:color w:val="auto"/>
              </w:rPr>
            </w:pPr>
            <w:r>
              <w:rPr>
                <w:rFonts w:ascii="Arial" w:cs="Arial" w:eastAsia="Arial" w:hAnsi="Arial"/>
                <w:sz w:val="17"/>
                <w:szCs w:val="17"/>
                <w:color w:val="auto"/>
              </w:rPr>
              <w:t>Part I - Item 1.</w:t>
            </w:r>
          </w:p>
        </w:tc>
        <w:tc>
          <w:tcPr>
            <w:tcW w:w="4960" w:type="dxa"/>
            <w:vAlign w:val="bottom"/>
            <w:gridSpan w:val="3"/>
          </w:tcPr>
          <w:p>
            <w:pPr>
              <w:jc w:val="right"/>
              <w:ind w:right="260"/>
              <w:spacing w:after="0"/>
              <w:rPr>
                <w:sz w:val="20"/>
                <w:szCs w:val="20"/>
                <w:color w:val="auto"/>
              </w:rPr>
            </w:pPr>
            <w:r>
              <w:rPr>
                <w:rFonts w:ascii="Arial" w:cs="Arial" w:eastAsia="Arial" w:hAnsi="Arial"/>
                <w:sz w:val="17"/>
                <w:szCs w:val="17"/>
                <w:color w:val="auto"/>
                <w:w w:val="99"/>
              </w:rPr>
              <w:t>INDEPENDENT BANK CORPORATION AND SUBSIDIARIES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85"/>
        </w:trPr>
        <w:tc>
          <w:tcPr>
            <w:tcW w:w="3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20" w:type="dxa"/>
            <w:vAlign w:val="bottom"/>
            <w:gridSpan w:val="2"/>
          </w:tcPr>
          <w:p>
            <w:pPr>
              <w:jc w:val="right"/>
              <w:ind w:right="500"/>
              <w:spacing w:after="0"/>
              <w:rPr>
                <w:sz w:val="20"/>
                <w:szCs w:val="20"/>
                <w:color w:val="auto"/>
              </w:rPr>
            </w:pPr>
            <w:r>
              <w:rPr>
                <w:rFonts w:ascii="Arial" w:cs="Arial" w:eastAsia="Arial" w:hAnsi="Arial"/>
                <w:sz w:val="17"/>
                <w:szCs w:val="17"/>
                <w:color w:val="auto"/>
                <w:w w:val="91"/>
              </w:rPr>
              <w:t>Condensed Consolidated Statements of Financial Condition</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1"/>
        </w:trPr>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20" w:type="dxa"/>
            <w:vAlign w:val="bottom"/>
            <w:tcBorders>
              <w:top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color w:val="auto"/>
              </w:rPr>
              <w:t>June 30,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ind w:right="291"/>
              <w:spacing w:after="0"/>
              <w:rPr>
                <w:sz w:val="20"/>
                <w:szCs w:val="20"/>
                <w:color w:val="auto"/>
              </w:rPr>
            </w:pPr>
            <w:r>
              <w:rPr>
                <w:rFonts w:ascii="Arial" w:cs="Arial" w:eastAsia="Arial" w:hAnsi="Arial"/>
                <w:sz w:val="14"/>
                <w:szCs w:val="14"/>
                <w:color w:val="auto"/>
                <w:w w:val="88"/>
              </w:rPr>
              <w:t>December 31,</w:t>
            </w:r>
          </w:p>
        </w:tc>
      </w:tr>
      <w:tr>
        <w:trPr>
          <w:trHeight w:val="180"/>
        </w:trPr>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2022</w:t>
            </w:r>
          </w:p>
        </w:tc>
      </w:tr>
      <w:tr>
        <w:trPr>
          <w:trHeight w:val="185"/>
        </w:trPr>
        <w:tc>
          <w:tcPr>
            <w:tcW w:w="3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791"/>
              <w:spacing w:after="0"/>
              <w:rPr>
                <w:sz w:val="20"/>
                <w:szCs w:val="20"/>
                <w:color w:val="auto"/>
              </w:rPr>
            </w:pPr>
            <w:r>
              <w:rPr>
                <w:rFonts w:ascii="Arial" w:cs="Arial" w:eastAsia="Arial" w:hAnsi="Arial"/>
                <w:sz w:val="14"/>
                <w:szCs w:val="14"/>
                <w:color w:val="auto"/>
                <w:w w:val="90"/>
              </w:rPr>
              <w:t>(Unaudited)</w:t>
            </w:r>
          </w:p>
        </w:tc>
        <w:tc>
          <w:tcPr>
            <w:tcW w:w="1160" w:type="dxa"/>
            <w:vAlign w:val="bottom"/>
            <w:tcBorders>
              <w:bottom w:val="single" w:sz="8" w:color="auto"/>
            </w:tcBorders>
          </w:tcPr>
          <w:p>
            <w:pPr>
              <w:spacing w:after="0"/>
              <w:rPr>
                <w:sz w:val="16"/>
                <w:szCs w:val="16"/>
                <w:color w:val="auto"/>
              </w:rPr>
            </w:pPr>
          </w:p>
        </w:tc>
      </w:tr>
      <w:tr>
        <w:trPr>
          <w:trHeight w:val="136"/>
        </w:trPr>
        <w:tc>
          <w:tcPr>
            <w:tcW w:w="3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60" w:type="dxa"/>
            <w:vAlign w:val="bottom"/>
            <w:gridSpan w:val="4"/>
          </w:tcPr>
          <w:p>
            <w:pPr>
              <w:jc w:val="center"/>
              <w:ind w:right="231"/>
              <w:spacing w:after="0" w:line="137" w:lineRule="exact"/>
              <w:rPr>
                <w:sz w:val="20"/>
                <w:szCs w:val="20"/>
                <w:color w:val="auto"/>
              </w:rPr>
            </w:pPr>
            <w:r>
              <w:rPr>
                <w:rFonts w:ascii="Arial" w:cs="Arial" w:eastAsia="Arial" w:hAnsi="Arial"/>
                <w:sz w:val="14"/>
                <w:szCs w:val="14"/>
                <w:color w:val="auto"/>
                <w:w w:val="86"/>
              </w:rPr>
              <w:t>(In thousands, except share</w:t>
            </w:r>
          </w:p>
        </w:tc>
      </w:tr>
      <w:tr>
        <w:trPr>
          <w:trHeight w:val="174"/>
        </w:trPr>
        <w:tc>
          <w:tcPr>
            <w:tcW w:w="3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gridSpan w:val="3"/>
          </w:tcPr>
          <w:p>
            <w:pPr>
              <w:jc w:val="center"/>
              <w:ind w:left="791"/>
              <w:spacing w:after="0"/>
              <w:rPr>
                <w:sz w:val="20"/>
                <w:szCs w:val="20"/>
                <w:color w:val="auto"/>
              </w:rPr>
            </w:pPr>
            <w:r>
              <w:rPr>
                <w:rFonts w:ascii="Arial" w:cs="Arial" w:eastAsia="Arial" w:hAnsi="Arial"/>
                <w:sz w:val="14"/>
                <w:szCs w:val="14"/>
                <w:color w:val="auto"/>
                <w:w w:val="85"/>
              </w:rPr>
              <w:t>amounts)</w:t>
            </w:r>
          </w:p>
        </w:tc>
        <w:tc>
          <w:tcPr>
            <w:tcW w:w="1160" w:type="dxa"/>
            <w:vAlign w:val="bottom"/>
          </w:tcPr>
          <w:p>
            <w:pPr>
              <w:spacing w:after="0"/>
              <w:rPr>
                <w:sz w:val="15"/>
                <w:szCs w:val="15"/>
                <w:color w:val="auto"/>
              </w:rPr>
            </w:pPr>
          </w:p>
        </w:tc>
      </w:tr>
      <w:tr>
        <w:trPr>
          <w:trHeight w:val="180"/>
        </w:trPr>
        <w:tc>
          <w:tcPr>
            <w:tcW w:w="3220" w:type="dxa"/>
            <w:vAlign w:val="bottom"/>
          </w:tcPr>
          <w:p>
            <w:pPr>
              <w:ind w:left="20"/>
              <w:spacing w:after="0"/>
              <w:rPr>
                <w:sz w:val="20"/>
                <w:szCs w:val="20"/>
                <w:color w:val="auto"/>
              </w:rPr>
            </w:pPr>
            <w:r>
              <w:rPr>
                <w:rFonts w:ascii="Arial" w:cs="Arial" w:eastAsia="Arial" w:hAnsi="Arial"/>
                <w:sz w:val="14"/>
                <w:szCs w:val="14"/>
                <w:color w:val="auto"/>
              </w:rPr>
              <w:t>Assets</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3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due from banks</w:t>
            </w:r>
          </w:p>
        </w:tc>
        <w:tc>
          <w:tcPr>
            <w:tcW w:w="34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61,225</w:t>
            </w:r>
          </w:p>
        </w:tc>
        <w:tc>
          <w:tcPr>
            <w:tcW w:w="420" w:type="dxa"/>
            <w:vAlign w:val="bottom"/>
            <w:gridSpan w:val="2"/>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70,180</w:t>
            </w:r>
          </w:p>
        </w:tc>
      </w:tr>
      <w:tr>
        <w:trPr>
          <w:trHeight w:val="177"/>
        </w:trPr>
        <w:tc>
          <w:tcPr>
            <w:tcW w:w="3220" w:type="dxa"/>
            <w:vAlign w:val="bottom"/>
          </w:tcPr>
          <w:p>
            <w:pPr>
              <w:ind w:left="20"/>
              <w:spacing w:after="0"/>
              <w:rPr>
                <w:sz w:val="20"/>
                <w:szCs w:val="20"/>
                <w:color w:val="auto"/>
              </w:rPr>
            </w:pPr>
            <w:r>
              <w:rPr>
                <w:rFonts w:ascii="Arial" w:cs="Arial" w:eastAsia="Arial" w:hAnsi="Arial"/>
                <w:sz w:val="14"/>
                <w:szCs w:val="14"/>
                <w:color w:val="auto"/>
              </w:rPr>
              <w:t>Interest bearing deposits</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67,967</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4,191</w:t>
            </w:r>
          </w:p>
        </w:tc>
      </w:tr>
      <w:tr>
        <w:trPr>
          <w:trHeight w:val="189"/>
        </w:trPr>
        <w:tc>
          <w:tcPr>
            <w:tcW w:w="3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129,192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74,371</w:t>
            </w: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color w:val="auto"/>
              </w:rPr>
              <w:t>Securities available for sale</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731,777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779,347</w:t>
            </w:r>
          </w:p>
        </w:tc>
      </w:tr>
      <w:tr>
        <w:trPr>
          <w:trHeight w:val="190"/>
        </w:trPr>
        <w:tc>
          <w:tcPr>
            <w:tcW w:w="8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Securities held to maturity (fair value of $321,860 at June 30, 2023 and $335,418 at December 31, 2022 )</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360,926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374,818</w:t>
            </w:r>
          </w:p>
        </w:tc>
      </w:tr>
      <w:tr>
        <w:trPr>
          <w:trHeight w:val="184"/>
        </w:trPr>
        <w:tc>
          <w:tcPr>
            <w:tcW w:w="8180" w:type="dxa"/>
            <w:vAlign w:val="bottom"/>
            <w:gridSpan w:val="4"/>
          </w:tcPr>
          <w:p>
            <w:pPr>
              <w:ind w:left="20"/>
              <w:spacing w:after="0"/>
              <w:rPr>
                <w:sz w:val="20"/>
                <w:szCs w:val="20"/>
                <w:color w:val="auto"/>
              </w:rPr>
            </w:pPr>
            <w:r>
              <w:rPr>
                <w:rFonts w:ascii="Arial" w:cs="Arial" w:eastAsia="Arial" w:hAnsi="Arial"/>
                <w:sz w:val="14"/>
                <w:szCs w:val="14"/>
                <w:color w:val="auto"/>
              </w:rPr>
              <w:t>Federal Home Loan Bank and Federal Reserve Bank stock, at cost</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18,131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17,653</w:t>
            </w:r>
          </w:p>
        </w:tc>
      </w:tr>
      <w:tr>
        <w:trPr>
          <w:trHeight w:val="20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 held for sale, carried at fair value</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26,518</w:t>
            </w:r>
          </w:p>
        </w:tc>
      </w:tr>
      <w:tr>
        <w:trPr>
          <w:trHeight w:val="177"/>
        </w:trPr>
        <w:tc>
          <w:tcPr>
            <w:tcW w:w="3220" w:type="dxa"/>
            <w:vAlign w:val="bottom"/>
          </w:tcPr>
          <w:p>
            <w:pPr>
              <w:ind w:left="20"/>
              <w:spacing w:after="0"/>
              <w:rPr>
                <w:sz w:val="20"/>
                <w:szCs w:val="20"/>
                <w:color w:val="auto"/>
              </w:rPr>
            </w:pPr>
            <w:r>
              <w:rPr>
                <w:rFonts w:ascii="Arial" w:cs="Arial" w:eastAsia="Arial" w:hAnsi="Arial"/>
                <w:sz w:val="14"/>
                <w:szCs w:val="14"/>
                <w:color w:val="auto"/>
                <w:w w:val="92"/>
              </w:rPr>
              <w:t>Loans held for sale, carried at lower of cost or fair value</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20,367</w:t>
            </w:r>
          </w:p>
        </w:tc>
      </w:tr>
      <w:tr>
        <w:trPr>
          <w:trHeight w:val="196"/>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77"/>
        </w:trPr>
        <w:tc>
          <w:tcPr>
            <w:tcW w:w="3220" w:type="dxa"/>
            <w:vAlign w:val="bottom"/>
          </w:tcPr>
          <w:p>
            <w:pPr>
              <w:ind w:left="180"/>
              <w:spacing w:after="0"/>
              <w:rPr>
                <w:sz w:val="20"/>
                <w:szCs w:val="20"/>
                <w:color w:val="auto"/>
              </w:rPr>
            </w:pPr>
            <w:r>
              <w:rPr>
                <w:rFonts w:ascii="Arial" w:cs="Arial" w:eastAsia="Arial" w:hAnsi="Arial"/>
                <w:sz w:val="14"/>
                <w:szCs w:val="14"/>
                <w:color w:val="auto"/>
              </w:rPr>
              <w:t>Commercial</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1,538,162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1,466,853</w:t>
            </w:r>
          </w:p>
        </w:tc>
      </w:tr>
      <w:tr>
        <w:trPr>
          <w:trHeight w:val="196"/>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Mortgage</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1,441,398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1,368,409</w:t>
            </w:r>
          </w:p>
        </w:tc>
      </w:tr>
      <w:tr>
        <w:trPr>
          <w:trHeight w:val="188"/>
        </w:trPr>
        <w:tc>
          <w:tcPr>
            <w:tcW w:w="32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Installment</w:t>
            </w:r>
          </w:p>
        </w:tc>
        <w:tc>
          <w:tcPr>
            <w:tcW w:w="34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651,554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630,090</w:t>
            </w:r>
          </w:p>
        </w:tc>
      </w:tr>
      <w:tr>
        <w:trPr>
          <w:trHeight w:val="179"/>
        </w:trPr>
        <w:tc>
          <w:tcPr>
            <w:tcW w:w="3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Total Loans</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3,631,114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3,465,352</w:t>
            </w:r>
          </w:p>
        </w:tc>
      </w:tr>
      <w:tr>
        <w:trPr>
          <w:trHeight w:val="188"/>
        </w:trPr>
        <w:tc>
          <w:tcPr>
            <w:tcW w:w="3220" w:type="dxa"/>
            <w:vAlign w:val="bottom"/>
          </w:tcPr>
          <w:p>
            <w:pPr>
              <w:ind w:left="180"/>
              <w:spacing w:after="0"/>
              <w:rPr>
                <w:sz w:val="20"/>
                <w:szCs w:val="20"/>
                <w:color w:val="auto"/>
              </w:rPr>
            </w:pPr>
            <w:r>
              <w:rPr>
                <w:rFonts w:ascii="Arial" w:cs="Arial" w:eastAsia="Arial" w:hAnsi="Arial"/>
                <w:sz w:val="14"/>
                <w:szCs w:val="14"/>
                <w:color w:val="auto"/>
              </w:rPr>
              <w:t>Allowance for credit losses</w:t>
            </w:r>
          </w:p>
        </w:tc>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(53,964)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(52,435)</w:t>
            </w:r>
          </w:p>
        </w:tc>
      </w:tr>
      <w:tr>
        <w:trPr>
          <w:trHeight w:val="192"/>
        </w:trPr>
        <w:tc>
          <w:tcPr>
            <w:tcW w:w="3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Net Loans</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3,577,150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3,412,917</w:t>
            </w:r>
          </w:p>
        </w:tc>
      </w:tr>
      <w:tr>
        <w:trPr>
          <w:trHeight w:val="177"/>
        </w:trPr>
        <w:tc>
          <w:tcPr>
            <w:tcW w:w="3220" w:type="dxa"/>
            <w:vAlign w:val="bottom"/>
          </w:tcPr>
          <w:p>
            <w:pPr>
              <w:ind w:left="20"/>
              <w:spacing w:after="0"/>
              <w:rPr>
                <w:sz w:val="20"/>
                <w:szCs w:val="20"/>
                <w:color w:val="auto"/>
              </w:rPr>
            </w:pPr>
            <w:r>
              <w:rPr>
                <w:rFonts w:ascii="Arial" w:cs="Arial" w:eastAsia="Arial" w:hAnsi="Arial"/>
                <w:sz w:val="14"/>
                <w:szCs w:val="14"/>
                <w:color w:val="auto"/>
              </w:rPr>
              <w:t>Other real estate and repossessed assets, net</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455</w:t>
            </w:r>
          </w:p>
        </w:tc>
      </w:tr>
      <w:tr>
        <w:trPr>
          <w:trHeight w:val="196"/>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36,157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35,893</w:t>
            </w: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color w:val="auto"/>
              </w:rPr>
              <w:t>Bank-owned life insurance</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54,507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55,204</w:t>
            </w:r>
          </w:p>
        </w:tc>
      </w:tr>
      <w:tr>
        <w:trPr>
          <w:trHeight w:val="190"/>
        </w:trPr>
        <w:tc>
          <w:tcPr>
            <w:tcW w:w="8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Capitalized mortgage loan servicing rights, carried at fair value</w:t>
            </w: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42,489</w:t>
            </w: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color w:val="auto"/>
              </w:rPr>
              <w:t>Other intangibles</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2,278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2,551</w:t>
            </w:r>
          </w:p>
        </w:tc>
      </w:tr>
      <w:tr>
        <w:trPr>
          <w:trHeight w:val="20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28,300</w:t>
            </w:r>
          </w:p>
        </w:tc>
      </w:tr>
      <w:tr>
        <w:trPr>
          <w:trHeight w:val="177"/>
        </w:trPr>
        <w:tc>
          <w:tcPr>
            <w:tcW w:w="3220" w:type="dxa"/>
            <w:vAlign w:val="bottom"/>
          </w:tcPr>
          <w:p>
            <w:pPr>
              <w:ind w:left="20"/>
              <w:spacing w:after="0"/>
              <w:rPr>
                <w:sz w:val="20"/>
                <w:szCs w:val="20"/>
                <w:color w:val="auto"/>
              </w:rPr>
            </w:pPr>
            <w:r>
              <w:rPr>
                <w:rFonts w:ascii="Arial" w:cs="Arial" w:eastAsia="Arial" w:hAnsi="Arial"/>
                <w:sz w:val="14"/>
                <w:szCs w:val="14"/>
                <w:color w:val="auto"/>
              </w:rPr>
              <w:t>Accrued income and other assets</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131,791</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128,904</w:t>
            </w:r>
          </w:p>
        </w:tc>
      </w:tr>
      <w:tr>
        <w:trPr>
          <w:trHeight w:val="209"/>
        </w:trPr>
        <w:tc>
          <w:tcPr>
            <w:tcW w:w="3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Total Assets</w:t>
            </w:r>
          </w:p>
        </w:tc>
        <w:tc>
          <w:tcPr>
            <w:tcW w:w="3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5,135,564</w:t>
            </w:r>
          </w:p>
        </w:tc>
        <w:tc>
          <w:tcPr>
            <w:tcW w:w="420" w:type="dxa"/>
            <w:vAlign w:val="bottom"/>
            <w:gridSpan w:val="2"/>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4,999,787</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3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3"/>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and Shareholders' Equity</w:t>
            </w:r>
          </w:p>
        </w:tc>
        <w:tc>
          <w:tcPr>
            <w:tcW w:w="34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77"/>
        </w:trPr>
        <w:tc>
          <w:tcPr>
            <w:tcW w:w="3220" w:type="dxa"/>
            <w:vAlign w:val="bottom"/>
          </w:tcPr>
          <w:p>
            <w:pPr>
              <w:ind w:left="20"/>
              <w:spacing w:after="0"/>
              <w:rPr>
                <w:sz w:val="20"/>
                <w:szCs w:val="20"/>
                <w:color w:val="auto"/>
              </w:rPr>
            </w:pPr>
            <w:r>
              <w:rPr>
                <w:rFonts w:ascii="Arial" w:cs="Arial" w:eastAsia="Arial" w:hAnsi="Arial"/>
                <w:sz w:val="14"/>
                <w:szCs w:val="14"/>
                <w:color w:val="auto"/>
              </w:rPr>
              <w:t>Deposits</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96"/>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bearing</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1,155,537</w:t>
            </w:r>
          </w:p>
        </w:tc>
        <w:tc>
          <w:tcPr>
            <w:tcW w:w="420" w:type="dxa"/>
            <w:vAlign w:val="bottom"/>
            <w:gridSpan w:val="2"/>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1,269,759</w:t>
            </w:r>
          </w:p>
        </w:tc>
      </w:tr>
      <w:tr>
        <w:trPr>
          <w:trHeight w:val="184"/>
        </w:trPr>
        <w:tc>
          <w:tcPr>
            <w:tcW w:w="3220" w:type="dxa"/>
            <w:vAlign w:val="bottom"/>
          </w:tcPr>
          <w:p>
            <w:pPr>
              <w:ind w:left="180"/>
              <w:spacing w:after="0"/>
              <w:rPr>
                <w:sz w:val="20"/>
                <w:szCs w:val="20"/>
                <w:color w:val="auto"/>
              </w:rPr>
            </w:pPr>
            <w:r>
              <w:rPr>
                <w:rFonts w:ascii="Arial" w:cs="Arial" w:eastAsia="Arial" w:hAnsi="Arial"/>
                <w:sz w:val="14"/>
                <w:szCs w:val="14"/>
                <w:color w:val="auto"/>
              </w:rPr>
              <w:t>Savings and interest-bearing checking</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1,929,021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1,973,308</w:t>
            </w:r>
          </w:p>
        </w:tc>
      </w:tr>
      <w:tr>
        <w:trPr>
          <w:trHeight w:val="190"/>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Reciprocal</w:t>
            </w:r>
          </w:p>
        </w:tc>
        <w:tc>
          <w:tcPr>
            <w:tcW w:w="34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720,985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602,575</w:t>
            </w:r>
          </w:p>
        </w:tc>
      </w:tr>
      <w:tr>
        <w:trPr>
          <w:trHeight w:val="184"/>
        </w:trPr>
        <w:tc>
          <w:tcPr>
            <w:tcW w:w="3220" w:type="dxa"/>
            <w:vAlign w:val="bottom"/>
          </w:tcPr>
          <w:p>
            <w:pPr>
              <w:ind w:left="180"/>
              <w:spacing w:after="0"/>
              <w:rPr>
                <w:sz w:val="20"/>
                <w:szCs w:val="20"/>
                <w:color w:val="auto"/>
              </w:rPr>
            </w:pPr>
            <w:r>
              <w:rPr>
                <w:rFonts w:ascii="Arial" w:cs="Arial" w:eastAsia="Arial" w:hAnsi="Arial"/>
                <w:sz w:val="14"/>
                <w:szCs w:val="14"/>
                <w:color w:val="auto"/>
              </w:rPr>
              <w:t>Time</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431,249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321,492</w:t>
            </w:r>
          </w:p>
        </w:tc>
      </w:tr>
      <w:tr>
        <w:trPr>
          <w:trHeight w:val="203"/>
        </w:trPr>
        <w:tc>
          <w:tcPr>
            <w:tcW w:w="3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Brokered time</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250,844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211,935</w:t>
            </w:r>
          </w:p>
        </w:tc>
      </w:tr>
      <w:tr>
        <w:trPr>
          <w:trHeight w:val="170"/>
        </w:trPr>
        <w:tc>
          <w:tcPr>
            <w:tcW w:w="3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20" w:type="dxa"/>
            <w:vAlign w:val="bottom"/>
            <w:gridSpan w:val="2"/>
          </w:tcPr>
          <w:p>
            <w:pPr>
              <w:jc w:val="right"/>
              <w:ind w:right="120"/>
              <w:spacing w:after="0"/>
              <w:rPr>
                <w:sz w:val="20"/>
                <w:szCs w:val="20"/>
                <w:color w:val="auto"/>
              </w:rPr>
            </w:pPr>
            <w:r>
              <w:rPr>
                <w:rFonts w:ascii="Arial" w:cs="Arial" w:eastAsia="Arial" w:hAnsi="Arial"/>
                <w:sz w:val="14"/>
                <w:szCs w:val="14"/>
                <w:color w:val="auto"/>
              </w:rPr>
              <w:t>Total Deposits</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4,487,636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4,379,069</w:t>
            </w:r>
          </w:p>
        </w:tc>
      </w:tr>
      <w:tr>
        <w:trPr>
          <w:trHeight w:val="196"/>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borrowings</w:t>
            </w:r>
          </w:p>
        </w:tc>
        <w:tc>
          <w:tcPr>
            <w:tcW w:w="340" w:type="dxa"/>
            <w:vAlign w:val="bottom"/>
            <w:shd w:val="clear" w:color="auto" w:fill="CCEEFF"/>
          </w:tcPr>
          <w:p>
            <w:pPr>
              <w:spacing w:after="0"/>
              <w:rPr>
                <w:sz w:val="17"/>
                <w:szCs w:val="17"/>
                <w:color w:val="auto"/>
              </w:rPr>
            </w:pPr>
          </w:p>
        </w:tc>
        <w:tc>
          <w:tcPr>
            <w:tcW w:w="4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86,006</w:t>
            </w:r>
          </w:p>
        </w:tc>
      </w:tr>
      <w:tr>
        <w:trPr>
          <w:trHeight w:val="184"/>
        </w:trPr>
        <w:tc>
          <w:tcPr>
            <w:tcW w:w="3220" w:type="dxa"/>
            <w:vAlign w:val="bottom"/>
          </w:tcPr>
          <w:p>
            <w:pPr>
              <w:ind w:left="20"/>
              <w:spacing w:after="0"/>
              <w:rPr>
                <w:sz w:val="20"/>
                <w:szCs w:val="20"/>
                <w:color w:val="auto"/>
              </w:rPr>
            </w:pPr>
            <w:r>
              <w:rPr>
                <w:rFonts w:ascii="Arial" w:cs="Arial" w:eastAsia="Arial" w:hAnsi="Arial"/>
                <w:sz w:val="14"/>
                <w:szCs w:val="14"/>
                <w:color w:val="auto"/>
              </w:rPr>
              <w:t>Subordinated debt</w:t>
            </w:r>
          </w:p>
        </w:tc>
        <w:tc>
          <w:tcPr>
            <w:tcW w:w="34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39,472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39,433</w:t>
            </w:r>
          </w:p>
        </w:tc>
      </w:tr>
      <w:tr>
        <w:trPr>
          <w:trHeight w:val="190"/>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Subordinated debentures</w:t>
            </w:r>
          </w:p>
        </w:tc>
        <w:tc>
          <w:tcPr>
            <w:tcW w:w="34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39,694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39,660</w:t>
            </w:r>
          </w:p>
        </w:tc>
      </w:tr>
      <w:tr>
        <w:trPr>
          <w:trHeight w:val="188"/>
        </w:trPr>
        <w:tc>
          <w:tcPr>
            <w:tcW w:w="3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Accrued expenses and other liabilities</w:t>
            </w:r>
          </w:p>
        </w:tc>
        <w:tc>
          <w:tcPr>
            <w:tcW w:w="34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103,585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108,023</w:t>
            </w:r>
          </w:p>
        </w:tc>
      </w:tr>
      <w:tr>
        <w:trPr>
          <w:trHeight w:val="192"/>
        </w:trPr>
        <w:tc>
          <w:tcPr>
            <w:tcW w:w="3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Total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4,760,402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4,652,191</w:t>
            </w:r>
          </w:p>
        </w:tc>
      </w:tr>
      <w:tr>
        <w:trPr>
          <w:trHeight w:val="164"/>
        </w:trPr>
        <w:tc>
          <w:tcPr>
            <w:tcW w:w="3220" w:type="dxa"/>
            <w:vAlign w:val="bottom"/>
          </w:tcPr>
          <w:p>
            <w:pPr>
              <w:ind w:left="20"/>
              <w:spacing w:after="0" w:line="155" w:lineRule="exact"/>
              <w:rPr>
                <w:sz w:val="20"/>
                <w:szCs w:val="20"/>
                <w:color w:val="auto"/>
              </w:rPr>
            </w:pPr>
            <w:r>
              <w:rPr>
                <w:rFonts w:ascii="Arial" w:cs="Arial" w:eastAsia="Arial" w:hAnsi="Arial"/>
                <w:sz w:val="14"/>
                <w:szCs w:val="14"/>
                <w:color w:val="auto"/>
              </w:rPr>
              <w:t>Commitments and contingent liabilities</w:t>
            </w:r>
          </w:p>
        </w:tc>
        <w:tc>
          <w:tcPr>
            <w:tcW w:w="3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0"/>
        </w:trPr>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340" w:type="dxa"/>
            <w:vAlign w:val="bottom"/>
            <w:shd w:val="clear" w:color="auto" w:fill="CCEEFF"/>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13"/>
        </w:trPr>
        <w:tc>
          <w:tcPr>
            <w:tcW w:w="8180" w:type="dxa"/>
            <w:vAlign w:val="bottom"/>
            <w:gridSpan w:val="4"/>
          </w:tcPr>
          <w:p>
            <w:pPr>
              <w:ind w:left="180"/>
              <w:spacing w:after="0"/>
              <w:rPr>
                <w:sz w:val="20"/>
                <w:szCs w:val="20"/>
                <w:color w:val="auto"/>
              </w:rPr>
            </w:pPr>
            <w:r>
              <w:rPr>
                <w:rFonts w:ascii="Arial" w:cs="Arial" w:eastAsia="Arial" w:hAnsi="Arial"/>
                <w:sz w:val="14"/>
                <w:szCs w:val="14"/>
                <w:color w:val="auto"/>
              </w:rPr>
              <w:t>Preferred stock, no par value, 200,000 shares authorized; none issued or outstanding</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18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w w:val="92"/>
              </w:rPr>
              <w:t>Common stock, no par value, 500,000,000 shares authorized; issued and outstanding: 20,943,694 shares at June 30, 2023 and 21,063,971</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2"/>
        </w:trPr>
        <w:tc>
          <w:tcPr>
            <w:tcW w:w="32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shares at December 31, 2022</w:t>
            </w:r>
          </w:p>
        </w:tc>
        <w:tc>
          <w:tcPr>
            <w:tcW w:w="340" w:type="dxa"/>
            <w:vAlign w:val="bottom"/>
            <w:tcBorders>
              <w:bottom w:val="single" w:sz="8" w:color="CCEEFF"/>
            </w:tcBorders>
            <w:shd w:val="clear" w:color="auto" w:fill="CCEEFF"/>
          </w:tcPr>
          <w:p>
            <w:pPr>
              <w:spacing w:after="0"/>
              <w:rPr>
                <w:sz w:val="16"/>
                <w:szCs w:val="16"/>
                <w:color w:val="auto"/>
              </w:rPr>
            </w:pPr>
          </w:p>
        </w:tc>
        <w:tc>
          <w:tcPr>
            <w:tcW w:w="4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318,241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320,991</w:t>
            </w:r>
          </w:p>
        </w:tc>
      </w:tr>
      <w:tr>
        <w:trPr>
          <w:trHeight w:val="195"/>
        </w:trPr>
        <w:tc>
          <w:tcPr>
            <w:tcW w:w="322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3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137,431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119,368</w:t>
            </w:r>
          </w:p>
        </w:tc>
      </w:tr>
      <w:tr>
        <w:trPr>
          <w:trHeight w:val="24"/>
        </w:trPr>
        <w:tc>
          <w:tcPr>
            <w:tcW w:w="3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6"/>
        </w:trPr>
        <w:tc>
          <w:tcPr>
            <w:tcW w:w="3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tcBorders>
              <w:bottom w:val="single" w:sz="8" w:color="CCEEFF"/>
            </w:tcBorders>
            <w:shd w:val="clear" w:color="auto" w:fill="CCEEFF"/>
          </w:tcPr>
          <w:p>
            <w:pPr>
              <w:spacing w:after="0"/>
              <w:rPr>
                <w:sz w:val="17"/>
                <w:szCs w:val="17"/>
                <w:color w:val="auto"/>
              </w:rPr>
            </w:pPr>
          </w:p>
        </w:tc>
        <w:tc>
          <w:tcPr>
            <w:tcW w:w="4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(80,510)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(92,763)</w:t>
            </w:r>
          </w:p>
        </w:tc>
      </w:tr>
      <w:tr>
        <w:trPr>
          <w:trHeight w:val="179"/>
        </w:trPr>
        <w:tc>
          <w:tcPr>
            <w:tcW w:w="32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Total Shareholders’ Equity</w:t>
            </w:r>
          </w:p>
        </w:tc>
        <w:tc>
          <w:tcPr>
            <w:tcW w:w="30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375,162</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347,596</w:t>
            </w:r>
          </w:p>
        </w:tc>
      </w:tr>
      <w:tr>
        <w:trPr>
          <w:trHeight w:val="205"/>
        </w:trPr>
        <w:tc>
          <w:tcPr>
            <w:tcW w:w="3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Total Liabilities and Shareholders’ Equity</w:t>
            </w:r>
          </w:p>
        </w:tc>
        <w:tc>
          <w:tcPr>
            <w:tcW w:w="3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5,135,564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4,999,787</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Condensed 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60" w:type="dxa"/>
            <w:vAlign w:val="bottom"/>
          </w:tcPr>
          <w:p>
            <w:pPr>
              <w:spacing w:after="0"/>
              <w:rPr>
                <w:sz w:val="15"/>
                <w:szCs w:val="15"/>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color w:val="auto"/>
              </w:rPr>
              <w:t>Three months ended June 30,</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4"/>
          </w:tcPr>
          <w:p>
            <w:pPr>
              <w:jc w:val="right"/>
              <w:ind w:right="431"/>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80"/>
        </w:trPr>
        <w:tc>
          <w:tcPr>
            <w:tcW w:w="6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2023</w:t>
            </w:r>
          </w:p>
        </w:tc>
        <w:tc>
          <w:tcPr>
            <w:tcW w:w="4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1"/>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ind w:right="391"/>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4"/>
        </w:trPr>
        <w:tc>
          <w:tcPr>
            <w:tcW w:w="6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color w:val="auto"/>
              </w:rPr>
              <w:t>(Unaudited)</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color w:val="auto"/>
              </w:rPr>
              <w:t>(Unaudited)</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00" w:type="dxa"/>
            <w:vAlign w:val="bottom"/>
            <w:gridSpan w:val="5"/>
          </w:tcPr>
          <w:p>
            <w:pPr>
              <w:jc w:val="right"/>
              <w:ind w:right="51"/>
              <w:spacing w:after="0"/>
              <w:rPr>
                <w:sz w:val="20"/>
                <w:szCs w:val="20"/>
                <w:color w:val="auto"/>
              </w:rPr>
            </w:pPr>
            <w:r>
              <w:rPr>
                <w:rFonts w:ascii="Arial" w:cs="Arial" w:eastAsia="Arial" w:hAnsi="Arial"/>
                <w:sz w:val="14"/>
                <w:szCs w:val="14"/>
                <w:color w:val="auto"/>
                <w:w w:val="91"/>
              </w:rPr>
              <w:t>(In thousands, except per share amounts)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6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and fees on loans</w:t>
            </w:r>
          </w:p>
        </w:tc>
        <w:tc>
          <w:tcPr>
            <w:tcW w:w="740" w:type="dxa"/>
            <w:vAlign w:val="bottom"/>
            <w:shd w:val="clear" w:color="auto" w:fill="CCEEFF"/>
          </w:tcPr>
          <w:p>
            <w:pPr>
              <w:jc w:val="right"/>
              <w:ind w:right="591"/>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47,679</w:t>
            </w:r>
          </w:p>
        </w:tc>
        <w:tc>
          <w:tcPr>
            <w:tcW w:w="860" w:type="dxa"/>
            <w:vAlign w:val="bottom"/>
            <w:gridSpan w:val="2"/>
            <w:shd w:val="clear" w:color="auto" w:fill="CCEEFF"/>
          </w:tcPr>
          <w:p>
            <w:pPr>
              <w:jc w:val="right"/>
              <w:ind w:right="611"/>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31,454</w:t>
            </w:r>
          </w:p>
        </w:tc>
        <w:tc>
          <w:tcPr>
            <w:tcW w:w="360" w:type="dxa"/>
            <w:vAlign w:val="bottom"/>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91,973</w:t>
            </w:r>
          </w:p>
        </w:tc>
        <w:tc>
          <w:tcPr>
            <w:tcW w:w="480" w:type="dxa"/>
            <w:vAlign w:val="bottom"/>
            <w:gridSpan w:val="2"/>
            <w:shd w:val="clear" w:color="auto" w:fill="CCEEFF"/>
          </w:tcPr>
          <w:p>
            <w:pPr>
              <w:jc w:val="right"/>
              <w:ind w:right="23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59,872</w:t>
            </w:r>
          </w:p>
        </w:tc>
        <w:tc>
          <w:tcPr>
            <w:tcW w:w="0" w:type="dxa"/>
            <w:vAlign w:val="bottom"/>
          </w:tcPr>
          <w:p>
            <w:pPr>
              <w:spacing w:after="0"/>
              <w:rPr>
                <w:sz w:val="1"/>
                <w:szCs w:val="1"/>
                <w:color w:val="auto"/>
              </w:rPr>
            </w:pPr>
          </w:p>
        </w:tc>
      </w:tr>
      <w:tr>
        <w:trPr>
          <w:trHeight w:val="177"/>
        </w:trPr>
        <w:tc>
          <w:tcPr>
            <w:tcW w:w="6160" w:type="dxa"/>
            <w:vAlign w:val="bottom"/>
          </w:tcPr>
          <w:p>
            <w:pPr>
              <w:ind w:left="280"/>
              <w:spacing w:after="0"/>
              <w:rPr>
                <w:sz w:val="20"/>
                <w:szCs w:val="20"/>
                <w:color w:val="auto"/>
              </w:rPr>
            </w:pPr>
            <w:r>
              <w:rPr>
                <w:rFonts w:ascii="Arial" w:cs="Arial" w:eastAsia="Arial" w:hAnsi="Arial"/>
                <w:sz w:val="14"/>
                <w:szCs w:val="14"/>
                <w:color w:val="auto"/>
              </w:rPr>
              <w:t>Interest on securities</w:t>
            </w: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Taxable</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9,502</w:t>
            </w:r>
          </w:p>
        </w:tc>
        <w:tc>
          <w:tcPr>
            <w:tcW w:w="0" w:type="dxa"/>
            <w:vAlign w:val="bottom"/>
          </w:tcPr>
          <w:p>
            <w:pPr>
              <w:spacing w:after="0"/>
              <w:rPr>
                <w:sz w:val="1"/>
                <w:szCs w:val="1"/>
                <w:color w:val="auto"/>
              </w:rPr>
            </w:pPr>
          </w:p>
        </w:tc>
      </w:tr>
      <w:tr>
        <w:trPr>
          <w:trHeight w:val="184"/>
        </w:trPr>
        <w:tc>
          <w:tcPr>
            <w:tcW w:w="6160" w:type="dxa"/>
            <w:vAlign w:val="bottom"/>
          </w:tcPr>
          <w:p>
            <w:pPr>
              <w:ind w:left="540"/>
              <w:spacing w:after="0"/>
              <w:rPr>
                <w:sz w:val="20"/>
                <w:szCs w:val="20"/>
                <w:color w:val="auto"/>
              </w:rPr>
            </w:pPr>
            <w:r>
              <w:rPr>
                <w:rFonts w:ascii="Arial" w:cs="Arial" w:eastAsia="Arial" w:hAnsi="Arial"/>
                <w:sz w:val="14"/>
                <w:szCs w:val="14"/>
                <w:color w:val="auto"/>
              </w:rPr>
              <w:t>Tax-exempt</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3,283</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1,746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3,300</w:t>
            </w:r>
          </w:p>
        </w:tc>
        <w:tc>
          <w:tcPr>
            <w:tcW w:w="0" w:type="dxa"/>
            <w:vAlign w:val="bottom"/>
          </w:tcPr>
          <w:p>
            <w:pPr>
              <w:spacing w:after="0"/>
              <w:rPr>
                <w:sz w:val="1"/>
                <w:szCs w:val="1"/>
                <w:color w:val="auto"/>
              </w:rPr>
            </w:pPr>
          </w:p>
        </w:tc>
      </w:tr>
      <w:tr>
        <w:trPr>
          <w:trHeight w:val="187"/>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Other investments</w:t>
            </w:r>
          </w:p>
        </w:tc>
        <w:tc>
          <w:tcPr>
            <w:tcW w:w="7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184"/>
        </w:trPr>
        <w:tc>
          <w:tcPr>
            <w:tcW w:w="6160" w:type="dxa"/>
            <w:vAlign w:val="bottom"/>
            <w:tcBorders>
              <w:bottom w:val="single" w:sz="8" w:color="CCEEFF"/>
            </w:tcBorders>
          </w:tcPr>
          <w:p>
            <w:pPr>
              <w:jc w:val="right"/>
              <w:ind w:right="51"/>
              <w:spacing w:after="0"/>
              <w:rPr>
                <w:sz w:val="20"/>
                <w:szCs w:val="20"/>
                <w:color w:val="auto"/>
              </w:rPr>
            </w:pPr>
            <w:r>
              <w:rPr>
                <w:rFonts w:ascii="Arial" w:cs="Arial" w:eastAsia="Arial" w:hAnsi="Arial"/>
                <w:sz w:val="14"/>
                <w:szCs w:val="14"/>
                <w:color w:val="auto"/>
              </w:rPr>
              <w:t>Total Interest Income</w:t>
            </w: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57,948</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38,364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111,884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73,105</w:t>
            </w:r>
          </w:p>
        </w:tc>
        <w:tc>
          <w:tcPr>
            <w:tcW w:w="0" w:type="dxa"/>
            <w:vAlign w:val="bottom"/>
          </w:tcPr>
          <w:p>
            <w:pPr>
              <w:spacing w:after="0"/>
              <w:rPr>
                <w:sz w:val="1"/>
                <w:szCs w:val="1"/>
                <w:color w:val="auto"/>
              </w:rPr>
            </w:pPr>
          </w:p>
        </w:tc>
      </w:tr>
      <w:tr>
        <w:trPr>
          <w:trHeight w:val="17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Deposits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17,461</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31,221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187"/>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Other borrowings and subordinated debt and debentures</w:t>
            </w:r>
          </w:p>
        </w:tc>
        <w:tc>
          <w:tcPr>
            <w:tcW w:w="7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2,137</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0" w:type="dxa"/>
            <w:vAlign w:val="bottom"/>
          </w:tcPr>
          <w:p>
            <w:pPr>
              <w:spacing w:after="0"/>
              <w:rPr>
                <w:sz w:val="1"/>
                <w:szCs w:val="1"/>
                <w:color w:val="auto"/>
              </w:rPr>
            </w:pPr>
          </w:p>
        </w:tc>
      </w:tr>
      <w:tr>
        <w:trPr>
          <w:trHeight w:val="184"/>
        </w:trPr>
        <w:tc>
          <w:tcPr>
            <w:tcW w:w="6160" w:type="dxa"/>
            <w:vAlign w:val="bottom"/>
          </w:tcPr>
          <w:p>
            <w:pPr>
              <w:jc w:val="right"/>
              <w:ind w:right="51"/>
              <w:spacing w:after="0"/>
              <w:rPr>
                <w:sz w:val="20"/>
                <w:szCs w:val="20"/>
                <w:color w:val="auto"/>
              </w:rPr>
            </w:pPr>
            <w:r>
              <w:rPr>
                <w:rFonts w:ascii="Arial" w:cs="Arial" w:eastAsia="Arial" w:hAnsi="Arial"/>
                <w:sz w:val="14"/>
                <w:szCs w:val="14"/>
                <w:color w:val="auto"/>
              </w:rPr>
              <w:t>Total Interest Expense</w:t>
            </w: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19,598</w:t>
            </w: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2,303</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35,093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4,043</w:t>
            </w:r>
          </w:p>
        </w:tc>
        <w:tc>
          <w:tcPr>
            <w:tcW w:w="0" w:type="dxa"/>
            <w:vAlign w:val="bottom"/>
          </w:tcPr>
          <w:p>
            <w:pPr>
              <w:spacing w:after="0"/>
              <w:rPr>
                <w:sz w:val="1"/>
                <w:szCs w:val="1"/>
                <w:color w:val="auto"/>
              </w:rPr>
            </w:pPr>
          </w:p>
        </w:tc>
      </w:tr>
      <w:tr>
        <w:trPr>
          <w:trHeight w:val="192"/>
        </w:trPr>
        <w:tc>
          <w:tcPr>
            <w:tcW w:w="61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Net Interest Income</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38,350</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36,061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76,791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69,062</w:t>
            </w:r>
          </w:p>
        </w:tc>
        <w:tc>
          <w:tcPr>
            <w:tcW w:w="0" w:type="dxa"/>
            <w:vAlign w:val="bottom"/>
          </w:tcPr>
          <w:p>
            <w:pPr>
              <w:spacing w:after="0"/>
              <w:rPr>
                <w:sz w:val="1"/>
                <w:szCs w:val="1"/>
                <w:color w:val="auto"/>
              </w:rPr>
            </w:pPr>
          </w:p>
        </w:tc>
      </w:tr>
      <w:tr>
        <w:trPr>
          <w:trHeight w:val="177"/>
        </w:trPr>
        <w:tc>
          <w:tcPr>
            <w:tcW w:w="6160" w:type="dxa"/>
            <w:vAlign w:val="bottom"/>
          </w:tcPr>
          <w:p>
            <w:pPr>
              <w:ind w:left="20"/>
              <w:spacing w:after="0"/>
              <w:rPr>
                <w:sz w:val="20"/>
                <w:szCs w:val="20"/>
                <w:color w:val="auto"/>
              </w:rPr>
            </w:pPr>
            <w:r>
              <w:rPr>
                <w:rFonts w:ascii="Arial" w:cs="Arial" w:eastAsia="Arial" w:hAnsi="Arial"/>
                <w:sz w:val="14"/>
                <w:szCs w:val="14"/>
                <w:color w:val="auto"/>
              </w:rPr>
              <w:t>Provision for credit losses</w:t>
            </w: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3,317</w:t>
            </w: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2,379</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5,477</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Net Interest Income After Provision for Credit Losses</w:t>
            </w:r>
          </w:p>
        </w:tc>
        <w:tc>
          <w:tcPr>
            <w:tcW w:w="7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35,033</w:t>
            </w: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33,682</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71,314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68,256</w:t>
            </w:r>
          </w:p>
        </w:tc>
        <w:tc>
          <w:tcPr>
            <w:tcW w:w="0" w:type="dxa"/>
            <w:vAlign w:val="bottom"/>
          </w:tcPr>
          <w:p>
            <w:pPr>
              <w:spacing w:after="0"/>
              <w:rPr>
                <w:sz w:val="1"/>
                <w:szCs w:val="1"/>
                <w:color w:val="auto"/>
              </w:rPr>
            </w:pPr>
          </w:p>
        </w:tc>
      </w:tr>
      <w:tr>
        <w:trPr>
          <w:trHeight w:val="164"/>
        </w:trPr>
        <w:tc>
          <w:tcPr>
            <w:tcW w:w="6160" w:type="dxa"/>
            <w:vAlign w:val="bottom"/>
          </w:tcPr>
          <w:p>
            <w:pPr>
              <w:ind w:left="20"/>
              <w:spacing w:after="0" w:line="155" w:lineRule="exact"/>
              <w:rPr>
                <w:sz w:val="20"/>
                <w:szCs w:val="20"/>
                <w:color w:val="auto"/>
              </w:rPr>
            </w:pPr>
            <w:r>
              <w:rPr>
                <w:rFonts w:ascii="Arial" w:cs="Arial" w:eastAsia="Arial" w:hAnsi="Arial"/>
                <w:sz w:val="14"/>
                <w:szCs w:val="14"/>
                <w:color w:val="auto"/>
              </w:rPr>
              <w:t>Non-interest Income</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Interchange income</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6,504</w:t>
            </w:r>
          </w:p>
        </w:tc>
        <w:tc>
          <w:tcPr>
            <w:tcW w:w="0" w:type="dxa"/>
            <w:vAlign w:val="bottom"/>
          </w:tcPr>
          <w:p>
            <w:pPr>
              <w:spacing w:after="0"/>
              <w:rPr>
                <w:sz w:val="1"/>
                <w:szCs w:val="1"/>
                <w:color w:val="auto"/>
              </w:rPr>
            </w:pPr>
          </w:p>
        </w:tc>
      </w:tr>
      <w:tr>
        <w:trPr>
          <w:trHeight w:val="177"/>
        </w:trPr>
        <w:tc>
          <w:tcPr>
            <w:tcW w:w="6160" w:type="dxa"/>
            <w:vAlign w:val="bottom"/>
          </w:tcPr>
          <w:p>
            <w:pPr>
              <w:ind w:left="280"/>
              <w:spacing w:after="0"/>
              <w:rPr>
                <w:sz w:val="20"/>
                <w:szCs w:val="20"/>
                <w:color w:val="auto"/>
              </w:rPr>
            </w:pPr>
            <w:r>
              <w:rPr>
                <w:rFonts w:ascii="Arial" w:cs="Arial" w:eastAsia="Arial" w:hAnsi="Arial"/>
                <w:sz w:val="14"/>
                <w:szCs w:val="14"/>
                <w:color w:val="auto"/>
              </w:rPr>
              <w:t>Service charges on deposit accounts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3,134</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3,096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5,991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6,053</w:t>
            </w: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gains (losses) on assets</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160" w:type="dxa"/>
            <w:vAlign w:val="bottom"/>
          </w:tcPr>
          <w:p>
            <w:pPr>
              <w:ind w:left="540"/>
              <w:spacing w:after="0"/>
              <w:rPr>
                <w:sz w:val="20"/>
                <w:szCs w:val="20"/>
                <w:color w:val="auto"/>
              </w:rPr>
            </w:pPr>
            <w:r>
              <w:rPr>
                <w:rFonts w:ascii="Arial" w:cs="Arial" w:eastAsia="Arial" w:hAnsi="Arial"/>
                <w:sz w:val="14"/>
                <w:szCs w:val="14"/>
                <w:color w:val="auto"/>
              </w:rPr>
              <w:t>Mortgage loans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2,120</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1,253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3,376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2,088</w:t>
            </w:r>
          </w:p>
        </w:tc>
        <w:tc>
          <w:tcPr>
            <w:tcW w:w="0" w:type="dxa"/>
            <w:vAlign w:val="bottom"/>
          </w:tcPr>
          <w:p>
            <w:pPr>
              <w:spacing w:after="0"/>
              <w:rPr>
                <w:sz w:val="1"/>
                <w:szCs w:val="1"/>
                <w:color w:val="auto"/>
              </w:rPr>
            </w:pPr>
          </w:p>
        </w:tc>
      </w:tr>
      <w:tr>
        <w:trPr>
          <w:trHeight w:val="190"/>
        </w:trPr>
        <w:tc>
          <w:tcPr>
            <w:tcW w:w="61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Securities available for sale</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Mortgage loan servicing, net</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3,674</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4,162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13,803</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7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3,134</w:t>
            </w:r>
          </w:p>
        </w:tc>
        <w:tc>
          <w:tcPr>
            <w:tcW w:w="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3,044</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5,407</w:t>
            </w:r>
          </w:p>
        </w:tc>
        <w:tc>
          <w:tcPr>
            <w:tcW w:w="0" w:type="dxa"/>
            <w:vAlign w:val="bottom"/>
          </w:tcPr>
          <w:p>
            <w:pPr>
              <w:spacing w:after="0"/>
              <w:rPr>
                <w:sz w:val="1"/>
                <w:szCs w:val="1"/>
                <w:color w:val="auto"/>
              </w:rPr>
            </w:pPr>
          </w:p>
        </w:tc>
      </w:tr>
      <w:tr>
        <w:trPr>
          <w:trHeight w:val="170"/>
        </w:trPr>
        <w:tc>
          <w:tcPr>
            <w:tcW w:w="6160" w:type="dxa"/>
            <w:vAlign w:val="bottom"/>
          </w:tcPr>
          <w:p>
            <w:pPr>
              <w:jc w:val="right"/>
              <w:ind w:right="51"/>
              <w:spacing w:after="0"/>
              <w:rPr>
                <w:sz w:val="20"/>
                <w:szCs w:val="20"/>
                <w:color w:val="auto"/>
              </w:rPr>
            </w:pPr>
            <w:r>
              <w:rPr>
                <w:rFonts w:ascii="Arial" w:cs="Arial" w:eastAsia="Arial" w:hAnsi="Arial"/>
                <w:sz w:val="14"/>
                <w:szCs w:val="14"/>
                <w:color w:val="auto"/>
              </w:rPr>
              <w:t>Total Non-interest Income</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15,417</w:t>
            </w: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14,632</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25,968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33,580</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Non-interest Expense</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160" w:type="dxa"/>
            <w:vAlign w:val="bottom"/>
          </w:tcPr>
          <w:p>
            <w:pPr>
              <w:ind w:left="280"/>
              <w:spacing w:after="0"/>
              <w:rPr>
                <w:sz w:val="20"/>
                <w:szCs w:val="20"/>
                <w:color w:val="auto"/>
              </w:rPr>
            </w:pPr>
            <w:r>
              <w:rPr>
                <w:rFonts w:ascii="Arial" w:cs="Arial" w:eastAsia="Arial" w:hAnsi="Arial"/>
                <w:sz w:val="14"/>
                <w:szCs w:val="14"/>
                <w:color w:val="auto"/>
              </w:rPr>
              <w:t>Compensation and employee benefits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88"/>
              </w:rPr>
              <w:t>20,602</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w w:val="83"/>
              </w:rPr>
              <w:t>19,882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39,941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40,012</w:t>
            </w: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Data processing</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4,860</w:t>
            </w: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Occupancy, net</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1,845</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2,077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4,004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4,620</w:t>
            </w:r>
          </w:p>
        </w:tc>
        <w:tc>
          <w:tcPr>
            <w:tcW w:w="0" w:type="dxa"/>
            <w:vAlign w:val="bottom"/>
          </w:tcPr>
          <w:p>
            <w:pPr>
              <w:spacing w:after="0"/>
              <w:rPr>
                <w:sz w:val="1"/>
                <w:szCs w:val="1"/>
                <w:color w:val="auto"/>
              </w:rPr>
            </w:pPr>
          </w:p>
        </w:tc>
      </w:tr>
      <w:tr>
        <w:trPr>
          <w:trHeight w:val="190"/>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Interchange expense</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2,273</w:t>
            </w: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Furniture, fixtures and equipment</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929</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1,042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1,855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2,087</w:t>
            </w:r>
          </w:p>
        </w:tc>
        <w:tc>
          <w:tcPr>
            <w:tcW w:w="0" w:type="dxa"/>
            <w:vAlign w:val="bottom"/>
          </w:tcPr>
          <w:p>
            <w:pPr>
              <w:spacing w:after="0"/>
              <w:rPr>
                <w:sz w:val="1"/>
                <w:szCs w:val="1"/>
                <w:color w:val="auto"/>
              </w:rPr>
            </w:pPr>
          </w:p>
        </w:tc>
      </w:tr>
      <w:tr>
        <w:trPr>
          <w:trHeight w:val="190"/>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FDIC deposit insurance</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0" w:type="dxa"/>
            <w:vAlign w:val="bottom"/>
          </w:tcPr>
          <w:p>
            <w:pPr>
              <w:spacing w:after="0"/>
              <w:rPr>
                <w:sz w:val="1"/>
                <w:szCs w:val="1"/>
                <w:color w:val="auto"/>
              </w:rPr>
            </w:pPr>
          </w:p>
        </w:tc>
      </w:tr>
      <w:tr>
        <w:trPr>
          <w:trHeight w:val="184"/>
        </w:trPr>
        <w:tc>
          <w:tcPr>
            <w:tcW w:w="6160" w:type="dxa"/>
            <w:vAlign w:val="bottom"/>
          </w:tcPr>
          <w:p>
            <w:pPr>
              <w:ind w:left="280"/>
              <w:spacing w:after="0"/>
              <w:rPr>
                <w:sz w:val="20"/>
                <w:szCs w:val="20"/>
                <w:color w:val="auto"/>
              </w:rPr>
            </w:pPr>
            <w:r>
              <w:rPr>
                <w:rFonts w:ascii="Arial" w:cs="Arial" w:eastAsia="Arial" w:hAnsi="Arial"/>
                <w:sz w:val="14"/>
                <w:szCs w:val="14"/>
                <w:color w:val="auto"/>
              </w:rPr>
              <w:t>Communications</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635</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762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1,519</w:t>
            </w:r>
          </w:p>
        </w:tc>
        <w:tc>
          <w:tcPr>
            <w:tcW w:w="0" w:type="dxa"/>
            <w:vAlign w:val="bottom"/>
          </w:tcPr>
          <w:p>
            <w:pPr>
              <w:spacing w:after="0"/>
              <w:rPr>
                <w:sz w:val="1"/>
                <w:szCs w:val="1"/>
                <w:color w:val="auto"/>
              </w:rPr>
            </w:pPr>
          </w:p>
        </w:tc>
      </w:tr>
      <w:tr>
        <w:trPr>
          <w:trHeight w:val="20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 and collection</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w:t>
            </w:r>
          </w:p>
        </w:tc>
        <w:tc>
          <w:tcPr>
            <w:tcW w:w="0" w:type="dxa"/>
            <w:vAlign w:val="bottom"/>
          </w:tcPr>
          <w:p>
            <w:pPr>
              <w:spacing w:after="0"/>
              <w:rPr>
                <w:sz w:val="1"/>
                <w:szCs w:val="1"/>
                <w:color w:val="auto"/>
              </w:rPr>
            </w:pPr>
          </w:p>
        </w:tc>
      </w:tr>
      <w:tr>
        <w:trPr>
          <w:trHeight w:val="177"/>
        </w:trPr>
        <w:tc>
          <w:tcPr>
            <w:tcW w:w="6160" w:type="dxa"/>
            <w:vAlign w:val="bottom"/>
          </w:tcPr>
          <w:p>
            <w:pPr>
              <w:ind w:left="280"/>
              <w:spacing w:after="0"/>
              <w:rPr>
                <w:sz w:val="20"/>
                <w:szCs w:val="20"/>
                <w:color w:val="auto"/>
              </w:rPr>
            </w:pPr>
            <w:r>
              <w:rPr>
                <w:rFonts w:ascii="Arial" w:cs="Arial" w:eastAsia="Arial" w:hAnsi="Arial"/>
                <w:sz w:val="14"/>
                <w:szCs w:val="14"/>
                <w:color w:val="auto"/>
              </w:rPr>
              <w:t>Legal and professional</w:t>
            </w:r>
          </w:p>
        </w:tc>
        <w:tc>
          <w:tcPr>
            <w:tcW w:w="7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479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Advertising</w:t>
            </w: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195"/>
        </w:trPr>
        <w:tc>
          <w:tcPr>
            <w:tcW w:w="6160" w:type="dxa"/>
            <w:vAlign w:val="bottom"/>
          </w:tcPr>
          <w:p>
            <w:pPr>
              <w:ind w:left="280"/>
              <w:spacing w:after="0"/>
              <w:rPr>
                <w:sz w:val="20"/>
                <w:szCs w:val="20"/>
                <w:color w:val="auto"/>
              </w:rPr>
            </w:pPr>
            <w:r>
              <w:rPr>
                <w:rFonts w:ascii="Arial" w:cs="Arial" w:eastAsia="Arial" w:hAnsi="Arial"/>
                <w:sz w:val="14"/>
                <w:szCs w:val="14"/>
                <w:color w:val="auto"/>
              </w:rPr>
              <w:t>Costs (recoveries) related to unfunded lending commitments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649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4"/>
        </w:trPr>
        <w:tc>
          <w:tcPr>
            <w:tcW w:w="6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6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7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1,919</w:t>
            </w:r>
          </w:p>
        </w:tc>
        <w:tc>
          <w:tcPr>
            <w:tcW w:w="8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3,822</w:t>
            </w:r>
          </w:p>
        </w:tc>
        <w:tc>
          <w:tcPr>
            <w:tcW w:w="0" w:type="dxa"/>
            <w:vAlign w:val="bottom"/>
          </w:tcPr>
          <w:p>
            <w:pPr>
              <w:spacing w:after="0"/>
              <w:rPr>
                <w:sz w:val="1"/>
                <w:szCs w:val="1"/>
                <w:color w:val="auto"/>
              </w:rPr>
            </w:pPr>
          </w:p>
        </w:tc>
      </w:tr>
      <w:tr>
        <w:trPr>
          <w:trHeight w:val="170"/>
        </w:trPr>
        <w:tc>
          <w:tcPr>
            <w:tcW w:w="6160" w:type="dxa"/>
            <w:vAlign w:val="bottom"/>
          </w:tcPr>
          <w:p>
            <w:pPr>
              <w:jc w:val="right"/>
              <w:ind w:right="51"/>
              <w:spacing w:after="0"/>
              <w:rPr>
                <w:sz w:val="20"/>
                <w:szCs w:val="20"/>
                <w:color w:val="auto"/>
              </w:rPr>
            </w:pPr>
            <w:r>
              <w:rPr>
                <w:rFonts w:ascii="Arial" w:cs="Arial" w:eastAsia="Arial" w:hAnsi="Arial"/>
                <w:sz w:val="14"/>
                <w:szCs w:val="14"/>
                <w:color w:val="auto"/>
              </w:rPr>
              <w:t>Total Non-interest Expense</w:t>
            </w: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32,248</w:t>
            </w:r>
          </w:p>
        </w:tc>
        <w:tc>
          <w:tcPr>
            <w:tcW w:w="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32,434</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63,205</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63,884</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Income Before Income Tax</w:t>
            </w: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18,202</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15,880</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37,952</w:t>
            </w:r>
          </w:p>
        </w:tc>
        <w:tc>
          <w:tcPr>
            <w:tcW w:w="0" w:type="dxa"/>
            <w:vAlign w:val="bottom"/>
          </w:tcPr>
          <w:p>
            <w:pPr>
              <w:spacing w:after="0"/>
              <w:rPr>
                <w:sz w:val="1"/>
                <w:szCs w:val="1"/>
                <w:color w:val="auto"/>
              </w:rPr>
            </w:pPr>
          </w:p>
        </w:tc>
      </w:tr>
      <w:tr>
        <w:trPr>
          <w:trHeight w:val="186"/>
        </w:trPr>
        <w:tc>
          <w:tcPr>
            <w:tcW w:w="61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Income tax expense</w:t>
            </w: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3,412</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2,879</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6,984</w:t>
            </w:r>
          </w:p>
        </w:tc>
        <w:tc>
          <w:tcPr>
            <w:tcW w:w="0" w:type="dxa"/>
            <w:vAlign w:val="bottom"/>
          </w:tcPr>
          <w:p>
            <w:pPr>
              <w:spacing w:after="0"/>
              <w:rPr>
                <w:sz w:val="1"/>
                <w:szCs w:val="1"/>
                <w:color w:val="auto"/>
              </w:rPr>
            </w:pPr>
          </w:p>
        </w:tc>
      </w:tr>
      <w:tr>
        <w:trPr>
          <w:trHeight w:val="205"/>
        </w:trPr>
        <w:tc>
          <w:tcPr>
            <w:tcW w:w="6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Net Income</w:t>
            </w:r>
          </w:p>
        </w:tc>
        <w:tc>
          <w:tcPr>
            <w:tcW w:w="74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14,790</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13,001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27,781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30,968</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Income Per Common Share</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1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740" w:type="dxa"/>
            <w:vAlign w:val="bottom"/>
            <w:tcBorders>
              <w:bottom w:val="single" w:sz="8" w:color="auto"/>
            </w:tcBorders>
            <w:shd w:val="clear" w:color="auto" w:fill="CCEEFF"/>
          </w:tcPr>
          <w:p>
            <w:pPr>
              <w:jc w:val="right"/>
              <w:ind w:right="59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0.70</w:t>
            </w: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160" w:type="dxa"/>
            <w:vAlign w:val="bottom"/>
          </w:tcPr>
          <w:p>
            <w:pPr>
              <w:ind w:left="280"/>
              <w:spacing w:after="0"/>
              <w:rPr>
                <w:sz w:val="20"/>
                <w:szCs w:val="20"/>
                <w:color w:val="auto"/>
              </w:rPr>
            </w:pPr>
            <w:r>
              <w:rPr>
                <w:rFonts w:ascii="Arial" w:cs="Arial" w:eastAsia="Arial" w:hAnsi="Arial"/>
                <w:sz w:val="14"/>
                <w:szCs w:val="14"/>
                <w:color w:val="auto"/>
              </w:rPr>
              <w:t>Diluted</w:t>
            </w:r>
          </w:p>
        </w:tc>
        <w:tc>
          <w:tcPr>
            <w:tcW w:w="74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0.70</w:t>
            </w: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0.61</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Condensed Consolidated Statements of Comprehensive Income (Loss)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4"/>
          </w:tcPr>
          <w:p>
            <w:pPr>
              <w:jc w:val="right"/>
              <w:ind w:right="474"/>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4"/>
          </w:tcPr>
          <w:p>
            <w:pPr>
              <w:jc w:val="right"/>
              <w:ind w:right="554"/>
              <w:spacing w:after="0"/>
              <w:rPr>
                <w:sz w:val="20"/>
                <w:szCs w:val="20"/>
                <w:color w:val="auto"/>
              </w:rPr>
            </w:pPr>
            <w:r>
              <w:rPr>
                <w:rFonts w:ascii="Arial" w:cs="Arial" w:eastAsia="Arial" w:hAnsi="Arial"/>
                <w:sz w:val="17"/>
                <w:szCs w:val="17"/>
                <w:color w:val="auto"/>
              </w:rPr>
              <w:t>Six months ended</w:t>
            </w:r>
          </w:p>
        </w:tc>
      </w:tr>
      <w:tr>
        <w:trPr>
          <w:trHeight w:val="217"/>
        </w:trPr>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7"/>
                <w:szCs w:val="17"/>
                <w:color w:val="auto"/>
              </w:rPr>
              <w:t>June 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7"/>
                <w:szCs w:val="17"/>
                <w:color w:val="auto"/>
              </w:rPr>
              <w:t>June 30,</w:t>
            </w:r>
          </w:p>
        </w:tc>
        <w:tc>
          <w:tcPr>
            <w:tcW w:w="880" w:type="dxa"/>
            <w:vAlign w:val="bottom"/>
          </w:tcPr>
          <w:p>
            <w:pPr>
              <w:spacing w:after="0"/>
              <w:rPr>
                <w:sz w:val="18"/>
                <w:szCs w:val="18"/>
                <w:color w:val="auto"/>
              </w:rPr>
            </w:pPr>
          </w:p>
        </w:tc>
      </w:tr>
      <w:tr>
        <w:trPr>
          <w:trHeight w:val="246"/>
        </w:trPr>
        <w:tc>
          <w:tcPr>
            <w:tcW w:w="6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2022</w:t>
            </w:r>
          </w:p>
        </w:tc>
      </w:tr>
      <w:tr>
        <w:trPr>
          <w:trHeight w:val="211"/>
        </w:trPr>
        <w:tc>
          <w:tcPr>
            <w:tcW w:w="6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gridSpan w:val="4"/>
          </w:tcPr>
          <w:p>
            <w:pPr>
              <w:jc w:val="right"/>
              <w:ind w:right="234"/>
              <w:spacing w:after="0"/>
              <w:rPr>
                <w:sz w:val="20"/>
                <w:szCs w:val="20"/>
                <w:color w:val="auto"/>
              </w:rPr>
            </w:pPr>
            <w:r>
              <w:rPr>
                <w:rFonts w:ascii="Arial" w:cs="Arial" w:eastAsia="Arial" w:hAnsi="Arial"/>
                <w:sz w:val="17"/>
                <w:szCs w:val="17"/>
                <w:color w:val="auto"/>
                <w:w w:val="93"/>
              </w:rPr>
              <w:t>(Unaudited - In thousands)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9"/>
        </w:trPr>
        <w:tc>
          <w:tcPr>
            <w:tcW w:w="6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2"/>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30,968</w:t>
            </w:r>
          </w:p>
        </w:tc>
      </w:tr>
      <w:tr>
        <w:trPr>
          <w:trHeight w:val="218"/>
        </w:trPr>
        <w:tc>
          <w:tcPr>
            <w:tcW w:w="610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0"/>
        </w:trPr>
        <w:tc>
          <w:tcPr>
            <w:tcW w:w="6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Securities available for sale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6100" w:type="dxa"/>
            <w:vAlign w:val="bottom"/>
          </w:tcPr>
          <w:p>
            <w:pPr>
              <w:ind w:left="320"/>
              <w:spacing w:after="0"/>
              <w:rPr>
                <w:sz w:val="20"/>
                <w:szCs w:val="20"/>
                <w:color w:val="auto"/>
              </w:rPr>
            </w:pPr>
            <w:r>
              <w:rPr>
                <w:rFonts w:ascii="Arial" w:cs="Arial" w:eastAsia="Arial" w:hAnsi="Arial"/>
                <w:sz w:val="17"/>
                <w:szCs w:val="17"/>
                <w:color w:val="auto"/>
              </w:rPr>
              <w:t>Unrealized gains (losses) arising during period</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(13,916)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13,763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(83,358)</w:t>
            </w:r>
          </w:p>
        </w:tc>
      </w:tr>
      <w:tr>
        <w:trPr>
          <w:trHeight w:val="227"/>
        </w:trPr>
        <w:tc>
          <w:tcPr>
            <w:tcW w:w="610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5"/>
              </w:rPr>
              <w:t>Net unrealized loss at time of transfer on securities available for sale transferred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4"/>
        </w:trPr>
        <w:tc>
          <w:tcPr>
            <w:tcW w:w="6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 held to maturity</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(26,479)</w:t>
            </w:r>
          </w:p>
        </w:tc>
      </w:tr>
      <w:tr>
        <w:trPr>
          <w:trHeight w:val="251"/>
        </w:trPr>
        <w:tc>
          <w:tcPr>
            <w:tcW w:w="6100" w:type="dxa"/>
            <w:vAlign w:val="bottom"/>
          </w:tcPr>
          <w:p>
            <w:pPr>
              <w:ind w:left="320"/>
              <w:spacing w:after="0"/>
              <w:rPr>
                <w:sz w:val="20"/>
                <w:szCs w:val="20"/>
                <w:color w:val="auto"/>
              </w:rPr>
            </w:pPr>
            <w:r>
              <w:rPr>
                <w:rFonts w:ascii="Arial" w:cs="Arial" w:eastAsia="Arial" w:hAnsi="Arial"/>
                <w:sz w:val="17"/>
                <w:szCs w:val="17"/>
                <w:color w:val="auto"/>
                <w:w w:val="99"/>
              </w:rPr>
              <w:t>Accretion of net unrealized losses on securities transferred to held to maturity</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936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1,328</w:t>
            </w:r>
          </w:p>
        </w:tc>
      </w:tr>
      <w:tr>
        <w:trPr>
          <w:trHeight w:val="251"/>
        </w:trPr>
        <w:tc>
          <w:tcPr>
            <w:tcW w:w="6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Reclassification adjustments for (gains) losses included in earnings</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w:t>
            </w:r>
          </w:p>
        </w:tc>
      </w:tr>
      <w:tr>
        <w:trPr>
          <w:trHeight w:val="213"/>
        </w:trPr>
        <w:tc>
          <w:tcPr>
            <w:tcW w:w="6100" w:type="dxa"/>
            <w:vAlign w:val="bottom"/>
          </w:tcPr>
          <w:p>
            <w:pPr>
              <w:ind w:left="320"/>
              <w:spacing w:after="0"/>
              <w:rPr>
                <w:sz w:val="20"/>
                <w:szCs w:val="20"/>
                <w:color w:val="auto"/>
              </w:rPr>
            </w:pPr>
            <w:r>
              <w:rPr>
                <w:rFonts w:ascii="Arial" w:cs="Arial" w:eastAsia="Arial" w:hAnsi="Arial"/>
                <w:sz w:val="17"/>
                <w:szCs w:val="17"/>
                <w:color w:val="auto"/>
                <w:w w:val="97"/>
              </w:rPr>
              <w:t>Unrealized gains (losses) recognized in other comprehensive income (loss) on</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6100" w:type="dxa"/>
            <w:vAlign w:val="bottom"/>
          </w:tcPr>
          <w:p>
            <w:pPr>
              <w:ind w:left="480"/>
              <w:spacing w:after="0"/>
              <w:rPr>
                <w:sz w:val="20"/>
                <w:szCs w:val="20"/>
                <w:color w:val="auto"/>
              </w:rPr>
            </w:pPr>
            <w:r>
              <w:rPr>
                <w:rFonts w:ascii="Arial" w:cs="Arial" w:eastAsia="Arial" w:hAnsi="Arial"/>
                <w:sz w:val="17"/>
                <w:szCs w:val="17"/>
                <w:color w:val="auto"/>
              </w:rPr>
              <w:t>securities available for sale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(38,722)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15,771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(108,234)</w:t>
            </w:r>
          </w:p>
        </w:tc>
      </w:tr>
      <w:tr>
        <w:trPr>
          <w:trHeight w:val="226"/>
        </w:trPr>
        <w:tc>
          <w:tcPr>
            <w:tcW w:w="6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(22,730)</w:t>
            </w:r>
          </w:p>
        </w:tc>
      </w:tr>
      <w:tr>
        <w:trPr>
          <w:trHeight w:val="200"/>
        </w:trPr>
        <w:tc>
          <w:tcPr>
            <w:tcW w:w="6100" w:type="dxa"/>
            <w:vAlign w:val="bottom"/>
          </w:tcPr>
          <w:p>
            <w:pPr>
              <w:ind w:left="320"/>
              <w:spacing w:after="0"/>
              <w:rPr>
                <w:sz w:val="20"/>
                <w:szCs w:val="20"/>
                <w:color w:val="auto"/>
              </w:rPr>
            </w:pPr>
            <w:r>
              <w:rPr>
                <w:rFonts w:ascii="Arial" w:cs="Arial" w:eastAsia="Arial" w:hAnsi="Arial"/>
                <w:sz w:val="17"/>
                <w:szCs w:val="17"/>
                <w:color w:val="auto"/>
                <w:w w:val="97"/>
              </w:rPr>
              <w:t>Unrealized gains (losses) recognized in other comprehensive income (loss) on</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4"/>
        </w:trPr>
        <w:tc>
          <w:tcPr>
            <w:tcW w:w="610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securities available for sale, net of tax</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(30,589)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12,459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(85,504)</w:t>
            </w:r>
          </w:p>
        </w:tc>
      </w:tr>
      <w:tr>
        <w:trPr>
          <w:trHeight w:val="213"/>
        </w:trPr>
        <w:tc>
          <w:tcPr>
            <w:tcW w:w="6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Derivative instruments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51"/>
        </w:trPr>
        <w:tc>
          <w:tcPr>
            <w:tcW w:w="6100" w:type="dxa"/>
            <w:vAlign w:val="bottom"/>
          </w:tcPr>
          <w:p>
            <w:pPr>
              <w:ind w:left="320"/>
              <w:spacing w:after="0"/>
              <w:rPr>
                <w:sz w:val="20"/>
                <w:szCs w:val="20"/>
                <w:color w:val="auto"/>
              </w:rPr>
            </w:pPr>
            <w:r>
              <w:rPr>
                <w:rFonts w:ascii="Arial" w:cs="Arial" w:eastAsia="Arial" w:hAnsi="Arial"/>
                <w:sz w:val="17"/>
                <w:szCs w:val="17"/>
                <w:color w:val="auto"/>
              </w:rPr>
              <w:t>Unrealized gains (losses) arising during period</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1"/>
        </w:trPr>
        <w:tc>
          <w:tcPr>
            <w:tcW w:w="6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Reclassification adjustment for expense recognized in earnings</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100" w:type="dxa"/>
            <w:vAlign w:val="bottom"/>
          </w:tcPr>
          <w:p>
            <w:pPr>
              <w:ind w:left="320"/>
              <w:spacing w:after="0"/>
              <w:rPr>
                <w:sz w:val="20"/>
                <w:szCs w:val="20"/>
                <w:color w:val="auto"/>
              </w:rPr>
            </w:pPr>
            <w:r>
              <w:rPr>
                <w:rFonts w:ascii="Arial" w:cs="Arial" w:eastAsia="Arial" w:hAnsi="Arial"/>
                <w:sz w:val="17"/>
                <w:szCs w:val="17"/>
                <w:color w:val="auto"/>
                <w:w w:val="97"/>
              </w:rPr>
              <w:t>Unrealized gains (losses) recognized in other comprehensive income (loss) on</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7"/>
        </w:trPr>
        <w:tc>
          <w:tcPr>
            <w:tcW w:w="6100" w:type="dxa"/>
            <w:vAlign w:val="bottom"/>
          </w:tcPr>
          <w:p>
            <w:pPr>
              <w:ind w:left="480"/>
              <w:spacing w:after="0"/>
              <w:rPr>
                <w:sz w:val="20"/>
                <w:szCs w:val="20"/>
                <w:color w:val="auto"/>
              </w:rPr>
            </w:pPr>
            <w:r>
              <w:rPr>
                <w:rFonts w:ascii="Arial" w:cs="Arial" w:eastAsia="Arial" w:hAnsi="Arial"/>
                <w:sz w:val="17"/>
                <w:szCs w:val="17"/>
                <w:color w:val="auto"/>
              </w:rPr>
              <w:t>derivative instruments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1"/>
        </w:trPr>
        <w:tc>
          <w:tcPr>
            <w:tcW w:w="6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Income tax benefit</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100" w:type="dxa"/>
            <w:vAlign w:val="bottom"/>
          </w:tcPr>
          <w:p>
            <w:pPr>
              <w:ind w:left="320"/>
              <w:spacing w:after="0"/>
              <w:rPr>
                <w:sz w:val="20"/>
                <w:szCs w:val="20"/>
                <w:color w:val="auto"/>
              </w:rPr>
            </w:pPr>
            <w:r>
              <w:rPr>
                <w:rFonts w:ascii="Arial" w:cs="Arial" w:eastAsia="Arial" w:hAnsi="Arial"/>
                <w:sz w:val="17"/>
                <w:szCs w:val="17"/>
                <w:color w:val="auto"/>
                <w:w w:val="97"/>
              </w:rPr>
              <w:t>Unrealized gains (losses) recognized in other comprehensive income (loss) on</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1"/>
        </w:trPr>
        <w:tc>
          <w:tcPr>
            <w:tcW w:w="6100" w:type="dxa"/>
            <w:vAlign w:val="bottom"/>
          </w:tcPr>
          <w:p>
            <w:pPr>
              <w:ind w:left="480"/>
              <w:spacing w:after="0"/>
              <w:rPr>
                <w:sz w:val="20"/>
                <w:szCs w:val="20"/>
                <w:color w:val="auto"/>
              </w:rPr>
            </w:pPr>
            <w:r>
              <w:rPr>
                <w:rFonts w:ascii="Arial" w:cs="Arial" w:eastAsia="Arial" w:hAnsi="Arial"/>
                <w:sz w:val="17"/>
                <w:szCs w:val="17"/>
                <w:color w:val="auto"/>
              </w:rPr>
              <w:t>derivative instruments, net of tax</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income (loss)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(85,504)</w:t>
            </w:r>
          </w:p>
        </w:tc>
      </w:tr>
      <w:tr>
        <w:trPr>
          <w:trHeight w:val="213"/>
        </w:trPr>
        <w:tc>
          <w:tcPr>
            <w:tcW w:w="610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15,091</w:t>
            </w:r>
          </w:p>
        </w:tc>
        <w:tc>
          <w:tcPr>
            <w:tcW w:w="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(17,588)</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40,034</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(54,536)</w:t>
            </w:r>
          </w:p>
        </w:tc>
      </w:tr>
      <w:tr>
        <w:trPr>
          <w:trHeight w:val="20"/>
        </w:trPr>
        <w:tc>
          <w:tcPr>
            <w:tcW w:w="6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Condensed 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80" w:type="dxa"/>
            <w:vAlign w:val="bottom"/>
          </w:tcPr>
          <w:p>
            <w:pPr>
              <w:spacing w:after="0"/>
              <w:rPr>
                <w:sz w:val="15"/>
                <w:szCs w:val="15"/>
                <w:color w:val="auto"/>
              </w:rPr>
            </w:pPr>
          </w:p>
        </w:tc>
        <w:tc>
          <w:tcPr>
            <w:tcW w:w="2480" w:type="dxa"/>
            <w:vAlign w:val="bottom"/>
            <w:tcBorders>
              <w:bottom w:val="single" w:sz="8" w:color="auto"/>
            </w:tcBorders>
            <w:gridSpan w:val="4"/>
          </w:tcPr>
          <w:p>
            <w:pPr>
              <w:jc w:val="right"/>
              <w:ind w:right="151"/>
              <w:spacing w:after="0"/>
              <w:rPr>
                <w:sz w:val="20"/>
                <w:szCs w:val="20"/>
                <w:color w:val="auto"/>
              </w:rPr>
            </w:pPr>
            <w:r>
              <w:rPr>
                <w:rFonts w:ascii="Arial" w:cs="Arial" w:eastAsia="Arial" w:hAnsi="Arial"/>
                <w:sz w:val="14"/>
                <w:szCs w:val="14"/>
                <w:color w:val="auto"/>
              </w:rPr>
              <w:t>Six months ended June 30,</w:t>
            </w:r>
          </w:p>
        </w:tc>
        <w:tc>
          <w:tcPr>
            <w:tcW w:w="580" w:type="dxa"/>
            <w:vAlign w:val="bottom"/>
            <w:tcBorders>
              <w:bottom w:val="single" w:sz="8" w:color="auto"/>
            </w:tcBorders>
          </w:tcPr>
          <w:p>
            <w:pPr>
              <w:spacing w:after="0"/>
              <w:rPr>
                <w:sz w:val="15"/>
                <w:szCs w:val="15"/>
                <w:color w:val="auto"/>
              </w:rPr>
            </w:pPr>
          </w:p>
        </w:tc>
      </w:tr>
      <w:tr>
        <w:trPr>
          <w:trHeight w:val="185"/>
        </w:trPr>
        <w:tc>
          <w:tcPr>
            <w:tcW w:w="81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2022</w:t>
            </w:r>
          </w:p>
        </w:tc>
        <w:tc>
          <w:tcPr>
            <w:tcW w:w="580" w:type="dxa"/>
            <w:vAlign w:val="bottom"/>
            <w:tcBorders>
              <w:bottom w:val="single" w:sz="8" w:color="auto"/>
            </w:tcBorders>
          </w:tcPr>
          <w:p>
            <w:pPr>
              <w:spacing w:after="0"/>
              <w:rPr>
                <w:sz w:val="16"/>
                <w:szCs w:val="16"/>
                <w:color w:val="auto"/>
              </w:rPr>
            </w:pPr>
          </w:p>
        </w:tc>
      </w:tr>
      <w:tr>
        <w:trPr>
          <w:trHeight w:val="184"/>
        </w:trPr>
        <w:tc>
          <w:tcPr>
            <w:tcW w:w="8180" w:type="dxa"/>
            <w:vAlign w:val="bottom"/>
          </w:tcPr>
          <w:p>
            <w:pPr>
              <w:spacing w:after="0"/>
              <w:rPr>
                <w:sz w:val="15"/>
                <w:szCs w:val="15"/>
                <w:color w:val="auto"/>
              </w:rPr>
            </w:pPr>
          </w:p>
        </w:tc>
        <w:tc>
          <w:tcPr>
            <w:tcW w:w="2480" w:type="dxa"/>
            <w:vAlign w:val="bottom"/>
            <w:gridSpan w:val="4"/>
          </w:tcPr>
          <w:p>
            <w:pPr>
              <w:jc w:val="right"/>
              <w:ind w:right="151"/>
              <w:spacing w:after="0"/>
              <w:rPr>
                <w:sz w:val="20"/>
                <w:szCs w:val="20"/>
                <w:color w:val="auto"/>
              </w:rPr>
            </w:pPr>
            <w:r>
              <w:rPr>
                <w:rFonts w:ascii="Arial" w:cs="Arial" w:eastAsia="Arial" w:hAnsi="Arial"/>
                <w:sz w:val="14"/>
                <w:szCs w:val="14"/>
                <w:color w:val="auto"/>
              </w:rPr>
              <w:t>(Unaudited - In thousands)</w:t>
            </w:r>
          </w:p>
        </w:tc>
        <w:tc>
          <w:tcPr>
            <w:tcW w:w="580" w:type="dxa"/>
            <w:vAlign w:val="bottom"/>
          </w:tcPr>
          <w:p>
            <w:pPr>
              <w:spacing w:after="0"/>
              <w:rPr>
                <w:sz w:val="15"/>
                <w:szCs w:val="15"/>
                <w:color w:val="auto"/>
              </w:rPr>
            </w:pPr>
          </w:p>
        </w:tc>
      </w:tr>
      <w:tr>
        <w:trPr>
          <w:trHeight w:val="187"/>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00" w:type="dxa"/>
            <w:vAlign w:val="bottom"/>
            <w:shd w:val="clear" w:color="auto" w:fill="CCEEFF"/>
          </w:tcPr>
          <w:p>
            <w:pPr>
              <w:jc w:val="right"/>
              <w:ind w:right="751"/>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27,781</w:t>
            </w:r>
          </w:p>
        </w:tc>
        <w:tc>
          <w:tcPr>
            <w:tcW w:w="1000" w:type="dxa"/>
            <w:vAlign w:val="bottom"/>
            <w:gridSpan w:val="2"/>
            <w:shd w:val="clear" w:color="auto" w:fill="CCEEFF"/>
          </w:tcPr>
          <w:p>
            <w:pPr>
              <w:jc w:val="right"/>
              <w:ind w:right="751"/>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30,968</w:t>
            </w:r>
          </w:p>
        </w:tc>
      </w:tr>
      <w:tr>
        <w:trPr>
          <w:trHeight w:val="180"/>
        </w:trPr>
        <w:tc>
          <w:tcPr>
            <w:tcW w:w="818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Adjustments to Reconcile Net Income to Net Cash From Operating Activities</w:t>
            </w: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sales of loans held for sale</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156,178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334,838</w:t>
            </w:r>
          </w:p>
        </w:tc>
      </w:tr>
      <w:tr>
        <w:trPr>
          <w:trHeight w:val="177"/>
        </w:trPr>
        <w:tc>
          <w:tcPr>
            <w:tcW w:w="8180" w:type="dxa"/>
            <w:vAlign w:val="bottom"/>
          </w:tcPr>
          <w:p>
            <w:pPr>
              <w:ind w:left="180"/>
              <w:spacing w:after="0"/>
              <w:rPr>
                <w:sz w:val="20"/>
                <w:szCs w:val="20"/>
                <w:color w:val="auto"/>
              </w:rPr>
            </w:pPr>
            <w:r>
              <w:rPr>
                <w:rFonts w:ascii="Arial" w:cs="Arial" w:eastAsia="Arial" w:hAnsi="Arial"/>
                <w:sz w:val="14"/>
                <w:szCs w:val="14"/>
                <w:color w:val="auto"/>
              </w:rPr>
              <w:t>Disbursements for loans held for sale</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0"/>
              </w:rPr>
              <w:t>(146,403)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0"/>
              </w:rPr>
              <w:t>(309,085)</w:t>
            </w:r>
          </w:p>
        </w:tc>
      </w:tr>
      <w:tr>
        <w:trPr>
          <w:trHeight w:val="196"/>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Provision for credit losses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w:t>
            </w: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Deferred income tax expense</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2,680</w:t>
            </w:r>
          </w:p>
        </w:tc>
      </w:tr>
      <w:tr>
        <w:trPr>
          <w:trHeight w:val="190"/>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deferred loan costs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(4,868)</w:t>
            </w: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Net depreciation, amortization of intangible assets and premiums and accretion of discounts on securities and loans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4,949</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5,734</w:t>
            </w: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gains on mortgage loans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w:t>
            </w:r>
          </w:p>
        </w:tc>
      </w:tr>
      <w:tr>
        <w:trPr>
          <w:trHeight w:val="177"/>
        </w:trPr>
        <w:tc>
          <w:tcPr>
            <w:tcW w:w="8180" w:type="dxa"/>
            <w:vAlign w:val="bottom"/>
          </w:tcPr>
          <w:p>
            <w:pPr>
              <w:ind w:left="180"/>
              <w:spacing w:after="0"/>
              <w:rPr>
                <w:sz w:val="20"/>
                <w:szCs w:val="20"/>
                <w:color w:val="auto"/>
              </w:rPr>
            </w:pPr>
            <w:r>
              <w:rPr>
                <w:rFonts w:ascii="Arial" w:cs="Arial" w:eastAsia="Arial" w:hAnsi="Arial"/>
                <w:sz w:val="14"/>
                <w:szCs w:val="14"/>
                <w:color w:val="auto"/>
              </w:rPr>
              <w:t>Net losses on securities available for sale</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275</w:t>
            </w:r>
          </w:p>
        </w:tc>
      </w:tr>
      <w:tr>
        <w:trPr>
          <w:trHeight w:val="196"/>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 based compensation</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w:t>
            </w: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(Increase) Decrease in accrued income and other assets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(10,159)</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(10,110)</w:t>
            </w:r>
          </w:p>
        </w:tc>
      </w:tr>
      <w:tr>
        <w:trPr>
          <w:trHeight w:val="187"/>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Decrease in accrued expenses and other liabilities</w:t>
            </w: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(3,165)</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10,921</w:t>
            </w:r>
          </w:p>
        </w:tc>
      </w:tr>
      <w:tr>
        <w:trPr>
          <w:trHeight w:val="184"/>
        </w:trPr>
        <w:tc>
          <w:tcPr>
            <w:tcW w:w="8180" w:type="dxa"/>
            <w:vAlign w:val="bottom"/>
            <w:tcBorders>
              <w:bottom w:val="single" w:sz="8" w:color="CCEEFF"/>
            </w:tcBorders>
          </w:tcPr>
          <w:p>
            <w:pPr>
              <w:jc w:val="right"/>
              <w:ind w:right="51"/>
              <w:spacing w:after="0"/>
              <w:rPr>
                <w:sz w:val="20"/>
                <w:szCs w:val="20"/>
                <w:color w:val="auto"/>
              </w:rPr>
            </w:pPr>
            <w:r>
              <w:rPr>
                <w:rFonts w:ascii="Arial" w:cs="Arial" w:eastAsia="Arial" w:hAnsi="Arial"/>
                <w:sz w:val="14"/>
                <w:szCs w:val="14"/>
                <w:color w:val="auto"/>
              </w:rPr>
              <w:t>Total Adjustments</w:t>
            </w: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5,567</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30,157</w:t>
            </w:r>
          </w:p>
        </w:tc>
      </w:tr>
      <w:tr>
        <w:trPr>
          <w:trHeight w:val="176"/>
        </w:trPr>
        <w:tc>
          <w:tcPr>
            <w:tcW w:w="8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Net Cash From Operating Activities</w:t>
            </w:r>
          </w:p>
        </w:tc>
        <w:tc>
          <w:tcPr>
            <w:tcW w:w="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33,348</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61,125</w:t>
            </w: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Cash Flow Used in Investing Activities</w:t>
            </w: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securities available for sale</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70,523</w:t>
            </w:r>
          </w:p>
        </w:tc>
      </w:tr>
      <w:tr>
        <w:trPr>
          <w:trHeight w:val="177"/>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maturities, prepayments and calls of securities available for sale</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59,513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105,288</w:t>
            </w:r>
          </w:p>
        </w:tc>
      </w:tr>
      <w:tr>
        <w:trPr>
          <w:trHeight w:val="196"/>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maturities, prepayments and calls of securities held to maturity</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10,906</w:t>
            </w: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Purchases of securities held to maturity</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securities available for sale</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(137,550)</w:t>
            </w: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Purchases of Federal Home Loan Bank stock</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redemption of Federal Home Loan Bank stock</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w:t>
            </w:r>
          </w:p>
        </w:tc>
      </w:tr>
      <w:tr>
        <w:trPr>
          <w:trHeight w:val="177"/>
        </w:trPr>
        <w:tc>
          <w:tcPr>
            <w:tcW w:w="8180" w:type="dxa"/>
            <w:vAlign w:val="bottom"/>
          </w:tcPr>
          <w:p>
            <w:pPr>
              <w:ind w:left="180"/>
              <w:spacing w:after="0"/>
              <w:rPr>
                <w:sz w:val="20"/>
                <w:szCs w:val="20"/>
                <w:color w:val="auto"/>
              </w:rPr>
            </w:pPr>
            <w:r>
              <w:rPr>
                <w:rFonts w:ascii="Arial" w:cs="Arial" w:eastAsia="Arial" w:hAnsi="Arial"/>
                <w:sz w:val="14"/>
                <w:szCs w:val="14"/>
                <w:color w:val="auto"/>
              </w:rPr>
              <w:t>Net increase in portfolio loans (loans originated, net of principal payments)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0"/>
              </w:rPr>
              <w:t>(198,913)</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0"/>
              </w:rPr>
              <w:t>(347,921)</w:t>
            </w:r>
          </w:p>
        </w:tc>
      </w:tr>
      <w:tr>
        <w:trPr>
          <w:trHeight w:val="196"/>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portfolio loans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51,481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33,755</w:t>
            </w: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bank-owned life insurance</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433</w:t>
            </w:r>
          </w:p>
        </w:tc>
      </w:tr>
      <w:tr>
        <w:trPr>
          <w:trHeight w:val="190"/>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other real estate and repossessed assets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r>
      <w:tr>
        <w:trPr>
          <w:trHeight w:val="188"/>
        </w:trPr>
        <w:tc>
          <w:tcPr>
            <w:tcW w:w="8180" w:type="dxa"/>
            <w:vAlign w:val="bottom"/>
          </w:tcPr>
          <w:p>
            <w:pPr>
              <w:ind w:left="180"/>
              <w:spacing w:after="0"/>
              <w:rPr>
                <w:sz w:val="20"/>
                <w:szCs w:val="20"/>
                <w:color w:val="auto"/>
              </w:rPr>
            </w:pPr>
            <w:r>
              <w:rPr>
                <w:rFonts w:ascii="Arial" w:cs="Arial" w:eastAsia="Arial" w:hAnsi="Arial"/>
                <w:sz w:val="14"/>
                <w:szCs w:val="14"/>
                <w:color w:val="auto"/>
              </w:rPr>
              <w:t>Capital expenditures</w:t>
            </w: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(3,071)</w:t>
            </w: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(2,966)</w:t>
            </w:r>
          </w:p>
        </w:tc>
      </w:tr>
      <w:tr>
        <w:trPr>
          <w:trHeight w:val="192"/>
        </w:trPr>
        <w:tc>
          <w:tcPr>
            <w:tcW w:w="81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(77,589)</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(266,226)</w:t>
            </w:r>
          </w:p>
        </w:tc>
      </w:tr>
      <w:tr>
        <w:trPr>
          <w:trHeight w:val="168"/>
        </w:trPr>
        <w:tc>
          <w:tcPr>
            <w:tcW w:w="8180" w:type="dxa"/>
            <w:vAlign w:val="bottom"/>
          </w:tcPr>
          <w:p>
            <w:pPr>
              <w:ind w:left="20"/>
              <w:spacing w:after="0"/>
              <w:rPr>
                <w:sz w:val="20"/>
                <w:szCs w:val="20"/>
                <w:color w:val="auto"/>
              </w:rPr>
            </w:pPr>
            <w:r>
              <w:rPr>
                <w:rFonts w:ascii="Arial" w:cs="Arial" w:eastAsia="Arial" w:hAnsi="Arial"/>
                <w:sz w:val="14"/>
                <w:szCs w:val="14"/>
                <w:color w:val="auto"/>
              </w:rPr>
              <w:t>Cash Flow From Financing Activities</w:t>
            </w: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9"/>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increase in total deposits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108,567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173,484</w:t>
            </w: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Net increase (decrease) in other borrowings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(60,991)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498</w:t>
            </w:r>
          </w:p>
        </w:tc>
      </w:tr>
      <w:tr>
        <w:trPr>
          <w:trHeight w:val="190"/>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Federal Home Loan Bank Advances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135,000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Payments of Federal Home Loan Bank Advances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(70,000)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(40,000)</w:t>
            </w:r>
          </w:p>
        </w:tc>
      </w:tr>
      <w:tr>
        <w:trPr>
          <w:trHeight w:val="203"/>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(9,298)</w:t>
            </w:r>
          </w:p>
        </w:tc>
      </w:tr>
      <w:tr>
        <w:trPr>
          <w:trHeight w:val="177"/>
        </w:trPr>
        <w:tc>
          <w:tcPr>
            <w:tcW w:w="8180" w:type="dxa"/>
            <w:vAlign w:val="bottom"/>
          </w:tcPr>
          <w:p>
            <w:pPr>
              <w:ind w:left="180"/>
              <w:spacing w:after="0"/>
              <w:rPr>
                <w:sz w:val="20"/>
                <w:szCs w:val="20"/>
                <w:color w:val="auto"/>
              </w:rPr>
            </w:pPr>
            <w:r>
              <w:rPr>
                <w:rFonts w:ascii="Arial" w:cs="Arial" w:eastAsia="Arial" w:hAnsi="Arial"/>
                <w:sz w:val="14"/>
                <w:szCs w:val="14"/>
                <w:color w:val="auto"/>
              </w:rPr>
              <w:t>Proceeds from issuance of common stock</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96"/>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 common stock</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(4,010)</w:t>
            </w:r>
          </w:p>
        </w:tc>
      </w:tr>
      <w:tr>
        <w:trPr>
          <w:trHeight w:val="186"/>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Share based compensation withholding obligation</w:t>
            </w: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r>
      <w:tr>
        <w:trPr>
          <w:trHeight w:val="177"/>
        </w:trPr>
        <w:tc>
          <w:tcPr>
            <w:tcW w:w="8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Net Cash From Financing Activities</w:t>
            </w:r>
          </w:p>
        </w:tc>
        <w:tc>
          <w:tcPr>
            <w:tcW w:w="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99,062</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155,114</w:t>
            </w:r>
          </w:p>
        </w:tc>
      </w:tr>
      <w:tr>
        <w:trPr>
          <w:trHeight w:val="180"/>
        </w:trPr>
        <w:tc>
          <w:tcPr>
            <w:tcW w:w="8180" w:type="dxa"/>
            <w:vAlign w:val="bottom"/>
          </w:tcPr>
          <w:p>
            <w:pPr>
              <w:jc w:val="right"/>
              <w:ind w:right="51"/>
              <w:spacing w:after="0"/>
              <w:rPr>
                <w:sz w:val="20"/>
                <w:szCs w:val="20"/>
                <w:color w:val="auto"/>
              </w:rPr>
            </w:pPr>
            <w:r>
              <w:rPr>
                <w:rFonts w:ascii="Arial" w:cs="Arial" w:eastAsia="Arial" w:hAnsi="Arial"/>
                <w:sz w:val="14"/>
                <w:szCs w:val="14"/>
                <w:color w:val="auto"/>
              </w:rPr>
              <w:t>Net Increase (Decrease) in Cash and Cash Equivalents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54,821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(49,987)</w:t>
            </w: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74,371</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109,473</w:t>
            </w:r>
          </w:p>
        </w:tc>
      </w:tr>
      <w:tr>
        <w:trPr>
          <w:trHeight w:val="173"/>
        </w:trPr>
        <w:tc>
          <w:tcPr>
            <w:tcW w:w="8180" w:type="dxa"/>
            <w:vAlign w:val="bottom"/>
          </w:tcPr>
          <w:p>
            <w:pPr>
              <w:jc w:val="right"/>
              <w:ind w:right="51"/>
              <w:spacing w:after="0"/>
              <w:rPr>
                <w:sz w:val="20"/>
                <w:szCs w:val="20"/>
                <w:color w:val="auto"/>
              </w:rPr>
            </w:pPr>
            <w:r>
              <w:rPr>
                <w:rFonts w:ascii="Arial" w:cs="Arial" w:eastAsia="Arial" w:hAnsi="Arial"/>
                <w:sz w:val="14"/>
                <w:szCs w:val="14"/>
                <w:color w:val="auto"/>
              </w:rPr>
              <w:t>Cash and Cash Equivalents at End of Period</w:t>
            </w:r>
          </w:p>
        </w:tc>
        <w:tc>
          <w:tcPr>
            <w:tcW w:w="9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129,192</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59,486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during the period for</w:t>
            </w: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r>
      <w:tr>
        <w:trPr>
          <w:trHeight w:val="184"/>
        </w:trPr>
        <w:tc>
          <w:tcPr>
            <w:tcW w:w="8180" w:type="dxa"/>
            <w:vAlign w:val="bottom"/>
          </w:tcPr>
          <w:p>
            <w:pPr>
              <w:ind w:left="180"/>
              <w:spacing w:after="0"/>
              <w:rPr>
                <w:sz w:val="20"/>
                <w:szCs w:val="20"/>
                <w:color w:val="auto"/>
              </w:rPr>
            </w:pPr>
            <w:r>
              <w:rPr>
                <w:rFonts w:ascii="Arial" w:cs="Arial" w:eastAsia="Arial" w:hAnsi="Arial"/>
                <w:sz w:val="14"/>
                <w:szCs w:val="14"/>
                <w:color w:val="auto"/>
              </w:rPr>
              <w:t>Interest</w:t>
            </w:r>
          </w:p>
        </w:tc>
        <w:tc>
          <w:tcPr>
            <w:tcW w:w="900" w:type="dxa"/>
            <w:vAlign w:val="bottom"/>
          </w:tcPr>
          <w:p>
            <w:pPr>
              <w:jc w:val="right"/>
              <w:ind w:right="75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32,812</w:t>
            </w:r>
          </w:p>
        </w:tc>
        <w:tc>
          <w:tcPr>
            <w:tcW w:w="1000" w:type="dxa"/>
            <w:vAlign w:val="bottom"/>
            <w:gridSpan w:val="2"/>
          </w:tcPr>
          <w:p>
            <w:pPr>
              <w:jc w:val="right"/>
              <w:ind w:right="751"/>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3,950</w:t>
            </w:r>
          </w:p>
        </w:tc>
      </w:tr>
      <w:tr>
        <w:trPr>
          <w:trHeight w:val="190"/>
        </w:trPr>
        <w:tc>
          <w:tcPr>
            <w:tcW w:w="81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7,600</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3,940</w:t>
            </w: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color w:val="auto"/>
              </w:rPr>
              <w:t>Transfers to other real estate and repossessed assets</w:t>
            </w: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599</w:t>
            </w:r>
          </w:p>
        </w:tc>
      </w:tr>
      <w:tr>
        <w:trPr>
          <w:trHeight w:val="19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 of use assets obtained in exchange for lease obligations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Condensed Consolidated Statements of Shareholders’ Equity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51"/>
              <w:spacing w:after="0"/>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51"/>
              <w:spacing w:after="0"/>
              <w:rPr>
                <w:sz w:val="20"/>
                <w:szCs w:val="20"/>
                <w:color w:val="auto"/>
              </w:rPr>
            </w:pPr>
            <w:r>
              <w:rPr>
                <w:rFonts w:ascii="Arial" w:cs="Arial" w:eastAsia="Arial" w:hAnsi="Arial"/>
                <w:sz w:val="14"/>
                <w:szCs w:val="14"/>
                <w:color w:val="auto"/>
                <w:w w:val="85"/>
              </w:rPr>
              <w:t>Other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51"/>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68"/>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431"/>
              <w:spacing w:after="0"/>
              <w:rPr>
                <w:sz w:val="20"/>
                <w:szCs w:val="20"/>
                <w:color w:val="auto"/>
              </w:rPr>
            </w:pPr>
            <w:r>
              <w:rPr>
                <w:rFonts w:ascii="Arial" w:cs="Arial" w:eastAsia="Arial" w:hAnsi="Arial"/>
                <w:sz w:val="14"/>
                <w:szCs w:val="14"/>
                <w:color w:val="auto"/>
              </w:rPr>
              <w:t>Common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431"/>
              <w:spacing w:after="0"/>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51"/>
              <w:spacing w:after="0"/>
              <w:rPr>
                <w:sz w:val="20"/>
                <w:szCs w:val="20"/>
                <w:color w:val="auto"/>
              </w:rPr>
            </w:pPr>
            <w:r>
              <w:rPr>
                <w:rFonts w:ascii="Arial" w:cs="Arial" w:eastAsia="Arial" w:hAnsi="Arial"/>
                <w:sz w:val="14"/>
                <w:szCs w:val="14"/>
                <w:color w:val="auto"/>
                <w:w w:val="87"/>
              </w:rPr>
              <w:t>Comprehensive Income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51"/>
              <w:spacing w:after="0"/>
              <w:rPr>
                <w:sz w:val="20"/>
                <w:szCs w:val="20"/>
                <w:color w:val="auto"/>
              </w:rPr>
            </w:pPr>
            <w:r>
              <w:rPr>
                <w:rFonts w:ascii="Arial" w:cs="Arial" w:eastAsia="Arial" w:hAnsi="Arial"/>
                <w:sz w:val="14"/>
                <w:szCs w:val="14"/>
                <w:color w:val="auto"/>
                <w:w w:val="87"/>
              </w:rPr>
              <w:t>Shareholders’</w:t>
            </w:r>
          </w:p>
        </w:tc>
        <w:tc>
          <w:tcPr>
            <w:tcW w:w="0" w:type="dxa"/>
            <w:vAlign w:val="bottom"/>
          </w:tcPr>
          <w:p>
            <w:pPr>
              <w:spacing w:after="0"/>
              <w:rPr>
                <w:sz w:val="1"/>
                <w:szCs w:val="1"/>
                <w:color w:val="auto"/>
              </w:rPr>
            </w:pPr>
          </w:p>
        </w:tc>
      </w:tr>
      <w:tr>
        <w:trPr>
          <w:trHeight w:val="174"/>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531"/>
              <w:spacing w:after="0"/>
              <w:rPr>
                <w:sz w:val="20"/>
                <w:szCs w:val="20"/>
                <w:color w:val="auto"/>
              </w:rPr>
            </w:pPr>
            <w:r>
              <w:rPr>
                <w:rFonts w:ascii="Arial" w:cs="Arial" w:eastAsia="Arial" w:hAnsi="Arial"/>
                <w:sz w:val="14"/>
                <w:szCs w:val="14"/>
                <w:color w:val="auto"/>
              </w:rPr>
              <w:t>Stock</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ind w:right="431"/>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51"/>
              <w:spacing w:after="0"/>
              <w:rPr>
                <w:sz w:val="20"/>
                <w:szCs w:val="20"/>
                <w:color w:val="auto"/>
              </w:rPr>
            </w:pPr>
            <w:r>
              <w:rPr>
                <w:rFonts w:ascii="Arial" w:cs="Arial" w:eastAsia="Arial" w:hAnsi="Arial"/>
                <w:sz w:val="14"/>
                <w:szCs w:val="14"/>
                <w:color w:val="auto"/>
                <w:w w:val="87"/>
              </w:rPr>
              <w:t>(Loss)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center"/>
              <w:ind w:right="151"/>
              <w:spacing w:after="0"/>
              <w:rPr>
                <w:sz w:val="20"/>
                <w:szCs w:val="20"/>
                <w:color w:val="auto"/>
              </w:rPr>
            </w:pPr>
            <w:r>
              <w:rPr>
                <w:rFonts w:ascii="Arial" w:cs="Arial" w:eastAsia="Arial" w:hAnsi="Arial"/>
                <w:sz w:val="14"/>
                <w:szCs w:val="14"/>
                <w:color w:val="auto"/>
                <w:w w:val="92"/>
              </w:rPr>
              <w:t>Equity</w:t>
            </w: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4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4"/>
          </w:tcPr>
          <w:p>
            <w:pPr>
              <w:jc w:val="right"/>
              <w:ind w:right="151"/>
              <w:spacing w:after="0"/>
              <w:rPr>
                <w:sz w:val="20"/>
                <w:szCs w:val="20"/>
                <w:color w:val="auto"/>
              </w:rPr>
            </w:pPr>
            <w:r>
              <w:rPr>
                <w:rFonts w:ascii="Arial" w:cs="Arial" w:eastAsia="Arial" w:hAnsi="Arial"/>
                <w:sz w:val="14"/>
                <w:szCs w:val="14"/>
                <w:color w:val="auto"/>
                <w:w w:val="89"/>
              </w:rPr>
              <w:t>(Dollars in thousands, except per share amounts)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April 1, 2023</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321,026</w:t>
            </w: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127,499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(80,811)</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367,714</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Net income, three months ended June 30, 2023</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14,790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14,790</w:t>
            </w:r>
          </w:p>
        </w:tc>
        <w:tc>
          <w:tcPr>
            <w:tcW w:w="0" w:type="dxa"/>
            <w:vAlign w:val="bottom"/>
          </w:tcPr>
          <w:p>
            <w:pPr>
              <w:spacing w:after="0"/>
              <w:rPr>
                <w:sz w:val="1"/>
                <w:szCs w:val="1"/>
                <w:color w:val="auto"/>
              </w:rPr>
            </w:pPr>
          </w:p>
        </w:tc>
      </w:tr>
      <w:tr>
        <w:trPr>
          <w:trHeight w:val="190"/>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$0.23 per share</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Repurchase of 200,000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(3,270)</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7,500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7"/>
        </w:trPr>
        <w:tc>
          <w:tcPr>
            <w:tcW w:w="4940" w:type="dxa"/>
            <w:vAlign w:val="bottom"/>
          </w:tcPr>
          <w:p>
            <w:pPr>
              <w:ind w:left="20"/>
              <w:spacing w:after="0"/>
              <w:rPr>
                <w:sz w:val="20"/>
                <w:szCs w:val="20"/>
                <w:color w:val="auto"/>
              </w:rPr>
            </w:pPr>
            <w:r>
              <w:rPr>
                <w:rFonts w:ascii="Arial" w:cs="Arial" w:eastAsia="Arial" w:hAnsi="Arial"/>
                <w:sz w:val="14"/>
                <w:szCs w:val="14"/>
                <w:color w:val="auto"/>
              </w:rPr>
              <w:t>Share based compensation (issuance of 369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39"/>
        </w:trPr>
        <w:tc>
          <w:tcPr>
            <w:tcW w:w="49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Share based compensation withholding obligation (withholding of 2,478 shares of</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common stock)</w:t>
            </w: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77"/>
        </w:trPr>
        <w:tc>
          <w:tcPr>
            <w:tcW w:w="49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9"/>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June 30, 2023</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318,241</w:t>
            </w: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(80,510)</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375,162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April 1, 2022</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321,981</w:t>
            </w: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(54,414)</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355,449</w:t>
            </w:r>
          </w:p>
        </w:tc>
        <w:tc>
          <w:tcPr>
            <w:tcW w:w="0" w:type="dxa"/>
            <w:vAlign w:val="bottom"/>
          </w:tcPr>
          <w:p>
            <w:pPr>
              <w:spacing w:after="0"/>
              <w:rPr>
                <w:sz w:val="1"/>
                <w:szCs w:val="1"/>
                <w:color w:val="auto"/>
              </w:rPr>
            </w:pPr>
          </w:p>
        </w:tc>
      </w:tr>
      <w:tr>
        <w:trPr>
          <w:trHeight w:val="177"/>
        </w:trPr>
        <w:tc>
          <w:tcPr>
            <w:tcW w:w="4940" w:type="dxa"/>
            <w:vAlign w:val="bottom"/>
          </w:tcPr>
          <w:p>
            <w:pPr>
              <w:ind w:left="20"/>
              <w:spacing w:after="0"/>
              <w:rPr>
                <w:sz w:val="20"/>
                <w:szCs w:val="20"/>
                <w:color w:val="auto"/>
              </w:rPr>
            </w:pPr>
            <w:r>
              <w:rPr>
                <w:rFonts w:ascii="Arial" w:cs="Arial" w:eastAsia="Arial" w:hAnsi="Arial"/>
                <w:sz w:val="14"/>
                <w:szCs w:val="14"/>
                <w:color w:val="auto"/>
              </w:rPr>
              <w:t>Net income, three months ended June 30, 2022</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13,001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13,001</w:t>
            </w: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$0.22 per share</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Repurchase of 122,584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(2,626)</w:t>
            </w:r>
          </w:p>
        </w:tc>
        <w:tc>
          <w:tcPr>
            <w:tcW w:w="0" w:type="dxa"/>
            <w:vAlign w:val="bottom"/>
          </w:tcPr>
          <w:p>
            <w:pPr>
              <w:spacing w:after="0"/>
              <w:rPr>
                <w:sz w:val="1"/>
                <w:szCs w:val="1"/>
                <w:color w:val="auto"/>
              </w:rPr>
            </w:pPr>
          </w:p>
        </w:tc>
      </w:tr>
      <w:tr>
        <w:trPr>
          <w:trHeight w:val="190"/>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6,532 shares of common stock</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Share based compensation (issuance of zero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146"/>
        </w:trPr>
        <w:tc>
          <w:tcPr>
            <w:tcW w:w="494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w w:val="97"/>
              </w:rPr>
              <w:t>Share based compensation withholding obligation (withholding of 1,853 shares of</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8"/>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(30,589)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(30,589)</w:t>
            </w:r>
          </w:p>
        </w:tc>
        <w:tc>
          <w:tcPr>
            <w:tcW w:w="0" w:type="dxa"/>
            <w:vAlign w:val="bottom"/>
          </w:tcPr>
          <w:p>
            <w:pPr>
              <w:spacing w:after="0"/>
              <w:rPr>
                <w:sz w:val="1"/>
                <w:szCs w:val="1"/>
                <w:color w:val="auto"/>
              </w:rPr>
            </w:pPr>
          </w:p>
        </w:tc>
      </w:tr>
      <w:tr>
        <w:trPr>
          <w:trHeight w:val="21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2022</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319,885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96,252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(85,003)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331,134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January 1, 2023</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320,991</w:t>
            </w: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(92,763)</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347,596</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Net income, six months ended June 30, 2023</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27,781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27,781</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$0.46 per share</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(9,718)</w:t>
            </w:r>
          </w:p>
        </w:tc>
        <w:tc>
          <w:tcPr>
            <w:tcW w:w="0" w:type="dxa"/>
            <w:vAlign w:val="bottom"/>
          </w:tcPr>
          <w:p>
            <w:pPr>
              <w:spacing w:after="0"/>
              <w:rPr>
                <w:sz w:val="1"/>
                <w:szCs w:val="1"/>
                <w:color w:val="auto"/>
              </w:rPr>
            </w:pPr>
          </w:p>
        </w:tc>
      </w:tr>
      <w:tr>
        <w:trPr>
          <w:trHeight w:val="177"/>
        </w:trPr>
        <w:tc>
          <w:tcPr>
            <w:tcW w:w="4940" w:type="dxa"/>
            <w:vAlign w:val="bottom"/>
          </w:tcPr>
          <w:p>
            <w:pPr>
              <w:ind w:left="20"/>
              <w:spacing w:after="0"/>
              <w:rPr>
                <w:sz w:val="20"/>
                <w:szCs w:val="20"/>
                <w:color w:val="auto"/>
              </w:rPr>
            </w:pPr>
            <w:r>
              <w:rPr>
                <w:rFonts w:ascii="Arial" w:cs="Arial" w:eastAsia="Arial" w:hAnsi="Arial"/>
                <w:sz w:val="14"/>
                <w:szCs w:val="14"/>
                <w:color w:val="auto"/>
              </w:rPr>
              <w:t>Repurchase of 200,000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(3,270)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(3,270)</w:t>
            </w: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23,000 shares of common stock</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Share based compensation (issuance of 86,763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1,046</w:t>
            </w:r>
          </w:p>
        </w:tc>
        <w:tc>
          <w:tcPr>
            <w:tcW w:w="0" w:type="dxa"/>
            <w:vAlign w:val="bottom"/>
          </w:tcPr>
          <w:p>
            <w:pPr>
              <w:spacing w:after="0"/>
              <w:rPr>
                <w:sz w:val="1"/>
                <w:szCs w:val="1"/>
                <w:color w:val="auto"/>
              </w:rPr>
            </w:pPr>
          </w:p>
        </w:tc>
      </w:tr>
      <w:tr>
        <w:trPr>
          <w:trHeight w:val="138"/>
        </w:trPr>
        <w:tc>
          <w:tcPr>
            <w:tcW w:w="494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5"/>
              </w:rPr>
              <w:t>Share based compensation withholding obligation (withholding of 30,040 shares of</w:t>
            </w:r>
          </w:p>
        </w:tc>
        <w:tc>
          <w:tcPr>
            <w:tcW w:w="2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comprehensive income</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12,253</w:t>
            </w:r>
          </w:p>
        </w:tc>
        <w:tc>
          <w:tcPr>
            <w:tcW w:w="0" w:type="dxa"/>
            <w:vAlign w:val="bottom"/>
          </w:tcPr>
          <w:p>
            <w:pPr>
              <w:spacing w:after="0"/>
              <w:rPr>
                <w:sz w:val="1"/>
                <w:szCs w:val="1"/>
                <w:color w:val="auto"/>
              </w:rPr>
            </w:pPr>
          </w:p>
        </w:tc>
      </w:tr>
      <w:tr>
        <w:trPr>
          <w:trHeight w:val="205"/>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June 30, 2023</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318,241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137,431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(80,510)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375,162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January 1, 2022</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323,401</w:t>
            </w: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74,582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398,484</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Net income, six months ended June 30, 2022</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30,968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30,968</w:t>
            </w:r>
          </w:p>
        </w:tc>
        <w:tc>
          <w:tcPr>
            <w:tcW w:w="0" w:type="dxa"/>
            <w:vAlign w:val="bottom"/>
          </w:tcPr>
          <w:p>
            <w:pPr>
              <w:spacing w:after="0"/>
              <w:rPr>
                <w:sz w:val="1"/>
                <w:szCs w:val="1"/>
                <w:color w:val="auto"/>
              </w:rPr>
            </w:pPr>
          </w:p>
        </w:tc>
      </w:tr>
      <w:tr>
        <w:trPr>
          <w:trHeight w:val="190"/>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dividends declared, $0.44 per share</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(9,298)</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Repurchase of 181,586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(4,010)</w:t>
            </w:r>
          </w:p>
        </w:tc>
        <w:tc>
          <w:tcPr>
            <w:tcW w:w="0" w:type="dxa"/>
            <w:vAlign w:val="bottom"/>
          </w:tcPr>
          <w:p>
            <w:pPr>
              <w:spacing w:after="0"/>
              <w:rPr>
                <w:sz w:val="1"/>
                <w:szCs w:val="1"/>
                <w:color w:val="auto"/>
              </w:rPr>
            </w:pPr>
          </w:p>
        </w:tc>
      </w:tr>
      <w:tr>
        <w:trPr>
          <w:trHeight w:val="190"/>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21,632 shares of common stock</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Share based compensation (issuance of 64,354 shares of common stock)</w:t>
            </w:r>
          </w:p>
        </w:tc>
        <w:tc>
          <w:tcPr>
            <w:tcW w:w="2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1,054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46"/>
        </w:trPr>
        <w:tc>
          <w:tcPr>
            <w:tcW w:w="4940" w:type="dxa"/>
            <w:vAlign w:val="bottom"/>
            <w:shd w:val="clear" w:color="auto" w:fill="CCEEFF"/>
          </w:tcPr>
          <w:p>
            <w:pPr>
              <w:ind w:left="20"/>
              <w:spacing w:after="0" w:line="146" w:lineRule="exact"/>
              <w:rPr>
                <w:sz w:val="20"/>
                <w:szCs w:val="20"/>
                <w:color w:val="auto"/>
              </w:rPr>
            </w:pPr>
            <w:r>
              <w:rPr>
                <w:rFonts w:ascii="Arial" w:cs="Arial" w:eastAsia="Arial" w:hAnsi="Arial"/>
                <w:sz w:val="14"/>
                <w:szCs w:val="14"/>
                <w:color w:val="auto"/>
                <w:w w:val="95"/>
              </w:rPr>
              <w:t>Share based compensation withholding obligation (withholding of 26,218 shares of</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88"/>
        </w:trPr>
        <w:tc>
          <w:tcPr>
            <w:tcW w:w="494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(85,504)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(85,504)</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at June 30, 2022</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319,885</w:t>
            </w: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96,252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(85,003)</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331,134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See notes to interim condensed consolidated financial statements (Unaudited)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180" w:lineRule="exact"/>
        <w:rPr>
          <w:sz w:val="20"/>
          <w:szCs w:val="20"/>
          <w:color w:val="auto"/>
        </w:rPr>
      </w:pPr>
    </w:p>
    <w:p>
      <w:pPr>
        <w:ind w:left="300" w:hanging="297"/>
        <w:spacing w:after="0"/>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Preparation of Financial Statements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condensed consolidated financial statements have been prepared pursuant to the rules and regulations of the Securities and Exchange Commission. Certain information and note disclosures normally included in annual financial statements prepared in accordance with U.S. generally accepted accounting principles (“GAAP”) have been condensed or omitted pursuant to those rules and regulations, although we believe that the disclosures made are adequate to make the information not misleading. The unaudited condensed consolidated financial statements should be read in conjunction with the audited consolidated financial statements and notes for the year ended December 31, 2022 included in our Annual Report on Form 10-K.</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our opinion, the accompanying unaudited condensed consolidated financial statements contain all the adjustments necessary to present fairly our consolidated financial condition as of June 30, 2023 and December 31, 2022, and the results of operations for the three and six-month periods ended June 30, 2023 and 2022. The results of operations for the three and six-month periods ended June 30, 2023, are not necessarily indicative of the results to be expected for the full year. Certain reclassifications have been made in the prior period condensed consolidated financial statements to conform to the current period presentation. Our critical accounting policies include the determination of the allowance for credit losses (“ACL”) and the valuation of capitalized mortgage loan servicing rights. Refer to our 2022 Annual Report on Form 10-K for a disclosure of our accounting policies.</w:t>
      </w:r>
    </w:p>
    <w:p>
      <w:pPr>
        <w:spacing w:after="0" w:line="157"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New Accounting Standards</w:t>
      </w:r>
    </w:p>
    <w:p>
      <w:pPr>
        <w:spacing w:after="0" w:line="21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March 2020, the FASB issued ASU 2020-04, ‘‘Reference Rate Reform (Topic 848), Facilitation of the Effects of Reference Rate Reform on Financial Reporting’’ and in December 2022 the FASB issued ASU 2022-06, "Reference Rate Reform (Topic 848), Deferral of the Sunset Date of Topic 848". These new ASUs provide temporary optional expedients and exceptions to GAAP guidance on contract modifications and hedge accounting to ease the financial reporting burdens of the expected market transition from LIBOR and other interbank offered rates to alternative reference rates. Entities can elect not to apply certain modification accounting requirements to contracts affected by reference rate reform, if certain criteria are met. Entities that make such elections would not have to remeasure contracts at the modification date or reassess a previous accounting determination. Entities can elect various optional expedients that would allow them to continue applying hedge accounting for hedging relationships affected by reference rate reform, if certain criteria are met.</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formed a cross-functional project team to lead this transition from LIBOR to a planned adoption of reference rates which could include Secured Overnight Financing Rate (“SOFR”), among others. We utilized the timeline guidance published by the Alternative Reference Rates Committee to develop and achieve internal milestones during this transitional period. We had discontinued the use of new LIBOR-based loans as of December 31, 2021, according to regulatory guidelines. We also discontinued the use of new LIBOR based interest rate derivatives as of December 31, 2021. The amended guidance under Topic 848 and our ability to elect its temporary optional expedients and exceptions are effective for us through December 31, 2024.</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March, 2022, the FASB issued ASU 2022-02, “Financial Instruments – Credit Losses (Topic 326): Troubled Debt Restructuring and Vintage Disclosures”. This ASU eliminates the troubled debt restructuring (“TDR”) accounting model for creditors that have already adopted Topic 326, which is commonly referred to as the current expected credit loss (“CECL”) model. In lieu of the TDR accounting model, creditors now will apply the general loan modification guidance in Subtopic 310-20 to all loan modifications, including modifications made for borrowers experiencing financial difficulty. Under the general loan modification guidance, a modification is treated as a new loan only if the terms of the new loan are at least as favorable to the lender as the terms for comparable loans to other customers with similar collection risks, and modifications to the terms of the original loan are more than minor. If either condition is not met, the modification is accounted for as the continuation of the old loan with any effect of the modification treated as a prospective adjustment to the loan’s effective interest rate. In addition, this ASU requires the disclosure of gross charge-offs recorded in the current period for financing receivables by origination year. For entities that have adopted Topic 326, ASU 2022-02 takes effect in reporting periods beginning after December 15, 2022, with early adoption permitted. The adoption of this ASU on January 1, 2023, did not have a material impact on our Condensed Consolidated Financial Statements.</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On March, 2023, the FASB issued ASU 2023-02, "Investments - Equity Method and Joint Ventures (Topic 323): Accounting for Investments in Tax Credit Structures Using the Proportional Amortization Method (a consensus of the Emerging Issues Task Force)". This ASU expands the use of the proportional amortization method of accounting —</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currently allowed only for investments in low-income housing tax credit ("LIHTC") structures — to equity investments in other tax credit structures that meet certain criteria. Common tax credit programs that investors access via tax equity structures and that may now be eligible for application of the proportional amortization method include: new markets tax credits, historic rehabilitation tax credit programs, and renewable energy tax credit programs. This ASU takes effect in reporting periods beginning after December 15, 2023, with early adoption permitted. We do not expect the adoption of this this ASU to have a material impact on our Condensed Consolidated Financial Statements.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gridSpan w:val="3"/>
          </w:tcPr>
          <w:p>
            <w:pPr>
              <w:spacing w:after="0"/>
              <w:rPr>
                <w:sz w:val="20"/>
                <w:szCs w:val="20"/>
                <w:color w:val="auto"/>
              </w:rPr>
            </w:pPr>
            <w:r>
              <w:rPr>
                <w:rFonts w:ascii="Arial" w:cs="Arial" w:eastAsia="Arial" w:hAnsi="Arial"/>
                <w:sz w:val="17"/>
                <w:szCs w:val="17"/>
                <w:color w:val="auto"/>
              </w:rPr>
              <w:t>3.  Securities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91"/>
        </w:trPr>
        <w:tc>
          <w:tcPr>
            <w:tcW w:w="5040" w:type="dxa"/>
            <w:vAlign w:val="bottom"/>
            <w:gridSpan w:val="3"/>
          </w:tcPr>
          <w:p>
            <w:pPr>
              <w:spacing w:after="0"/>
              <w:rPr>
                <w:sz w:val="20"/>
                <w:szCs w:val="20"/>
                <w:color w:val="auto"/>
              </w:rPr>
            </w:pPr>
            <w:r>
              <w:rPr>
                <w:rFonts w:ascii="Arial" w:cs="Arial" w:eastAsia="Arial" w:hAnsi="Arial"/>
                <w:sz w:val="17"/>
                <w:szCs w:val="17"/>
                <w:color w:val="auto"/>
              </w:rPr>
              <w:t>Securities available for sale (“AFS”) consist of the following:</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3"/>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7"/>
                <w:szCs w:val="17"/>
                <w:color w:val="auto"/>
                <w:w w:val="94"/>
              </w:rPr>
              <w:t>Amortized</w:t>
            </w: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Unrealized</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1"/>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7"/>
                <w:szCs w:val="17"/>
                <w:color w:val="auto"/>
                <w:w w:val="91"/>
              </w:rPr>
              <w:t>Cost</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Gains</w:t>
            </w: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w w:val="89"/>
              </w:rPr>
              <w:t>Losses</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Fair Value</w:t>
            </w:r>
          </w:p>
        </w:tc>
      </w:tr>
      <w:tr>
        <w:trPr>
          <w:trHeight w:val="218"/>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7"/>
                <w:szCs w:val="17"/>
                <w:color w:val="auto"/>
              </w:rPr>
              <w:t>(In thousands)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0"/>
        </w:trPr>
        <w:tc>
          <w:tcPr>
            <w:tcW w:w="5040" w:type="dxa"/>
            <w:vAlign w:val="bottom"/>
            <w:gridSpan w:val="3"/>
          </w:tcPr>
          <w:p>
            <w:pPr>
              <w:ind w:left="20"/>
              <w:spacing w:after="0"/>
              <w:rPr>
                <w:sz w:val="20"/>
                <w:szCs w:val="20"/>
                <w:color w:val="auto"/>
              </w:rPr>
            </w:pPr>
            <w:r>
              <w:rPr>
                <w:rFonts w:ascii="Arial" w:cs="Arial" w:eastAsia="Arial" w:hAnsi="Arial"/>
                <w:sz w:val="17"/>
                <w:szCs w:val="17"/>
                <w:color w:val="auto"/>
              </w:rPr>
              <w:t>June 30, 2023</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3"/>
        </w:trPr>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10,977</w:t>
            </w:r>
          </w:p>
        </w:tc>
      </w:tr>
      <w:tr>
        <w:trPr>
          <w:trHeight w:val="218"/>
        </w:trPr>
        <w:tc>
          <w:tcPr>
            <w:tcW w:w="5040" w:type="dxa"/>
            <w:vAlign w:val="bottom"/>
            <w:gridSpan w:val="3"/>
          </w:tcPr>
          <w:p>
            <w:pPr>
              <w:ind w:left="180"/>
              <w:spacing w:after="0"/>
              <w:rPr>
                <w:sz w:val="20"/>
                <w:szCs w:val="20"/>
                <w:color w:val="auto"/>
              </w:rPr>
            </w:pPr>
            <w:r>
              <w:rPr>
                <w:rFonts w:ascii="Arial" w:cs="Arial" w:eastAsia="Arial" w:hAnsi="Arial"/>
                <w:sz w:val="17"/>
                <w:szCs w:val="17"/>
                <w:color w:val="auto"/>
              </w:rPr>
              <w:t>U.S. agency residential mortgage-backed</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95,336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9,935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85,403</w:t>
            </w:r>
          </w:p>
        </w:tc>
      </w:tr>
      <w:tr>
        <w:trPr>
          <w:trHeight w:val="220"/>
        </w:trPr>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12,911</w:t>
            </w:r>
          </w:p>
        </w:tc>
      </w:tr>
      <w:tr>
        <w:trPr>
          <w:trHeight w:val="225"/>
        </w:trPr>
        <w:tc>
          <w:tcPr>
            <w:tcW w:w="5040" w:type="dxa"/>
            <w:vAlign w:val="bottom"/>
            <w:gridSpan w:val="3"/>
          </w:tcPr>
          <w:p>
            <w:pPr>
              <w:ind w:left="180"/>
              <w:spacing w:after="0"/>
              <w:rPr>
                <w:sz w:val="20"/>
                <w:szCs w:val="20"/>
                <w:color w:val="auto"/>
              </w:rPr>
            </w:pPr>
            <w:r>
              <w:rPr>
                <w:rFonts w:ascii="Arial" w:cs="Arial" w:eastAsia="Arial" w:hAnsi="Arial"/>
                <w:sz w:val="17"/>
                <w:szCs w:val="17"/>
                <w:color w:val="auto"/>
              </w:rPr>
              <w:t>Private label mortgage-backed</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98,409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8,420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90,221</w:t>
            </w:r>
          </w:p>
        </w:tc>
      </w:tr>
      <w:tr>
        <w:trPr>
          <w:trHeight w:val="226"/>
        </w:trPr>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Other asset backed</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155,028</w:t>
            </w:r>
          </w:p>
        </w:tc>
      </w:tr>
      <w:tr>
        <w:trPr>
          <w:trHeight w:val="218"/>
        </w:trPr>
        <w:tc>
          <w:tcPr>
            <w:tcW w:w="5040" w:type="dxa"/>
            <w:vAlign w:val="bottom"/>
            <w:gridSpan w:val="3"/>
          </w:tcPr>
          <w:p>
            <w:pPr>
              <w:ind w:left="180"/>
              <w:spacing w:after="0"/>
              <w:rPr>
                <w:sz w:val="20"/>
                <w:szCs w:val="20"/>
                <w:color w:val="auto"/>
              </w:rPr>
            </w:pPr>
            <w:r>
              <w:rPr>
                <w:rFonts w:ascii="Arial" w:cs="Arial" w:eastAsia="Arial" w:hAnsi="Arial"/>
                <w:sz w:val="17"/>
                <w:szCs w:val="17"/>
                <w:color w:val="auto"/>
              </w:rPr>
              <w:t>Obligations of states and political subdivisions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341,965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40,889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301,329</w:t>
            </w:r>
          </w:p>
        </w:tc>
      </w:tr>
      <w:tr>
        <w:trPr>
          <w:trHeight w:val="233"/>
        </w:trPr>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Corporate</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82,941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74,988</w:t>
            </w:r>
          </w:p>
        </w:tc>
      </w:tr>
      <w:tr>
        <w:trPr>
          <w:trHeight w:val="218"/>
        </w:trPr>
        <w:tc>
          <w:tcPr>
            <w:tcW w:w="5040" w:type="dxa"/>
            <w:vAlign w:val="bottom"/>
            <w:gridSpan w:val="3"/>
          </w:tcPr>
          <w:p>
            <w:pPr>
              <w:ind w:left="180"/>
              <w:spacing w:after="0"/>
              <w:rPr>
                <w:sz w:val="20"/>
                <w:szCs w:val="20"/>
                <w:color w:val="auto"/>
              </w:rPr>
            </w:pPr>
            <w:r>
              <w:rPr>
                <w:rFonts w:ascii="Arial" w:cs="Arial" w:eastAsia="Arial" w:hAnsi="Arial"/>
                <w:sz w:val="17"/>
                <w:szCs w:val="17"/>
                <w:color w:val="auto"/>
              </w:rPr>
              <w:t>Trust preferred</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w:t>
            </w:r>
          </w:p>
        </w:tc>
      </w:tr>
      <w:tr>
        <w:trPr>
          <w:trHeight w:val="233"/>
        </w:trPr>
        <w:tc>
          <w:tcPr>
            <w:tcW w:w="300" w:type="dxa"/>
            <w:vAlign w:val="bottom"/>
            <w:shd w:val="clear" w:color="auto" w:fill="CCEEFF"/>
          </w:tcPr>
          <w:p>
            <w:pPr>
              <w:spacing w:after="0"/>
              <w:rPr>
                <w:sz w:val="20"/>
                <w:szCs w:val="20"/>
                <w:color w:val="auto"/>
              </w:rPr>
            </w:pP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804,808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5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73,545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731,777</w:t>
            </w:r>
          </w:p>
        </w:tc>
      </w:tr>
      <w:tr>
        <w:trPr>
          <w:trHeight w:val="20"/>
        </w:trPr>
        <w:tc>
          <w:tcPr>
            <w:tcW w:w="5040" w:type="dxa"/>
            <w:vAlign w:val="bottom"/>
            <w:tcBorders>
              <w:top w:val="single" w:sz="8" w:color="CCEEFF"/>
            </w:tcBorders>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9"/>
        </w:trPr>
        <w:tc>
          <w:tcPr>
            <w:tcW w:w="5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December 31, 2022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5040" w:type="dxa"/>
            <w:vAlign w:val="bottom"/>
            <w:gridSpan w:val="3"/>
          </w:tcPr>
          <w:p>
            <w:pPr>
              <w:ind w:left="180"/>
              <w:spacing w:after="0"/>
              <w:rPr>
                <w:sz w:val="20"/>
                <w:szCs w:val="20"/>
                <w:color w:val="auto"/>
              </w:rPr>
            </w:pPr>
            <w:r>
              <w:rPr>
                <w:rFonts w:ascii="Arial" w:cs="Arial" w:eastAsia="Arial" w:hAnsi="Arial"/>
                <w:sz w:val="17"/>
                <w:szCs w:val="17"/>
                <w:color w:val="auto"/>
              </w:rPr>
              <w:t>U.S. agency</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13,191</w:t>
            </w:r>
          </w:p>
        </w:tc>
        <w:tc>
          <w:tcPr>
            <w:tcW w:w="100" w:type="dxa"/>
            <w:vAlign w:val="bottom"/>
          </w:tcPr>
          <w:p>
            <w:pPr>
              <w:spacing w:after="0"/>
              <w:rPr>
                <w:sz w:val="22"/>
                <w:szCs w:val="22"/>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10</w:t>
            </w:r>
          </w:p>
        </w:tc>
        <w:tc>
          <w:tcPr>
            <w:tcW w:w="5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1,100</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12,101</w:t>
            </w:r>
          </w:p>
        </w:tc>
      </w:tr>
      <w:tr>
        <w:trPr>
          <w:trHeight w:val="259"/>
        </w:trPr>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U.S. agency residential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10,261</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90,458</w:t>
            </w:r>
          </w:p>
        </w:tc>
      </w:tr>
      <w:tr>
        <w:trPr>
          <w:trHeight w:val="257"/>
        </w:trPr>
        <w:tc>
          <w:tcPr>
            <w:tcW w:w="5040" w:type="dxa"/>
            <w:vAlign w:val="bottom"/>
            <w:gridSpan w:val="3"/>
          </w:tcPr>
          <w:p>
            <w:pPr>
              <w:ind w:left="180"/>
              <w:spacing w:after="0"/>
              <w:rPr>
                <w:sz w:val="20"/>
                <w:szCs w:val="20"/>
                <w:color w:val="auto"/>
              </w:rPr>
            </w:pPr>
            <w:r>
              <w:rPr>
                <w:rFonts w:ascii="Arial" w:cs="Arial" w:eastAsia="Arial" w:hAnsi="Arial"/>
                <w:sz w:val="17"/>
                <w:szCs w:val="17"/>
                <w:color w:val="auto"/>
              </w:rPr>
              <w:t>U.S. agency commercial mortgage-backed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15,047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1,594</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13,453</w:t>
            </w:r>
          </w:p>
        </w:tc>
      </w:tr>
      <w:tr>
        <w:trPr>
          <w:trHeight w:val="259"/>
        </w:trPr>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Private label mortgage-backed</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102,196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8,596</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93,845</w:t>
            </w:r>
          </w:p>
        </w:tc>
      </w:tr>
      <w:tr>
        <w:trPr>
          <w:trHeight w:val="257"/>
        </w:trPr>
        <w:tc>
          <w:tcPr>
            <w:tcW w:w="5040" w:type="dxa"/>
            <w:vAlign w:val="bottom"/>
            <w:gridSpan w:val="3"/>
          </w:tcPr>
          <w:p>
            <w:pPr>
              <w:ind w:left="180"/>
              <w:spacing w:after="0"/>
              <w:rPr>
                <w:sz w:val="20"/>
                <w:szCs w:val="20"/>
                <w:color w:val="auto"/>
              </w:rPr>
            </w:pPr>
            <w:r>
              <w:rPr>
                <w:rFonts w:ascii="Arial" w:cs="Arial" w:eastAsia="Arial" w:hAnsi="Arial"/>
                <w:sz w:val="17"/>
                <w:szCs w:val="17"/>
                <w:color w:val="auto"/>
              </w:rPr>
              <w:t>Other asset backed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200,755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6,030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194,725</w:t>
            </w:r>
          </w:p>
        </w:tc>
      </w:tr>
      <w:tr>
        <w:trPr>
          <w:trHeight w:val="259"/>
        </w:trPr>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Obligations of states and political subdivisions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346,187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50,565</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295,677</w:t>
            </w:r>
          </w:p>
        </w:tc>
      </w:tr>
      <w:tr>
        <w:trPr>
          <w:trHeight w:val="257"/>
        </w:trPr>
        <w:tc>
          <w:tcPr>
            <w:tcW w:w="5040" w:type="dxa"/>
            <w:vAlign w:val="bottom"/>
            <w:gridSpan w:val="3"/>
          </w:tcPr>
          <w:p>
            <w:pPr>
              <w:ind w:left="180"/>
              <w:spacing w:after="0"/>
              <w:rPr>
                <w:sz w:val="20"/>
                <w:szCs w:val="20"/>
                <w:color w:val="auto"/>
              </w:rPr>
            </w:pPr>
            <w:r>
              <w:rPr>
                <w:rFonts w:ascii="Arial" w:cs="Arial" w:eastAsia="Arial" w:hAnsi="Arial"/>
                <w:sz w:val="17"/>
                <w:szCs w:val="17"/>
                <w:color w:val="auto"/>
              </w:rPr>
              <w:t>Corporate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87,308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9,151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78,157</w:t>
            </w:r>
          </w:p>
        </w:tc>
      </w:tr>
      <w:tr>
        <w:trPr>
          <w:trHeight w:val="252"/>
        </w:trPr>
        <w:tc>
          <w:tcPr>
            <w:tcW w:w="50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Trust preferred</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931</w:t>
            </w:r>
          </w:p>
        </w:tc>
      </w:tr>
      <w:tr>
        <w:trPr>
          <w:trHeight w:val="219"/>
        </w:trPr>
        <w:tc>
          <w:tcPr>
            <w:tcW w:w="30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866,363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329</w:t>
            </w:r>
          </w:p>
        </w:tc>
        <w:tc>
          <w:tcPr>
            <w:tcW w:w="56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87,345</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779,347</w:t>
            </w: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854"/>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774"/>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0"/>
        </w:trPr>
        <w:tc>
          <w:tcPr>
            <w:tcW w:w="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Securities held to maturity (“HTM”) consist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14"/>
              <w:spacing w:after="0"/>
              <w:rPr>
                <w:sz w:val="20"/>
                <w:szCs w:val="20"/>
                <w:color w:val="auto"/>
              </w:rPr>
            </w:pPr>
            <w:r>
              <w:rPr>
                <w:rFonts w:ascii="Arial" w:cs="Arial" w:eastAsia="Arial" w:hAnsi="Arial"/>
                <w:sz w:val="17"/>
                <w:szCs w:val="17"/>
                <w:color w:val="auto"/>
                <w:w w:val="91"/>
              </w:rPr>
              <w:t>Transferred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4"/>
            <w:vMerge w:val="restart"/>
          </w:tcPr>
          <w:p>
            <w:pPr>
              <w:jc w:val="right"/>
              <w:ind w:right="714"/>
              <w:spacing w:after="0"/>
              <w:rPr>
                <w:sz w:val="20"/>
                <w:szCs w:val="20"/>
                <w:color w:val="auto"/>
              </w:rPr>
            </w:pPr>
            <w:r>
              <w:rPr>
                <w:rFonts w:ascii="Arial" w:cs="Arial" w:eastAsia="Arial" w:hAnsi="Arial"/>
                <w:sz w:val="17"/>
                <w:szCs w:val="17"/>
                <w:color w:val="auto"/>
              </w:rPr>
              <w:t>Unrealized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74"/>
              <w:spacing w:after="0" w:line="180" w:lineRule="exact"/>
              <w:rPr>
                <w:sz w:val="20"/>
                <w:szCs w:val="20"/>
                <w:color w:val="auto"/>
              </w:rPr>
            </w:pPr>
            <w:r>
              <w:rPr>
                <w:rFonts w:ascii="Arial" w:cs="Arial" w:eastAsia="Arial" w:hAnsi="Arial"/>
                <w:sz w:val="17"/>
                <w:szCs w:val="17"/>
                <w:color w:val="auto"/>
              </w:rPr>
              <w:t>Carrying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14"/>
              <w:spacing w:after="0" w:line="180" w:lineRule="exact"/>
              <w:rPr>
                <w:sz w:val="20"/>
                <w:szCs w:val="20"/>
                <w:color w:val="auto"/>
              </w:rPr>
            </w:pPr>
            <w:r>
              <w:rPr>
                <w:rFonts w:ascii="Arial" w:cs="Arial" w:eastAsia="Arial" w:hAnsi="Arial"/>
                <w:sz w:val="17"/>
                <w:szCs w:val="17"/>
                <w:color w:val="auto"/>
                <w:w w:val="93"/>
              </w:rPr>
              <w:t>Unrealized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80" w:lineRule="exact"/>
              <w:rPr>
                <w:sz w:val="20"/>
                <w:szCs w:val="20"/>
                <w:color w:val="auto"/>
              </w:rPr>
            </w:pPr>
            <w:r>
              <w:rPr>
                <w:rFonts w:ascii="Arial" w:cs="Arial" w:eastAsia="Arial" w:hAnsi="Arial"/>
                <w:sz w:val="17"/>
                <w:szCs w:val="17"/>
                <w:color w:val="auto"/>
                <w:w w:val="96"/>
              </w:rPr>
              <w:t>Amortized</w:t>
            </w:r>
          </w:p>
        </w:tc>
        <w:tc>
          <w:tcPr>
            <w:tcW w:w="2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94"/>
              <w:spacing w:after="0"/>
              <w:rPr>
                <w:sz w:val="20"/>
                <w:szCs w:val="20"/>
                <w:color w:val="auto"/>
              </w:rPr>
            </w:pPr>
            <w:r>
              <w:rPr>
                <w:rFonts w:ascii="Arial" w:cs="Arial" w:eastAsia="Arial" w:hAnsi="Arial"/>
                <w:sz w:val="17"/>
                <w:szCs w:val="17"/>
                <w:color w:val="auto"/>
              </w:rPr>
              <w:t>Value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center"/>
              <w:ind w:right="94"/>
              <w:spacing w:after="0"/>
              <w:rPr>
                <w:sz w:val="20"/>
                <w:szCs w:val="20"/>
                <w:color w:val="auto"/>
              </w:rPr>
            </w:pPr>
            <w:r>
              <w:rPr>
                <w:rFonts w:ascii="Arial" w:cs="Arial" w:eastAsia="Arial" w:hAnsi="Arial"/>
                <w:sz w:val="17"/>
                <w:szCs w:val="17"/>
                <w:color w:val="auto"/>
                <w:w w:val="94"/>
              </w:rPr>
              <w:t>Loss (1)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4"/>
              <w:spacing w:after="0"/>
              <w:rPr>
                <w:sz w:val="20"/>
                <w:szCs w:val="20"/>
                <w:color w:val="auto"/>
              </w:rPr>
            </w:pPr>
            <w:r>
              <w:rPr>
                <w:rFonts w:ascii="Arial" w:cs="Arial" w:eastAsia="Arial" w:hAnsi="Arial"/>
                <w:sz w:val="17"/>
                <w:szCs w:val="17"/>
                <w:color w:val="auto"/>
              </w:rPr>
              <w:t>ACL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Cost</w:t>
            </w:r>
          </w:p>
        </w:tc>
        <w:tc>
          <w:tcPr>
            <w:tcW w:w="220" w:type="dxa"/>
            <w:vAlign w:val="bottom"/>
          </w:tcPr>
          <w:p>
            <w:pPr>
              <w:spacing w:after="0"/>
              <w:rPr>
                <w:sz w:val="19"/>
                <w:szCs w:val="19"/>
                <w:color w:val="auto"/>
              </w:rPr>
            </w:pPr>
          </w:p>
        </w:tc>
        <w:tc>
          <w:tcPr>
            <w:tcW w:w="900" w:type="dxa"/>
            <w:vAlign w:val="bottom"/>
          </w:tcPr>
          <w:p>
            <w:pPr>
              <w:ind w:left="140"/>
              <w:spacing w:after="0"/>
              <w:rPr>
                <w:sz w:val="20"/>
                <w:szCs w:val="20"/>
                <w:color w:val="auto"/>
              </w:rPr>
            </w:pPr>
            <w:r>
              <w:rPr>
                <w:rFonts w:ascii="Arial" w:cs="Arial" w:eastAsia="Arial" w:hAnsi="Arial"/>
                <w:sz w:val="17"/>
                <w:szCs w:val="17"/>
                <w:color w:val="auto"/>
              </w:rPr>
              <w:t>Gains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54"/>
              <w:spacing w:after="0"/>
              <w:rPr>
                <w:sz w:val="20"/>
                <w:szCs w:val="20"/>
                <w:color w:val="auto"/>
              </w:rPr>
            </w:pPr>
            <w:r>
              <w:rPr>
                <w:rFonts w:ascii="Arial" w:cs="Arial" w:eastAsia="Arial" w:hAnsi="Arial"/>
                <w:sz w:val="17"/>
                <w:szCs w:val="17"/>
                <w:color w:val="auto"/>
              </w:rPr>
              <w:t>Losses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Arial" w:cs="Arial" w:eastAsia="Arial" w:hAnsi="Arial"/>
                <w:sz w:val="17"/>
                <w:szCs w:val="17"/>
                <w:color w:val="auto"/>
                <w:w w:val="98"/>
              </w:rPr>
              <w:t>Fair Value</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20" w:type="dxa"/>
            <w:vAlign w:val="bottom"/>
            <w:gridSpan w:val="4"/>
          </w:tcPr>
          <w:p>
            <w:pPr>
              <w:ind w:left="60"/>
              <w:spacing w:after="0"/>
              <w:rPr>
                <w:sz w:val="20"/>
                <w:szCs w:val="20"/>
                <w:color w:val="auto"/>
              </w:rPr>
            </w:pPr>
            <w:r>
              <w:rPr>
                <w:rFonts w:ascii="Arial" w:cs="Arial" w:eastAsia="Arial" w:hAnsi="Arial"/>
                <w:sz w:val="17"/>
                <w:szCs w:val="17"/>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560" w:type="dxa"/>
            <w:vAlign w:val="bottom"/>
          </w:tcPr>
          <w:p>
            <w:pPr>
              <w:ind w:left="20"/>
              <w:spacing w:after="0"/>
              <w:rPr>
                <w:sz w:val="20"/>
                <w:szCs w:val="20"/>
                <w:color w:val="auto"/>
              </w:rPr>
            </w:pPr>
            <w:r>
              <w:rPr>
                <w:rFonts w:ascii="Arial" w:cs="Arial" w:eastAsia="Arial" w:hAnsi="Arial"/>
                <w:sz w:val="17"/>
                <w:szCs w:val="17"/>
                <w:color w:val="auto"/>
              </w:rPr>
              <w:t>June 30, 2023</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 agency</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26,748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23,457</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8" w:lineRule="exact"/>
              <w:rPr>
                <w:sz w:val="20"/>
                <w:szCs w:val="20"/>
                <w:color w:val="auto"/>
              </w:rPr>
            </w:pPr>
            <w:r>
              <w:rPr>
                <w:rFonts w:ascii="Arial" w:cs="Arial" w:eastAsia="Arial" w:hAnsi="Arial"/>
                <w:sz w:val="17"/>
                <w:szCs w:val="17"/>
                <w:color w:val="auto"/>
                <w:w w:val="91"/>
              </w:rPr>
              <w:t>U.S. agency residential mortgage-</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113,398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10,277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123,675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ind w:left="6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24,667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99,008</w:t>
            </w:r>
          </w:p>
        </w:tc>
        <w:tc>
          <w:tcPr>
            <w:tcW w:w="0" w:type="dxa"/>
            <w:vAlign w:val="bottom"/>
          </w:tcPr>
          <w:p>
            <w:pPr>
              <w:spacing w:after="0"/>
              <w:rPr>
                <w:sz w:val="1"/>
                <w:szCs w:val="1"/>
                <w:color w:val="auto"/>
              </w:rPr>
            </w:pPr>
          </w:p>
        </w:tc>
      </w:tr>
      <w:tr>
        <w:trPr>
          <w:trHeight w:val="224"/>
        </w:trPr>
        <w:tc>
          <w:tcPr>
            <w:tcW w:w="2560" w:type="dxa"/>
            <w:vAlign w:val="bottom"/>
          </w:tcPr>
          <w:p>
            <w:pPr>
              <w:ind w:left="320"/>
              <w:spacing w:after="0"/>
              <w:rPr>
                <w:sz w:val="20"/>
                <w:szCs w:val="20"/>
                <w:color w:val="auto"/>
              </w:rPr>
            </w:pPr>
            <w:r>
              <w:rPr>
                <w:rFonts w:ascii="Arial" w:cs="Arial" w:eastAsia="Arial" w:hAnsi="Arial"/>
                <w:sz w:val="17"/>
                <w:szCs w:val="17"/>
                <w:color w:val="auto"/>
              </w:rPr>
              <w:t>backed</w:t>
            </w: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180"/>
              <w:spacing w:after="0" w:line="176" w:lineRule="exact"/>
              <w:rPr>
                <w:sz w:val="20"/>
                <w:szCs w:val="20"/>
                <w:color w:val="auto"/>
              </w:rPr>
            </w:pPr>
            <w:r>
              <w:rPr>
                <w:rFonts w:ascii="Arial" w:cs="Arial" w:eastAsia="Arial" w:hAnsi="Arial"/>
                <w:sz w:val="17"/>
                <w:szCs w:val="17"/>
                <w:color w:val="auto"/>
              </w:rPr>
              <w:t>U.S. agency commercial</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4,722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4,921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4,395</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mortgage-backed</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60" w:type="dxa"/>
            <w:vAlign w:val="bottom"/>
          </w:tcPr>
          <w:p>
            <w:pPr>
              <w:ind w:left="180"/>
              <w:spacing w:after="0"/>
              <w:rPr>
                <w:sz w:val="20"/>
                <w:szCs w:val="20"/>
                <w:color w:val="auto"/>
              </w:rPr>
            </w:pPr>
            <w:r>
              <w:rPr>
                <w:rFonts w:ascii="Arial" w:cs="Arial" w:eastAsia="Arial" w:hAnsi="Arial"/>
                <w:sz w:val="17"/>
                <w:szCs w:val="17"/>
                <w:color w:val="auto"/>
              </w:rPr>
              <w:t>Private label mortgage-backed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6,713</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180"/>
              <w:spacing w:after="0" w:line="176" w:lineRule="exact"/>
              <w:rPr>
                <w:sz w:val="20"/>
                <w:szCs w:val="20"/>
                <w:color w:val="auto"/>
              </w:rPr>
            </w:pPr>
            <w:r>
              <w:rPr>
                <w:rFonts w:ascii="Arial" w:cs="Arial" w:eastAsia="Arial" w:hAnsi="Arial"/>
                <w:sz w:val="17"/>
                <w:szCs w:val="17"/>
                <w:color w:val="auto"/>
                <w:w w:val="94"/>
              </w:rPr>
              <w:t>Obligations of states and political</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162,272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7,711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170,022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ind w:left="66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21,531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148,515</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subdivisions</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60" w:type="dxa"/>
            <w:vAlign w:val="bottom"/>
          </w:tcPr>
          <w:p>
            <w:pPr>
              <w:ind w:left="180"/>
              <w:spacing w:after="0"/>
              <w:rPr>
                <w:sz w:val="20"/>
                <w:szCs w:val="20"/>
                <w:color w:val="auto"/>
              </w:rPr>
            </w:pPr>
            <w:r>
              <w:rPr>
                <w:rFonts w:ascii="Arial" w:cs="Arial" w:eastAsia="Arial" w:hAnsi="Arial"/>
                <w:sz w:val="17"/>
                <w:szCs w:val="17"/>
                <w:color w:val="auto"/>
              </w:rPr>
              <w:t>Corporate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45,569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46,646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38,849</w:t>
            </w:r>
          </w:p>
        </w:tc>
        <w:tc>
          <w:tcPr>
            <w:tcW w:w="0" w:type="dxa"/>
            <w:vAlign w:val="bottom"/>
          </w:tcPr>
          <w:p>
            <w:pPr>
              <w:spacing w:after="0"/>
              <w:rPr>
                <w:sz w:val="1"/>
                <w:szCs w:val="1"/>
                <w:color w:val="auto"/>
              </w:rPr>
            </w:pPr>
          </w:p>
        </w:tc>
      </w:tr>
      <w:tr>
        <w:trPr>
          <w:trHeight w:val="226"/>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Trust preferred</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923</w:t>
            </w:r>
          </w:p>
        </w:tc>
        <w:tc>
          <w:tcPr>
            <w:tcW w:w="0" w:type="dxa"/>
            <w:vAlign w:val="bottom"/>
          </w:tcPr>
          <w:p>
            <w:pPr>
              <w:spacing w:after="0"/>
              <w:rPr>
                <w:sz w:val="1"/>
                <w:szCs w:val="1"/>
                <w:color w:val="auto"/>
              </w:rPr>
            </w:pPr>
          </w:p>
        </w:tc>
      </w:tr>
      <w:tr>
        <w:trPr>
          <w:trHeight w:val="213"/>
        </w:trPr>
        <w:tc>
          <w:tcPr>
            <w:tcW w:w="2560" w:type="dxa"/>
            <w:vAlign w:val="bottom"/>
          </w:tcPr>
          <w:p>
            <w:pPr>
              <w:ind w:left="28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360,926</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21,280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160</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382,366</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Pr>
          <w:p>
            <w:pPr>
              <w:ind w:left="660"/>
              <w:spacing w:after="0"/>
              <w:rPr>
                <w:sz w:val="20"/>
                <w:szCs w:val="20"/>
                <w:color w:val="auto"/>
              </w:rPr>
            </w:pPr>
            <w:r>
              <w:rPr>
                <w:rFonts w:ascii="Arial" w:cs="Arial" w:eastAsia="Arial" w:hAnsi="Arial"/>
                <w:sz w:val="17"/>
                <w:szCs w:val="17"/>
                <w:color w:val="auto"/>
              </w:rPr>
              <w:t>39</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60,545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321,860</w:t>
            </w:r>
          </w:p>
        </w:tc>
        <w:tc>
          <w:tcPr>
            <w:tcW w:w="0" w:type="dxa"/>
            <w:vAlign w:val="bottom"/>
          </w:tcPr>
          <w:p>
            <w:pPr>
              <w:spacing w:after="0"/>
              <w:rPr>
                <w:sz w:val="1"/>
                <w:szCs w:val="1"/>
                <w:color w:val="auto"/>
              </w:rPr>
            </w:pP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60" w:type="dxa"/>
            <w:vAlign w:val="bottom"/>
          </w:tcPr>
          <w:p>
            <w:pPr>
              <w:ind w:left="20"/>
              <w:spacing w:after="0"/>
              <w:rPr>
                <w:sz w:val="20"/>
                <w:szCs w:val="20"/>
                <w:color w:val="auto"/>
              </w:rPr>
            </w:pPr>
            <w:r>
              <w:rPr>
                <w:rFonts w:ascii="Arial" w:cs="Arial" w:eastAsia="Arial" w:hAnsi="Arial"/>
                <w:sz w:val="17"/>
                <w:szCs w:val="17"/>
                <w:color w:val="auto"/>
              </w:rPr>
              <w:t>December 31, 2022</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U.S. agency</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27,634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24,407</w:t>
            </w:r>
          </w:p>
        </w:tc>
        <w:tc>
          <w:tcPr>
            <w:tcW w:w="0" w:type="dxa"/>
            <w:vAlign w:val="bottom"/>
          </w:tcPr>
          <w:p>
            <w:pPr>
              <w:spacing w:after="0"/>
              <w:rPr>
                <w:sz w:val="1"/>
                <w:szCs w:val="1"/>
                <w:color w:val="auto"/>
              </w:rPr>
            </w:pPr>
          </w:p>
        </w:tc>
      </w:tr>
      <w:tr>
        <w:trPr>
          <w:trHeight w:val="168"/>
        </w:trPr>
        <w:tc>
          <w:tcPr>
            <w:tcW w:w="2560" w:type="dxa"/>
            <w:vAlign w:val="bottom"/>
          </w:tcPr>
          <w:p>
            <w:pPr>
              <w:ind w:left="180"/>
              <w:spacing w:after="0" w:line="168" w:lineRule="exact"/>
              <w:rPr>
                <w:sz w:val="20"/>
                <w:szCs w:val="20"/>
                <w:color w:val="auto"/>
              </w:rPr>
            </w:pPr>
            <w:r>
              <w:rPr>
                <w:rFonts w:ascii="Arial" w:cs="Arial" w:eastAsia="Arial" w:hAnsi="Arial"/>
                <w:sz w:val="17"/>
                <w:szCs w:val="17"/>
                <w:color w:val="auto"/>
                <w:w w:val="91"/>
              </w:rPr>
              <w:t>U.S. agency residential mortgage-</w:t>
            </w:r>
          </w:p>
        </w:tc>
        <w:tc>
          <w:tcPr>
            <w:tcW w:w="1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117,650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10,845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128,495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vMerge w:val="restart"/>
          </w:tcPr>
          <w:p>
            <w:pPr>
              <w:ind w:left="6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25,239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103,256</w:t>
            </w:r>
          </w:p>
        </w:tc>
        <w:tc>
          <w:tcPr>
            <w:tcW w:w="0" w:type="dxa"/>
            <w:vAlign w:val="bottom"/>
          </w:tcPr>
          <w:p>
            <w:pPr>
              <w:spacing w:after="0"/>
              <w:rPr>
                <w:sz w:val="1"/>
                <w:szCs w:val="1"/>
                <w:color w:val="auto"/>
              </w:rPr>
            </w:pPr>
          </w:p>
        </w:tc>
      </w:tr>
      <w:tr>
        <w:trPr>
          <w:trHeight w:val="224"/>
        </w:trPr>
        <w:tc>
          <w:tcPr>
            <w:tcW w:w="2560" w:type="dxa"/>
            <w:vAlign w:val="bottom"/>
          </w:tcPr>
          <w:p>
            <w:pPr>
              <w:ind w:left="320"/>
              <w:spacing w:after="0"/>
              <w:rPr>
                <w:sz w:val="20"/>
                <w:szCs w:val="20"/>
                <w:color w:val="auto"/>
              </w:rPr>
            </w:pPr>
            <w:r>
              <w:rPr>
                <w:rFonts w:ascii="Arial" w:cs="Arial" w:eastAsia="Arial" w:hAnsi="Arial"/>
                <w:sz w:val="17"/>
                <w:szCs w:val="17"/>
                <w:color w:val="auto"/>
              </w:rPr>
              <w:t>backed</w:t>
            </w: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180"/>
              <w:spacing w:after="0" w:line="176" w:lineRule="exact"/>
              <w:rPr>
                <w:sz w:val="20"/>
                <w:szCs w:val="20"/>
                <w:color w:val="auto"/>
              </w:rPr>
            </w:pPr>
            <w:r>
              <w:rPr>
                <w:rFonts w:ascii="Arial" w:cs="Arial" w:eastAsia="Arial" w:hAnsi="Arial"/>
                <w:sz w:val="17"/>
                <w:szCs w:val="17"/>
                <w:color w:val="auto"/>
              </w:rPr>
              <w:t>U.S. agency commercial</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4,798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5,026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4,430</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mortgage-backed</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60" w:type="dxa"/>
            <w:vAlign w:val="bottom"/>
          </w:tcPr>
          <w:p>
            <w:pPr>
              <w:ind w:left="180"/>
              <w:spacing w:after="0"/>
              <w:rPr>
                <w:sz w:val="20"/>
                <w:szCs w:val="20"/>
                <w:color w:val="auto"/>
              </w:rPr>
            </w:pPr>
            <w:r>
              <w:rPr>
                <w:rFonts w:ascii="Arial" w:cs="Arial" w:eastAsia="Arial" w:hAnsi="Arial"/>
                <w:sz w:val="17"/>
                <w:szCs w:val="17"/>
                <w:color w:val="auto"/>
              </w:rPr>
              <w:t>Private label mortgage-backed</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6,662</w:t>
            </w:r>
          </w:p>
        </w:tc>
        <w:tc>
          <w:tcPr>
            <w:tcW w:w="0" w:type="dxa"/>
            <w:vAlign w:val="bottom"/>
          </w:tcPr>
          <w:p>
            <w:pPr>
              <w:spacing w:after="0"/>
              <w:rPr>
                <w:sz w:val="1"/>
                <w:szCs w:val="1"/>
                <w:color w:val="auto"/>
              </w:rPr>
            </w:pPr>
          </w:p>
        </w:tc>
      </w:tr>
      <w:tr>
        <w:trPr>
          <w:trHeight w:val="175"/>
        </w:trPr>
        <w:tc>
          <w:tcPr>
            <w:tcW w:w="2560" w:type="dxa"/>
            <w:vAlign w:val="bottom"/>
            <w:shd w:val="clear" w:color="auto" w:fill="CCEEFF"/>
          </w:tcPr>
          <w:p>
            <w:pPr>
              <w:ind w:left="180"/>
              <w:spacing w:after="0" w:line="176" w:lineRule="exact"/>
              <w:rPr>
                <w:sz w:val="20"/>
                <w:szCs w:val="20"/>
                <w:color w:val="auto"/>
              </w:rPr>
            </w:pPr>
            <w:r>
              <w:rPr>
                <w:rFonts w:ascii="Arial" w:cs="Arial" w:eastAsia="Arial" w:hAnsi="Arial"/>
                <w:sz w:val="17"/>
                <w:szCs w:val="17"/>
                <w:color w:val="auto"/>
                <w:w w:val="94"/>
              </w:rPr>
              <w:t>Obligations of states and political</w:t>
            </w:r>
          </w:p>
        </w:tc>
        <w:tc>
          <w:tcPr>
            <w:tcW w:w="1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168,134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8,555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176,728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ind w:left="66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25,591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151,148</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subdivisions</w:t>
            </w:r>
          </w:p>
        </w:tc>
        <w:tc>
          <w:tcPr>
            <w:tcW w:w="1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60" w:type="dxa"/>
            <w:vAlign w:val="bottom"/>
          </w:tcPr>
          <w:p>
            <w:pPr>
              <w:ind w:left="180"/>
              <w:spacing w:after="0"/>
              <w:rPr>
                <w:sz w:val="20"/>
                <w:szCs w:val="20"/>
                <w:color w:val="auto"/>
              </w:rPr>
            </w:pPr>
            <w:r>
              <w:rPr>
                <w:rFonts w:ascii="Arial" w:cs="Arial" w:eastAsia="Arial" w:hAnsi="Arial"/>
                <w:sz w:val="17"/>
                <w:szCs w:val="17"/>
                <w:color w:val="auto"/>
              </w:rPr>
              <w:t>Corporate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49,671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ind w:left="6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44,515</w:t>
            </w:r>
          </w:p>
        </w:tc>
        <w:tc>
          <w:tcPr>
            <w:tcW w:w="0" w:type="dxa"/>
            <w:vAlign w:val="bottom"/>
          </w:tcPr>
          <w:p>
            <w:pPr>
              <w:spacing w:after="0"/>
              <w:rPr>
                <w:sz w:val="1"/>
                <w:szCs w:val="1"/>
                <w:color w:val="auto"/>
              </w:rPr>
            </w:pPr>
          </w:p>
        </w:tc>
      </w:tr>
      <w:tr>
        <w:trPr>
          <w:trHeight w:val="226"/>
        </w:trPr>
        <w:tc>
          <w:tcPr>
            <w:tcW w:w="2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Trust preferred</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13"/>
        </w:trPr>
        <w:tc>
          <w:tcPr>
            <w:tcW w:w="2560" w:type="dxa"/>
            <w:vAlign w:val="bottom"/>
          </w:tcPr>
          <w:p>
            <w:pPr>
              <w:ind w:left="28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374,818</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23,066</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168</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398,052</w:t>
            </w: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00" w:type="dxa"/>
            <w:vAlign w:val="bottom"/>
          </w:tcPr>
          <w:p>
            <w:pPr>
              <w:ind w:left="660"/>
              <w:spacing w:after="0"/>
              <w:rPr>
                <w:sz w:val="20"/>
                <w:szCs w:val="20"/>
                <w:color w:val="auto"/>
              </w:rPr>
            </w:pPr>
            <w:r>
              <w:rPr>
                <w:rFonts w:ascii="Arial" w:cs="Arial" w:eastAsia="Arial" w:hAnsi="Arial"/>
                <w:sz w:val="17"/>
                <w:szCs w:val="17"/>
                <w:color w:val="auto"/>
              </w:rPr>
              <w:t>11</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62,645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335,418</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Represents the remaining unrealized loss to be accreted on securities that were transferred from AFS to HTM on April 1, 2022.</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April 1, 2022, we transferred certain securities AFS with an amortized cost and unrealized loss at the date of transfer of $418.1 million and $26.5 million, respectively to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We have the ability and intent to hold these securities until they mature, at which time we expect to receive full value for these securities.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investments' gross unrealized losses and fair values for securities AFS aggregated by investment type and length of time that individual securities have been at a continuous unrealized loss position follows:</w:t>
      </w:r>
    </w:p>
    <w:p>
      <w:pPr>
        <w:spacing w:after="0" w:line="177" w:lineRule="exact"/>
        <w:rPr>
          <w:sz w:val="20"/>
          <w:szCs w:val="20"/>
          <w:color w:val="auto"/>
        </w:rPr>
      </w:pPr>
    </w:p>
    <w:tbl>
      <w:tblPr>
        <w:tblLayout w:type="fixed"/>
        <w:tblInd w:w="2680" w:type="dxa"/>
        <w:tblCellMar>
          <w:top w:w="0" w:type="dxa"/>
          <w:left w:w="0" w:type="dxa"/>
          <w:bottom w:w="0" w:type="dxa"/>
          <w:right w:w="0" w:type="dxa"/>
        </w:tblCellMar>
      </w:tblPr>
      <w:tr>
        <w:trPr>
          <w:trHeight w:val="218"/>
        </w:trPr>
        <w:tc>
          <w:tcPr>
            <w:tcW w:w="2780" w:type="dxa"/>
            <w:vAlign w:val="bottom"/>
            <w:tcBorders>
              <w:bottom w:val="single" w:sz="8" w:color="auto"/>
            </w:tcBorders>
            <w:gridSpan w:val="2"/>
          </w:tcPr>
          <w:p>
            <w:pPr>
              <w:ind w:left="480"/>
              <w:spacing w:after="0"/>
              <w:rPr>
                <w:sz w:val="20"/>
                <w:szCs w:val="20"/>
                <w:color w:val="auto"/>
              </w:rPr>
            </w:pPr>
            <w:r>
              <w:rPr>
                <w:rFonts w:ascii="Arial" w:cs="Arial" w:eastAsia="Arial" w:hAnsi="Arial"/>
                <w:sz w:val="17"/>
                <w:szCs w:val="17"/>
                <w:color w:val="auto"/>
              </w:rPr>
              <w:t>Less Than Twelve Months</w:t>
            </w:r>
          </w:p>
        </w:tc>
        <w:tc>
          <w:tcPr>
            <w:tcW w:w="100" w:type="dxa"/>
            <w:vAlign w:val="bottom"/>
          </w:tcPr>
          <w:p>
            <w:pPr>
              <w:spacing w:after="0"/>
              <w:rPr>
                <w:sz w:val="18"/>
                <w:szCs w:val="18"/>
                <w:color w:val="auto"/>
              </w:rPr>
            </w:pPr>
          </w:p>
        </w:tc>
        <w:tc>
          <w:tcPr>
            <w:tcW w:w="280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Twelve Months or More</w:t>
            </w:r>
          </w:p>
        </w:tc>
        <w:tc>
          <w:tcPr>
            <w:tcW w:w="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162"/>
        </w:trPr>
        <w:tc>
          <w:tcPr>
            <w:tcW w:w="1380" w:type="dxa"/>
            <w:vAlign w:val="bottom"/>
            <w:vMerge w:val="restart"/>
          </w:tcPr>
          <w:p>
            <w:pPr>
              <w:ind w:left="320"/>
              <w:spacing w:after="0"/>
              <w:rPr>
                <w:sz w:val="20"/>
                <w:szCs w:val="20"/>
                <w:color w:val="auto"/>
              </w:rPr>
            </w:pPr>
            <w:r>
              <w:rPr>
                <w:rFonts w:ascii="Arial" w:cs="Arial" w:eastAsia="Arial" w:hAnsi="Arial"/>
                <w:sz w:val="17"/>
                <w:szCs w:val="17"/>
                <w:color w:val="auto"/>
              </w:rPr>
              <w:t>Fair Value</w:t>
            </w:r>
          </w:p>
        </w:tc>
        <w:tc>
          <w:tcPr>
            <w:tcW w:w="1400" w:type="dxa"/>
            <w:vAlign w:val="bottom"/>
          </w:tcPr>
          <w:p>
            <w:pPr>
              <w:jc w:val="center"/>
              <w:spacing w:after="0" w:line="162" w:lineRule="exact"/>
              <w:rPr>
                <w:sz w:val="20"/>
                <w:szCs w:val="20"/>
                <w:color w:val="auto"/>
              </w:rPr>
            </w:pPr>
            <w:r>
              <w:rPr>
                <w:rFonts w:ascii="Arial" w:cs="Arial" w:eastAsia="Arial" w:hAnsi="Arial"/>
                <w:sz w:val="17"/>
                <w:szCs w:val="17"/>
                <w:color w:val="auto"/>
                <w:w w:val="91"/>
              </w:rPr>
              <w:t>Unrealized</w:t>
            </w:r>
          </w:p>
        </w:tc>
        <w:tc>
          <w:tcPr>
            <w:tcW w:w="100" w:type="dxa"/>
            <w:vAlign w:val="bottom"/>
          </w:tcPr>
          <w:p>
            <w:pPr>
              <w:spacing w:after="0"/>
              <w:rPr>
                <w:sz w:val="14"/>
                <w:szCs w:val="14"/>
                <w:color w:val="auto"/>
              </w:rPr>
            </w:pPr>
          </w:p>
        </w:tc>
        <w:tc>
          <w:tcPr>
            <w:tcW w:w="1380" w:type="dxa"/>
            <w:vAlign w:val="bottom"/>
            <w:vMerge w:val="restart"/>
          </w:tcPr>
          <w:p>
            <w:pPr>
              <w:ind w:left="320"/>
              <w:spacing w:after="0"/>
              <w:rPr>
                <w:sz w:val="20"/>
                <w:szCs w:val="20"/>
                <w:color w:val="auto"/>
              </w:rPr>
            </w:pPr>
            <w:r>
              <w:rPr>
                <w:rFonts w:ascii="Arial" w:cs="Arial" w:eastAsia="Arial" w:hAnsi="Arial"/>
                <w:sz w:val="17"/>
                <w:szCs w:val="17"/>
                <w:color w:val="auto"/>
              </w:rPr>
              <w:t>Fair Value</w:t>
            </w:r>
          </w:p>
        </w:tc>
        <w:tc>
          <w:tcPr>
            <w:tcW w:w="1420" w:type="dxa"/>
            <w:vAlign w:val="bottom"/>
          </w:tcPr>
          <w:p>
            <w:pPr>
              <w:jc w:val="center"/>
              <w:spacing w:after="0" w:line="162" w:lineRule="exact"/>
              <w:rPr>
                <w:sz w:val="20"/>
                <w:szCs w:val="20"/>
                <w:color w:val="auto"/>
              </w:rPr>
            </w:pPr>
            <w:r>
              <w:rPr>
                <w:rFonts w:ascii="Arial" w:cs="Arial" w:eastAsia="Arial" w:hAnsi="Arial"/>
                <w:sz w:val="17"/>
                <w:szCs w:val="17"/>
                <w:color w:val="auto"/>
                <w:w w:val="93"/>
              </w:rPr>
              <w:t>Unrealized</w:t>
            </w:r>
          </w:p>
        </w:tc>
        <w:tc>
          <w:tcPr>
            <w:tcW w:w="80" w:type="dxa"/>
            <w:vAlign w:val="bottom"/>
          </w:tcPr>
          <w:p>
            <w:pPr>
              <w:spacing w:after="0"/>
              <w:rPr>
                <w:sz w:val="14"/>
                <w:szCs w:val="14"/>
                <w:color w:val="auto"/>
              </w:rPr>
            </w:pPr>
          </w:p>
        </w:tc>
        <w:tc>
          <w:tcPr>
            <w:tcW w:w="1140" w:type="dxa"/>
            <w:vAlign w:val="bottom"/>
            <w:vMerge w:val="restart"/>
          </w:tcPr>
          <w:p>
            <w:pPr>
              <w:ind w:left="320"/>
              <w:spacing w:after="0"/>
              <w:rPr>
                <w:sz w:val="20"/>
                <w:szCs w:val="20"/>
                <w:color w:val="auto"/>
              </w:rPr>
            </w:pPr>
            <w:r>
              <w:rPr>
                <w:rFonts w:ascii="Arial" w:cs="Arial" w:eastAsia="Arial" w:hAnsi="Arial"/>
                <w:sz w:val="17"/>
                <w:szCs w:val="17"/>
                <w:color w:val="auto"/>
              </w:rPr>
              <w:t>Fair Value</w:t>
            </w:r>
          </w:p>
        </w:tc>
        <w:tc>
          <w:tcPr>
            <w:tcW w:w="1660" w:type="dxa"/>
            <w:vAlign w:val="bottom"/>
          </w:tcPr>
          <w:p>
            <w:pPr>
              <w:jc w:val="center"/>
              <w:ind w:left="234"/>
              <w:spacing w:after="0" w:line="162" w:lineRule="exact"/>
              <w:rPr>
                <w:sz w:val="20"/>
                <w:szCs w:val="20"/>
                <w:color w:val="auto"/>
              </w:rPr>
            </w:pPr>
            <w:r>
              <w:rPr>
                <w:rFonts w:ascii="Arial" w:cs="Arial" w:eastAsia="Arial" w:hAnsi="Arial"/>
                <w:sz w:val="17"/>
                <w:szCs w:val="17"/>
                <w:color w:val="auto"/>
                <w:w w:val="91"/>
              </w:rPr>
              <w:t>Unrealized</w:t>
            </w:r>
          </w:p>
        </w:tc>
        <w:tc>
          <w:tcPr>
            <w:tcW w:w="0" w:type="dxa"/>
            <w:vAlign w:val="bottom"/>
          </w:tcPr>
          <w:p>
            <w:pPr>
              <w:spacing w:after="0"/>
              <w:rPr>
                <w:sz w:val="1"/>
                <w:szCs w:val="1"/>
                <w:color w:val="auto"/>
              </w:rPr>
            </w:pPr>
          </w:p>
        </w:tc>
      </w:tr>
      <w:tr>
        <w:trPr>
          <w:trHeight w:val="217"/>
        </w:trPr>
        <w:tc>
          <w:tcPr>
            <w:tcW w:w="1380" w:type="dxa"/>
            <w:vAlign w:val="bottom"/>
            <w:vMerge w:val="continue"/>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85"/>
              </w:rPr>
              <w:t>Losses</w:t>
            </w: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7"/>
                <w:szCs w:val="17"/>
                <w:color w:val="auto"/>
                <w:w w:val="89"/>
              </w:rPr>
              <w:t>Losses</w:t>
            </w:r>
          </w:p>
        </w:tc>
        <w:tc>
          <w:tcPr>
            <w:tcW w:w="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660" w:type="dxa"/>
            <w:vAlign w:val="bottom"/>
          </w:tcPr>
          <w:p>
            <w:pPr>
              <w:jc w:val="center"/>
              <w:ind w:left="234"/>
              <w:spacing w:after="0"/>
              <w:rPr>
                <w:sz w:val="20"/>
                <w:szCs w:val="20"/>
                <w:color w:val="auto"/>
              </w:rPr>
            </w:pPr>
            <w:r>
              <w:rPr>
                <w:rFonts w:ascii="Arial" w:cs="Arial" w:eastAsia="Arial" w:hAnsi="Arial"/>
                <w:sz w:val="17"/>
                <w:szCs w:val="17"/>
                <w:color w:val="auto"/>
                <w:w w:val="85"/>
              </w:rPr>
              <w:t>Losses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8890</wp:posOffset>
            </wp:positionV>
            <wp:extent cx="5443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43855" cy="8255"/>
                    </a:xfrm>
                    <a:prstGeom prst="rect">
                      <a:avLst/>
                    </a:prstGeom>
                    <a:noFill/>
                  </pic:spPr>
                </pic:pic>
              </a:graphicData>
            </a:graphic>
          </wp:anchor>
        </w:drawing>
      </w:r>
    </w:p>
    <w:p>
      <w:pPr>
        <w:spacing w:after="0" w:line="8"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(In thousands)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p>
      <w:pPr>
        <w:spacing w:after="0" w:line="37" w:lineRule="exact"/>
        <w:rPr>
          <w:sz w:val="20"/>
          <w:szCs w:val="20"/>
          <w:color w:val="auto"/>
        </w:rPr>
      </w:pPr>
    </w:p>
    <w:p>
      <w:pPr>
        <w:ind w:left="180"/>
        <w:spacing w:after="0"/>
        <w:tabs>
          <w:tab w:leader="none" w:pos="2660" w:val="left"/>
        </w:tabs>
        <w:rPr>
          <w:sz w:val="20"/>
          <w:szCs w:val="20"/>
          <w:color w:val="auto"/>
        </w:rPr>
      </w:pPr>
      <w:r>
        <w:rPr>
          <w:rFonts w:ascii="Arial" w:cs="Arial" w:eastAsia="Arial" w:hAnsi="Arial"/>
          <w:sz w:val="17"/>
          <w:szCs w:val="17"/>
          <w:color w:val="auto"/>
        </w:rPr>
        <w:t>U.S. agency</w:t>
      </w:r>
      <w:r>
        <w:rPr>
          <w:sz w:val="20"/>
          <w:szCs w:val="20"/>
          <w:color w:val="auto"/>
        </w:rPr>
        <w:tab/>
      </w:r>
      <w:r>
        <w:rPr>
          <w:rFonts w:ascii="Arial" w:cs="Arial" w:eastAsia="Arial" w:hAnsi="Arial"/>
          <w:sz w:val="17"/>
          <w:szCs w:val="17"/>
          <w:color w:val="auto"/>
        </w:rPr>
        <w:t>$</w:t>
      </w:r>
    </w:p>
    <w:p>
      <w:pPr>
        <w:spacing w:after="0" w:line="62" w:lineRule="exact"/>
        <w:rPr>
          <w:sz w:val="20"/>
          <w:szCs w:val="20"/>
          <w:color w:val="auto"/>
        </w:rPr>
      </w:pPr>
    </w:p>
    <w:p>
      <w:pPr>
        <w:ind w:left="320" w:right="260" w:hanging="154"/>
        <w:spacing w:after="0" w:line="279" w:lineRule="auto"/>
        <w:rPr>
          <w:sz w:val="20"/>
          <w:szCs w:val="20"/>
          <w:color w:val="auto"/>
        </w:rPr>
      </w:pPr>
      <w:r>
        <w:rPr>
          <w:rFonts w:ascii="Arial" w:cs="Arial" w:eastAsia="Arial" w:hAnsi="Arial"/>
          <w:sz w:val="17"/>
          <w:szCs w:val="17"/>
          <w:color w:val="auto"/>
        </w:rPr>
        <w:t>U.S. agency residential mortgage-backed</w:t>
      </w:r>
    </w:p>
    <w:p>
      <w:pPr>
        <w:spacing w:after="0" w:line="10" w:lineRule="exact"/>
        <w:rPr>
          <w:sz w:val="20"/>
          <w:szCs w:val="20"/>
          <w:color w:val="auto"/>
        </w:rPr>
      </w:pPr>
    </w:p>
    <w:p>
      <w:pPr>
        <w:ind w:left="320" w:right="160" w:hanging="154"/>
        <w:spacing w:after="0" w:line="279" w:lineRule="auto"/>
        <w:rPr>
          <w:sz w:val="20"/>
          <w:szCs w:val="20"/>
          <w:color w:val="auto"/>
        </w:rPr>
      </w:pPr>
      <w:r>
        <w:rPr>
          <w:rFonts w:ascii="Arial" w:cs="Arial" w:eastAsia="Arial" w:hAnsi="Arial"/>
          <w:sz w:val="17"/>
          <w:szCs w:val="17"/>
          <w:color w:val="auto"/>
        </w:rPr>
        <w:t>U.S. agency commercial mortgage-backed</w:t>
      </w:r>
    </w:p>
    <w:p>
      <w:pPr>
        <w:spacing w:after="0" w:line="10" w:lineRule="exact"/>
        <w:rPr>
          <w:sz w:val="20"/>
          <w:szCs w:val="20"/>
          <w:color w:val="auto"/>
        </w:rPr>
      </w:pPr>
    </w:p>
    <w:p>
      <w:pPr>
        <w:ind w:left="180" w:right="500"/>
        <w:spacing w:after="0" w:line="316" w:lineRule="auto"/>
        <w:rPr>
          <w:sz w:val="20"/>
          <w:szCs w:val="20"/>
          <w:color w:val="auto"/>
        </w:rPr>
      </w:pPr>
      <w:r>
        <w:rPr>
          <w:rFonts w:ascii="Arial" w:cs="Arial" w:eastAsia="Arial" w:hAnsi="Arial"/>
          <w:sz w:val="17"/>
          <w:szCs w:val="17"/>
          <w:color w:val="auto"/>
        </w:rPr>
        <w:t>Private label mortgage-backed Other asset backed</w:t>
      </w:r>
    </w:p>
    <w:p>
      <w:pPr>
        <w:spacing w:after="0" w:line="1" w:lineRule="exact"/>
        <w:rPr>
          <w:sz w:val="20"/>
          <w:szCs w:val="20"/>
          <w:color w:val="auto"/>
        </w:rPr>
      </w:pPr>
    </w:p>
    <w:p>
      <w:pPr>
        <w:ind w:left="320" w:right="300" w:hanging="154"/>
        <w:spacing w:after="0" w:line="279" w:lineRule="auto"/>
        <w:rPr>
          <w:sz w:val="20"/>
          <w:szCs w:val="20"/>
          <w:color w:val="auto"/>
        </w:rPr>
      </w:pPr>
      <w:r>
        <w:rPr>
          <w:rFonts w:ascii="Arial" w:cs="Arial" w:eastAsia="Arial" w:hAnsi="Arial"/>
          <w:sz w:val="17"/>
          <w:szCs w:val="17"/>
          <w:color w:val="auto"/>
        </w:rPr>
        <w:t>Obligations of states and political subdivisions</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Corporate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Trust preferred</w:t>
      </w:r>
    </w:p>
    <w:p>
      <w:pPr>
        <w:spacing w:after="0" w:line="62" w:lineRule="exact"/>
        <w:rPr>
          <w:sz w:val="20"/>
          <w:szCs w:val="20"/>
          <w:color w:val="auto"/>
        </w:rPr>
      </w:pPr>
    </w:p>
    <w:p>
      <w:pPr>
        <w:jc w:val="both"/>
        <w:ind w:left="320"/>
        <w:spacing w:after="0"/>
        <w:tabs>
          <w:tab w:leader="none" w:pos="2660" w:val="left"/>
        </w:tabs>
        <w:rPr>
          <w:sz w:val="20"/>
          <w:szCs w:val="20"/>
          <w:color w:val="auto"/>
        </w:rPr>
      </w:pPr>
      <w:r>
        <w:rPr>
          <w:rFonts w:ascii="Arial" w:cs="Arial" w:eastAsia="Arial" w:hAnsi="Arial"/>
          <w:sz w:val="17"/>
          <w:szCs w:val="17"/>
          <w:color w:val="auto"/>
        </w:rPr>
        <w:t>Total</w:t>
      </w:r>
      <w:r>
        <w:rPr>
          <w:sz w:val="20"/>
          <w:szCs w:val="20"/>
          <w:color w:val="auto"/>
        </w:rPr>
        <w:tab/>
      </w:r>
      <w:r>
        <w:rPr>
          <w:rFonts w:ascii="Arial" w:cs="Arial" w:eastAsia="Arial" w:hAnsi="Arial"/>
          <w:sz w:val="17"/>
          <w:szCs w:val="17"/>
          <w:color w:val="auto"/>
        </w:rPr>
        <w:t>$</w:t>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December 31, 2022</w:t>
      </w:r>
    </w:p>
    <w:p>
      <w:pPr>
        <w:spacing w:after="0" w:line="37" w:lineRule="exact"/>
        <w:rPr>
          <w:sz w:val="20"/>
          <w:szCs w:val="20"/>
          <w:color w:val="auto"/>
        </w:rPr>
      </w:pPr>
    </w:p>
    <w:p>
      <w:pPr>
        <w:ind w:left="180"/>
        <w:spacing w:after="0"/>
        <w:tabs>
          <w:tab w:leader="none" w:pos="2660" w:val="left"/>
        </w:tabs>
        <w:rPr>
          <w:sz w:val="20"/>
          <w:szCs w:val="20"/>
          <w:color w:val="auto"/>
        </w:rPr>
      </w:pPr>
      <w:r>
        <w:rPr>
          <w:rFonts w:ascii="Arial" w:cs="Arial" w:eastAsia="Arial" w:hAnsi="Arial"/>
          <w:sz w:val="17"/>
          <w:szCs w:val="17"/>
          <w:color w:val="auto"/>
        </w:rPr>
        <w:t>U.S. agency</w:t>
      </w:r>
      <w:r>
        <w:rPr>
          <w:sz w:val="20"/>
          <w:szCs w:val="20"/>
          <w:color w:val="auto"/>
        </w:rPr>
        <w:tab/>
      </w:r>
      <w:r>
        <w:rPr>
          <w:rFonts w:ascii="Arial" w:cs="Arial" w:eastAsia="Arial" w:hAnsi="Arial"/>
          <w:sz w:val="17"/>
          <w:szCs w:val="17"/>
          <w:color w:val="auto"/>
        </w:rPr>
        <w:t>$</w:t>
      </w:r>
    </w:p>
    <w:p>
      <w:pPr>
        <w:spacing w:after="0" w:line="62" w:lineRule="exact"/>
        <w:rPr>
          <w:sz w:val="20"/>
          <w:szCs w:val="20"/>
          <w:color w:val="auto"/>
        </w:rPr>
      </w:pPr>
    </w:p>
    <w:p>
      <w:pPr>
        <w:ind w:left="320" w:right="260" w:hanging="154"/>
        <w:spacing w:after="0" w:line="279" w:lineRule="auto"/>
        <w:rPr>
          <w:sz w:val="20"/>
          <w:szCs w:val="20"/>
          <w:color w:val="auto"/>
        </w:rPr>
      </w:pPr>
      <w:r>
        <w:rPr>
          <w:rFonts w:ascii="Arial" w:cs="Arial" w:eastAsia="Arial" w:hAnsi="Arial"/>
          <w:sz w:val="17"/>
          <w:szCs w:val="17"/>
          <w:color w:val="auto"/>
        </w:rPr>
        <w:t>U.S. agency residential mortgage-backed</w:t>
      </w:r>
    </w:p>
    <w:p>
      <w:pPr>
        <w:spacing w:after="0" w:line="10" w:lineRule="exact"/>
        <w:rPr>
          <w:sz w:val="20"/>
          <w:szCs w:val="20"/>
          <w:color w:val="auto"/>
        </w:rPr>
      </w:pPr>
    </w:p>
    <w:p>
      <w:pPr>
        <w:ind w:left="320" w:right="160" w:hanging="154"/>
        <w:spacing w:after="0" w:line="279" w:lineRule="auto"/>
        <w:rPr>
          <w:sz w:val="20"/>
          <w:szCs w:val="20"/>
          <w:color w:val="auto"/>
        </w:rPr>
      </w:pPr>
      <w:r>
        <w:rPr>
          <w:rFonts w:ascii="Arial" w:cs="Arial" w:eastAsia="Arial" w:hAnsi="Arial"/>
          <w:sz w:val="17"/>
          <w:szCs w:val="17"/>
          <w:color w:val="auto"/>
        </w:rPr>
        <w:t>U.S. agency commercial mortgage-backed</w:t>
      </w:r>
    </w:p>
    <w:p>
      <w:pPr>
        <w:spacing w:after="0" w:line="10" w:lineRule="exact"/>
        <w:rPr>
          <w:sz w:val="20"/>
          <w:szCs w:val="20"/>
          <w:color w:val="auto"/>
        </w:rPr>
      </w:pPr>
    </w:p>
    <w:p>
      <w:pPr>
        <w:ind w:left="180" w:right="500"/>
        <w:spacing w:after="0" w:line="316" w:lineRule="auto"/>
        <w:rPr>
          <w:sz w:val="20"/>
          <w:szCs w:val="20"/>
          <w:color w:val="auto"/>
        </w:rPr>
      </w:pPr>
      <w:r>
        <w:rPr>
          <w:rFonts w:ascii="Arial" w:cs="Arial" w:eastAsia="Arial" w:hAnsi="Arial"/>
          <w:sz w:val="17"/>
          <w:szCs w:val="17"/>
          <w:color w:val="auto"/>
        </w:rPr>
        <w:t>Private label mortgage-backed Other asset backed</w:t>
      </w:r>
    </w:p>
    <w:p>
      <w:pPr>
        <w:spacing w:after="0" w:line="1" w:lineRule="exact"/>
        <w:rPr>
          <w:sz w:val="20"/>
          <w:szCs w:val="20"/>
          <w:color w:val="auto"/>
        </w:rPr>
      </w:pPr>
    </w:p>
    <w:p>
      <w:pPr>
        <w:ind w:left="320" w:right="300" w:hanging="154"/>
        <w:spacing w:after="0" w:line="279" w:lineRule="auto"/>
        <w:rPr>
          <w:sz w:val="20"/>
          <w:szCs w:val="20"/>
          <w:color w:val="auto"/>
        </w:rPr>
      </w:pPr>
      <w:r>
        <w:rPr>
          <w:rFonts w:ascii="Arial" w:cs="Arial" w:eastAsia="Arial" w:hAnsi="Arial"/>
          <w:sz w:val="17"/>
          <w:szCs w:val="17"/>
          <w:color w:val="auto"/>
        </w:rPr>
        <w:t>Obligations of states and political subdivisions</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Corporate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Trust preferred</w:t>
      </w:r>
    </w:p>
    <w:p>
      <w:pPr>
        <w:spacing w:after="0" w:line="62" w:lineRule="exact"/>
        <w:rPr>
          <w:sz w:val="20"/>
          <w:szCs w:val="20"/>
          <w:color w:val="auto"/>
        </w:rPr>
      </w:pPr>
    </w:p>
    <w:p>
      <w:pPr>
        <w:jc w:val="both"/>
        <w:ind w:left="320"/>
        <w:spacing w:after="0"/>
        <w:tabs>
          <w:tab w:leader="none" w:pos="2660" w:val="left"/>
        </w:tabs>
        <w:rPr>
          <w:sz w:val="20"/>
          <w:szCs w:val="20"/>
          <w:color w:val="auto"/>
        </w:rPr>
      </w:pPr>
      <w:r>
        <w:rPr>
          <w:rFonts w:ascii="Arial" w:cs="Arial" w:eastAsia="Arial" w:hAnsi="Arial"/>
          <w:sz w:val="17"/>
          <w:szCs w:val="17"/>
          <w:color w:val="auto"/>
        </w:rPr>
        <w:t>Total</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20" w:type="dxa"/>
            <w:vAlign w:val="bottom"/>
          </w:tcPr>
          <w:p>
            <w:pPr>
              <w:jc w:val="right"/>
              <w:ind w:right="94"/>
              <w:spacing w:after="0"/>
              <w:rPr>
                <w:sz w:val="20"/>
                <w:szCs w:val="20"/>
                <w:color w:val="auto"/>
              </w:rPr>
            </w:pPr>
            <w:r>
              <w:rPr>
                <w:rFonts w:ascii="Arial" w:cs="Arial" w:eastAsia="Arial" w:hAnsi="Arial"/>
                <w:sz w:val="17"/>
                <w:szCs w:val="17"/>
                <w:color w:val="auto"/>
              </w:rPr>
              <w:t>327</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w:t>
            </w:r>
          </w:p>
        </w:tc>
        <w:tc>
          <w:tcPr>
            <w:tcW w:w="520" w:type="dxa"/>
            <w:vAlign w:val="bottom"/>
            <w:gridSpan w:val="2"/>
          </w:tcPr>
          <w:p>
            <w:pPr>
              <w:jc w:val="right"/>
              <w:ind w:right="23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9,845</w:t>
            </w:r>
          </w:p>
        </w:tc>
        <w:tc>
          <w:tcPr>
            <w:tcW w:w="560" w:type="dxa"/>
            <w:vAlign w:val="bottom"/>
            <w:gridSpan w:val="2"/>
          </w:tcPr>
          <w:p>
            <w:pPr>
              <w:jc w:val="right"/>
              <w:ind w:right="2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994</w:t>
            </w:r>
          </w:p>
        </w:tc>
        <w:tc>
          <w:tcPr>
            <w:tcW w:w="500" w:type="dxa"/>
            <w:vAlign w:val="bottom"/>
            <w:gridSpan w:val="2"/>
          </w:tcPr>
          <w:p>
            <w:pPr>
              <w:jc w:val="right"/>
              <w:ind w:right="21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10,172</w:t>
            </w:r>
          </w:p>
        </w:tc>
        <w:tc>
          <w:tcPr>
            <w:tcW w:w="540" w:type="dxa"/>
            <w:vAlign w:val="bottom"/>
            <w:gridSpan w:val="2"/>
          </w:tcPr>
          <w:p>
            <w:pPr>
              <w:jc w:val="right"/>
              <w:ind w:right="25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995</w:t>
            </w:r>
          </w:p>
        </w:tc>
      </w:tr>
      <w:tr>
        <w:trPr>
          <w:trHeight w:val="464"/>
        </w:trPr>
        <w:tc>
          <w:tcPr>
            <w:tcW w:w="720" w:type="dxa"/>
            <w:vAlign w:val="bottom"/>
          </w:tcPr>
          <w:p>
            <w:pPr>
              <w:jc w:val="right"/>
              <w:ind w:right="94"/>
              <w:spacing w:after="0"/>
              <w:rPr>
                <w:sz w:val="20"/>
                <w:szCs w:val="20"/>
                <w:color w:val="auto"/>
              </w:rPr>
            </w:pPr>
            <w:r>
              <w:rPr>
                <w:rFonts w:ascii="Arial" w:cs="Arial" w:eastAsia="Arial" w:hAnsi="Arial"/>
                <w:sz w:val="17"/>
                <w:szCs w:val="17"/>
                <w:color w:val="auto"/>
              </w:rPr>
              <w:t>3,312</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81,661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9,868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84,973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9,935</w:t>
            </w:r>
          </w:p>
        </w:tc>
      </w:tr>
      <w:tr>
        <w:trPr>
          <w:trHeight w:val="464"/>
        </w:trPr>
        <w:tc>
          <w:tcPr>
            <w:tcW w:w="7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12,911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1,573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12,911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1,573</w:t>
            </w:r>
          </w:p>
        </w:tc>
      </w:tr>
      <w:tr>
        <w:trPr>
          <w:trHeight w:val="258"/>
        </w:trPr>
        <w:tc>
          <w:tcPr>
            <w:tcW w:w="720" w:type="dxa"/>
            <w:vAlign w:val="bottom"/>
          </w:tcPr>
          <w:p>
            <w:pPr>
              <w:jc w:val="right"/>
              <w:ind w:right="94"/>
              <w:spacing w:after="0"/>
              <w:rPr>
                <w:sz w:val="20"/>
                <w:szCs w:val="20"/>
                <w:color w:val="auto"/>
              </w:rPr>
            </w:pPr>
            <w:r>
              <w:rPr>
                <w:rFonts w:ascii="Arial" w:cs="Arial" w:eastAsia="Arial" w:hAnsi="Arial"/>
                <w:sz w:val="17"/>
                <w:szCs w:val="17"/>
                <w:color w:val="auto"/>
              </w:rPr>
              <w:t>4,301</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85,422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8,201</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89,723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8,420</w:t>
            </w:r>
          </w:p>
        </w:tc>
      </w:tr>
      <w:tr>
        <w:trPr>
          <w:trHeight w:val="258"/>
        </w:trPr>
        <w:tc>
          <w:tcPr>
            <w:tcW w:w="720" w:type="dxa"/>
            <w:vAlign w:val="bottom"/>
          </w:tcPr>
          <w:p>
            <w:pPr>
              <w:jc w:val="right"/>
              <w:ind w:right="94"/>
              <w:spacing w:after="0"/>
              <w:rPr>
                <w:sz w:val="20"/>
                <w:szCs w:val="20"/>
                <w:color w:val="auto"/>
              </w:rPr>
            </w:pPr>
            <w:r>
              <w:rPr>
                <w:rFonts w:ascii="Arial" w:cs="Arial" w:eastAsia="Arial" w:hAnsi="Arial"/>
                <w:sz w:val="17"/>
                <w:szCs w:val="17"/>
                <w:color w:val="auto"/>
              </w:rPr>
              <w:t>3,911</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148,064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3,685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151,975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3,719</w:t>
            </w:r>
          </w:p>
        </w:tc>
      </w:tr>
      <w:tr>
        <w:trPr>
          <w:trHeight w:val="464"/>
        </w:trPr>
        <w:tc>
          <w:tcPr>
            <w:tcW w:w="720" w:type="dxa"/>
            <w:vAlign w:val="bottom"/>
          </w:tcPr>
          <w:p>
            <w:pPr>
              <w:jc w:val="right"/>
              <w:ind w:right="94"/>
              <w:spacing w:after="0"/>
              <w:rPr>
                <w:sz w:val="20"/>
                <w:szCs w:val="20"/>
                <w:color w:val="auto"/>
              </w:rPr>
            </w:pPr>
            <w:r>
              <w:rPr>
                <w:rFonts w:ascii="Arial" w:cs="Arial" w:eastAsia="Arial" w:hAnsi="Arial"/>
                <w:sz w:val="17"/>
                <w:szCs w:val="17"/>
                <w:color w:val="auto"/>
              </w:rPr>
              <w:t>65</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299,535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40,889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299,600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40,889</w:t>
            </w:r>
          </w:p>
        </w:tc>
      </w:tr>
      <w:tr>
        <w:trPr>
          <w:trHeight w:val="258"/>
        </w:trPr>
        <w:tc>
          <w:tcPr>
            <w:tcW w:w="720" w:type="dxa"/>
            <w:vAlign w:val="bottom"/>
          </w:tcPr>
          <w:p>
            <w:pPr>
              <w:jc w:val="right"/>
              <w:ind w:right="94"/>
              <w:spacing w:after="0"/>
              <w:rPr>
                <w:sz w:val="20"/>
                <w:szCs w:val="20"/>
                <w:color w:val="auto"/>
              </w:rPr>
            </w:pPr>
            <w:r>
              <w:rPr>
                <w:rFonts w:ascii="Arial" w:cs="Arial" w:eastAsia="Arial" w:hAnsi="Arial"/>
                <w:sz w:val="17"/>
                <w:szCs w:val="17"/>
                <w:color w:val="auto"/>
              </w:rPr>
              <w:t>3,312</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71,677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7,880</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74,989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7,953</w:t>
            </w:r>
          </w:p>
        </w:tc>
      </w:tr>
      <w:tr>
        <w:trPr>
          <w:trHeight w:val="252"/>
        </w:trPr>
        <w:tc>
          <w:tcPr>
            <w:tcW w:w="7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920</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r>
      <w:tr>
        <w:trPr>
          <w:trHeight w:val="218"/>
        </w:trPr>
        <w:tc>
          <w:tcPr>
            <w:tcW w:w="720" w:type="dxa"/>
            <w:vAlign w:val="bottom"/>
          </w:tcPr>
          <w:p>
            <w:pPr>
              <w:jc w:val="right"/>
              <w:ind w:right="94"/>
              <w:spacing w:after="0"/>
              <w:rPr>
                <w:sz w:val="20"/>
                <w:szCs w:val="20"/>
                <w:color w:val="auto"/>
              </w:rPr>
            </w:pPr>
            <w:r>
              <w:rPr>
                <w:rFonts w:ascii="Arial" w:cs="Arial" w:eastAsia="Arial" w:hAnsi="Arial"/>
                <w:sz w:val="17"/>
                <w:szCs w:val="17"/>
                <w:color w:val="auto"/>
                <w:w w:val="99"/>
              </w:rPr>
              <w:t>15,228</w:t>
            </w: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710,035</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73,151</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725,263</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73,545</w:t>
            </w:r>
          </w:p>
        </w:tc>
      </w:tr>
      <w:tr>
        <w:trPr>
          <w:trHeight w:val="20"/>
        </w:trPr>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00"/>
        </w:trPr>
        <w:tc>
          <w:tcPr>
            <w:tcW w:w="720" w:type="dxa"/>
            <w:vAlign w:val="bottom"/>
          </w:tcPr>
          <w:p>
            <w:pPr>
              <w:jc w:val="right"/>
              <w:ind w:right="94"/>
              <w:spacing w:after="0"/>
              <w:rPr>
                <w:sz w:val="20"/>
                <w:szCs w:val="20"/>
                <w:color w:val="auto"/>
              </w:rPr>
            </w:pPr>
            <w:r>
              <w:rPr>
                <w:rFonts w:ascii="Arial" w:cs="Arial" w:eastAsia="Arial" w:hAnsi="Arial"/>
                <w:sz w:val="17"/>
                <w:szCs w:val="17"/>
                <w:color w:val="auto"/>
              </w:rPr>
              <w:t>8,244</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799</w:t>
            </w:r>
          </w:p>
        </w:tc>
        <w:tc>
          <w:tcPr>
            <w:tcW w:w="520" w:type="dxa"/>
            <w:vAlign w:val="bottom"/>
            <w:gridSpan w:val="2"/>
          </w:tcPr>
          <w:p>
            <w:pPr>
              <w:jc w:val="right"/>
              <w:ind w:right="23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2,587</w:t>
            </w:r>
          </w:p>
        </w:tc>
        <w:tc>
          <w:tcPr>
            <w:tcW w:w="560" w:type="dxa"/>
            <w:vAlign w:val="bottom"/>
            <w:gridSpan w:val="2"/>
          </w:tcPr>
          <w:p>
            <w:pPr>
              <w:jc w:val="right"/>
              <w:ind w:right="2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301</w:t>
            </w:r>
          </w:p>
        </w:tc>
        <w:tc>
          <w:tcPr>
            <w:tcW w:w="500" w:type="dxa"/>
            <w:vAlign w:val="bottom"/>
            <w:gridSpan w:val="2"/>
          </w:tcPr>
          <w:p>
            <w:pPr>
              <w:jc w:val="right"/>
              <w:ind w:right="21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10,831</w:t>
            </w:r>
          </w:p>
        </w:tc>
        <w:tc>
          <w:tcPr>
            <w:tcW w:w="540" w:type="dxa"/>
            <w:vAlign w:val="bottom"/>
            <w:gridSpan w:val="2"/>
          </w:tcPr>
          <w:p>
            <w:pPr>
              <w:jc w:val="right"/>
              <w:ind w:right="25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1,100</w:t>
            </w:r>
          </w:p>
        </w:tc>
      </w:tr>
      <w:tr>
        <w:trPr>
          <w:trHeight w:val="464"/>
        </w:trPr>
        <w:tc>
          <w:tcPr>
            <w:tcW w:w="720" w:type="dxa"/>
            <w:vAlign w:val="bottom"/>
          </w:tcPr>
          <w:p>
            <w:pPr>
              <w:jc w:val="right"/>
              <w:ind w:right="94"/>
              <w:spacing w:after="0"/>
              <w:rPr>
                <w:sz w:val="20"/>
                <w:szCs w:val="20"/>
                <w:color w:val="auto"/>
              </w:rPr>
            </w:pPr>
            <w:r>
              <w:rPr>
                <w:rFonts w:ascii="Arial" w:cs="Arial" w:eastAsia="Arial" w:hAnsi="Arial"/>
                <w:sz w:val="17"/>
                <w:szCs w:val="17"/>
                <w:color w:val="auto"/>
                <w:w w:val="99"/>
              </w:rPr>
              <w:t>33,784</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1,920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54,793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8,341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88,577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10,261</w:t>
            </w:r>
          </w:p>
        </w:tc>
      </w:tr>
      <w:tr>
        <w:trPr>
          <w:trHeight w:val="464"/>
        </w:trPr>
        <w:tc>
          <w:tcPr>
            <w:tcW w:w="720" w:type="dxa"/>
            <w:vAlign w:val="bottom"/>
          </w:tcPr>
          <w:p>
            <w:pPr>
              <w:jc w:val="right"/>
              <w:ind w:right="94"/>
              <w:spacing w:after="0"/>
              <w:rPr>
                <w:sz w:val="20"/>
                <w:szCs w:val="20"/>
                <w:color w:val="auto"/>
              </w:rPr>
            </w:pPr>
            <w:r>
              <w:rPr>
                <w:rFonts w:ascii="Arial" w:cs="Arial" w:eastAsia="Arial" w:hAnsi="Arial"/>
                <w:sz w:val="17"/>
                <w:szCs w:val="17"/>
                <w:color w:val="auto"/>
              </w:rPr>
              <w:t>1,609</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11,844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1,521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13,453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1,594</w:t>
            </w:r>
          </w:p>
        </w:tc>
      </w:tr>
      <w:tr>
        <w:trPr>
          <w:trHeight w:val="258"/>
        </w:trPr>
        <w:tc>
          <w:tcPr>
            <w:tcW w:w="720" w:type="dxa"/>
            <w:vAlign w:val="bottom"/>
          </w:tcPr>
          <w:p>
            <w:pPr>
              <w:jc w:val="right"/>
              <w:ind w:right="94"/>
              <w:spacing w:after="0"/>
              <w:rPr>
                <w:sz w:val="20"/>
                <w:szCs w:val="20"/>
                <w:color w:val="auto"/>
              </w:rPr>
            </w:pPr>
            <w:r>
              <w:rPr>
                <w:rFonts w:ascii="Arial" w:cs="Arial" w:eastAsia="Arial" w:hAnsi="Arial"/>
                <w:sz w:val="17"/>
                <w:szCs w:val="17"/>
                <w:color w:val="auto"/>
                <w:w w:val="99"/>
              </w:rPr>
              <w:t>39,954</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2,582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53,346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6,014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93,300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8,596</w:t>
            </w:r>
          </w:p>
        </w:tc>
      </w:tr>
      <w:tr>
        <w:trPr>
          <w:trHeight w:val="258"/>
        </w:trPr>
        <w:tc>
          <w:tcPr>
            <w:tcW w:w="720" w:type="dxa"/>
            <w:vAlign w:val="bottom"/>
          </w:tcPr>
          <w:p>
            <w:pPr>
              <w:jc w:val="right"/>
              <w:ind w:right="94"/>
              <w:spacing w:after="0"/>
              <w:rPr>
                <w:sz w:val="20"/>
                <w:szCs w:val="20"/>
                <w:color w:val="auto"/>
              </w:rPr>
            </w:pPr>
            <w:r>
              <w:rPr>
                <w:rFonts w:ascii="Arial" w:cs="Arial" w:eastAsia="Arial" w:hAnsi="Arial"/>
                <w:sz w:val="17"/>
                <w:szCs w:val="17"/>
                <w:color w:val="auto"/>
                <w:w w:val="84"/>
              </w:rPr>
              <w:t>110,859</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2,657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83,802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3,373</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194,661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6,030</w:t>
            </w:r>
          </w:p>
        </w:tc>
      </w:tr>
      <w:tr>
        <w:trPr>
          <w:trHeight w:val="464"/>
        </w:trPr>
        <w:tc>
          <w:tcPr>
            <w:tcW w:w="720" w:type="dxa"/>
            <w:vAlign w:val="bottom"/>
          </w:tcPr>
          <w:p>
            <w:pPr>
              <w:jc w:val="right"/>
              <w:ind w:right="94"/>
              <w:spacing w:after="0"/>
              <w:rPr>
                <w:sz w:val="20"/>
                <w:szCs w:val="20"/>
                <w:color w:val="auto"/>
              </w:rPr>
            </w:pPr>
            <w:r>
              <w:rPr>
                <w:rFonts w:ascii="Arial" w:cs="Arial" w:eastAsia="Arial" w:hAnsi="Arial"/>
                <w:sz w:val="17"/>
                <w:szCs w:val="17"/>
                <w:color w:val="auto"/>
                <w:w w:val="99"/>
              </w:rPr>
              <w:t>56,455</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10,216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231,705</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40,349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288,160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50,565</w:t>
            </w:r>
          </w:p>
        </w:tc>
      </w:tr>
      <w:tr>
        <w:trPr>
          <w:trHeight w:val="258"/>
        </w:trPr>
        <w:tc>
          <w:tcPr>
            <w:tcW w:w="720" w:type="dxa"/>
            <w:vAlign w:val="bottom"/>
          </w:tcPr>
          <w:p>
            <w:pPr>
              <w:jc w:val="right"/>
              <w:ind w:right="94"/>
              <w:spacing w:after="0"/>
              <w:rPr>
                <w:sz w:val="20"/>
                <w:szCs w:val="20"/>
                <w:color w:val="auto"/>
              </w:rPr>
            </w:pPr>
            <w:r>
              <w:rPr>
                <w:rFonts w:ascii="Arial" w:cs="Arial" w:eastAsia="Arial" w:hAnsi="Arial"/>
                <w:sz w:val="17"/>
                <w:szCs w:val="17"/>
                <w:color w:val="auto"/>
                <w:w w:val="99"/>
              </w:rPr>
              <w:t>24,876</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1,737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51,293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7,414</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76,169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9,151</w:t>
            </w:r>
          </w:p>
        </w:tc>
      </w:tr>
      <w:tr>
        <w:trPr>
          <w:trHeight w:val="258"/>
        </w:trPr>
        <w:tc>
          <w:tcPr>
            <w:tcW w:w="72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w:t>
            </w:r>
          </w:p>
        </w:tc>
      </w:tr>
      <w:tr>
        <w:trPr>
          <w:trHeight w:val="213"/>
        </w:trPr>
        <w:tc>
          <w:tcPr>
            <w:tcW w:w="720" w:type="dxa"/>
            <w:vAlign w:val="bottom"/>
          </w:tcPr>
          <w:p>
            <w:pPr>
              <w:jc w:val="right"/>
              <w:ind w:right="94"/>
              <w:spacing w:after="0"/>
              <w:rPr>
                <w:sz w:val="20"/>
                <w:szCs w:val="20"/>
                <w:color w:val="auto"/>
              </w:rPr>
            </w:pPr>
            <w:r>
              <w:rPr>
                <w:rFonts w:ascii="Arial" w:cs="Arial" w:eastAsia="Arial" w:hAnsi="Arial"/>
                <w:sz w:val="17"/>
                <w:szCs w:val="17"/>
                <w:color w:val="auto"/>
                <w:w w:val="84"/>
              </w:rPr>
              <w:t>275,781</w:t>
            </w: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19,984</w:t>
            </w:r>
          </w:p>
        </w:tc>
        <w:tc>
          <w:tcPr>
            <w:tcW w:w="520" w:type="dxa"/>
            <w:vAlign w:val="bottom"/>
            <w:gridSpan w:val="2"/>
          </w:tcPr>
          <w:p>
            <w:pPr>
              <w:jc w:val="right"/>
              <w:ind w:right="23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490,301</w:t>
            </w:r>
          </w:p>
        </w:tc>
        <w:tc>
          <w:tcPr>
            <w:tcW w:w="560" w:type="dxa"/>
            <w:vAlign w:val="bottom"/>
            <w:gridSpan w:val="2"/>
          </w:tcPr>
          <w:p>
            <w:pPr>
              <w:jc w:val="right"/>
              <w:ind w:right="27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67,361</w:t>
            </w:r>
          </w:p>
        </w:tc>
        <w:tc>
          <w:tcPr>
            <w:tcW w:w="500" w:type="dxa"/>
            <w:vAlign w:val="bottom"/>
            <w:gridSpan w:val="2"/>
          </w:tcPr>
          <w:p>
            <w:pPr>
              <w:jc w:val="right"/>
              <w:ind w:right="21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766,082</w:t>
            </w:r>
          </w:p>
        </w:tc>
        <w:tc>
          <w:tcPr>
            <w:tcW w:w="540" w:type="dxa"/>
            <w:vAlign w:val="bottom"/>
            <w:gridSpan w:val="2"/>
          </w:tcPr>
          <w:p>
            <w:pPr>
              <w:jc w:val="right"/>
              <w:ind w:right="254"/>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87,345</w:t>
            </w:r>
          </w:p>
        </w:tc>
      </w:tr>
      <w:tr>
        <w:trPr>
          <w:trHeight w:val="20"/>
        </w:trPr>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-3593465</wp:posOffset>
            </wp:positionV>
            <wp:extent cx="7138670" cy="294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-3134995</wp:posOffset>
            </wp:positionV>
            <wp:extent cx="7138670" cy="163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-2676525</wp:posOffset>
            </wp:positionV>
            <wp:extent cx="7138670" cy="163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-2021205</wp:posOffset>
            </wp:positionV>
            <wp:extent cx="7138670" cy="1390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-1718310</wp:posOffset>
            </wp:positionV>
            <wp:extent cx="7138670" cy="294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-1129030</wp:posOffset>
            </wp:positionV>
            <wp:extent cx="7138670" cy="163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-801370</wp:posOffset>
            </wp:positionV>
            <wp:extent cx="7138670" cy="294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294640"/>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-2348865</wp:posOffset>
            </wp:positionV>
            <wp:extent cx="7138670" cy="2349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2349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620"/>
            <w:col w:w="7840"/>
          </w:cols>
          <w:pgMar w:left="320" w:top="127" w:right="339" w:bottom="1440" w:gutter="0" w:footer="0" w:header="0"/>
          <w:type w:val="continuous"/>
        </w:sectPr>
      </w:pPr>
    </w:p>
    <w:p>
      <w:pPr>
        <w:spacing w:after="0" w:line="4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June 30, 2023 and December 31, 2022. Accrued interest receivable on securities AFS totaled $4.7 million and $4.7 million at June 30, 2023 and December 31, 2022, respectively,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is excluded from the estimate of credit losses and is included in accrued income and other assets in the Condensed Consolidated Statements of Financial Condition.</w:t>
      </w:r>
    </w:p>
    <w:p>
      <w:pPr>
        <w:spacing w:after="0" w:line="13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U.S. agency, U.S. agency residential mortgage-backed and U.S. agency commercial mortgage-backed securities — at June 30, 2023, we had 31 U.S. agency, 183 U.S. agency residential mortgage-backed and 12 U.S. agency commercial mortgage-backed securities whose fair value is less than amortized cost. These securities are either explicitly or implicitly guaranteed by the U.S. government, are highly rated by major credit rating agencies, and have a long history of no credit losses. The unrealized losses are largely attributed to widening spreads to Treasury bonds and/or an increase in interest rates since acquisition.</w:t>
      </w:r>
    </w:p>
    <w:p>
      <w:pPr>
        <w:spacing w:after="0" w:line="1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Private label mortgage backed, other asset backed and corporate securities — at June 30, 2023, we had 90 private label mortgage backed, 122 other asset backed, and 81 corporate securities whose fair value is less than amortized cost. The unrealized losses are primarily due to credit spread widening and/or an increase in interest rates since acquisition.</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Obligations of states and political subdivisions — at June 30, 2023, we had 335 municipal securities whose fair value is less than amortized cost. The unrealized losses are primarily due to an increase in interest rates since acquisition.</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Trust preferred securities — at June 30, 2023, we had one trust preferred security whose fair value is less than amortized cost. This trust preferred security is a single issue security issued by a trust subsidiary of a bank holding company. The pricing of trust preferred securities has suffered from credit spread widening. This security is rated by a major rating agency as investment grade.</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2023 management does not intend to liquidate any of the securities discussed above and it is more likely than not that we will not be required to sell these securities prior to recovery of these unrealized losses.</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recorded no credit related charges in our Condensed Consolidated Statements of Operations related to securities AFS during the three and six month periods ended June 30, 2023 and 2022, respectively.</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The ACL on securities HTM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losses. We measure expected credit losses on securities HTM on a collective basis by major security type with each type sharing similar risk characteristics, and considers historical credit loss information that is adjusted for current conditions and reasonable and supportable forecasts. Accrued interest receivable on securities HTM totaled $1.7 million and $1.8 million at June 30, 2023 and December 31, 2022, respectively and is excluded from the estimate of credit losses and is included in accrued income and other assets in the Condensed Consolidated Statements of Financial Condition.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w:t>
      </w:r>
    </w:p>
    <w:p>
      <w:pPr>
        <w:spacing w:after="0" w:line="4" w:lineRule="exact"/>
        <w:rPr>
          <w:sz w:val="20"/>
          <w:szCs w:val="20"/>
          <w:color w:val="auto"/>
        </w:rPr>
      </w:pPr>
    </w:p>
    <w:p>
      <w:pPr>
        <w:jc w:val="both"/>
        <w:ind w:firstLine="3"/>
        <w:spacing w:after="0" w:line="255" w:lineRule="auto"/>
        <w:tabs>
          <w:tab w:leader="none" w:pos="247" w:val="left"/>
        </w:tabs>
        <w:numPr>
          <w:ilvl w:val="0"/>
          <w:numId w:val="4"/>
        </w:numPr>
        <w:rPr>
          <w:rFonts w:ascii="Arial" w:cs="Arial" w:eastAsia="Arial" w:hAnsi="Arial"/>
          <w:sz w:val="17"/>
          <w:szCs w:val="17"/>
          <w:color w:val="auto"/>
        </w:rPr>
      </w:pPr>
      <w:r>
        <w:rPr>
          <w:rFonts w:ascii="Arial" w:cs="Arial" w:eastAsia="Arial" w:hAnsi="Arial"/>
          <w:sz w:val="17"/>
          <w:szCs w:val="17"/>
          <w:color w:val="auto"/>
        </w:rPr>
        <w:t>issuer bond ratings, (2) long-term historical loss rates for given bond ratings, (3) the financial condition of the issuer, and (4) whether issuers continue to make timely principal and interest payments under the contractual terms of the securities. During the first quarter of 2023, one corporate security (Signature Bank) defaulted resulting in a $3.0 million provision for credit losses and a corresponding full charge-off. Despite this lone security loss, the long-term historical loss rates associated with securities having similar grades as those in our portfolio have been insignificant. Furthermore, as of June 30, 2023 and December 31, 2022, there were no past due principal and interest payments associated with these securities. At those same dates an allowance for credit losses of $160,000 and $168,000, respectively was recorded on non U.S. agency securities HTM based on applying the long-term historical credit loss rate, as published by Moody’s, for similarly rated securities.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a quarterly basis, we monitor the credit quality of securities HTM through the use of credit ratings. The carrying value of securities HTM aggregated by credit quality follow: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90"/>
              </w:rPr>
              <w:t>Private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4"/>
              <w:spacing w:after="0"/>
              <w:rPr>
                <w:sz w:val="20"/>
                <w:szCs w:val="20"/>
                <w:color w:val="auto"/>
              </w:rPr>
            </w:pPr>
            <w:r>
              <w:rPr>
                <w:rFonts w:ascii="Arial" w:cs="Arial" w:eastAsia="Arial" w:hAnsi="Arial"/>
                <w:sz w:val="17"/>
                <w:szCs w:val="17"/>
                <w:color w:val="auto"/>
                <w:w w:val="94"/>
              </w:rPr>
              <w:t>Obligations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96"/>
              </w:rPr>
              <w:t>Label</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4"/>
              <w:spacing w:after="0"/>
              <w:rPr>
                <w:sz w:val="20"/>
                <w:szCs w:val="20"/>
                <w:color w:val="auto"/>
              </w:rPr>
            </w:pPr>
            <w:r>
              <w:rPr>
                <w:rFonts w:ascii="Arial" w:cs="Arial" w:eastAsia="Arial" w:hAnsi="Arial"/>
                <w:sz w:val="17"/>
                <w:szCs w:val="17"/>
                <w:color w:val="auto"/>
                <w:w w:val="89"/>
              </w:rPr>
              <w:t>of States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ind w:right="174"/>
              <w:spacing w:after="0"/>
              <w:rPr>
                <w:sz w:val="20"/>
                <w:szCs w:val="20"/>
                <w:color w:val="auto"/>
              </w:rPr>
            </w:pPr>
            <w:r>
              <w:rPr>
                <w:rFonts w:ascii="Arial" w:cs="Arial" w:eastAsia="Arial" w:hAnsi="Arial"/>
                <w:sz w:val="17"/>
                <w:szCs w:val="17"/>
                <w:color w:val="auto"/>
                <w:w w:val="96"/>
              </w:rPr>
              <w:t>Carrying</w:t>
            </w:r>
          </w:p>
        </w:tc>
      </w:t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92"/>
              </w:rPr>
              <w:t>Mortgage-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34"/>
              <w:spacing w:after="0"/>
              <w:rPr>
                <w:sz w:val="20"/>
                <w:szCs w:val="20"/>
                <w:color w:val="auto"/>
              </w:rPr>
            </w:pPr>
            <w:r>
              <w:rPr>
                <w:rFonts w:ascii="Arial" w:cs="Arial" w:eastAsia="Arial" w:hAnsi="Arial"/>
                <w:sz w:val="17"/>
                <w:szCs w:val="17"/>
                <w:color w:val="auto"/>
                <w:w w:val="93"/>
              </w:rPr>
              <w:t>and Political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474"/>
              <w:spacing w:after="0"/>
              <w:rPr>
                <w:sz w:val="20"/>
                <w:szCs w:val="20"/>
                <w:color w:val="auto"/>
              </w:rPr>
            </w:pPr>
            <w:r>
              <w:rPr>
                <w:rFonts w:ascii="Arial" w:cs="Arial" w:eastAsia="Arial" w:hAnsi="Arial"/>
                <w:sz w:val="17"/>
                <w:szCs w:val="17"/>
                <w:color w:val="auto"/>
              </w:rPr>
              <w:t>Trust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center"/>
              <w:ind w:right="174"/>
              <w:spacing w:after="0"/>
              <w:rPr>
                <w:sz w:val="20"/>
                <w:szCs w:val="20"/>
                <w:color w:val="auto"/>
              </w:rPr>
            </w:pPr>
            <w:r>
              <w:rPr>
                <w:rFonts w:ascii="Arial" w:cs="Arial" w:eastAsia="Arial" w:hAnsi="Arial"/>
                <w:sz w:val="17"/>
                <w:szCs w:val="17"/>
                <w:color w:val="auto"/>
                <w:w w:val="87"/>
              </w:rPr>
              <w:t>Value</w:t>
            </w:r>
          </w:p>
        </w:tc>
      </w:tr>
      <w:tr>
        <w:trPr>
          <w:trHeight w:val="237"/>
        </w:trPr>
        <w:tc>
          <w:tcPr>
            <w:tcW w:w="3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color w:val="auto"/>
                <w:w w:val="91"/>
              </w:rPr>
              <w:t>Backed</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2"/>
              </w:rPr>
              <w:t>Subdivisions</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Corporate</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Preferred</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w w:val="89"/>
              </w:rPr>
              <w:t>Total</w:t>
            </w:r>
          </w:p>
        </w:tc>
      </w:tr>
      <w:tr>
        <w:trPr>
          <w:trHeight w:val="218"/>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4"/>
              <w:spacing w:after="0"/>
              <w:rPr>
                <w:sz w:val="20"/>
                <w:szCs w:val="20"/>
                <w:color w:val="auto"/>
              </w:rPr>
            </w:pPr>
            <w:r>
              <w:rPr>
                <w:rFonts w:ascii="Arial" w:cs="Arial" w:eastAsia="Arial" w:hAnsi="Arial"/>
                <w:sz w:val="17"/>
                <w:szCs w:val="17"/>
                <w:color w:val="auto"/>
                <w:w w:val="95"/>
              </w:rPr>
              <w:t>(In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30, 2023</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3480" w:type="dxa"/>
            <w:vAlign w:val="bottom"/>
          </w:tcPr>
          <w:p>
            <w:pPr>
              <w:ind w:left="120"/>
              <w:spacing w:after="0"/>
              <w:rPr>
                <w:sz w:val="20"/>
                <w:szCs w:val="20"/>
                <w:color w:val="auto"/>
              </w:rPr>
            </w:pPr>
            <w:r>
              <w:rPr>
                <w:rFonts w:ascii="Arial" w:cs="Arial" w:eastAsia="Arial" w:hAnsi="Arial"/>
                <w:sz w:val="17"/>
                <w:szCs w:val="17"/>
                <w:color w:val="auto"/>
              </w:rPr>
              <w:t>Credit rating:</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34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AAA</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44,310</w:t>
            </w:r>
          </w:p>
        </w:tc>
      </w:tr>
      <w:tr>
        <w:trPr>
          <w:trHeight w:val="218"/>
        </w:trPr>
        <w:tc>
          <w:tcPr>
            <w:tcW w:w="3480" w:type="dxa"/>
            <w:vAlign w:val="bottom"/>
          </w:tcPr>
          <w:p>
            <w:pPr>
              <w:ind w:left="280"/>
              <w:spacing w:after="0"/>
              <w:rPr>
                <w:sz w:val="20"/>
                <w:szCs w:val="20"/>
                <w:color w:val="auto"/>
              </w:rPr>
            </w:pPr>
            <w:r>
              <w:rPr>
                <w:rFonts w:ascii="Arial" w:cs="Arial" w:eastAsia="Arial" w:hAnsi="Arial"/>
                <w:sz w:val="17"/>
                <w:szCs w:val="17"/>
                <w:color w:val="auto"/>
              </w:rPr>
              <w:t>AA</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102,569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102,569</w:t>
            </w:r>
          </w:p>
        </w:tc>
      </w:tr>
      <w:tr>
        <w:trPr>
          <w:trHeight w:val="233"/>
        </w:trPr>
        <w:tc>
          <w:tcPr>
            <w:tcW w:w="34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10,842</w:t>
            </w:r>
          </w:p>
        </w:tc>
      </w:tr>
      <w:tr>
        <w:trPr>
          <w:trHeight w:val="218"/>
        </w:trPr>
        <w:tc>
          <w:tcPr>
            <w:tcW w:w="3480" w:type="dxa"/>
            <w:vAlign w:val="bottom"/>
          </w:tcPr>
          <w:p>
            <w:pPr>
              <w:ind w:left="280"/>
              <w:spacing w:after="0"/>
              <w:rPr>
                <w:sz w:val="20"/>
                <w:szCs w:val="20"/>
                <w:color w:val="auto"/>
              </w:rPr>
            </w:pPr>
            <w:r>
              <w:rPr>
                <w:rFonts w:ascii="Arial" w:cs="Arial" w:eastAsia="Arial" w:hAnsi="Arial"/>
                <w:sz w:val="17"/>
                <w:szCs w:val="17"/>
                <w:color w:val="auto"/>
              </w:rPr>
              <w:t>BBB</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35,749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36,707</w:t>
            </w:r>
          </w:p>
        </w:tc>
      </w:tr>
      <w:tr>
        <w:trPr>
          <w:trHeight w:val="219"/>
        </w:trPr>
        <w:tc>
          <w:tcPr>
            <w:tcW w:w="3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Non-rated</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17,775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21,630</w:t>
            </w:r>
          </w:p>
        </w:tc>
      </w:tr>
      <w:tr>
        <w:trPr>
          <w:trHeight w:val="226"/>
        </w:trPr>
        <w:tc>
          <w:tcPr>
            <w:tcW w:w="3480" w:type="dxa"/>
            <w:vAlign w:val="bottom"/>
          </w:tcPr>
          <w:p>
            <w:pPr>
              <w:ind w:left="440"/>
              <w:spacing w:after="0"/>
              <w:rPr>
                <w:sz w:val="20"/>
                <w:szCs w:val="20"/>
                <w:color w:val="auto"/>
              </w:rPr>
            </w:pPr>
            <w:r>
              <w:rPr>
                <w:rFonts w:ascii="Arial" w:cs="Arial" w:eastAsia="Arial" w:hAnsi="Arial"/>
                <w:sz w:val="17"/>
                <w:szCs w:val="17"/>
                <w:color w:val="auto"/>
              </w:rPr>
              <w:t>Total</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7,272</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162,272</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45,569</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945</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216,058</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8"/>
        </w:trPr>
        <w:tc>
          <w:tcPr>
            <w:tcW w:w="3480" w:type="dxa"/>
            <w:vAlign w:val="bottom"/>
          </w:tcPr>
          <w:p>
            <w:pPr>
              <w:ind w:left="20"/>
              <w:spacing w:after="0"/>
              <w:rPr>
                <w:sz w:val="20"/>
                <w:szCs w:val="20"/>
                <w:color w:val="auto"/>
              </w:rPr>
            </w:pPr>
            <w:r>
              <w:rPr>
                <w:rFonts w:ascii="Arial" w:cs="Arial" w:eastAsia="Arial" w:hAnsi="Arial"/>
                <w:sz w:val="17"/>
                <w:szCs w:val="17"/>
                <w:color w:val="auto"/>
              </w:rPr>
              <w:t>December 31, 2022</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0"/>
        </w:trPr>
        <w:tc>
          <w:tcPr>
            <w:tcW w:w="3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Credit rating:</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3480" w:type="dxa"/>
            <w:vAlign w:val="bottom"/>
          </w:tcPr>
          <w:p>
            <w:pPr>
              <w:ind w:left="220"/>
              <w:spacing w:after="0"/>
              <w:rPr>
                <w:sz w:val="20"/>
                <w:szCs w:val="20"/>
                <w:color w:val="auto"/>
              </w:rPr>
            </w:pPr>
            <w:r>
              <w:rPr>
                <w:rFonts w:ascii="Arial" w:cs="Arial" w:eastAsia="Arial" w:hAnsi="Arial"/>
                <w:sz w:val="17"/>
                <w:szCs w:val="17"/>
                <w:color w:val="auto"/>
              </w:rPr>
              <w:t>AAA</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7,242</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32,876</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40,118</w:t>
            </w:r>
          </w:p>
        </w:tc>
      </w:tr>
      <w:tr>
        <w:trPr>
          <w:trHeight w:val="226"/>
        </w:trPr>
        <w:tc>
          <w:tcPr>
            <w:tcW w:w="3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AA</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110,033</w:t>
            </w:r>
          </w:p>
        </w:tc>
      </w:tr>
      <w:tr>
        <w:trPr>
          <w:trHeight w:val="218"/>
        </w:trPr>
        <w:tc>
          <w:tcPr>
            <w:tcW w:w="3480" w:type="dxa"/>
            <w:vAlign w:val="bottom"/>
          </w:tcPr>
          <w:p>
            <w:pPr>
              <w:ind w:left="220"/>
              <w:spacing w:after="0"/>
              <w:rPr>
                <w:sz w:val="20"/>
                <w:szCs w:val="20"/>
                <w:color w:val="auto"/>
              </w:rPr>
            </w:pPr>
            <w:r>
              <w:rPr>
                <w:rFonts w:ascii="Arial" w:cs="Arial" w:eastAsia="Arial" w:hAnsi="Arial"/>
                <w:sz w:val="17"/>
                <w:szCs w:val="17"/>
                <w:color w:val="auto"/>
              </w:rPr>
              <w:t>A</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6,900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10,817</w:t>
            </w:r>
          </w:p>
        </w:tc>
      </w:tr>
      <w:tr>
        <w:trPr>
          <w:trHeight w:val="233"/>
        </w:trPr>
        <w:tc>
          <w:tcPr>
            <w:tcW w:w="3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BBB</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38,621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39,788</w:t>
            </w:r>
          </w:p>
        </w:tc>
      </w:tr>
      <w:tr>
        <w:trPr>
          <w:trHeight w:val="218"/>
        </w:trPr>
        <w:tc>
          <w:tcPr>
            <w:tcW w:w="3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Non-rated</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20,141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23,980</w:t>
            </w:r>
          </w:p>
        </w:tc>
      </w:tr>
      <w:tr>
        <w:trPr>
          <w:trHeight w:val="233"/>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168,134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224,736</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834"/>
        </w:trPr>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54"/>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0"/>
        </w:trPr>
        <w:tc>
          <w:tcPr>
            <w:tcW w:w="34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 analysis of the allowance for credit losses by security HTM type for the three months ended June 30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1160" w:type="dxa"/>
            <w:vAlign w:val="bottom"/>
          </w:tcPr>
          <w:p>
            <w:pPr>
              <w:jc w:val="center"/>
              <w:ind w:left="234"/>
              <w:spacing w:after="0"/>
              <w:rPr>
                <w:sz w:val="20"/>
                <w:szCs w:val="20"/>
                <w:color w:val="auto"/>
              </w:rPr>
            </w:pPr>
            <w:r>
              <w:rPr>
                <w:rFonts w:ascii="Arial" w:cs="Arial" w:eastAsia="Arial" w:hAnsi="Arial"/>
                <w:sz w:val="17"/>
                <w:szCs w:val="17"/>
                <w:color w:val="auto"/>
                <w:w w:val="90"/>
              </w:rPr>
              <w:t>Private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34"/>
              <w:spacing w:after="0"/>
              <w:rPr>
                <w:sz w:val="20"/>
                <w:szCs w:val="20"/>
                <w:color w:val="auto"/>
              </w:rPr>
            </w:pPr>
            <w:r>
              <w:rPr>
                <w:rFonts w:ascii="Arial" w:cs="Arial" w:eastAsia="Arial" w:hAnsi="Arial"/>
                <w:sz w:val="17"/>
                <w:szCs w:val="17"/>
                <w:color w:val="auto"/>
                <w:w w:val="94"/>
              </w:rPr>
              <w:t>Obligations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3480" w:type="dxa"/>
            <w:vAlign w:val="bottom"/>
          </w:tcPr>
          <w:p>
            <w:pPr>
              <w:spacing w:after="0"/>
              <w:rPr>
                <w:sz w:val="17"/>
                <w:szCs w:val="17"/>
                <w:color w:val="auto"/>
              </w:rPr>
            </w:pPr>
          </w:p>
        </w:tc>
        <w:tc>
          <w:tcPr>
            <w:tcW w:w="1160" w:type="dxa"/>
            <w:vAlign w:val="bottom"/>
          </w:tcPr>
          <w:p>
            <w:pPr>
              <w:jc w:val="center"/>
              <w:ind w:left="234"/>
              <w:spacing w:after="0"/>
              <w:rPr>
                <w:sz w:val="20"/>
                <w:szCs w:val="20"/>
                <w:color w:val="auto"/>
              </w:rPr>
            </w:pPr>
            <w:r>
              <w:rPr>
                <w:rFonts w:ascii="Arial" w:cs="Arial" w:eastAsia="Arial" w:hAnsi="Arial"/>
                <w:sz w:val="17"/>
                <w:szCs w:val="17"/>
                <w:color w:val="auto"/>
                <w:w w:val="96"/>
              </w:rPr>
              <w:t>Label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34"/>
              <w:spacing w:after="0"/>
              <w:rPr>
                <w:sz w:val="20"/>
                <w:szCs w:val="20"/>
                <w:color w:val="auto"/>
              </w:rPr>
            </w:pPr>
            <w:r>
              <w:rPr>
                <w:rFonts w:ascii="Arial" w:cs="Arial" w:eastAsia="Arial" w:hAnsi="Arial"/>
                <w:sz w:val="17"/>
                <w:szCs w:val="17"/>
                <w:color w:val="auto"/>
                <w:w w:val="89"/>
              </w:rPr>
              <w:t>of States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3480" w:type="dxa"/>
            <w:vAlign w:val="bottom"/>
          </w:tcPr>
          <w:p>
            <w:pPr>
              <w:spacing w:after="0"/>
              <w:rPr>
                <w:sz w:val="17"/>
                <w:szCs w:val="17"/>
                <w:color w:val="auto"/>
              </w:rPr>
            </w:pPr>
          </w:p>
        </w:tc>
        <w:tc>
          <w:tcPr>
            <w:tcW w:w="1160" w:type="dxa"/>
            <w:vAlign w:val="bottom"/>
          </w:tcPr>
          <w:p>
            <w:pPr>
              <w:jc w:val="center"/>
              <w:ind w:left="234"/>
              <w:spacing w:after="0"/>
              <w:rPr>
                <w:sz w:val="20"/>
                <w:szCs w:val="20"/>
                <w:color w:val="auto"/>
              </w:rPr>
            </w:pPr>
            <w:r>
              <w:rPr>
                <w:rFonts w:ascii="Arial" w:cs="Arial" w:eastAsia="Arial" w:hAnsi="Arial"/>
                <w:sz w:val="17"/>
                <w:szCs w:val="17"/>
                <w:color w:val="auto"/>
                <w:w w:val="92"/>
              </w:rPr>
              <w:t>Mortgage-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Arial" w:cs="Arial" w:eastAsia="Arial" w:hAnsi="Arial"/>
                <w:sz w:val="17"/>
                <w:szCs w:val="17"/>
                <w:color w:val="auto"/>
                <w:w w:val="93"/>
              </w:rPr>
              <w:t>and Political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474"/>
              <w:spacing w:after="0"/>
              <w:rPr>
                <w:sz w:val="20"/>
                <w:szCs w:val="20"/>
                <w:color w:val="auto"/>
              </w:rPr>
            </w:pPr>
            <w:r>
              <w:rPr>
                <w:rFonts w:ascii="Arial" w:cs="Arial" w:eastAsia="Arial" w:hAnsi="Arial"/>
                <w:sz w:val="17"/>
                <w:szCs w:val="17"/>
                <w:color w:val="auto"/>
              </w:rPr>
              <w:t>Trust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7"/>
        </w:trPr>
        <w:tc>
          <w:tcPr>
            <w:tcW w:w="3480" w:type="dxa"/>
            <w:vAlign w:val="bottom"/>
          </w:tcPr>
          <w:p>
            <w:pPr>
              <w:spacing w:after="0"/>
              <w:rPr>
                <w:sz w:val="20"/>
                <w:szCs w:val="20"/>
                <w:color w:val="auto"/>
              </w:rPr>
            </w:pPr>
          </w:p>
        </w:tc>
        <w:tc>
          <w:tcPr>
            <w:tcW w:w="1160" w:type="dxa"/>
            <w:vAlign w:val="bottom"/>
            <w:tcBorders>
              <w:bottom w:val="single" w:sz="8" w:color="auto"/>
            </w:tcBorders>
          </w:tcPr>
          <w:p>
            <w:pPr>
              <w:jc w:val="center"/>
              <w:ind w:left="234"/>
              <w:spacing w:after="0"/>
              <w:rPr>
                <w:sz w:val="20"/>
                <w:szCs w:val="20"/>
                <w:color w:val="auto"/>
              </w:rPr>
            </w:pPr>
            <w:r>
              <w:rPr>
                <w:rFonts w:ascii="Arial" w:cs="Arial" w:eastAsia="Arial" w:hAnsi="Arial"/>
                <w:sz w:val="17"/>
                <w:szCs w:val="17"/>
                <w:color w:val="auto"/>
                <w:w w:val="91"/>
              </w:rPr>
              <w:t>Backed</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4"/>
              </w:rPr>
              <w:t>Subdivisions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Corporate</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Preferred</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Total</w:t>
            </w:r>
          </w:p>
        </w:tc>
      </w:tr>
      <w:tr>
        <w:trPr>
          <w:trHeight w:val="218"/>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Arial" w:cs="Arial" w:eastAsia="Arial" w:hAnsi="Arial"/>
                <w:sz w:val="17"/>
                <w:szCs w:val="17"/>
                <w:color w:val="auto"/>
                <w:w w:val="93"/>
              </w:rPr>
              <w:t>(In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7"/>
                <w:szCs w:val="17"/>
                <w:color w:val="auto"/>
              </w:rPr>
              <w:t>2023</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3"/>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30"/>
        </w:trPr>
        <w:tc>
          <w:tcPr>
            <w:tcW w:w="3480" w:type="dxa"/>
            <w:vAlign w:val="bottom"/>
          </w:tcPr>
          <w:p>
            <w:pPr>
              <w:ind w:left="220"/>
              <w:spacing w:after="0"/>
              <w:rPr>
                <w:sz w:val="20"/>
                <w:szCs w:val="20"/>
                <w:color w:val="auto"/>
              </w:rPr>
            </w:pPr>
            <w:r>
              <w:rPr>
                <w:rFonts w:ascii="Arial" w:cs="Arial" w:eastAsia="Arial" w:hAnsi="Arial"/>
                <w:sz w:val="17"/>
                <w:szCs w:val="17"/>
                <w:color w:val="auto"/>
              </w:rPr>
              <w:t>Additions (deductions)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1"/>
        </w:trPr>
        <w:tc>
          <w:tcPr>
            <w:tcW w:w="348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Securities HTM charged against the</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1"/>
        </w:trPr>
        <w:tc>
          <w:tcPr>
            <w:tcW w:w="3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allowance</w:t>
            </w:r>
          </w:p>
        </w:tc>
        <w:tc>
          <w:tcPr>
            <w:tcW w:w="11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48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39</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116</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5"/>
        </w:trPr>
        <w:tc>
          <w:tcPr>
            <w:tcW w:w="3480" w:type="dxa"/>
            <w:vAlign w:val="bottom"/>
          </w:tcPr>
          <w:p>
            <w:pPr>
              <w:ind w:left="20"/>
              <w:spacing w:after="0"/>
              <w:rPr>
                <w:sz w:val="20"/>
                <w:szCs w:val="20"/>
                <w:color w:val="auto"/>
              </w:rPr>
            </w:pPr>
            <w:r>
              <w:rPr>
                <w:rFonts w:ascii="Arial" w:cs="Arial" w:eastAsia="Arial" w:hAnsi="Arial"/>
                <w:sz w:val="17"/>
                <w:szCs w:val="17"/>
                <w:color w:val="auto"/>
              </w:rPr>
              <w:t>2022</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6"/>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3480" w:type="dxa"/>
            <w:vAlign w:val="bottom"/>
          </w:tcPr>
          <w:p>
            <w:pPr>
              <w:ind w:left="220"/>
              <w:spacing w:after="0"/>
              <w:rPr>
                <w:sz w:val="20"/>
                <w:szCs w:val="20"/>
                <w:color w:val="auto"/>
              </w:rPr>
            </w:pPr>
            <w:r>
              <w:rPr>
                <w:rFonts w:ascii="Arial" w:cs="Arial" w:eastAsia="Arial" w:hAnsi="Arial"/>
                <w:sz w:val="17"/>
                <w:szCs w:val="17"/>
                <w:color w:val="auto"/>
              </w:rPr>
              <w:t>Additions (deductions)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57"/>
        </w:trPr>
        <w:tc>
          <w:tcPr>
            <w:tcW w:w="348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11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Securities HTM charged against the</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34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allowance</w:t>
            </w:r>
          </w:p>
        </w:tc>
        <w:tc>
          <w:tcPr>
            <w:tcW w:w="11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348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30</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121</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0"/>
        </w:trPr>
        <w:tc>
          <w:tcPr>
            <w:tcW w:w="34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54"/>
        </w:trPr>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4"/>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0"/>
        </w:trPr>
        <w:tc>
          <w:tcPr>
            <w:tcW w:w="34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An analysis of the allowance for credit losses by security HTM type for the six months ended June 30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1160" w:type="dxa"/>
            <w:vAlign w:val="bottom"/>
          </w:tcPr>
          <w:p>
            <w:pPr>
              <w:jc w:val="center"/>
              <w:ind w:left="214"/>
              <w:spacing w:after="0"/>
              <w:rPr>
                <w:sz w:val="20"/>
                <w:szCs w:val="20"/>
                <w:color w:val="auto"/>
              </w:rPr>
            </w:pPr>
            <w:r>
              <w:rPr>
                <w:rFonts w:ascii="Arial" w:cs="Arial" w:eastAsia="Arial" w:hAnsi="Arial"/>
                <w:sz w:val="17"/>
                <w:szCs w:val="17"/>
                <w:color w:val="auto"/>
                <w:w w:val="94"/>
              </w:rPr>
              <w:t>Private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Obligations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3480" w:type="dxa"/>
            <w:vAlign w:val="bottom"/>
          </w:tcPr>
          <w:p>
            <w:pPr>
              <w:spacing w:after="0"/>
              <w:rPr>
                <w:sz w:val="17"/>
                <w:szCs w:val="17"/>
                <w:color w:val="auto"/>
              </w:rPr>
            </w:pPr>
          </w:p>
        </w:tc>
        <w:tc>
          <w:tcPr>
            <w:tcW w:w="1160" w:type="dxa"/>
            <w:vAlign w:val="bottom"/>
          </w:tcPr>
          <w:p>
            <w:pPr>
              <w:jc w:val="center"/>
              <w:ind w:left="214"/>
              <w:spacing w:after="0"/>
              <w:rPr>
                <w:sz w:val="20"/>
                <w:szCs w:val="20"/>
                <w:color w:val="auto"/>
              </w:rPr>
            </w:pPr>
            <w:r>
              <w:rPr>
                <w:rFonts w:ascii="Arial" w:cs="Arial" w:eastAsia="Arial" w:hAnsi="Arial"/>
                <w:sz w:val="17"/>
                <w:szCs w:val="17"/>
                <w:color w:val="auto"/>
                <w:w w:val="91"/>
              </w:rPr>
              <w:t>Label</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of States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3480" w:type="dxa"/>
            <w:vAlign w:val="bottom"/>
          </w:tcPr>
          <w:p>
            <w:pPr>
              <w:spacing w:after="0"/>
              <w:rPr>
                <w:sz w:val="17"/>
                <w:szCs w:val="17"/>
                <w:color w:val="auto"/>
              </w:rPr>
            </w:pPr>
          </w:p>
        </w:tc>
        <w:tc>
          <w:tcPr>
            <w:tcW w:w="1160" w:type="dxa"/>
            <w:vAlign w:val="bottom"/>
          </w:tcPr>
          <w:p>
            <w:pPr>
              <w:jc w:val="center"/>
              <w:ind w:left="234"/>
              <w:spacing w:after="0"/>
              <w:rPr>
                <w:sz w:val="20"/>
                <w:szCs w:val="20"/>
                <w:color w:val="auto"/>
              </w:rPr>
            </w:pPr>
            <w:r>
              <w:rPr>
                <w:rFonts w:ascii="Arial" w:cs="Arial" w:eastAsia="Arial" w:hAnsi="Arial"/>
                <w:sz w:val="17"/>
                <w:szCs w:val="17"/>
                <w:color w:val="auto"/>
                <w:w w:val="92"/>
              </w:rPr>
              <w:t>Mortgage-</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and Political</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ind w:left="320"/>
              <w:spacing w:after="0"/>
              <w:rPr>
                <w:sz w:val="20"/>
                <w:szCs w:val="20"/>
                <w:color w:val="auto"/>
              </w:rPr>
            </w:pPr>
            <w:r>
              <w:rPr>
                <w:rFonts w:ascii="Arial" w:cs="Arial" w:eastAsia="Arial" w:hAnsi="Arial"/>
                <w:sz w:val="17"/>
                <w:szCs w:val="17"/>
                <w:color w:val="auto"/>
              </w:rPr>
              <w:t>Trust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7"/>
        </w:trPr>
        <w:tc>
          <w:tcPr>
            <w:tcW w:w="3480" w:type="dxa"/>
            <w:vAlign w:val="bottom"/>
          </w:tcPr>
          <w:p>
            <w:pPr>
              <w:spacing w:after="0"/>
              <w:rPr>
                <w:sz w:val="20"/>
                <w:szCs w:val="20"/>
                <w:color w:val="auto"/>
              </w:rPr>
            </w:pPr>
          </w:p>
        </w:tc>
        <w:tc>
          <w:tcPr>
            <w:tcW w:w="1160" w:type="dxa"/>
            <w:vAlign w:val="bottom"/>
            <w:tcBorders>
              <w:bottom w:val="single" w:sz="8" w:color="auto"/>
            </w:tcBorders>
          </w:tcPr>
          <w:p>
            <w:pPr>
              <w:jc w:val="center"/>
              <w:ind w:left="234"/>
              <w:spacing w:after="0"/>
              <w:rPr>
                <w:sz w:val="20"/>
                <w:szCs w:val="20"/>
                <w:color w:val="auto"/>
              </w:rPr>
            </w:pPr>
            <w:r>
              <w:rPr>
                <w:rFonts w:ascii="Arial" w:cs="Arial" w:eastAsia="Arial" w:hAnsi="Arial"/>
                <w:sz w:val="17"/>
                <w:szCs w:val="17"/>
                <w:color w:val="auto"/>
                <w:w w:val="91"/>
              </w:rPr>
              <w:t>Backed</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color w:val="auto"/>
                <w:w w:val="92"/>
              </w:rPr>
              <w:t>Subdivisions</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Corporate</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color w:val="auto"/>
              </w:rPr>
              <w:t>Preferred</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94"/>
              <w:spacing w:after="0"/>
              <w:rPr>
                <w:sz w:val="20"/>
                <w:szCs w:val="20"/>
                <w:color w:val="auto"/>
              </w:rPr>
            </w:pPr>
            <w:r>
              <w:rPr>
                <w:rFonts w:ascii="Arial" w:cs="Arial" w:eastAsia="Arial" w:hAnsi="Arial"/>
                <w:sz w:val="17"/>
                <w:szCs w:val="17"/>
                <w:color w:val="auto"/>
                <w:w w:val="95"/>
              </w:rPr>
              <w:t>Total</w:t>
            </w:r>
          </w:p>
        </w:tc>
      </w:tr>
      <w:tr>
        <w:trPr>
          <w:trHeight w:val="218"/>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(In thousands)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0"/>
        </w:trPr>
        <w:tc>
          <w:tcPr>
            <w:tcW w:w="3480" w:type="dxa"/>
            <w:vAlign w:val="bottom"/>
          </w:tcPr>
          <w:p>
            <w:pPr>
              <w:ind w:left="20"/>
              <w:spacing w:after="0"/>
              <w:rPr>
                <w:sz w:val="20"/>
                <w:szCs w:val="20"/>
                <w:color w:val="auto"/>
              </w:rPr>
            </w:pPr>
            <w:r>
              <w:rPr>
                <w:rFonts w:ascii="Arial" w:cs="Arial" w:eastAsia="Arial" w:hAnsi="Arial"/>
                <w:sz w:val="17"/>
                <w:szCs w:val="17"/>
                <w:color w:val="auto"/>
              </w:rPr>
              <w:t>2023</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3"/>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0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4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30"/>
        </w:trPr>
        <w:tc>
          <w:tcPr>
            <w:tcW w:w="3480" w:type="dxa"/>
            <w:vAlign w:val="bottom"/>
          </w:tcPr>
          <w:p>
            <w:pPr>
              <w:ind w:left="220"/>
              <w:spacing w:after="0"/>
              <w:rPr>
                <w:sz w:val="20"/>
                <w:szCs w:val="20"/>
                <w:color w:val="auto"/>
              </w:rPr>
            </w:pPr>
            <w:r>
              <w:rPr>
                <w:rFonts w:ascii="Arial" w:cs="Arial" w:eastAsia="Arial" w:hAnsi="Arial"/>
                <w:sz w:val="17"/>
                <w:szCs w:val="17"/>
                <w:color w:val="auto"/>
              </w:rPr>
              <w:t>Additions (deductions)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2,993</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2,992</w:t>
            </w:r>
          </w:p>
        </w:tc>
      </w:tr>
      <w:tr>
        <w:trPr>
          <w:trHeight w:val="251"/>
        </w:trPr>
        <w:tc>
          <w:tcPr>
            <w:tcW w:w="348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11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Securities HTM charged against the</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1"/>
        </w:trPr>
        <w:tc>
          <w:tcPr>
            <w:tcW w:w="3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allowance</w:t>
            </w:r>
          </w:p>
        </w:tc>
        <w:tc>
          <w:tcPr>
            <w:tcW w:w="11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(3,000)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r>
      <w:tr>
        <w:trPr>
          <w:trHeight w:val="213"/>
        </w:trPr>
        <w:tc>
          <w:tcPr>
            <w:tcW w:w="348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gridSpan w:val="3"/>
          </w:tcPr>
          <w:p>
            <w:pPr>
              <w:jc w:val="right"/>
              <w:ind w:right="1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39</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116</w:t>
            </w:r>
          </w:p>
        </w:tc>
        <w:tc>
          <w:tcPr>
            <w:tcW w:w="40" w:type="dxa"/>
            <w:vAlign w:val="bottom"/>
          </w:tcPr>
          <w:p>
            <w:pPr>
              <w:spacing w:after="0"/>
              <w:rPr>
                <w:sz w:val="18"/>
                <w:szCs w:val="18"/>
                <w:color w:val="auto"/>
              </w:rPr>
            </w:pPr>
          </w:p>
        </w:tc>
        <w:tc>
          <w:tcPr>
            <w:tcW w:w="340" w:type="dxa"/>
            <w:vAlign w:val="bottom"/>
            <w:gridSpan w:val="3"/>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580" w:type="dxa"/>
            <w:vAlign w:val="bottom"/>
            <w:gridSpan w:val="3"/>
          </w:tcPr>
          <w:p>
            <w:pPr>
              <w:jc w:val="right"/>
              <w:ind w:right="29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5"/>
        </w:trPr>
        <w:tc>
          <w:tcPr>
            <w:tcW w:w="3480" w:type="dxa"/>
            <w:vAlign w:val="bottom"/>
          </w:tcPr>
          <w:p>
            <w:pPr>
              <w:ind w:left="20"/>
              <w:spacing w:after="0"/>
              <w:rPr>
                <w:sz w:val="20"/>
                <w:szCs w:val="20"/>
                <w:color w:val="auto"/>
              </w:rPr>
            </w:pPr>
            <w:r>
              <w:rPr>
                <w:rFonts w:ascii="Arial" w:cs="Arial" w:eastAsia="Arial" w:hAnsi="Arial"/>
                <w:sz w:val="17"/>
                <w:szCs w:val="17"/>
                <w:color w:val="auto"/>
              </w:rPr>
              <w:t>2022</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40" w:type="dxa"/>
            <w:vAlign w:val="bottom"/>
            <w:gridSpan w:val="3"/>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3480" w:type="dxa"/>
            <w:vAlign w:val="bottom"/>
          </w:tcPr>
          <w:p>
            <w:pPr>
              <w:ind w:left="220"/>
              <w:spacing w:after="0"/>
              <w:rPr>
                <w:sz w:val="20"/>
                <w:szCs w:val="20"/>
                <w:color w:val="auto"/>
              </w:rPr>
            </w:pPr>
            <w:r>
              <w:rPr>
                <w:rFonts w:ascii="Arial" w:cs="Arial" w:eastAsia="Arial" w:hAnsi="Arial"/>
                <w:sz w:val="17"/>
                <w:szCs w:val="17"/>
                <w:color w:val="auto"/>
              </w:rPr>
              <w:t>Additions (deductions)</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r>
      <w:tr>
        <w:trPr>
          <w:trHeight w:val="257"/>
        </w:trPr>
        <w:tc>
          <w:tcPr>
            <w:tcW w:w="348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11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Securities HTM charged against the</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34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allowance</w:t>
            </w:r>
          </w:p>
        </w:tc>
        <w:tc>
          <w:tcPr>
            <w:tcW w:w="11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348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1160" w:type="dxa"/>
            <w:vAlign w:val="bottom"/>
            <w:tcBorders>
              <w:bottom w:val="single" w:sz="8" w:color="auto"/>
            </w:tcBorders>
          </w:tcPr>
          <w:p>
            <w:pPr>
              <w:jc w:val="right"/>
              <w:ind w:right="974"/>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40" w:type="dxa"/>
            <w:vAlign w:val="bottom"/>
            <w:tcBorders>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20" w:type="dxa"/>
            <w:vAlign w:val="bottom"/>
            <w:tcBorders>
              <w:bottom w:val="single" w:sz="8" w:color="auto"/>
            </w:tcBorders>
          </w:tcPr>
          <w:p>
            <w:pPr>
              <w:spacing w:after="0"/>
              <w:rPr>
                <w:sz w:val="19"/>
                <w:szCs w:val="19"/>
                <w:color w:val="auto"/>
              </w:rPr>
            </w:pPr>
          </w:p>
        </w:tc>
        <w:tc>
          <w:tcPr>
            <w:tcW w:w="80" w:type="dxa"/>
            <w:vAlign w:val="bottom"/>
            <w:gridSpan w:val="2"/>
          </w:tcPr>
          <w:p>
            <w:pPr>
              <w:spacing w:after="0"/>
              <w:rPr>
                <w:sz w:val="19"/>
                <w:szCs w:val="19"/>
                <w:color w:val="auto"/>
              </w:rPr>
            </w:pPr>
          </w:p>
        </w:tc>
        <w:tc>
          <w:tcPr>
            <w:tcW w:w="5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w:t>
            </w:r>
          </w:p>
        </w:tc>
      </w:tr>
      <w:tr>
        <w:trPr>
          <w:trHeight w:val="20"/>
        </w:trPr>
        <w:tc>
          <w:tcPr>
            <w:tcW w:w="34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54"/>
        </w:trPr>
        <w:tc>
          <w:tcPr>
            <w:tcW w:w="8460" w:type="dxa"/>
            <w:vAlign w:val="bottom"/>
            <w:gridSpan w:val="16"/>
          </w:tcPr>
          <w:p>
            <w:pPr>
              <w:spacing w:after="0"/>
              <w:rPr>
                <w:sz w:val="20"/>
                <w:szCs w:val="20"/>
                <w:color w:val="auto"/>
              </w:rPr>
            </w:pPr>
            <w:r>
              <w:rPr>
                <w:rFonts w:ascii="Arial" w:cs="Arial" w:eastAsia="Arial" w:hAnsi="Arial"/>
                <w:sz w:val="17"/>
                <w:szCs w:val="17"/>
                <w:color w:val="auto"/>
                <w:w w:val="93"/>
              </w:rPr>
              <w:t>The amortized cost and fair value of securities AFS and securities HTM at June 30, 2023, by contractual maturity, follow:</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20"/>
        </w:trPr>
        <w:tc>
          <w:tcPr>
            <w:tcW w:w="3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914"/>
              <w:spacing w:after="0"/>
              <w:rPr>
                <w:sz w:val="20"/>
                <w:szCs w:val="20"/>
                <w:color w:val="auto"/>
              </w:rPr>
            </w:pPr>
            <w:r>
              <w:rPr>
                <w:rFonts w:ascii="Arial" w:cs="Arial" w:eastAsia="Arial" w:hAnsi="Arial"/>
                <w:sz w:val="17"/>
                <w:szCs w:val="17"/>
                <w:color w:val="auto"/>
              </w:rPr>
              <w:t>Securities AFS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Securities HTM</w:t>
            </w:r>
          </w:p>
        </w:tc>
        <w:tc>
          <w:tcPr>
            <w:tcW w:w="960" w:type="dxa"/>
            <w:vAlign w:val="bottom"/>
            <w:tcBorders>
              <w:bottom w:val="single" w:sz="8" w:color="auto"/>
            </w:tcBorders>
          </w:tcPr>
          <w:p>
            <w:pPr>
              <w:spacing w:after="0"/>
              <w:rPr>
                <w:sz w:val="24"/>
                <w:szCs w:val="24"/>
                <w:color w:val="auto"/>
              </w:rPr>
            </w:pPr>
          </w:p>
        </w:tc>
      </w:tr>
      <w:tr>
        <w:trPr>
          <w:trHeight w:val="168"/>
        </w:trPr>
        <w:tc>
          <w:tcPr>
            <w:tcW w:w="3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80"/>
              <w:spacing w:after="0" w:line="168" w:lineRule="exact"/>
              <w:rPr>
                <w:sz w:val="20"/>
                <w:szCs w:val="20"/>
                <w:color w:val="auto"/>
              </w:rPr>
            </w:pPr>
            <w:r>
              <w:rPr>
                <w:rFonts w:ascii="Arial" w:cs="Arial" w:eastAsia="Arial" w:hAnsi="Arial"/>
                <w:sz w:val="17"/>
                <w:szCs w:val="17"/>
                <w:color w:val="auto"/>
                <w:w w:val="96"/>
              </w:rPr>
              <w:t>Amortized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line="168" w:lineRule="exact"/>
              <w:rPr>
                <w:sz w:val="20"/>
                <w:szCs w:val="20"/>
                <w:color w:val="auto"/>
              </w:rPr>
            </w:pPr>
            <w:r>
              <w:rPr>
                <w:rFonts w:ascii="Arial" w:cs="Arial" w:eastAsia="Arial" w:hAnsi="Arial"/>
                <w:sz w:val="17"/>
                <w:szCs w:val="17"/>
                <w:color w:val="auto"/>
                <w:w w:val="88"/>
              </w:rPr>
              <w:t>Fair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100"/>
              <w:spacing w:after="0" w:line="168" w:lineRule="exact"/>
              <w:rPr>
                <w:sz w:val="20"/>
                <w:szCs w:val="20"/>
                <w:color w:val="auto"/>
              </w:rPr>
            </w:pPr>
            <w:r>
              <w:rPr>
                <w:rFonts w:ascii="Arial" w:cs="Arial" w:eastAsia="Arial" w:hAnsi="Arial"/>
                <w:sz w:val="17"/>
                <w:szCs w:val="17"/>
                <w:color w:val="auto"/>
              </w:rPr>
              <w:t>Amortized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center"/>
              <w:ind w:right="434"/>
              <w:spacing w:after="0" w:line="168" w:lineRule="exact"/>
              <w:rPr>
                <w:sz w:val="20"/>
                <w:szCs w:val="20"/>
                <w:color w:val="auto"/>
              </w:rPr>
            </w:pPr>
            <w:r>
              <w:rPr>
                <w:rFonts w:ascii="Arial" w:cs="Arial" w:eastAsia="Arial" w:hAnsi="Arial"/>
                <w:sz w:val="17"/>
                <w:szCs w:val="17"/>
                <w:color w:val="auto"/>
                <w:w w:val="95"/>
              </w:rPr>
              <w:t>Fair</w:t>
            </w:r>
          </w:p>
        </w:tc>
      </w:tr>
      <w:tr>
        <w:trPr>
          <w:trHeight w:val="218"/>
        </w:trPr>
        <w:tc>
          <w:tcPr>
            <w:tcW w:w="3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91"/>
              </w:rPr>
              <w:t>Cost</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color w:val="auto"/>
                <w:w w:val="87"/>
              </w:rPr>
              <w:t>Value</w:t>
            </w: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300"/>
              <w:spacing w:after="0"/>
              <w:rPr>
                <w:sz w:val="20"/>
                <w:szCs w:val="20"/>
                <w:color w:val="auto"/>
              </w:rPr>
            </w:pPr>
            <w:r>
              <w:rPr>
                <w:rFonts w:ascii="Arial" w:cs="Arial" w:eastAsia="Arial" w:hAnsi="Arial"/>
                <w:sz w:val="17"/>
                <w:szCs w:val="17"/>
                <w:color w:val="auto"/>
              </w:rPr>
              <w:t>Cost</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34"/>
              <w:spacing w:after="0"/>
              <w:rPr>
                <w:sz w:val="20"/>
                <w:szCs w:val="20"/>
                <w:color w:val="auto"/>
              </w:rPr>
            </w:pPr>
            <w:r>
              <w:rPr>
                <w:rFonts w:ascii="Arial" w:cs="Arial" w:eastAsia="Arial" w:hAnsi="Arial"/>
                <w:sz w:val="17"/>
                <w:szCs w:val="17"/>
                <w:color w:val="auto"/>
                <w:w w:val="91"/>
              </w:rPr>
              <w:t>Value</w:t>
            </w:r>
          </w:p>
        </w:tc>
      </w:tr>
      <w:tr>
        <w:trPr>
          <w:trHeight w:val="218"/>
        </w:trPr>
        <w:tc>
          <w:tcPr>
            <w:tcW w:w="3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80" w:type="dxa"/>
            <w:vAlign w:val="bottom"/>
            <w:gridSpan w:val="7"/>
          </w:tcPr>
          <w:p>
            <w:pPr>
              <w:ind w:left="820"/>
              <w:spacing w:after="0"/>
              <w:rPr>
                <w:sz w:val="20"/>
                <w:szCs w:val="20"/>
                <w:color w:val="auto"/>
              </w:rPr>
            </w:pPr>
            <w:r>
              <w:rPr>
                <w:rFonts w:ascii="Arial" w:cs="Arial" w:eastAsia="Arial" w:hAnsi="Arial"/>
                <w:sz w:val="17"/>
                <w:szCs w:val="17"/>
                <w:color w:val="auto"/>
              </w:rPr>
              <w:t>(In thousands)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Maturing within one year</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8,524</w:t>
            </w:r>
          </w:p>
        </w:tc>
        <w:tc>
          <w:tcPr>
            <w:tcW w:w="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8,415</w:t>
            </w:r>
          </w:p>
        </w:tc>
        <w:tc>
          <w:tcPr>
            <w:tcW w:w="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4,025</w:t>
            </w:r>
          </w:p>
        </w:tc>
        <w:tc>
          <w:tcPr>
            <w:tcW w:w="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3,970</w:t>
            </w:r>
          </w:p>
        </w:tc>
      </w:tr>
      <w:tr>
        <w:trPr>
          <w:trHeight w:val="218"/>
        </w:trPr>
        <w:tc>
          <w:tcPr>
            <w:tcW w:w="3480" w:type="dxa"/>
            <w:vAlign w:val="bottom"/>
          </w:tcPr>
          <w:p>
            <w:pPr>
              <w:ind w:left="20"/>
              <w:spacing w:after="0"/>
              <w:rPr>
                <w:sz w:val="20"/>
                <w:szCs w:val="20"/>
                <w:color w:val="auto"/>
              </w:rPr>
            </w:pPr>
            <w:r>
              <w:rPr>
                <w:rFonts w:ascii="Arial" w:cs="Arial" w:eastAsia="Arial" w:hAnsi="Arial"/>
                <w:sz w:val="17"/>
                <w:szCs w:val="17"/>
                <w:color w:val="auto"/>
              </w:rPr>
              <w:t>Maturing after one year but within five years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143,632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130,013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48,629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44,199</w:t>
            </w:r>
          </w:p>
        </w:tc>
      </w:tr>
      <w:tr>
        <w:trPr>
          <w:trHeight w:val="233"/>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Maturing after five years but within ten years</w:t>
            </w: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80,766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69,883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106,201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89,422</w:t>
            </w:r>
          </w:p>
        </w:tc>
      </w:tr>
      <w:tr>
        <w:trPr>
          <w:trHeight w:val="218"/>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Maturing after ten years</w:t>
            </w:r>
          </w:p>
        </w:tc>
        <w:tc>
          <w:tcPr>
            <w:tcW w:w="11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204,931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179,903</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87,283</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74,153</w:t>
            </w:r>
          </w:p>
        </w:tc>
      </w:tr>
      <w:tr>
        <w:trPr>
          <w:trHeight w:val="213"/>
        </w:trPr>
        <w:tc>
          <w:tcPr>
            <w:tcW w:w="34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437,853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388,214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246,138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211,744</w:t>
            </w:r>
          </w:p>
        </w:tc>
      </w:tr>
      <w:tr>
        <w:trPr>
          <w:trHeight w:val="225"/>
        </w:trPr>
        <w:tc>
          <w:tcPr>
            <w:tcW w:w="3480" w:type="dxa"/>
            <w:vAlign w:val="bottom"/>
          </w:tcPr>
          <w:p>
            <w:pPr>
              <w:ind w:left="20"/>
              <w:spacing w:after="0"/>
              <w:rPr>
                <w:sz w:val="20"/>
                <w:szCs w:val="20"/>
                <w:color w:val="auto"/>
              </w:rPr>
            </w:pPr>
            <w:r>
              <w:rPr>
                <w:rFonts w:ascii="Arial" w:cs="Arial" w:eastAsia="Arial" w:hAnsi="Arial"/>
                <w:sz w:val="17"/>
                <w:szCs w:val="17"/>
                <w:color w:val="auto"/>
              </w:rPr>
              <w:t>U.S. agency residential mortgage-backed</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95,336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85,403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123,675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99,008</w:t>
            </w:r>
          </w:p>
        </w:tc>
      </w:tr>
      <w:tr>
        <w:trPr>
          <w:trHeight w:val="226"/>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agency commercial mortgage-backed</w:t>
            </w: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4,395</w:t>
            </w:r>
          </w:p>
        </w:tc>
      </w:tr>
      <w:tr>
        <w:trPr>
          <w:trHeight w:val="218"/>
        </w:trPr>
        <w:tc>
          <w:tcPr>
            <w:tcW w:w="3480" w:type="dxa"/>
            <w:vAlign w:val="bottom"/>
          </w:tcPr>
          <w:p>
            <w:pPr>
              <w:ind w:left="20"/>
              <w:spacing w:after="0"/>
              <w:rPr>
                <w:sz w:val="20"/>
                <w:szCs w:val="20"/>
                <w:color w:val="auto"/>
              </w:rPr>
            </w:pPr>
            <w:r>
              <w:rPr>
                <w:rFonts w:ascii="Arial" w:cs="Arial" w:eastAsia="Arial" w:hAnsi="Arial"/>
                <w:sz w:val="17"/>
                <w:szCs w:val="17"/>
                <w:color w:val="auto"/>
              </w:rPr>
              <w:t>Private label mortgage-backed</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98,409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90,221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7,632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6,713</w:t>
            </w:r>
          </w:p>
        </w:tc>
      </w:tr>
      <w:tr>
        <w:trPr>
          <w:trHeight w:val="232"/>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 backed</w:t>
            </w: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158,726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155,028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480" w:type="dxa"/>
            <w:vAlign w:val="bottom"/>
          </w:tcPr>
          <w:p>
            <w:pPr>
              <w:ind w:left="180"/>
              <w:spacing w:after="0"/>
              <w:rPr>
                <w:sz w:val="20"/>
                <w:szCs w:val="20"/>
                <w:color w:val="auto"/>
              </w:rPr>
            </w:pPr>
            <w:r>
              <w:rPr>
                <w:rFonts w:ascii="Arial" w:cs="Arial" w:eastAsia="Arial" w:hAnsi="Arial"/>
                <w:sz w:val="17"/>
                <w:szCs w:val="17"/>
                <w:color w:val="auto"/>
              </w:rPr>
              <w:t>Total</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3"/>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804,808</w:t>
            </w:r>
          </w:p>
        </w:tc>
        <w:tc>
          <w:tcPr>
            <w:tcW w:w="40" w:type="dxa"/>
            <w:vAlign w:val="bottom"/>
          </w:tcPr>
          <w:p>
            <w:pPr>
              <w:spacing w:after="0"/>
              <w:rPr>
                <w:sz w:val="18"/>
                <w:szCs w:val="18"/>
                <w:color w:val="auto"/>
              </w:rPr>
            </w:pPr>
          </w:p>
        </w:tc>
        <w:tc>
          <w:tcPr>
            <w:tcW w:w="260" w:type="dxa"/>
            <w:vAlign w:val="bottom"/>
            <w:gridSpan w:val="3"/>
          </w:tcPr>
          <w:p>
            <w:pPr>
              <w:jc w:val="right"/>
              <w:ind w:right="1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731,777</w:t>
            </w:r>
          </w:p>
        </w:tc>
        <w:tc>
          <w:tcPr>
            <w:tcW w:w="40" w:type="dxa"/>
            <w:vAlign w:val="bottom"/>
          </w:tcPr>
          <w:p>
            <w:pPr>
              <w:spacing w:after="0"/>
              <w:rPr>
                <w:sz w:val="18"/>
                <w:szCs w:val="18"/>
                <w:color w:val="auto"/>
              </w:rPr>
            </w:pPr>
          </w:p>
        </w:tc>
        <w:tc>
          <w:tcPr>
            <w:tcW w:w="340" w:type="dxa"/>
            <w:vAlign w:val="bottom"/>
            <w:gridSpan w:val="3"/>
          </w:tcPr>
          <w:p>
            <w:pPr>
              <w:jc w:val="right"/>
              <w:ind w:right="9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382,366</w:t>
            </w:r>
          </w:p>
        </w:tc>
        <w:tc>
          <w:tcPr>
            <w:tcW w:w="20" w:type="dxa"/>
            <w:vAlign w:val="bottom"/>
          </w:tcPr>
          <w:p>
            <w:pPr>
              <w:spacing w:after="0"/>
              <w:rPr>
                <w:sz w:val="18"/>
                <w:szCs w:val="18"/>
                <w:color w:val="auto"/>
              </w:rPr>
            </w:pPr>
          </w:p>
        </w:tc>
        <w:tc>
          <w:tcPr>
            <w:tcW w:w="580" w:type="dxa"/>
            <w:vAlign w:val="bottom"/>
            <w:gridSpan w:val="3"/>
          </w:tcPr>
          <w:p>
            <w:pPr>
              <w:jc w:val="right"/>
              <w:ind w:right="33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321,860</w:t>
            </w:r>
          </w:p>
        </w:tc>
      </w:tr>
      <w:tr>
        <w:trPr>
          <w:trHeight w:val="20"/>
        </w:trPr>
        <w:tc>
          <w:tcPr>
            <w:tcW w:w="3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actual maturity may differ from the contractual maturity because issuers may have the right to call or prepay obligations with or without call or prepayment penalties.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Gains and losses realized on the sale of securities AFS are determined using the specific identification method and are recognized on a trade-date basis. A summary of proceeds from the sale of securities AFS and gains and losses for the six month periods ending June 30,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ind w:left="1060"/>
              <w:spacing w:after="0"/>
              <w:rPr>
                <w:sz w:val="20"/>
                <w:szCs w:val="20"/>
                <w:color w:val="auto"/>
              </w:rPr>
            </w:pPr>
            <w:r>
              <w:rPr>
                <w:rFonts w:ascii="Arial" w:cs="Arial" w:eastAsia="Arial" w:hAnsi="Arial"/>
                <w:sz w:val="17"/>
                <w:szCs w:val="17"/>
                <w:color w:val="auto"/>
              </w:rPr>
              <w:t>Realized</w:t>
            </w:r>
          </w:p>
        </w:tc>
        <w:tc>
          <w:tcPr>
            <w:tcW w:w="1100" w:type="dxa"/>
            <w:vAlign w:val="bottom"/>
            <w:tcBorders>
              <w:bottom w:val="single" w:sz="8" w:color="auto"/>
            </w:tcBorders>
          </w:tcPr>
          <w:p>
            <w:pPr>
              <w:spacing w:after="0"/>
              <w:rPr>
                <w:sz w:val="18"/>
                <w:szCs w:val="18"/>
                <w:color w:val="auto"/>
              </w:rPr>
            </w:pPr>
          </w:p>
        </w:tc>
      </w:tr>
      <w:tr>
        <w:trPr>
          <w:trHeight w:val="213"/>
        </w:trPr>
        <w:tc>
          <w:tcPr>
            <w:tcW w:w="29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Proceeds</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center"/>
              <w:ind w:right="574"/>
              <w:spacing w:after="0"/>
              <w:rPr>
                <w:sz w:val="20"/>
                <w:szCs w:val="20"/>
                <w:color w:val="auto"/>
              </w:rPr>
            </w:pPr>
            <w:r>
              <w:rPr>
                <w:rFonts w:ascii="Arial" w:cs="Arial" w:eastAsia="Arial" w:hAnsi="Arial"/>
                <w:sz w:val="17"/>
                <w:szCs w:val="17"/>
                <w:color w:val="auto"/>
                <w:w w:val="89"/>
              </w:rPr>
              <w:t>Gains</w:t>
            </w: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Losses</w:t>
            </w:r>
          </w:p>
        </w:tc>
      </w:tr>
      <w:tr>
        <w:trPr>
          <w:trHeight w:val="218"/>
        </w:trPr>
        <w:tc>
          <w:tcPr>
            <w:tcW w:w="29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center"/>
              <w:ind w:right="574"/>
              <w:spacing w:after="0"/>
              <w:rPr>
                <w:sz w:val="20"/>
                <w:szCs w:val="20"/>
                <w:color w:val="auto"/>
              </w:rPr>
            </w:pPr>
            <w:r>
              <w:rPr>
                <w:rFonts w:ascii="Arial" w:cs="Arial" w:eastAsia="Arial" w:hAnsi="Arial"/>
                <w:sz w:val="17"/>
                <w:szCs w:val="17"/>
                <w:color w:val="auto"/>
                <w:w w:val="91"/>
              </w:rPr>
              <w:t>(In thousands)</w:t>
            </w:r>
          </w:p>
        </w:tc>
        <w:tc>
          <w:tcPr>
            <w:tcW w:w="1100" w:type="dxa"/>
            <w:vAlign w:val="bottom"/>
          </w:tcPr>
          <w:p>
            <w:pPr>
              <w:spacing w:after="0"/>
              <w:rPr>
                <w:sz w:val="19"/>
                <w:szCs w:val="19"/>
                <w:color w:val="auto"/>
              </w:rPr>
            </w:pPr>
          </w:p>
        </w:tc>
      </w:tr>
      <w:tr>
        <w:trPr>
          <w:trHeight w:val="226"/>
        </w:trPr>
        <w:tc>
          <w:tcPr>
            <w:tcW w:w="2960" w:type="dxa"/>
            <w:vAlign w:val="bottom"/>
            <w:shd w:val="clear" w:color="auto" w:fill="CCEEFF"/>
          </w:tcPr>
          <w:p>
            <w:pPr>
              <w:jc w:val="right"/>
              <w:ind w:right="2514"/>
              <w:spacing w:after="0"/>
              <w:rPr>
                <w:sz w:val="20"/>
                <w:szCs w:val="20"/>
                <w:color w:val="auto"/>
              </w:rPr>
            </w:pPr>
            <w:r>
              <w:rPr>
                <w:rFonts w:ascii="Arial" w:cs="Arial" w:eastAsia="Arial" w:hAnsi="Arial"/>
                <w:sz w:val="17"/>
                <w:szCs w:val="17"/>
                <w:color w:val="auto"/>
                <w:w w:val="89"/>
              </w:rPr>
              <w:t>2023</w:t>
            </w:r>
          </w:p>
        </w:tc>
        <w:tc>
          <w:tcPr>
            <w:tcW w:w="3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278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ind w:left="1060"/>
              <w:spacing w:after="0"/>
              <w:rPr>
                <w:sz w:val="20"/>
                <w:szCs w:val="20"/>
                <w:color w:val="auto"/>
              </w:rPr>
            </w:pPr>
            <w:r>
              <w:rPr>
                <w:rFonts w:ascii="Arial" w:cs="Arial" w:eastAsia="Arial" w:hAnsi="Arial"/>
                <w:sz w:val="17"/>
                <w:szCs w:val="17"/>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r>
      <w:tr>
        <w:trPr>
          <w:trHeight w:val="218"/>
        </w:trPr>
        <w:tc>
          <w:tcPr>
            <w:tcW w:w="2960" w:type="dxa"/>
            <w:vAlign w:val="bottom"/>
          </w:tcPr>
          <w:p>
            <w:pPr>
              <w:jc w:val="right"/>
              <w:ind w:right="2514"/>
              <w:spacing w:after="0"/>
              <w:rPr>
                <w:sz w:val="20"/>
                <w:szCs w:val="20"/>
                <w:color w:val="auto"/>
              </w:rPr>
            </w:pPr>
            <w:r>
              <w:rPr>
                <w:rFonts w:ascii="Arial" w:cs="Arial" w:eastAsia="Arial" w:hAnsi="Arial"/>
                <w:sz w:val="17"/>
                <w:szCs w:val="17"/>
                <w:color w:val="auto"/>
                <w:w w:val="89"/>
              </w:rPr>
              <w:t>2022</w:t>
            </w:r>
          </w:p>
        </w:tc>
        <w:tc>
          <w:tcPr>
            <w:tcW w:w="3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70,523</w:t>
            </w:r>
          </w:p>
        </w:tc>
        <w:tc>
          <w:tcPr>
            <w:tcW w:w="180" w:type="dxa"/>
            <w:vAlign w:val="bottom"/>
          </w:tcPr>
          <w:p>
            <w:pPr>
              <w:spacing w:after="0"/>
              <w:rPr>
                <w:sz w:val="18"/>
                <w:szCs w:val="18"/>
                <w:color w:val="auto"/>
              </w:rPr>
            </w:pPr>
          </w:p>
        </w:tc>
        <w:tc>
          <w:tcPr>
            <w:tcW w:w="1780" w:type="dxa"/>
            <w:vAlign w:val="bottom"/>
          </w:tcPr>
          <w:p>
            <w:pPr>
              <w:jc w:val="right"/>
              <w:ind w:right="454"/>
              <w:spacing w:after="0"/>
              <w:rPr>
                <w:sz w:val="20"/>
                <w:szCs w:val="20"/>
                <w:color w:val="auto"/>
              </w:rPr>
            </w:pPr>
            <w:r>
              <w:rPr>
                <w:rFonts w:ascii="Arial" w:cs="Arial" w:eastAsia="Arial" w:hAnsi="Arial"/>
                <w:sz w:val="17"/>
                <w:szCs w:val="17"/>
                <w:color w:val="auto"/>
              </w:rPr>
              <w:t>164</w:t>
            </w:r>
          </w:p>
        </w:tc>
        <w:tc>
          <w:tcPr>
            <w:tcW w:w="1100" w:type="dxa"/>
            <w:vAlign w:val="bottom"/>
          </w:tcPr>
          <w:p>
            <w:pPr>
              <w:jc w:val="right"/>
              <w:spacing w:after="0"/>
              <w:rPr>
                <w:sz w:val="20"/>
                <w:szCs w:val="20"/>
                <w:color w:val="auto"/>
              </w:rPr>
            </w:pPr>
            <w:r>
              <w:rPr>
                <w:rFonts w:ascii="Arial" w:cs="Arial" w:eastAsia="Arial" w:hAnsi="Arial"/>
                <w:sz w:val="17"/>
                <w:szCs w:val="17"/>
                <w:color w:val="auto"/>
              </w:rPr>
              <w:t>439</w:t>
            </w:r>
          </w:p>
        </w:tc>
      </w:tr>
      <w:tr>
        <w:trPr>
          <w:trHeight w:val="864"/>
        </w:trPr>
        <w:tc>
          <w:tcPr>
            <w:tcW w:w="2960" w:type="dxa"/>
            <w:vAlign w:val="bottom"/>
          </w:tcPr>
          <w:p>
            <w:pPr>
              <w:spacing w:after="0"/>
              <w:rPr>
                <w:sz w:val="24"/>
                <w:szCs w:val="24"/>
                <w:color w:val="auto"/>
              </w:rPr>
            </w:pPr>
          </w:p>
        </w:tc>
        <w:tc>
          <w:tcPr>
            <w:tcW w:w="3640" w:type="dxa"/>
            <w:vAlign w:val="bottom"/>
          </w:tcPr>
          <w:p>
            <w:pPr>
              <w:jc w:val="right"/>
              <w:ind w:right="814"/>
              <w:spacing w:after="0"/>
              <w:rPr>
                <w:sz w:val="20"/>
                <w:szCs w:val="20"/>
                <w:color w:val="auto"/>
              </w:rPr>
            </w:pPr>
            <w:r>
              <w:rPr>
                <w:rFonts w:ascii="Arial" w:cs="Arial" w:eastAsia="Arial" w:hAnsi="Arial"/>
                <w:sz w:val="17"/>
                <w:szCs w:val="17"/>
                <w:color w:val="auto"/>
              </w:rPr>
              <w:t>16</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0"/>
        </w:trPr>
        <w:tc>
          <w:tcPr>
            <w:tcW w:w="296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ind w:left="300" w:hanging="297"/>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Loans</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estimate the ACL based on relevant available information from both internal and external sources, including historical loss trends, current conditions and forecasts, specific analysis of individual loans, and other relevant and appropriate factors. The allowance process is designed to provide for expected future losses based on our reasonable and supportable (“R&amp;S”) forecast as of the reporting date. Our ACL process is administered by our Risk Management group utilizing a third party software solution, with significant input and ultimate approval from our Executive Enterprise Risk Committee. Further, we have established a CECL Forecast Committee, which includes a cross discipline structure with membership from Executive Management, Risk Management, and Accounting, which approves ACL model assumptions each quarter. Our ACL is comprised of three principal elements: (i) specific analysis of individual loans identified during the review of the loan portfolio, (ii) pooled analysis of loans with similar risk characteristics based on historical experience, adjusted for current conditions, R&amp;S forecasts, and expected prepayments, and (iii) additional allowances based on subjective factors, including local and general economic business factors and trends, portfolio concentrations and changes in the size and/or the general terms of the loan portfolio.</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first ACL element (specific allocations) includes loans that do not share similar risk characteristics and are evaluated on an individual basis. We will typically evaluate on an individual basis loans that are on nonaccrual; commercial loans that have been modified resulting in a concession, for which the borrower is experiencing financial difficulties, and which are considered troubled loan modifications; and severely delinquent mortgage and installment loans. When we determine that foreclosure is probable or when repayment is expected to be provided substantially through the operation or sale of underlying collateral, expected credit losses are based on the fair value of the collateral at the reporting date, adjusted for estimated selling costs. For loans evaluated on an individual basis that are not determined to be collateral dependent, a discounted cash flow analysis is performed to determine expected credit losses.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second ACL element (pooled analysis) includes loans with similar risk characteristics, which are broken down by segment, class, and risk metric. The Bank’s primary segments of commercial, mortgage, and installment loans are further classified by other relevant attributes, such as collateral type, lien position, occupancy status, amortization method, and balance size. Commercial classes are additionally segmented by risk rating, and mortgage and installment loan classes by credit score tier, which are updated at least semi-annually.</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utilize a discounted cash flow (“DCF”) model to estimate expected future losses for pooled loans. Expected future cash flows are developed from payment schedules over the contractual term, adjusted for forecasted default (probability of default), loss, and prepayment assumptions. We are not required to develop forecasts over the full contractual term of the financial asset or group of financial assets. Rather, for periods beyond which we are able to make or obtain R&amp;S forecasts of expected credit losses, we revert to the long term average on a straight line or immediate basis, as determined by our CECL Forecast Committee, and which may vary depending on the economic outlook and uncertainty.</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DCF model for the mortgage and installment pooled loan segments includes using probability of default (“PD”) assumptions that are derived through regression analysis with forecasted US unemployment levels by credit score tier. We review a composite forecast of approximately 50 analysts as well as the Federal Open Market Committee (“FOMC”) projections in setting the unemployment forecast for the R&amp;S period. The current ACL utilizes a one year R&amp;S forecast followed by immediate reversion to the 30 year average unemployment rate. PD assumptions for the remaining segments are based primarily on historical rates by risk metric as defaults were not strongly correlated with any economic indicator. Loss given default (“LGD”) assumptions for the mortgage loan segment are based on a two year forecast followed by a two year straight line reversion period to the longer term average, while LGD rates for the remaining segments are the historical average for the entire period. Prepayment assumptions represent average rates per segment for a period determined by the CECL Forecast Committee and as calculated through the Bank’s Asset and Liability Management program.</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Pooled reserves for the commercial loan segment are calculated using the DCF model with assumptions generally based on historical averages by class and risk rating. Effective risk rating practices allow for strong predictability of defaults and losses over the portfolio’s expected shorter duration, relative to mortgage and installment loans. Our rating system is similar to those employed by state and federal banking regulators.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third ACL element (additional allocations based on subjective factors) is based on factors that cannot be associated with a specific credit or loan category and reflects our attempt to ensure that the overall ACL appropriately reflects a margin for the imprecision necessarily inherent in the estimates of expected credit losses. We adjust our quantitative model for certain qualitative factors to reflect the extent to which management expects current conditions and R&amp;S forecasts to differ from the conditions that existed for the period over which historical information was evaluated. The qualitative framework reflects changes related to relevant data, such as changes in asset quality trends, portfolio growth and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composition, national and local economic factors, credit policy and administration and other factors not considered in the base quantitative model. We utilize a survey completed by business unit management throughout the Bank, as well as discussion with the CECL Forecast Committee to establish reserves under the qualitative framework.</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An analysis of the allowance for credit losses by portfolio segment for the three months ended June 30,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restart"/>
          </w:tcPr>
          <w:p>
            <w:pPr>
              <w:jc w:val="right"/>
              <w:ind w:right="234"/>
              <w:spacing w:after="0"/>
              <w:rPr>
                <w:sz w:val="20"/>
                <w:szCs w:val="20"/>
                <w:color w:val="auto"/>
              </w:rPr>
            </w:pPr>
            <w:r>
              <w:rPr>
                <w:rFonts w:ascii="Arial" w:cs="Arial" w:eastAsia="Arial" w:hAnsi="Arial"/>
                <w:sz w:val="17"/>
                <w:szCs w:val="17"/>
                <w:color w:val="auto"/>
              </w:rPr>
              <w:t>Commercial</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restart"/>
          </w:tcPr>
          <w:p>
            <w:pPr>
              <w:jc w:val="right"/>
              <w:ind w:right="314"/>
              <w:spacing w:after="0"/>
              <w:rPr>
                <w:sz w:val="20"/>
                <w:szCs w:val="20"/>
                <w:color w:val="auto"/>
              </w:rPr>
            </w:pPr>
            <w:r>
              <w:rPr>
                <w:rFonts w:ascii="Arial" w:cs="Arial" w:eastAsia="Arial" w:hAnsi="Arial"/>
                <w:sz w:val="17"/>
                <w:szCs w:val="17"/>
                <w:color w:val="auto"/>
              </w:rPr>
              <w:t>Mortgage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274"/>
              <w:spacing w:after="0"/>
              <w:rPr>
                <w:sz w:val="20"/>
                <w:szCs w:val="20"/>
                <w:color w:val="auto"/>
              </w:rPr>
            </w:pPr>
            <w:r>
              <w:rPr>
                <w:rFonts w:ascii="Arial" w:cs="Arial" w:eastAsia="Arial" w:hAnsi="Arial"/>
                <w:sz w:val="17"/>
                <w:szCs w:val="17"/>
                <w:color w:val="auto"/>
              </w:rPr>
              <w:t>Installment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74"/>
              <w:spacing w:after="0"/>
              <w:rPr>
                <w:sz w:val="20"/>
                <w:szCs w:val="20"/>
                <w:color w:val="auto"/>
              </w:rPr>
            </w:pPr>
            <w:r>
              <w:rPr>
                <w:rFonts w:ascii="Arial" w:cs="Arial" w:eastAsia="Arial" w:hAnsi="Arial"/>
                <w:sz w:val="17"/>
                <w:szCs w:val="17"/>
                <w:color w:val="auto"/>
              </w:rPr>
              <w:t>Subjective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restart"/>
          </w:tcPr>
          <w:p>
            <w:pPr>
              <w:jc w:val="right"/>
              <w:ind w:right="47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24"/>
        </w:trPr>
        <w:tc>
          <w:tcPr>
            <w:tcW w:w="3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Allocation</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74"/>
              <w:spacing w:after="0"/>
              <w:rPr>
                <w:sz w:val="20"/>
                <w:szCs w:val="20"/>
                <w:color w:val="auto"/>
              </w:rPr>
            </w:pPr>
            <w:r>
              <w:rPr>
                <w:rFonts w:ascii="Arial" w:cs="Arial" w:eastAsia="Arial" w:hAnsi="Arial"/>
                <w:sz w:val="17"/>
                <w:szCs w:val="17"/>
                <w:color w:val="auto"/>
                <w:w w:val="95"/>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13,533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50,550</w:t>
            </w:r>
          </w:p>
        </w:tc>
        <w:tc>
          <w:tcPr>
            <w:tcW w:w="0" w:type="dxa"/>
            <w:vAlign w:val="bottom"/>
          </w:tcPr>
          <w:p>
            <w:pPr>
              <w:spacing w:after="0"/>
              <w:rPr>
                <w:sz w:val="1"/>
                <w:szCs w:val="1"/>
                <w:color w:val="auto"/>
              </w:rPr>
            </w:pPr>
          </w:p>
        </w:tc>
      </w:tr>
      <w:tr>
        <w:trPr>
          <w:trHeight w:val="218"/>
        </w:trPr>
        <w:tc>
          <w:tcPr>
            <w:tcW w:w="3500" w:type="dxa"/>
            <w:vAlign w:val="bottom"/>
          </w:tcPr>
          <w:p>
            <w:pPr>
              <w:ind w:left="180"/>
              <w:spacing w:after="0"/>
              <w:rPr>
                <w:sz w:val="20"/>
                <w:szCs w:val="20"/>
                <w:color w:val="auto"/>
              </w:rPr>
            </w:pPr>
            <w:r>
              <w:rPr>
                <w:rFonts w:ascii="Arial" w:cs="Arial" w:eastAsia="Arial" w:hAnsi="Arial"/>
                <w:sz w:val="17"/>
                <w:szCs w:val="17"/>
                <w:color w:val="auto"/>
              </w:rPr>
              <w:t>Additions (deductions)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3,317</w:t>
            </w:r>
          </w:p>
        </w:tc>
        <w:tc>
          <w:tcPr>
            <w:tcW w:w="0" w:type="dxa"/>
            <w:vAlign w:val="bottom"/>
          </w:tcPr>
          <w:p>
            <w:pPr>
              <w:spacing w:after="0"/>
              <w:rPr>
                <w:sz w:val="1"/>
                <w:szCs w:val="1"/>
                <w:color w:val="auto"/>
              </w:rPr>
            </w:pP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45"/>
        </w:trPr>
        <w:tc>
          <w:tcPr>
            <w:tcW w:w="3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Loans charged against the allowance</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26"/>
        </w:trPr>
        <w:tc>
          <w:tcPr>
            <w:tcW w:w="350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16,284</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20,080</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4,315</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13,285</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53,964</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00" w:type="dxa"/>
            <w:vAlign w:val="bottom"/>
          </w:tcPr>
          <w:p>
            <w:pPr>
              <w:ind w:left="20"/>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45,627</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Arial" w:cs="Arial" w:eastAsia="Arial" w:hAnsi="Arial"/>
                <w:sz w:val="17"/>
                <w:szCs w:val="17"/>
                <w:color w:val="auto"/>
              </w:rPr>
              <w:t>Additions (deductions)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2,221</w:t>
            </w:r>
          </w:p>
        </w:tc>
        <w:tc>
          <w:tcPr>
            <w:tcW w:w="0" w:type="dxa"/>
            <w:vAlign w:val="bottom"/>
          </w:tcPr>
          <w:p>
            <w:pPr>
              <w:spacing w:after="0"/>
              <w:rPr>
                <w:sz w:val="1"/>
                <w:szCs w:val="1"/>
                <w:color w:val="auto"/>
              </w:rPr>
            </w:pPr>
          </w:p>
        </w:tc>
      </w:tr>
      <w:tr>
        <w:trPr>
          <w:trHeight w:val="251"/>
        </w:trPr>
        <w:tc>
          <w:tcPr>
            <w:tcW w:w="350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653</w:t>
            </w:r>
          </w:p>
        </w:tc>
        <w:tc>
          <w:tcPr>
            <w:tcW w:w="0" w:type="dxa"/>
            <w:vAlign w:val="bottom"/>
          </w:tcPr>
          <w:p>
            <w:pPr>
              <w:spacing w:after="0"/>
              <w:rPr>
                <w:sz w:val="1"/>
                <w:szCs w:val="1"/>
                <w:color w:val="auto"/>
              </w:rPr>
            </w:pPr>
          </w:p>
        </w:tc>
      </w:tr>
      <w:tr>
        <w:trPr>
          <w:trHeight w:val="251"/>
        </w:trPr>
        <w:tc>
          <w:tcPr>
            <w:tcW w:w="3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Loans charged against the allowance</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w:t>
            </w:r>
          </w:p>
        </w:tc>
        <w:tc>
          <w:tcPr>
            <w:tcW w:w="0" w:type="dxa"/>
            <w:vAlign w:val="bottom"/>
          </w:tcPr>
          <w:p>
            <w:pPr>
              <w:spacing w:after="0"/>
              <w:rPr>
                <w:sz w:val="1"/>
                <w:szCs w:val="1"/>
                <w:color w:val="auto"/>
              </w:rPr>
            </w:pPr>
          </w:p>
        </w:tc>
      </w:tr>
      <w:tr>
        <w:trPr>
          <w:trHeight w:val="226"/>
        </w:trPr>
        <w:tc>
          <w:tcPr>
            <w:tcW w:w="350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11,059</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20,313</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4,220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12,291</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47,883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54"/>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An analysis of the ACL by portfolio segment for the six months ended June 30,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restart"/>
          </w:tcPr>
          <w:p>
            <w:pPr>
              <w:jc w:val="right"/>
              <w:ind w:right="234"/>
              <w:spacing w:after="0"/>
              <w:rPr>
                <w:sz w:val="20"/>
                <w:szCs w:val="20"/>
                <w:color w:val="auto"/>
              </w:rPr>
            </w:pPr>
            <w:r>
              <w:rPr>
                <w:rFonts w:ascii="Arial" w:cs="Arial" w:eastAsia="Arial" w:hAnsi="Arial"/>
                <w:sz w:val="17"/>
                <w:szCs w:val="17"/>
                <w:color w:val="auto"/>
              </w:rPr>
              <w:t>Commercial</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restart"/>
          </w:tcPr>
          <w:p>
            <w:pPr>
              <w:jc w:val="right"/>
              <w:ind w:right="314"/>
              <w:spacing w:after="0"/>
              <w:rPr>
                <w:sz w:val="20"/>
                <w:szCs w:val="20"/>
                <w:color w:val="auto"/>
              </w:rPr>
            </w:pPr>
            <w:r>
              <w:rPr>
                <w:rFonts w:ascii="Arial" w:cs="Arial" w:eastAsia="Arial" w:hAnsi="Arial"/>
                <w:sz w:val="17"/>
                <w:szCs w:val="17"/>
                <w:color w:val="auto"/>
              </w:rPr>
              <w:t>Mortgage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ind w:right="274"/>
              <w:spacing w:after="0"/>
              <w:rPr>
                <w:sz w:val="20"/>
                <w:szCs w:val="20"/>
                <w:color w:val="auto"/>
              </w:rPr>
            </w:pPr>
            <w:r>
              <w:rPr>
                <w:rFonts w:ascii="Arial" w:cs="Arial" w:eastAsia="Arial" w:hAnsi="Arial"/>
                <w:sz w:val="17"/>
                <w:szCs w:val="17"/>
                <w:color w:val="auto"/>
              </w:rPr>
              <w:t>Installment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74"/>
              <w:spacing w:after="0"/>
              <w:rPr>
                <w:sz w:val="20"/>
                <w:szCs w:val="20"/>
                <w:color w:val="auto"/>
              </w:rPr>
            </w:pPr>
            <w:r>
              <w:rPr>
                <w:rFonts w:ascii="Arial" w:cs="Arial" w:eastAsia="Arial" w:hAnsi="Arial"/>
                <w:sz w:val="17"/>
                <w:szCs w:val="17"/>
                <w:color w:val="auto"/>
              </w:rPr>
              <w:t>Subjective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restart"/>
          </w:tcPr>
          <w:p>
            <w:pPr>
              <w:jc w:val="right"/>
              <w:ind w:right="47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8"/>
        </w:trPr>
        <w:tc>
          <w:tcPr>
            <w:tcW w:w="3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Allocation</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74"/>
              <w:spacing w:after="0"/>
              <w:rPr>
                <w:sz w:val="20"/>
                <w:szCs w:val="20"/>
                <w:color w:val="auto"/>
              </w:rPr>
            </w:pPr>
            <w:r>
              <w:rPr>
                <w:rFonts w:ascii="Arial" w:cs="Arial" w:eastAsia="Arial" w:hAnsi="Arial"/>
                <w:sz w:val="17"/>
                <w:szCs w:val="17"/>
                <w:color w:val="auto"/>
                <w:w w:val="95"/>
              </w:rPr>
              <w:t>(In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500" w:type="dxa"/>
            <w:vAlign w:val="bottom"/>
          </w:tcPr>
          <w:p>
            <w:pPr>
              <w:ind w:left="20"/>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21,633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12,695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52,435</w:t>
            </w: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w:t>
            </w:r>
          </w:p>
        </w:tc>
        <w:tc>
          <w:tcPr>
            <w:tcW w:w="0" w:type="dxa"/>
            <w:vAlign w:val="bottom"/>
          </w:tcPr>
          <w:p>
            <w:pPr>
              <w:spacing w:after="0"/>
              <w:rPr>
                <w:sz w:val="1"/>
                <w:szCs w:val="1"/>
                <w:color w:val="auto"/>
              </w:rPr>
            </w:pPr>
          </w:p>
        </w:tc>
      </w:tr>
      <w:tr>
        <w:trPr>
          <w:trHeight w:val="257"/>
        </w:trPr>
        <w:tc>
          <w:tcPr>
            <w:tcW w:w="350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1,325</w:t>
            </w:r>
          </w:p>
        </w:tc>
        <w:tc>
          <w:tcPr>
            <w:tcW w:w="0" w:type="dxa"/>
            <w:vAlign w:val="bottom"/>
          </w:tcPr>
          <w:p>
            <w:pPr>
              <w:spacing w:after="0"/>
              <w:rPr>
                <w:sz w:val="1"/>
                <w:szCs w:val="1"/>
                <w:color w:val="auto"/>
              </w:rPr>
            </w:pPr>
          </w:p>
        </w:tc>
      </w:tr>
      <w:tr>
        <w:trPr>
          <w:trHeight w:val="245"/>
        </w:trPr>
        <w:tc>
          <w:tcPr>
            <w:tcW w:w="3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Loans charged against the allowance</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(2,281)</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16,284</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20,080</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4,315</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13,285</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53,964</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Balance at beginning of period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12,763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47,252</w:t>
            </w: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7"/>
                <w:szCs w:val="17"/>
                <w:color w:val="auto"/>
              </w:rPr>
              <w:t>Additions (deductions)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Provision for credit losses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(688)</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51"/>
        </w:trPr>
        <w:tc>
          <w:tcPr>
            <w:tcW w:w="3500" w:type="dxa"/>
            <w:vAlign w:val="bottom"/>
          </w:tcPr>
          <w:p>
            <w:pPr>
              <w:ind w:left="320"/>
              <w:spacing w:after="0"/>
              <w:rPr>
                <w:sz w:val="20"/>
                <w:szCs w:val="20"/>
                <w:color w:val="auto"/>
              </w:rPr>
            </w:pPr>
            <w:r>
              <w:rPr>
                <w:rFonts w:ascii="Arial" w:cs="Arial" w:eastAsia="Arial" w:hAnsi="Arial"/>
                <w:sz w:val="17"/>
                <w:szCs w:val="17"/>
                <w:color w:val="auto"/>
              </w:rPr>
              <w:t>Recoveries credited to the allowance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1,274</w:t>
            </w:r>
          </w:p>
        </w:tc>
        <w:tc>
          <w:tcPr>
            <w:tcW w:w="0" w:type="dxa"/>
            <w:vAlign w:val="bottom"/>
          </w:tcPr>
          <w:p>
            <w:pPr>
              <w:spacing w:after="0"/>
              <w:rPr>
                <w:sz w:val="1"/>
                <w:szCs w:val="1"/>
                <w:color w:val="auto"/>
              </w:rPr>
            </w:pPr>
          </w:p>
        </w:tc>
      </w:tr>
      <w:tr>
        <w:trPr>
          <w:trHeight w:val="251"/>
        </w:trPr>
        <w:tc>
          <w:tcPr>
            <w:tcW w:w="3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Loans charged against the allowance</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(1,291)</w:t>
            </w:r>
          </w:p>
        </w:tc>
        <w:tc>
          <w:tcPr>
            <w:tcW w:w="0" w:type="dxa"/>
            <w:vAlign w:val="bottom"/>
          </w:tcPr>
          <w:p>
            <w:pPr>
              <w:spacing w:after="0"/>
              <w:rPr>
                <w:sz w:val="1"/>
                <w:szCs w:val="1"/>
                <w:color w:val="auto"/>
              </w:rPr>
            </w:pPr>
          </w:p>
        </w:tc>
      </w:tr>
      <w:tr>
        <w:trPr>
          <w:trHeight w:val="225"/>
        </w:trPr>
        <w:tc>
          <w:tcPr>
            <w:tcW w:w="3500" w:type="dxa"/>
            <w:vAlign w:val="bottom"/>
          </w:tcPr>
          <w:p>
            <w:pPr>
              <w:ind w:left="180"/>
              <w:spacing w:after="0"/>
              <w:rPr>
                <w:sz w:val="20"/>
                <w:szCs w:val="20"/>
                <w:color w:val="auto"/>
              </w:rPr>
            </w:pPr>
            <w:r>
              <w:rPr>
                <w:rFonts w:ascii="Arial" w:cs="Arial" w:eastAsia="Arial" w:hAnsi="Arial"/>
                <w:sz w:val="17"/>
                <w:szCs w:val="17"/>
                <w:color w:val="auto"/>
              </w:rPr>
              <w:t>Balance at end of period</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11,059</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20,313</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4,220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12,291</w:t>
            </w: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47,883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754"/>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Loans on non-accrual status and past due more than 90 days (“Non-performing Loans”) follow: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97"/>
              </w:rPr>
              <w:t>Non-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97"/>
              </w:rPr>
              <w:t>Non-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34"/>
              <w:spacing w:after="0"/>
              <w:rPr>
                <w:sz w:val="20"/>
                <w:szCs w:val="20"/>
                <w:color w:val="auto"/>
              </w:rPr>
            </w:pPr>
            <w:r>
              <w:rPr>
                <w:rFonts w:ascii="Arial" w:cs="Arial" w:eastAsia="Arial" w:hAnsi="Arial"/>
                <w:sz w:val="17"/>
                <w:szCs w:val="17"/>
                <w:color w:val="auto"/>
                <w:w w:val="95"/>
              </w:rPr>
              <w:t>Accrual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74"/>
              <w:spacing w:after="0"/>
              <w:rPr>
                <w:sz w:val="20"/>
                <w:szCs w:val="20"/>
                <w:color w:val="auto"/>
              </w:rPr>
            </w:pPr>
            <w:r>
              <w:rPr>
                <w:rFonts w:ascii="Arial" w:cs="Arial" w:eastAsia="Arial" w:hAnsi="Arial"/>
                <w:sz w:val="17"/>
                <w:szCs w:val="17"/>
                <w:color w:val="auto"/>
                <w:w w:val="95"/>
              </w:rPr>
              <w:t>Accrual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96"/>
              </w:rPr>
              <w:t>with no</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96"/>
              </w:rPr>
              <w:t>with an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34"/>
              <w:spacing w:after="0"/>
              <w:rPr>
                <w:sz w:val="20"/>
                <w:szCs w:val="20"/>
                <w:color w:val="auto"/>
              </w:rPr>
            </w:pPr>
            <w:r>
              <w:rPr>
                <w:rFonts w:ascii="Arial" w:cs="Arial" w:eastAsia="Arial" w:hAnsi="Arial"/>
                <w:sz w:val="17"/>
                <w:szCs w:val="17"/>
                <w:color w:val="auto"/>
                <w:w w:val="95"/>
              </w:rPr>
              <w:t>Allowance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74"/>
              <w:spacing w:after="0"/>
              <w:rPr>
                <w:sz w:val="20"/>
                <w:szCs w:val="20"/>
                <w:color w:val="auto"/>
              </w:rPr>
            </w:pPr>
            <w:r>
              <w:rPr>
                <w:rFonts w:ascii="Arial" w:cs="Arial" w:eastAsia="Arial" w:hAnsi="Arial"/>
                <w:sz w:val="17"/>
                <w:szCs w:val="17"/>
                <w:color w:val="auto"/>
                <w:w w:val="95"/>
              </w:rPr>
              <w:t>Allowance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74"/>
              <w:spacing w:after="0"/>
              <w:rPr>
                <w:sz w:val="20"/>
                <w:szCs w:val="20"/>
                <w:color w:val="auto"/>
              </w:rPr>
            </w:pPr>
            <w:r>
              <w:rPr>
                <w:rFonts w:ascii="Arial" w:cs="Arial" w:eastAsia="Arial" w:hAnsi="Arial"/>
                <w:sz w:val="17"/>
                <w:szCs w:val="17"/>
                <w:color w:val="auto"/>
                <w:w w:val="95"/>
              </w:rPr>
              <w:t>Total</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94"/>
              <w:spacing w:after="0"/>
              <w:rPr>
                <w:sz w:val="20"/>
                <w:szCs w:val="20"/>
                <w:color w:val="auto"/>
              </w:rPr>
            </w:pPr>
            <w:r>
              <w:rPr>
                <w:rFonts w:ascii="Arial" w:cs="Arial" w:eastAsia="Arial" w:hAnsi="Arial"/>
                <w:sz w:val="17"/>
                <w:szCs w:val="17"/>
                <w:color w:val="auto"/>
                <w:w w:val="90"/>
              </w:rPr>
              <w:t>90+ and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Arial" w:cs="Arial" w:eastAsia="Arial" w:hAnsi="Arial"/>
                <w:sz w:val="17"/>
                <w:szCs w:val="17"/>
                <w:color w:val="auto"/>
                <w:w w:val="93"/>
              </w:rPr>
              <w:t>Total Non-</w:t>
            </w:r>
          </w:p>
        </w:tc>
      </w:t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97"/>
              </w:rPr>
              <w:t>for Credit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97"/>
              </w:rPr>
              <w:t>for Credit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74"/>
              <w:spacing w:after="0"/>
              <w:rPr>
                <w:sz w:val="20"/>
                <w:szCs w:val="20"/>
                <w:color w:val="auto"/>
              </w:rPr>
            </w:pPr>
            <w:r>
              <w:rPr>
                <w:rFonts w:ascii="Arial" w:cs="Arial" w:eastAsia="Arial" w:hAnsi="Arial"/>
                <w:sz w:val="17"/>
                <w:szCs w:val="17"/>
                <w:color w:val="auto"/>
                <w:w w:val="97"/>
              </w:rPr>
              <w:t>Non-</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94"/>
              <w:spacing w:after="0"/>
              <w:rPr>
                <w:sz w:val="20"/>
                <w:szCs w:val="20"/>
                <w:color w:val="auto"/>
              </w:rPr>
            </w:pPr>
            <w:r>
              <w:rPr>
                <w:rFonts w:ascii="Arial" w:cs="Arial" w:eastAsia="Arial" w:hAnsi="Arial"/>
                <w:sz w:val="17"/>
                <w:szCs w:val="17"/>
                <w:color w:val="auto"/>
              </w:rPr>
              <w:t>Still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Arial" w:cs="Arial" w:eastAsia="Arial" w:hAnsi="Arial"/>
                <w:sz w:val="17"/>
                <w:szCs w:val="17"/>
                <w:color w:val="auto"/>
                <w:w w:val="93"/>
              </w:rPr>
              <w:t>Performing</w:t>
            </w:r>
          </w:p>
        </w:tc>
      </w:tr>
      <w:tr>
        <w:trPr>
          <w:trHeight w:val="217"/>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88"/>
              </w:rPr>
              <w:t>Loss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88"/>
              </w:rPr>
              <w:t>Loss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74"/>
              <w:spacing w:after="0"/>
              <w:rPr>
                <w:sz w:val="20"/>
                <w:szCs w:val="20"/>
                <w:color w:val="auto"/>
              </w:rPr>
            </w:pPr>
            <w:r>
              <w:rPr>
                <w:rFonts w:ascii="Arial" w:cs="Arial" w:eastAsia="Arial" w:hAnsi="Arial"/>
                <w:sz w:val="17"/>
                <w:szCs w:val="17"/>
                <w:color w:val="auto"/>
                <w:w w:val="98"/>
              </w:rPr>
              <w:t>Accrual</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center"/>
              <w:ind w:right="194"/>
              <w:spacing w:after="0"/>
              <w:rPr>
                <w:sz w:val="20"/>
                <w:szCs w:val="20"/>
                <w:color w:val="auto"/>
              </w:rPr>
            </w:pPr>
            <w:r>
              <w:rPr>
                <w:rFonts w:ascii="Arial" w:cs="Arial" w:eastAsia="Arial" w:hAnsi="Arial"/>
                <w:sz w:val="17"/>
                <w:szCs w:val="17"/>
                <w:color w:val="auto"/>
                <w:w w:val="96"/>
              </w:rPr>
              <w:t>Accruing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4"/>
              <w:spacing w:after="0"/>
              <w:rPr>
                <w:sz w:val="20"/>
                <w:szCs w:val="20"/>
                <w:color w:val="auto"/>
              </w:rPr>
            </w:pPr>
            <w:r>
              <w:rPr>
                <w:rFonts w:ascii="Arial" w:cs="Arial" w:eastAsia="Arial" w:hAnsi="Arial"/>
                <w:sz w:val="17"/>
                <w:szCs w:val="17"/>
                <w:color w:val="auto"/>
                <w:w w:val="90"/>
              </w:rPr>
              <w:t>Loans</w:t>
            </w:r>
          </w:p>
        </w:tc>
      </w:tr>
      <w:tr>
        <w:trPr>
          <w:trHeight w:val="27"/>
        </w:trPr>
        <w:tc>
          <w:tcPr>
            <w:tcW w:w="3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0"/>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54"/>
              <w:spacing w:after="0"/>
              <w:rPr>
                <w:sz w:val="20"/>
                <w:szCs w:val="20"/>
                <w:color w:val="auto"/>
              </w:rPr>
            </w:pPr>
            <w:r>
              <w:rPr>
                <w:rFonts w:ascii="Arial" w:cs="Arial" w:eastAsia="Arial" w:hAnsi="Arial"/>
                <w:sz w:val="17"/>
                <w:szCs w:val="17"/>
                <w:color w:val="auto"/>
                <w:w w:val="90"/>
              </w:rPr>
              <w:t>(In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3480" w:type="dxa"/>
            <w:vAlign w:val="bottom"/>
          </w:tcPr>
          <w:p>
            <w:pPr>
              <w:ind w:left="20"/>
              <w:spacing w:after="0"/>
              <w:rPr>
                <w:sz w:val="20"/>
                <w:szCs w:val="20"/>
                <w:color w:val="auto"/>
              </w:rPr>
            </w:pPr>
            <w:r>
              <w:rPr>
                <w:rFonts w:ascii="Arial" w:cs="Arial" w:eastAsia="Arial" w:hAnsi="Arial"/>
                <w:sz w:val="17"/>
                <w:szCs w:val="17"/>
                <w:color w:val="auto"/>
              </w:rPr>
              <w:t>June 30, 2023</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6"/>
        </w:trPr>
        <w:tc>
          <w:tcPr>
            <w:tcW w:w="3480" w:type="dxa"/>
            <w:vAlign w:val="bottom"/>
          </w:tcPr>
          <w:p>
            <w:pPr>
              <w:ind w:left="180"/>
              <w:spacing w:after="0"/>
              <w:rPr>
                <w:sz w:val="20"/>
                <w:szCs w:val="20"/>
                <w:color w:val="auto"/>
              </w:rPr>
            </w:pPr>
            <w:r>
              <w:rPr>
                <w:rFonts w:ascii="Arial" w:cs="Arial" w:eastAsia="Arial" w:hAnsi="Arial"/>
                <w:sz w:val="17"/>
                <w:szCs w:val="17"/>
                <w:color w:val="auto"/>
              </w:rPr>
              <w:t>Commercial</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65"/>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Commercial and industrial (1)</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51"/>
        </w:trPr>
        <w:tc>
          <w:tcPr>
            <w:tcW w:w="3480" w:type="dxa"/>
            <w:vAlign w:val="bottom"/>
          </w:tcPr>
          <w:p>
            <w:pPr>
              <w:ind w:left="320"/>
              <w:spacing w:after="0"/>
              <w:rPr>
                <w:sz w:val="20"/>
                <w:szCs w:val="20"/>
                <w:color w:val="auto"/>
              </w:rPr>
            </w:pPr>
            <w:r>
              <w:rPr>
                <w:rFonts w:ascii="Arial" w:cs="Arial" w:eastAsia="Arial" w:hAnsi="Arial"/>
                <w:sz w:val="17"/>
                <w:szCs w:val="17"/>
                <w:color w:val="auto"/>
              </w:rPr>
              <w:t>Commercial real estate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3480" w:type="dxa"/>
            <w:vAlign w:val="bottom"/>
          </w:tcPr>
          <w:p>
            <w:pPr>
              <w:ind w:left="320"/>
              <w:spacing w:after="0"/>
              <w:rPr>
                <w:sz w:val="20"/>
                <w:szCs w:val="20"/>
                <w:color w:val="auto"/>
              </w:rPr>
            </w:pPr>
            <w:r>
              <w:rPr>
                <w:rFonts w:ascii="Arial" w:cs="Arial" w:eastAsia="Arial" w:hAnsi="Arial"/>
                <w:sz w:val="17"/>
                <w:szCs w:val="17"/>
                <w:color w:val="auto"/>
              </w:rPr>
              <w:t>1-4 family owner occupied - jumbo</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9"/>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8"/>
              </w:rPr>
              <w:t>1-4 family owner occupied - non-jumbo (2)</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2,359</w:t>
            </w:r>
          </w:p>
        </w:tc>
      </w:tr>
      <w:tr>
        <w:trPr>
          <w:trHeight w:val="257"/>
        </w:trPr>
        <w:tc>
          <w:tcPr>
            <w:tcW w:w="3480" w:type="dxa"/>
            <w:vAlign w:val="bottom"/>
          </w:tcPr>
          <w:p>
            <w:pPr>
              <w:ind w:left="320"/>
              <w:spacing w:after="0"/>
              <w:rPr>
                <w:sz w:val="20"/>
                <w:szCs w:val="20"/>
                <w:color w:val="auto"/>
              </w:rPr>
            </w:pPr>
            <w:r>
              <w:rPr>
                <w:rFonts w:ascii="Arial" w:cs="Arial" w:eastAsia="Arial" w:hAnsi="Arial"/>
                <w:sz w:val="17"/>
                <w:szCs w:val="17"/>
                <w:color w:val="auto"/>
              </w:rPr>
              <w:t>1-4 family non-owner occupied</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511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511</w:t>
            </w:r>
          </w:p>
        </w:tc>
      </w:tr>
      <w:tr>
        <w:trPr>
          <w:trHeight w:val="259"/>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- 2nd lien</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r>
      <w:tr>
        <w:trPr>
          <w:trHeight w:val="257"/>
        </w:trPr>
        <w:tc>
          <w:tcPr>
            <w:tcW w:w="3480" w:type="dxa"/>
            <w:vAlign w:val="bottom"/>
          </w:tcPr>
          <w:p>
            <w:pPr>
              <w:ind w:left="320"/>
              <w:spacing w:after="0"/>
              <w:rPr>
                <w:sz w:val="20"/>
                <w:szCs w:val="20"/>
                <w:color w:val="auto"/>
              </w:rPr>
            </w:pPr>
            <w:r>
              <w:rPr>
                <w:rFonts w:ascii="Arial" w:cs="Arial" w:eastAsia="Arial" w:hAnsi="Arial"/>
                <w:sz w:val="17"/>
                <w:szCs w:val="17"/>
                <w:color w:val="auto"/>
              </w:rPr>
              <w:t>Resort lending</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0"/>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3480" w:type="dxa"/>
            <w:vAlign w:val="bottom"/>
          </w:tcPr>
          <w:p>
            <w:pPr>
              <w:ind w:left="320"/>
              <w:spacing w:after="0"/>
              <w:rPr>
                <w:sz w:val="20"/>
                <w:szCs w:val="20"/>
                <w:color w:val="auto"/>
              </w:rPr>
            </w:pPr>
            <w:r>
              <w:rPr>
                <w:rFonts w:ascii="Arial" w:cs="Arial" w:eastAsia="Arial" w:hAnsi="Arial"/>
                <w:sz w:val="17"/>
                <w:szCs w:val="17"/>
                <w:color w:val="auto"/>
              </w:rPr>
              <w:t>Boat lending</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287</w:t>
            </w:r>
          </w:p>
        </w:tc>
      </w:tr>
      <w:tr>
        <w:trPr>
          <w:trHeight w:val="259"/>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r>
      <w:tr>
        <w:trPr>
          <w:trHeight w:val="251"/>
        </w:trPr>
        <w:tc>
          <w:tcPr>
            <w:tcW w:w="34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r>
      <w:tr>
        <w:trPr>
          <w:trHeight w:val="238"/>
        </w:trPr>
        <w:tc>
          <w:tcPr>
            <w:tcW w:w="34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3,994</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3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52"/>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 excluded from total</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3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9"/>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31, 2022</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3480" w:type="dxa"/>
            <w:vAlign w:val="bottom"/>
          </w:tcPr>
          <w:p>
            <w:pPr>
              <w:ind w:left="180"/>
              <w:spacing w:after="0"/>
              <w:rPr>
                <w:sz w:val="20"/>
                <w:szCs w:val="20"/>
                <w:color w:val="auto"/>
              </w:rPr>
            </w:pPr>
            <w:r>
              <w:rPr>
                <w:rFonts w:ascii="Arial" w:cs="Arial" w:eastAsia="Arial" w:hAnsi="Arial"/>
                <w:sz w:val="17"/>
                <w:szCs w:val="17"/>
                <w:color w:val="auto"/>
              </w:rPr>
              <w:t>Commercial</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9"/>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Commercial and industrial (1)</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57"/>
        </w:trPr>
        <w:tc>
          <w:tcPr>
            <w:tcW w:w="3480" w:type="dxa"/>
            <w:vAlign w:val="bottom"/>
          </w:tcPr>
          <w:p>
            <w:pPr>
              <w:ind w:left="320"/>
              <w:spacing w:after="0"/>
              <w:rPr>
                <w:sz w:val="20"/>
                <w:szCs w:val="20"/>
                <w:color w:val="auto"/>
              </w:rPr>
            </w:pPr>
            <w:r>
              <w:rPr>
                <w:rFonts w:ascii="Arial" w:cs="Arial" w:eastAsia="Arial" w:hAnsi="Arial"/>
                <w:sz w:val="17"/>
                <w:szCs w:val="17"/>
                <w:color w:val="auto"/>
              </w:rPr>
              <w:t>Commercial real estate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51"/>
        </w:trPr>
        <w:tc>
          <w:tcPr>
            <w:tcW w:w="3480" w:type="dxa"/>
            <w:vAlign w:val="bottom"/>
          </w:tcPr>
          <w:p>
            <w:pPr>
              <w:ind w:left="320"/>
              <w:spacing w:after="0"/>
              <w:rPr>
                <w:sz w:val="20"/>
                <w:szCs w:val="20"/>
                <w:color w:val="auto"/>
              </w:rPr>
            </w:pPr>
            <w:r>
              <w:rPr>
                <w:rFonts w:ascii="Arial" w:cs="Arial" w:eastAsia="Arial" w:hAnsi="Arial"/>
                <w:sz w:val="17"/>
                <w:szCs w:val="17"/>
                <w:color w:val="auto"/>
              </w:rPr>
              <w:t>1-4 family owner occupied - jumbo</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5"/>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8"/>
              </w:rPr>
              <w:t>1-4 family owner occupied - non-jumbo (2)</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w:t>
            </w:r>
          </w:p>
        </w:tc>
      </w:tr>
      <w:tr>
        <w:trPr>
          <w:trHeight w:val="251"/>
        </w:trPr>
        <w:tc>
          <w:tcPr>
            <w:tcW w:w="3480" w:type="dxa"/>
            <w:vAlign w:val="bottom"/>
          </w:tcPr>
          <w:p>
            <w:pPr>
              <w:ind w:left="320"/>
              <w:spacing w:after="0"/>
              <w:rPr>
                <w:sz w:val="20"/>
                <w:szCs w:val="20"/>
                <w:color w:val="auto"/>
              </w:rPr>
            </w:pPr>
            <w:r>
              <w:rPr>
                <w:rFonts w:ascii="Arial" w:cs="Arial" w:eastAsia="Arial" w:hAnsi="Arial"/>
                <w:sz w:val="17"/>
                <w:szCs w:val="17"/>
                <w:color w:val="auto"/>
              </w:rPr>
              <w:t>1-4 family non-owner occupied</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475</w:t>
            </w:r>
          </w:p>
        </w:tc>
      </w:tr>
      <w:tr>
        <w:trPr>
          <w:trHeight w:val="265"/>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- 2nd lien</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r>
      <w:tr>
        <w:trPr>
          <w:trHeight w:val="251"/>
        </w:trPr>
        <w:tc>
          <w:tcPr>
            <w:tcW w:w="3480" w:type="dxa"/>
            <w:vAlign w:val="bottom"/>
          </w:tcPr>
          <w:p>
            <w:pPr>
              <w:ind w:left="320"/>
              <w:spacing w:after="0"/>
              <w:rPr>
                <w:sz w:val="20"/>
                <w:szCs w:val="20"/>
                <w:color w:val="auto"/>
              </w:rPr>
            </w:pPr>
            <w:r>
              <w:rPr>
                <w:rFonts w:ascii="Arial" w:cs="Arial" w:eastAsia="Arial" w:hAnsi="Arial"/>
                <w:sz w:val="17"/>
                <w:szCs w:val="17"/>
                <w:color w:val="auto"/>
              </w:rPr>
              <w:t>Resort lending</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26"/>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Installment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3480" w:type="dxa"/>
            <w:vAlign w:val="bottom"/>
          </w:tcPr>
          <w:p>
            <w:pPr>
              <w:ind w:left="320"/>
              <w:spacing w:after="0"/>
              <w:rPr>
                <w:sz w:val="20"/>
                <w:szCs w:val="20"/>
                <w:color w:val="auto"/>
              </w:rPr>
            </w:pPr>
            <w:r>
              <w:rPr>
                <w:rFonts w:ascii="Arial" w:cs="Arial" w:eastAsia="Arial" w:hAnsi="Arial"/>
                <w:sz w:val="17"/>
                <w:szCs w:val="17"/>
                <w:color w:val="auto"/>
              </w:rPr>
              <w:t>Boat lending</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ind w:left="9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380</w:t>
            </w:r>
          </w:p>
        </w:tc>
      </w:tr>
      <w:tr>
        <w:trPr>
          <w:trHeight w:val="259"/>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Recreational vehicle lending</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44"/>
        </w:trPr>
        <w:tc>
          <w:tcPr>
            <w:tcW w:w="3480" w:type="dxa"/>
            <w:vAlign w:val="bottom"/>
          </w:tcPr>
          <w:p>
            <w:pPr>
              <w:ind w:left="3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w:t>
            </w:r>
          </w:p>
        </w:tc>
      </w:tr>
      <w:tr>
        <w:trPr>
          <w:trHeight w:val="245"/>
        </w:trPr>
        <w:tc>
          <w:tcPr>
            <w:tcW w:w="34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3,721</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53"/>
        </w:trPr>
        <w:tc>
          <w:tcPr>
            <w:tcW w:w="3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9"/>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 excluded from total</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20" w:hanging="317"/>
        <w:spacing w:after="0" w:line="259"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Non-performing commercial and industrial loans exclude $0.025 million and $0.029 million of government guaranteed loans at June 30, 2023 and December 31, 2022, respectively.</w:t>
      </w:r>
    </w:p>
    <w:p>
      <w:pPr>
        <w:spacing w:after="0" w:line="1" w:lineRule="exact"/>
        <w:rPr>
          <w:rFonts w:ascii="Arial" w:cs="Arial" w:eastAsia="Arial" w:hAnsi="Arial"/>
          <w:sz w:val="17"/>
          <w:szCs w:val="17"/>
          <w:color w:val="auto"/>
        </w:rPr>
      </w:pPr>
    </w:p>
    <w:p>
      <w:pPr>
        <w:ind w:left="320" w:hanging="317"/>
        <w:spacing w:after="0" w:line="266"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Non-performing 1-4 family owner occupied – non jumbo loans exclude $2.857 million and $1.631 million of government guaranteed loans at June 30, 2023 and December 31, 2022, respectively.</w:t>
      </w:r>
    </w:p>
    <w:p>
      <w:pPr>
        <w:sectPr>
          <w:pgSz w:w="11900" w:h="16838" w:orient="portrait"/>
          <w:cols w:equalWidth="0" w:num="1">
            <w:col w:w="11240"/>
          </w:cols>
          <w:pgMar w:left="320" w:top="127" w:right="33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provides collateral information by class of loan for collateral-dependent loans with a specific reserve. A loan is considered to be collateral dependent when the borrower is experiencing financial difficulty and the repayment is expected to be provided substantially through the operation or sale of collateral.</w:t>
      </w:r>
    </w:p>
    <w:p>
      <w:pPr>
        <w:sectPr>
          <w:pgSz w:w="11900" w:h="16838" w:orient="portrait"/>
          <w:cols w:equalWidth="0" w:num="1">
            <w:col w:w="11240"/>
          </w:cols>
          <w:pgMar w:left="320" w:top="127" w:right="339" w:bottom="1440" w:gutter="0" w:footer="0" w:header="0"/>
        </w:sectPr>
      </w:pP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color w:val="auto"/>
        </w:rPr>
        <w:t>The amortized cost of collateral-dependent loans by class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June 30, 2023</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Commercial</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Commercial and industrial</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Commercial real estate</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Mortgage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spacing w:after="0"/>
              <w:rPr>
                <w:sz w:val="17"/>
                <w:szCs w:val="17"/>
                <w:color w:val="auto"/>
              </w:rPr>
            </w:pPr>
          </w:p>
        </w:tc>
        <w:tc>
          <w:tcPr>
            <w:tcW w:w="2740" w:type="dxa"/>
            <w:vAlign w:val="bottom"/>
            <w:gridSpan w:val="3"/>
          </w:tcPr>
          <w:p>
            <w:pPr>
              <w:jc w:val="right"/>
              <w:ind w:right="914"/>
              <w:spacing w:after="0"/>
              <w:rPr>
                <w:sz w:val="20"/>
                <w:szCs w:val="20"/>
                <w:color w:val="auto"/>
              </w:rPr>
            </w:pPr>
            <w:r>
              <w:rPr>
                <w:rFonts w:ascii="Arial" w:cs="Arial" w:eastAsia="Arial" w:hAnsi="Arial"/>
                <w:sz w:val="17"/>
                <w:szCs w:val="17"/>
                <w:color w:val="auto"/>
              </w:rPr>
              <w:t>Collateral Type</w:t>
            </w:r>
          </w:p>
        </w:tc>
        <w:tc>
          <w:tcPr>
            <w:tcW w:w="28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Arial" w:cs="Arial" w:eastAsia="Arial" w:hAnsi="Arial"/>
                <w:sz w:val="17"/>
                <w:szCs w:val="17"/>
                <w:color w:val="auto"/>
                <w:w w:val="95"/>
              </w:rPr>
              <w:t>Allowance</w:t>
            </w:r>
          </w:p>
        </w:tc>
        <w:tc>
          <w:tcPr>
            <w:tcW w:w="0" w:type="dxa"/>
            <w:vAlign w:val="bottom"/>
          </w:tcPr>
          <w:p>
            <w:pPr>
              <w:spacing w:after="0"/>
              <w:rPr>
                <w:sz w:val="1"/>
                <w:szCs w:val="1"/>
                <w:color w:val="auto"/>
              </w:rPr>
            </w:pPr>
          </w:p>
        </w:tc>
      </w:tr>
      <w:tr>
        <w:trPr>
          <w:trHeight w:val="38"/>
        </w:trPr>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vMerge w:val="restart"/>
          </w:tcPr>
          <w:p>
            <w:pPr>
              <w:jc w:val="center"/>
              <w:ind w:right="94"/>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60"/>
        </w:trPr>
        <w:tc>
          <w:tcPr>
            <w:tcW w:w="320" w:type="dxa"/>
            <w:vAlign w:val="bottom"/>
          </w:tcPr>
          <w:p>
            <w:pPr>
              <w:spacing w:after="0"/>
              <w:rPr>
                <w:sz w:val="13"/>
                <w:szCs w:val="13"/>
                <w:color w:val="auto"/>
              </w:rPr>
            </w:pPr>
          </w:p>
        </w:tc>
        <w:tc>
          <w:tcPr>
            <w:tcW w:w="1180" w:type="dxa"/>
            <w:vAlign w:val="bottom"/>
          </w:tcPr>
          <w:p>
            <w:pPr>
              <w:jc w:val="right"/>
              <w:ind w:right="514"/>
              <w:spacing w:after="0" w:line="161" w:lineRule="exact"/>
              <w:rPr>
                <w:sz w:val="20"/>
                <w:szCs w:val="20"/>
                <w:color w:val="auto"/>
              </w:rPr>
            </w:pPr>
            <w:r>
              <w:rPr>
                <w:rFonts w:ascii="Arial" w:cs="Arial" w:eastAsia="Arial" w:hAnsi="Arial"/>
                <w:sz w:val="17"/>
                <w:szCs w:val="17"/>
                <w:color w:val="auto"/>
              </w:rPr>
              <w:t>Real</w:t>
            </w: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Estate</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Other</w:t>
            </w: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0"/>
              </w:rPr>
              <w:t>Credit Losses</w:t>
            </w:r>
          </w:p>
        </w:tc>
        <w:tc>
          <w:tcPr>
            <w:tcW w:w="0" w:type="dxa"/>
            <w:vAlign w:val="bottom"/>
          </w:tcPr>
          <w:p>
            <w:pPr>
              <w:spacing w:after="0"/>
              <w:rPr>
                <w:sz w:val="1"/>
                <w:szCs w:val="1"/>
                <w:color w:val="auto"/>
              </w:rPr>
            </w:pPr>
          </w:p>
        </w:tc>
      </w:tr>
      <w:tr>
        <w:trPr>
          <w:trHeight w:val="211"/>
        </w:trPr>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54"/>
              <w:spacing w:after="0"/>
              <w:rPr>
                <w:sz w:val="20"/>
                <w:szCs w:val="20"/>
                <w:color w:val="auto"/>
              </w:rPr>
            </w:pPr>
            <w:r>
              <w:rPr>
                <w:rFonts w:ascii="Arial" w:cs="Arial" w:eastAsia="Arial" w:hAnsi="Arial"/>
                <w:sz w:val="17"/>
                <w:szCs w:val="17"/>
                <w:color w:val="auto"/>
                <w:w w:val="95"/>
              </w:rPr>
              <w:t>(In thousands)</w:t>
            </w: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9"/>
        </w:trPr>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708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3,304</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1,765</w:t>
            </w:r>
          </w:p>
        </w:tc>
        <w:tc>
          <w:tcPr>
            <w:tcW w:w="0" w:type="dxa"/>
            <w:vAlign w:val="bottom"/>
          </w:tcPr>
          <w:p>
            <w:pPr>
              <w:spacing w:after="0"/>
              <w:rPr>
                <w:sz w:val="1"/>
                <w:szCs w:val="1"/>
                <w:color w:val="auto"/>
              </w:rPr>
            </w:pPr>
          </w:p>
        </w:tc>
      </w:tr>
      <w:tr>
        <w:trPr>
          <w:trHeight w:val="258"/>
        </w:trPr>
        <w:tc>
          <w:tcPr>
            <w:tcW w:w="320" w:type="dxa"/>
            <w:vAlign w:val="bottom"/>
          </w:tcPr>
          <w:p>
            <w:pPr>
              <w:spacing w:after="0"/>
              <w:rPr>
                <w:sz w:val="22"/>
                <w:szCs w:val="22"/>
                <w:color w:val="auto"/>
              </w:rPr>
            </w:pPr>
          </w:p>
        </w:tc>
        <w:tc>
          <w:tcPr>
            <w:tcW w:w="1180" w:type="dxa"/>
            <w:vAlign w:val="bottom"/>
          </w:tcPr>
          <w:p>
            <w:pPr>
              <w:jc w:val="right"/>
              <w:ind w:right="14"/>
              <w:spacing w:after="0"/>
              <w:rPr>
                <w:sz w:val="20"/>
                <w:szCs w:val="20"/>
                <w:color w:val="auto"/>
              </w:rPr>
            </w:pPr>
            <w:r>
              <w:rPr>
                <w:rFonts w:ascii="Arial" w:cs="Arial" w:eastAsia="Arial" w:hAnsi="Arial"/>
                <w:sz w:val="17"/>
                <w:szCs w:val="17"/>
                <w:color w:val="auto"/>
              </w:rPr>
              <w:t>2,090</w:t>
            </w: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-325755</wp:posOffset>
            </wp:positionV>
            <wp:extent cx="7138670" cy="163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16383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1270</wp:posOffset>
            </wp:positionV>
            <wp:extent cx="7138670" cy="1390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5880" w:space="720"/>
            <w:col w:w="464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4320" w:type="dxa"/>
            <w:vAlign w:val="bottom"/>
          </w:tcPr>
          <w:p>
            <w:pPr>
              <w:ind w:left="320"/>
              <w:spacing w:after="0"/>
              <w:rPr>
                <w:sz w:val="20"/>
                <w:szCs w:val="20"/>
                <w:color w:val="auto"/>
              </w:rPr>
            </w:pPr>
            <w:r>
              <w:rPr>
                <w:rFonts w:ascii="Arial" w:cs="Arial" w:eastAsia="Arial" w:hAnsi="Arial"/>
                <w:sz w:val="17"/>
                <w:szCs w:val="17"/>
                <w:color w:val="auto"/>
              </w:rPr>
              <w:t>1-4 family owner occupied - jumbo</w:t>
            </w:r>
          </w:p>
        </w:tc>
        <w:tc>
          <w:tcPr>
            <w:tcW w:w="2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4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owner occupied - non-jumbo</w:t>
            </w:r>
          </w:p>
        </w:tc>
        <w:tc>
          <w:tcPr>
            <w:tcW w:w="22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57"/>
        </w:trPr>
        <w:tc>
          <w:tcPr>
            <w:tcW w:w="4320" w:type="dxa"/>
            <w:vAlign w:val="bottom"/>
          </w:tcPr>
          <w:p>
            <w:pPr>
              <w:ind w:left="320"/>
              <w:spacing w:after="0"/>
              <w:rPr>
                <w:sz w:val="20"/>
                <w:szCs w:val="20"/>
                <w:color w:val="auto"/>
              </w:rPr>
            </w:pPr>
            <w:r>
              <w:rPr>
                <w:rFonts w:ascii="Arial" w:cs="Arial" w:eastAsia="Arial" w:hAnsi="Arial"/>
                <w:sz w:val="17"/>
                <w:szCs w:val="17"/>
                <w:color w:val="auto"/>
              </w:rPr>
              <w:t>1-4 family non-owner occupied</w:t>
            </w:r>
          </w:p>
        </w:tc>
        <w:tc>
          <w:tcPr>
            <w:tcW w:w="2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59"/>
        </w:trPr>
        <w:tc>
          <w:tcPr>
            <w:tcW w:w="4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- 2nd lien</w:t>
            </w:r>
          </w:p>
        </w:tc>
        <w:tc>
          <w:tcPr>
            <w:tcW w:w="22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57"/>
        </w:trPr>
        <w:tc>
          <w:tcPr>
            <w:tcW w:w="4320" w:type="dxa"/>
            <w:vAlign w:val="bottom"/>
          </w:tcPr>
          <w:p>
            <w:pPr>
              <w:ind w:left="320"/>
              <w:spacing w:after="0"/>
              <w:rPr>
                <w:sz w:val="20"/>
                <w:szCs w:val="20"/>
                <w:color w:val="auto"/>
              </w:rPr>
            </w:pPr>
            <w:r>
              <w:rPr>
                <w:rFonts w:ascii="Arial" w:cs="Arial" w:eastAsia="Arial" w:hAnsi="Arial"/>
                <w:sz w:val="17"/>
                <w:szCs w:val="17"/>
                <w:color w:val="auto"/>
              </w:rPr>
              <w:t>Resort lending</w:t>
            </w:r>
          </w:p>
        </w:tc>
        <w:tc>
          <w:tcPr>
            <w:tcW w:w="2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Installment</w:t>
            </w:r>
          </w:p>
        </w:tc>
        <w:tc>
          <w:tcPr>
            <w:tcW w:w="2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320" w:type="dxa"/>
            <w:vAlign w:val="bottom"/>
          </w:tcPr>
          <w:p>
            <w:pPr>
              <w:ind w:left="320"/>
              <w:spacing w:after="0"/>
              <w:rPr>
                <w:sz w:val="20"/>
                <w:szCs w:val="20"/>
                <w:color w:val="auto"/>
              </w:rPr>
            </w:pPr>
            <w:r>
              <w:rPr>
                <w:rFonts w:ascii="Arial" w:cs="Arial" w:eastAsia="Arial" w:hAnsi="Arial"/>
                <w:sz w:val="17"/>
                <w:szCs w:val="17"/>
                <w:color w:val="auto"/>
              </w:rPr>
              <w:t>Boat lending</w:t>
            </w:r>
          </w:p>
        </w:tc>
        <w:tc>
          <w:tcPr>
            <w:tcW w:w="2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223</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65"/>
        </w:trPr>
        <w:tc>
          <w:tcPr>
            <w:tcW w:w="4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Recreational vehicle lending</w:t>
            </w:r>
          </w:p>
        </w:tc>
        <w:tc>
          <w:tcPr>
            <w:tcW w:w="2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44"/>
        </w:trPr>
        <w:tc>
          <w:tcPr>
            <w:tcW w:w="4320" w:type="dxa"/>
            <w:vAlign w:val="bottom"/>
          </w:tcPr>
          <w:p>
            <w:pPr>
              <w:ind w:left="320"/>
              <w:spacing w:after="0"/>
              <w:rPr>
                <w:sz w:val="20"/>
                <w:szCs w:val="20"/>
                <w:color w:val="auto"/>
              </w:rPr>
            </w:pPr>
            <w:r>
              <w:rPr>
                <w:rFonts w:ascii="Arial" w:cs="Arial" w:eastAsia="Arial" w:hAnsi="Arial"/>
                <w:sz w:val="17"/>
                <w:szCs w:val="17"/>
                <w:color w:val="auto"/>
              </w:rPr>
              <w:t>Other</w:t>
            </w:r>
          </w:p>
        </w:tc>
        <w:tc>
          <w:tcPr>
            <w:tcW w:w="2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28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5,718</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3,695</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 excluded from total</w:t>
            </w:r>
          </w:p>
        </w:tc>
        <w:tc>
          <w:tcPr>
            <w:tcW w:w="28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December 31, 2022</w:t>
            </w:r>
          </w:p>
        </w:tc>
        <w:tc>
          <w:tcPr>
            <w:tcW w:w="2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320" w:type="dxa"/>
            <w:vAlign w:val="bottom"/>
            <w:vMerge w:val="continue"/>
          </w:tcPr>
          <w:p>
            <w:pPr>
              <w:spacing w:after="0"/>
              <w:rPr>
                <w:sz w:val="24"/>
                <w:szCs w:val="24"/>
                <w:color w:val="auto"/>
              </w:rPr>
            </w:pPr>
          </w:p>
        </w:tc>
        <w:tc>
          <w:tcPr>
            <w:tcW w:w="2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320" w:type="dxa"/>
            <w:vAlign w:val="bottom"/>
          </w:tcPr>
          <w:p>
            <w:pPr>
              <w:ind w:left="180"/>
              <w:spacing w:after="0"/>
              <w:rPr>
                <w:sz w:val="20"/>
                <w:szCs w:val="20"/>
                <w:color w:val="auto"/>
              </w:rPr>
            </w:pPr>
            <w:r>
              <w:rPr>
                <w:rFonts w:ascii="Arial" w:cs="Arial" w:eastAsia="Arial" w:hAnsi="Arial"/>
                <w:sz w:val="17"/>
                <w:szCs w:val="17"/>
                <w:color w:val="auto"/>
              </w:rPr>
              <w:t>Commercial</w:t>
            </w:r>
          </w:p>
        </w:tc>
        <w:tc>
          <w:tcPr>
            <w:tcW w:w="2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4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Commercial and industrial</w:t>
            </w:r>
          </w:p>
        </w:tc>
        <w:tc>
          <w:tcPr>
            <w:tcW w:w="28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r>
        <w:trPr>
          <w:trHeight w:val="257"/>
        </w:trPr>
        <w:tc>
          <w:tcPr>
            <w:tcW w:w="4320" w:type="dxa"/>
            <w:vAlign w:val="bottom"/>
          </w:tcPr>
          <w:p>
            <w:pPr>
              <w:ind w:left="320"/>
              <w:spacing w:after="0"/>
              <w:rPr>
                <w:sz w:val="20"/>
                <w:szCs w:val="20"/>
                <w:color w:val="auto"/>
              </w:rPr>
            </w:pPr>
            <w:r>
              <w:rPr>
                <w:rFonts w:ascii="Arial" w:cs="Arial" w:eastAsia="Arial" w:hAnsi="Arial"/>
                <w:sz w:val="17"/>
                <w:szCs w:val="17"/>
                <w:color w:val="auto"/>
              </w:rPr>
              <w:t>Commercial real estate</w:t>
            </w:r>
          </w:p>
        </w:tc>
        <w:tc>
          <w:tcPr>
            <w:tcW w:w="2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7,329</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1,243</w:t>
            </w: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w:t>
            </w:r>
          </w:p>
        </w:tc>
        <w:tc>
          <w:tcPr>
            <w:tcW w:w="22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320" w:type="dxa"/>
            <w:vAlign w:val="bottom"/>
          </w:tcPr>
          <w:p>
            <w:pPr>
              <w:ind w:left="320"/>
              <w:spacing w:after="0"/>
              <w:rPr>
                <w:sz w:val="20"/>
                <w:szCs w:val="20"/>
                <w:color w:val="auto"/>
              </w:rPr>
            </w:pPr>
            <w:r>
              <w:rPr>
                <w:rFonts w:ascii="Arial" w:cs="Arial" w:eastAsia="Arial" w:hAnsi="Arial"/>
                <w:sz w:val="17"/>
                <w:szCs w:val="17"/>
                <w:color w:val="auto"/>
              </w:rPr>
              <w:t>1-4 family owner occupied - jumbo</w:t>
            </w:r>
          </w:p>
        </w:tc>
        <w:tc>
          <w:tcPr>
            <w:tcW w:w="2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5"/>
        </w:trPr>
        <w:tc>
          <w:tcPr>
            <w:tcW w:w="4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owner occupied - non-jumbo</w:t>
            </w:r>
          </w:p>
        </w:tc>
        <w:tc>
          <w:tcPr>
            <w:tcW w:w="2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51"/>
        </w:trPr>
        <w:tc>
          <w:tcPr>
            <w:tcW w:w="4320" w:type="dxa"/>
            <w:vAlign w:val="bottom"/>
          </w:tcPr>
          <w:p>
            <w:pPr>
              <w:ind w:left="320"/>
              <w:spacing w:after="0"/>
              <w:rPr>
                <w:sz w:val="20"/>
                <w:szCs w:val="20"/>
                <w:color w:val="auto"/>
              </w:rPr>
            </w:pPr>
            <w:r>
              <w:rPr>
                <w:rFonts w:ascii="Arial" w:cs="Arial" w:eastAsia="Arial" w:hAnsi="Arial"/>
                <w:sz w:val="17"/>
                <w:szCs w:val="17"/>
                <w:color w:val="auto"/>
              </w:rPr>
              <w:t>1-4 family non-owner occupied</w:t>
            </w:r>
          </w:p>
        </w:tc>
        <w:tc>
          <w:tcPr>
            <w:tcW w:w="2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65"/>
        </w:trPr>
        <w:tc>
          <w:tcPr>
            <w:tcW w:w="4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- 2nd lien</w:t>
            </w:r>
          </w:p>
        </w:tc>
        <w:tc>
          <w:tcPr>
            <w:tcW w:w="22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51"/>
        </w:trPr>
        <w:tc>
          <w:tcPr>
            <w:tcW w:w="4320" w:type="dxa"/>
            <w:vAlign w:val="bottom"/>
          </w:tcPr>
          <w:p>
            <w:pPr>
              <w:ind w:left="320"/>
              <w:spacing w:after="0"/>
              <w:rPr>
                <w:sz w:val="20"/>
                <w:szCs w:val="20"/>
                <w:color w:val="auto"/>
              </w:rPr>
            </w:pPr>
            <w:r>
              <w:rPr>
                <w:rFonts w:ascii="Arial" w:cs="Arial" w:eastAsia="Arial" w:hAnsi="Arial"/>
                <w:sz w:val="17"/>
                <w:szCs w:val="17"/>
                <w:color w:val="auto"/>
              </w:rPr>
              <w:t>Resort lending</w:t>
            </w:r>
          </w:p>
        </w:tc>
        <w:tc>
          <w:tcPr>
            <w:tcW w:w="2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6"/>
        </w:trPr>
        <w:tc>
          <w:tcPr>
            <w:tcW w:w="43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Installment</w:t>
            </w:r>
          </w:p>
        </w:tc>
        <w:tc>
          <w:tcPr>
            <w:tcW w:w="2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20" w:type="dxa"/>
            <w:vAlign w:val="bottom"/>
          </w:tcPr>
          <w:p>
            <w:pPr>
              <w:ind w:left="320"/>
              <w:spacing w:after="0"/>
              <w:rPr>
                <w:sz w:val="20"/>
                <w:szCs w:val="20"/>
                <w:color w:val="auto"/>
              </w:rPr>
            </w:pPr>
            <w:r>
              <w:rPr>
                <w:rFonts w:ascii="Arial" w:cs="Arial" w:eastAsia="Arial" w:hAnsi="Arial"/>
                <w:sz w:val="17"/>
                <w:szCs w:val="17"/>
                <w:color w:val="auto"/>
              </w:rPr>
              <w:t>Boat lending</w:t>
            </w:r>
          </w:p>
        </w:tc>
        <w:tc>
          <w:tcPr>
            <w:tcW w:w="2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297</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59"/>
        </w:trPr>
        <w:tc>
          <w:tcPr>
            <w:tcW w:w="4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Recreational vehicle lending</w:t>
            </w:r>
          </w:p>
        </w:tc>
        <w:tc>
          <w:tcPr>
            <w:tcW w:w="22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51"/>
        </w:trPr>
        <w:tc>
          <w:tcPr>
            <w:tcW w:w="432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w:t>
            </w:r>
          </w:p>
        </w:tc>
        <w:tc>
          <w:tcPr>
            <w:tcW w:w="22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8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39"/>
        </w:trPr>
        <w:tc>
          <w:tcPr>
            <w:tcW w:w="43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28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10,553</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1,764</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 excluded from total</w:t>
            </w:r>
          </w:p>
        </w:tc>
        <w:tc>
          <w:tcPr>
            <w:tcW w:w="28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814"/>
              <w:spacing w:after="0"/>
              <w:rPr>
                <w:sz w:val="20"/>
                <w:szCs w:val="20"/>
                <w:color w:val="auto"/>
              </w:rPr>
            </w:pPr>
            <w:r>
              <w:rPr>
                <w:rFonts w:ascii="Arial" w:cs="Arial" w:eastAsia="Arial" w:hAnsi="Arial"/>
                <w:sz w:val="17"/>
                <w:szCs w:val="17"/>
                <w:color w:val="auto"/>
              </w:rPr>
              <w:t>21</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3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32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60" w:type="dxa"/>
            <w:vAlign w:val="bottom"/>
          </w:tcPr>
          <w:p>
            <w:pPr>
              <w:spacing w:after="0"/>
              <w:rPr>
                <w:sz w:val="20"/>
                <w:szCs w:val="20"/>
                <w:color w:val="auto"/>
              </w:rPr>
            </w:pPr>
            <w:r>
              <w:rPr>
                <w:rFonts w:ascii="Arial" w:cs="Arial" w:eastAsia="Arial" w:hAnsi="Arial"/>
                <w:sz w:val="17"/>
                <w:szCs w:val="17"/>
                <w:color w:val="auto"/>
              </w:rPr>
              <w:t>An aging analysis of loans by class follows: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3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color w:val="auto"/>
              </w:rPr>
              <w:t>Loans Past Due</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94"/>
              <w:spacing w:after="0"/>
              <w:rPr>
                <w:sz w:val="20"/>
                <w:szCs w:val="20"/>
                <w:color w:val="auto"/>
              </w:rPr>
            </w:pPr>
            <w:r>
              <w:rPr>
                <w:rFonts w:ascii="Arial" w:cs="Arial" w:eastAsia="Arial" w:hAnsi="Arial"/>
                <w:sz w:val="17"/>
                <w:szCs w:val="17"/>
                <w:color w:val="auto"/>
                <w:w w:val="99"/>
              </w:rPr>
              <w:t>Loans not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5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37"/>
        </w:trPr>
        <w:tc>
          <w:tcPr>
            <w:tcW w:w="3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95"/>
              </w:rPr>
              <w:t>30-59 days</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95"/>
              </w:rPr>
              <w:t>60-89 days</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90+ days</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Past Due</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Loans</w:t>
            </w:r>
          </w:p>
        </w:tc>
        <w:tc>
          <w:tcPr>
            <w:tcW w:w="0" w:type="dxa"/>
            <w:vAlign w:val="bottom"/>
          </w:tcPr>
          <w:p>
            <w:pPr>
              <w:spacing w:after="0"/>
              <w:rPr>
                <w:sz w:val="1"/>
                <w:szCs w:val="1"/>
                <w:color w:val="auto"/>
              </w:rPr>
            </w:pPr>
          </w:p>
        </w:tc>
      </w:tr>
      <w:tr>
        <w:trPr>
          <w:trHeight w:val="211"/>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right"/>
              <w:ind w:right="674"/>
              <w:spacing w:after="0"/>
              <w:rPr>
                <w:sz w:val="20"/>
                <w:szCs w:val="20"/>
                <w:color w:val="auto"/>
              </w:rPr>
            </w:pPr>
            <w:r>
              <w:rPr>
                <w:rFonts w:ascii="Arial" w:cs="Arial" w:eastAsia="Arial" w:hAnsi="Arial"/>
                <w:sz w:val="17"/>
                <w:szCs w:val="17"/>
                <w:color w:val="auto"/>
              </w:rPr>
              <w:t>(In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60" w:type="dxa"/>
            <w:vAlign w:val="bottom"/>
          </w:tcPr>
          <w:p>
            <w:pPr>
              <w:ind w:left="20"/>
              <w:spacing w:after="0"/>
              <w:rPr>
                <w:sz w:val="20"/>
                <w:szCs w:val="20"/>
                <w:color w:val="auto"/>
              </w:rPr>
            </w:pPr>
            <w:r>
              <w:rPr>
                <w:rFonts w:ascii="Arial" w:cs="Arial" w:eastAsia="Arial" w:hAnsi="Arial"/>
                <w:sz w:val="17"/>
                <w:szCs w:val="17"/>
                <w:color w:val="auto"/>
              </w:rPr>
              <w:t>June 30, 2023</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360" w:type="dxa"/>
            <w:vAlign w:val="bottom"/>
          </w:tcPr>
          <w:p>
            <w:pPr>
              <w:ind w:left="180"/>
              <w:spacing w:after="0"/>
              <w:rPr>
                <w:sz w:val="20"/>
                <w:szCs w:val="20"/>
                <w:color w:val="auto"/>
              </w:rPr>
            </w:pPr>
            <w:r>
              <w:rPr>
                <w:rFonts w:ascii="Arial" w:cs="Arial" w:eastAsia="Arial" w:hAnsi="Arial"/>
                <w:sz w:val="17"/>
                <w:szCs w:val="17"/>
                <w:color w:val="auto"/>
              </w:rPr>
              <w:t>Commercial</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Commercial and industrial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3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745,561</w:t>
            </w: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745,658</w:t>
            </w:r>
          </w:p>
        </w:tc>
        <w:tc>
          <w:tcPr>
            <w:tcW w:w="0" w:type="dxa"/>
            <w:vAlign w:val="bottom"/>
          </w:tcPr>
          <w:p>
            <w:pPr>
              <w:spacing w:after="0"/>
              <w:rPr>
                <w:sz w:val="1"/>
                <w:szCs w:val="1"/>
                <w:color w:val="auto"/>
              </w:rPr>
            </w:pPr>
          </w:p>
        </w:tc>
      </w:tr>
      <w:tr>
        <w:trPr>
          <w:trHeight w:val="257"/>
        </w:trPr>
        <w:tc>
          <w:tcPr>
            <w:tcW w:w="3360" w:type="dxa"/>
            <w:vAlign w:val="bottom"/>
          </w:tcPr>
          <w:p>
            <w:pPr>
              <w:ind w:left="320"/>
              <w:spacing w:after="0"/>
              <w:rPr>
                <w:sz w:val="20"/>
                <w:szCs w:val="20"/>
                <w:color w:val="auto"/>
              </w:rPr>
            </w:pPr>
            <w:r>
              <w:rPr>
                <w:rFonts w:ascii="Arial" w:cs="Arial" w:eastAsia="Arial" w:hAnsi="Arial"/>
                <w:sz w:val="17"/>
                <w:szCs w:val="17"/>
                <w:color w:val="auto"/>
              </w:rPr>
              <w:t>Commercial real estate</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792,504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792,504</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320"/>
              <w:spacing w:after="0"/>
              <w:rPr>
                <w:sz w:val="20"/>
                <w:szCs w:val="20"/>
                <w:color w:val="auto"/>
              </w:rPr>
            </w:pPr>
            <w:r>
              <w:rPr>
                <w:rFonts w:ascii="Arial" w:cs="Arial" w:eastAsia="Arial" w:hAnsi="Arial"/>
                <w:sz w:val="17"/>
                <w:szCs w:val="17"/>
                <w:color w:val="auto"/>
              </w:rPr>
              <w:t>1-4 family owner occupied - jumbo</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812,040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812,587</w:t>
            </w:r>
          </w:p>
        </w:tc>
        <w:tc>
          <w:tcPr>
            <w:tcW w:w="0" w:type="dxa"/>
            <w:vAlign w:val="bottom"/>
          </w:tcPr>
          <w:p>
            <w:pPr>
              <w:spacing w:after="0"/>
              <w:rPr>
                <w:sz w:val="1"/>
                <w:szCs w:val="1"/>
                <w:color w:val="auto"/>
              </w:rPr>
            </w:pPr>
          </w:p>
        </w:tc>
      </w:tr>
      <w:tr>
        <w:trPr>
          <w:trHeight w:val="259"/>
        </w:trPr>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owner occupied - non-jumbo</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295,218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299,418</w:t>
            </w:r>
          </w:p>
        </w:tc>
        <w:tc>
          <w:tcPr>
            <w:tcW w:w="0" w:type="dxa"/>
            <w:vAlign w:val="bottom"/>
          </w:tcPr>
          <w:p>
            <w:pPr>
              <w:spacing w:after="0"/>
              <w:rPr>
                <w:sz w:val="1"/>
                <w:szCs w:val="1"/>
                <w:color w:val="auto"/>
              </w:rPr>
            </w:pPr>
          </w:p>
        </w:tc>
      </w:tr>
      <w:tr>
        <w:trPr>
          <w:trHeight w:val="257"/>
        </w:trPr>
        <w:tc>
          <w:tcPr>
            <w:tcW w:w="3360" w:type="dxa"/>
            <w:vAlign w:val="bottom"/>
          </w:tcPr>
          <w:p>
            <w:pPr>
              <w:ind w:left="320"/>
              <w:spacing w:after="0"/>
              <w:rPr>
                <w:sz w:val="20"/>
                <w:szCs w:val="20"/>
                <w:color w:val="auto"/>
              </w:rPr>
            </w:pPr>
            <w:r>
              <w:rPr>
                <w:rFonts w:ascii="Arial" w:cs="Arial" w:eastAsia="Arial" w:hAnsi="Arial"/>
                <w:sz w:val="17"/>
                <w:szCs w:val="17"/>
                <w:color w:val="auto"/>
              </w:rPr>
              <w:t>1-4 family non-owner occupied</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180,721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180,937</w:t>
            </w:r>
          </w:p>
        </w:tc>
        <w:tc>
          <w:tcPr>
            <w:tcW w:w="0" w:type="dxa"/>
            <w:vAlign w:val="bottom"/>
          </w:tcPr>
          <w:p>
            <w:pPr>
              <w:spacing w:after="0"/>
              <w:rPr>
                <w:sz w:val="1"/>
                <w:szCs w:val="1"/>
                <w:color w:val="auto"/>
              </w:rPr>
            </w:pPr>
          </w:p>
        </w:tc>
      </w:tr>
      <w:tr>
        <w:trPr>
          <w:trHeight w:val="259"/>
        </w:trPr>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- 2nd lien</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110,286</w:t>
            </w:r>
          </w:p>
        </w:tc>
        <w:tc>
          <w:tcPr>
            <w:tcW w:w="0" w:type="dxa"/>
            <w:vAlign w:val="bottom"/>
          </w:tcPr>
          <w:p>
            <w:pPr>
              <w:spacing w:after="0"/>
              <w:rPr>
                <w:sz w:val="1"/>
                <w:szCs w:val="1"/>
                <w:color w:val="auto"/>
              </w:rPr>
            </w:pPr>
          </w:p>
        </w:tc>
      </w:tr>
      <w:tr>
        <w:trPr>
          <w:trHeight w:val="257"/>
        </w:trPr>
        <w:tc>
          <w:tcPr>
            <w:tcW w:w="3360" w:type="dxa"/>
            <w:vAlign w:val="bottom"/>
          </w:tcPr>
          <w:p>
            <w:pPr>
              <w:ind w:left="320"/>
              <w:spacing w:after="0"/>
              <w:rPr>
                <w:sz w:val="20"/>
                <w:szCs w:val="20"/>
                <w:color w:val="auto"/>
              </w:rPr>
            </w:pPr>
            <w:r>
              <w:rPr>
                <w:rFonts w:ascii="Arial" w:cs="Arial" w:eastAsia="Arial" w:hAnsi="Arial"/>
                <w:sz w:val="17"/>
                <w:szCs w:val="17"/>
                <w:color w:val="auto"/>
              </w:rPr>
              <w:t>Resort lending</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38,070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38,170</w:t>
            </w:r>
          </w:p>
        </w:tc>
        <w:tc>
          <w:tcPr>
            <w:tcW w:w="0" w:type="dxa"/>
            <w:vAlign w:val="bottom"/>
          </w:tcPr>
          <w:p>
            <w:pPr>
              <w:spacing w:after="0"/>
              <w:rPr>
                <w:sz w:val="1"/>
                <w:szCs w:val="1"/>
                <w:color w:val="auto"/>
              </w:rPr>
            </w:pPr>
          </w:p>
        </w:tc>
      </w:tr>
      <w:tr>
        <w:trPr>
          <w:trHeight w:val="233"/>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Installment</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360" w:type="dxa"/>
            <w:vAlign w:val="bottom"/>
          </w:tcPr>
          <w:p>
            <w:pPr>
              <w:ind w:left="320"/>
              <w:spacing w:after="0"/>
              <w:rPr>
                <w:sz w:val="20"/>
                <w:szCs w:val="20"/>
                <w:color w:val="auto"/>
              </w:rPr>
            </w:pPr>
            <w:r>
              <w:rPr>
                <w:rFonts w:ascii="Arial" w:cs="Arial" w:eastAsia="Arial" w:hAnsi="Arial"/>
                <w:sz w:val="17"/>
                <w:szCs w:val="17"/>
                <w:color w:val="auto"/>
              </w:rPr>
              <w:t>Boat lending</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274,003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274,766</w:t>
            </w:r>
          </w:p>
        </w:tc>
        <w:tc>
          <w:tcPr>
            <w:tcW w:w="0" w:type="dxa"/>
            <w:vAlign w:val="bottom"/>
          </w:tcPr>
          <w:p>
            <w:pPr>
              <w:spacing w:after="0"/>
              <w:rPr>
                <w:sz w:val="1"/>
                <w:szCs w:val="1"/>
                <w:color w:val="auto"/>
              </w:rPr>
            </w:pPr>
          </w:p>
        </w:tc>
      </w:tr>
      <w:tr>
        <w:trPr>
          <w:trHeight w:val="265"/>
        </w:trPr>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Recreational vehicle lending</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267,297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268,303</w:t>
            </w:r>
          </w:p>
        </w:tc>
        <w:tc>
          <w:tcPr>
            <w:tcW w:w="0" w:type="dxa"/>
            <w:vAlign w:val="bottom"/>
          </w:tcPr>
          <w:p>
            <w:pPr>
              <w:spacing w:after="0"/>
              <w:rPr>
                <w:sz w:val="1"/>
                <w:szCs w:val="1"/>
                <w:color w:val="auto"/>
              </w:rPr>
            </w:pPr>
          </w:p>
        </w:tc>
      </w:tr>
      <w:tr>
        <w:trPr>
          <w:trHeight w:val="244"/>
        </w:trPr>
        <w:tc>
          <w:tcPr>
            <w:tcW w:w="3360" w:type="dxa"/>
            <w:vAlign w:val="bottom"/>
          </w:tcPr>
          <w:p>
            <w:pPr>
              <w:ind w:left="3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108,029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108,485</w:t>
            </w:r>
          </w:p>
        </w:tc>
        <w:tc>
          <w:tcPr>
            <w:tcW w:w="0" w:type="dxa"/>
            <w:vAlign w:val="bottom"/>
          </w:tcPr>
          <w:p>
            <w:pPr>
              <w:spacing w:after="0"/>
              <w:rPr>
                <w:sz w:val="1"/>
                <w:szCs w:val="1"/>
                <w:color w:val="auto"/>
              </w:rPr>
            </w:pPr>
          </w:p>
        </w:tc>
      </w:tr>
      <w:tr>
        <w:trPr>
          <w:trHeight w:val="246"/>
        </w:trPr>
        <w:tc>
          <w:tcPr>
            <w:tcW w:w="33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2,159</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1,940</w:t>
            </w:r>
          </w:p>
        </w:tc>
        <w:tc>
          <w:tcPr>
            <w:tcW w:w="3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8,012</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3,623,102</w:t>
            </w: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3,631,114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interest excluded from total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11,137</w:t>
            </w: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11,195</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December 31, 2022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3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360" w:type="dxa"/>
            <w:vAlign w:val="bottom"/>
          </w:tcPr>
          <w:p>
            <w:pPr>
              <w:ind w:left="180"/>
              <w:spacing w:after="0"/>
              <w:rPr>
                <w:sz w:val="20"/>
                <w:szCs w:val="20"/>
                <w:color w:val="auto"/>
              </w:rPr>
            </w:pPr>
            <w:r>
              <w:rPr>
                <w:rFonts w:ascii="Arial" w:cs="Arial" w:eastAsia="Arial" w:hAnsi="Arial"/>
                <w:sz w:val="17"/>
                <w:szCs w:val="17"/>
                <w:color w:val="auto"/>
              </w:rPr>
              <w:t>Commercial</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Commercial and industrial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3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732,425</w:t>
            </w:r>
          </w:p>
        </w:tc>
        <w:tc>
          <w:tcPr>
            <w:tcW w:w="3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732,463</w:t>
            </w:r>
          </w:p>
        </w:tc>
        <w:tc>
          <w:tcPr>
            <w:tcW w:w="0" w:type="dxa"/>
            <w:vAlign w:val="bottom"/>
          </w:tcPr>
          <w:p>
            <w:pPr>
              <w:spacing w:after="0"/>
              <w:rPr>
                <w:sz w:val="1"/>
                <w:szCs w:val="1"/>
                <w:color w:val="auto"/>
              </w:rPr>
            </w:pPr>
          </w:p>
        </w:tc>
      </w:tr>
      <w:tr>
        <w:trPr>
          <w:trHeight w:val="251"/>
        </w:trPr>
        <w:tc>
          <w:tcPr>
            <w:tcW w:w="3360" w:type="dxa"/>
            <w:vAlign w:val="bottom"/>
          </w:tcPr>
          <w:p>
            <w:pPr>
              <w:ind w:left="320"/>
              <w:spacing w:after="0"/>
              <w:rPr>
                <w:sz w:val="20"/>
                <w:szCs w:val="20"/>
                <w:color w:val="auto"/>
              </w:rPr>
            </w:pPr>
            <w:r>
              <w:rPr>
                <w:rFonts w:ascii="Arial" w:cs="Arial" w:eastAsia="Arial" w:hAnsi="Arial"/>
                <w:sz w:val="17"/>
                <w:szCs w:val="17"/>
                <w:color w:val="auto"/>
              </w:rPr>
              <w:t>Commercial real estate</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734,390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734,390</w:t>
            </w:r>
          </w:p>
        </w:tc>
        <w:tc>
          <w:tcPr>
            <w:tcW w:w="0" w:type="dxa"/>
            <w:vAlign w:val="bottom"/>
          </w:tcPr>
          <w:p>
            <w:pPr>
              <w:spacing w:after="0"/>
              <w:rPr>
                <w:sz w:val="1"/>
                <w:szCs w:val="1"/>
                <w:color w:val="auto"/>
              </w:rPr>
            </w:pPr>
          </w:p>
        </w:tc>
      </w:tr>
      <w:tr>
        <w:trPr>
          <w:trHeight w:val="226"/>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320"/>
              <w:spacing w:after="0"/>
              <w:rPr>
                <w:sz w:val="20"/>
                <w:szCs w:val="20"/>
                <w:color w:val="auto"/>
              </w:rPr>
            </w:pPr>
            <w:r>
              <w:rPr>
                <w:rFonts w:ascii="Arial" w:cs="Arial" w:eastAsia="Arial" w:hAnsi="Arial"/>
                <w:sz w:val="17"/>
                <w:szCs w:val="17"/>
                <w:color w:val="auto"/>
              </w:rPr>
              <w:t>1-4 family owner occupied - jumbo</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752,563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752,563</w:t>
            </w:r>
          </w:p>
        </w:tc>
        <w:tc>
          <w:tcPr>
            <w:tcW w:w="0" w:type="dxa"/>
            <w:vAlign w:val="bottom"/>
          </w:tcPr>
          <w:p>
            <w:pPr>
              <w:spacing w:after="0"/>
              <w:rPr>
                <w:sz w:val="1"/>
                <w:szCs w:val="1"/>
                <w:color w:val="auto"/>
              </w:rPr>
            </w:pPr>
          </w:p>
        </w:tc>
      </w:tr>
      <w:tr>
        <w:trPr>
          <w:trHeight w:val="259"/>
        </w:trPr>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owner occupied - non-jumbo</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282,842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285,632</w:t>
            </w:r>
          </w:p>
        </w:tc>
        <w:tc>
          <w:tcPr>
            <w:tcW w:w="0" w:type="dxa"/>
            <w:vAlign w:val="bottom"/>
          </w:tcPr>
          <w:p>
            <w:pPr>
              <w:spacing w:after="0"/>
              <w:rPr>
                <w:sz w:val="1"/>
                <w:szCs w:val="1"/>
                <w:color w:val="auto"/>
              </w:rPr>
            </w:pPr>
          </w:p>
        </w:tc>
      </w:tr>
      <w:tr>
        <w:trPr>
          <w:trHeight w:val="257"/>
        </w:trPr>
        <w:tc>
          <w:tcPr>
            <w:tcW w:w="3360" w:type="dxa"/>
            <w:vAlign w:val="bottom"/>
          </w:tcPr>
          <w:p>
            <w:pPr>
              <w:ind w:left="320"/>
              <w:spacing w:after="0"/>
              <w:rPr>
                <w:sz w:val="20"/>
                <w:szCs w:val="20"/>
                <w:color w:val="auto"/>
              </w:rPr>
            </w:pPr>
            <w:r>
              <w:rPr>
                <w:rFonts w:ascii="Arial" w:cs="Arial" w:eastAsia="Arial" w:hAnsi="Arial"/>
                <w:sz w:val="17"/>
                <w:szCs w:val="17"/>
                <w:color w:val="auto"/>
              </w:rPr>
              <w:t>1-4 family non-owner occupied</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182,746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183,100</w:t>
            </w:r>
          </w:p>
        </w:tc>
        <w:tc>
          <w:tcPr>
            <w:tcW w:w="0" w:type="dxa"/>
            <w:vAlign w:val="bottom"/>
          </w:tcPr>
          <w:p>
            <w:pPr>
              <w:spacing w:after="0"/>
              <w:rPr>
                <w:sz w:val="1"/>
                <w:szCs w:val="1"/>
                <w:color w:val="auto"/>
              </w:rPr>
            </w:pPr>
          </w:p>
        </w:tc>
      </w:tr>
      <w:tr>
        <w:trPr>
          <w:trHeight w:val="259"/>
        </w:trPr>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1-4 family - 2nd lien</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105,277</w:t>
            </w:r>
          </w:p>
        </w:tc>
        <w:tc>
          <w:tcPr>
            <w:tcW w:w="0" w:type="dxa"/>
            <w:vAlign w:val="bottom"/>
          </w:tcPr>
          <w:p>
            <w:pPr>
              <w:spacing w:after="0"/>
              <w:rPr>
                <w:sz w:val="1"/>
                <w:szCs w:val="1"/>
                <w:color w:val="auto"/>
              </w:rPr>
            </w:pPr>
          </w:p>
        </w:tc>
      </w:tr>
      <w:tr>
        <w:trPr>
          <w:trHeight w:val="257"/>
        </w:trPr>
        <w:tc>
          <w:tcPr>
            <w:tcW w:w="3360" w:type="dxa"/>
            <w:vAlign w:val="bottom"/>
          </w:tcPr>
          <w:p>
            <w:pPr>
              <w:ind w:left="320"/>
              <w:spacing w:after="0"/>
              <w:rPr>
                <w:sz w:val="20"/>
                <w:szCs w:val="20"/>
                <w:color w:val="auto"/>
              </w:rPr>
            </w:pPr>
            <w:r>
              <w:rPr>
                <w:rFonts w:ascii="Arial" w:cs="Arial" w:eastAsia="Arial" w:hAnsi="Arial"/>
                <w:sz w:val="17"/>
                <w:szCs w:val="17"/>
                <w:color w:val="auto"/>
              </w:rPr>
              <w:t>Resort lending</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41,635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41,837</w:t>
            </w: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Installment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320"/>
              <w:spacing w:after="0"/>
              <w:rPr>
                <w:sz w:val="20"/>
                <w:szCs w:val="20"/>
                <w:color w:val="auto"/>
              </w:rPr>
            </w:pPr>
            <w:r>
              <w:rPr>
                <w:rFonts w:ascii="Arial" w:cs="Arial" w:eastAsia="Arial" w:hAnsi="Arial"/>
                <w:sz w:val="17"/>
                <w:szCs w:val="17"/>
                <w:color w:val="auto"/>
              </w:rPr>
              <w:t>Boat lending</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837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252,128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252,965</w:t>
            </w:r>
          </w:p>
        </w:tc>
        <w:tc>
          <w:tcPr>
            <w:tcW w:w="0" w:type="dxa"/>
            <w:vAlign w:val="bottom"/>
          </w:tcPr>
          <w:p>
            <w:pPr>
              <w:spacing w:after="0"/>
              <w:rPr>
                <w:sz w:val="1"/>
                <w:szCs w:val="1"/>
                <w:color w:val="auto"/>
              </w:rPr>
            </w:pPr>
          </w:p>
        </w:tc>
      </w:tr>
      <w:tr>
        <w:trPr>
          <w:trHeight w:val="259"/>
        </w:trPr>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Recreational vehicle lending</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269,869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270,673</w:t>
            </w:r>
          </w:p>
        </w:tc>
        <w:tc>
          <w:tcPr>
            <w:tcW w:w="0" w:type="dxa"/>
            <w:vAlign w:val="bottom"/>
          </w:tcPr>
          <w:p>
            <w:pPr>
              <w:spacing w:after="0"/>
              <w:rPr>
                <w:sz w:val="1"/>
                <w:szCs w:val="1"/>
                <w:color w:val="auto"/>
              </w:rPr>
            </w:pPr>
          </w:p>
        </w:tc>
      </w:tr>
      <w:tr>
        <w:trPr>
          <w:trHeight w:val="251"/>
        </w:trPr>
        <w:tc>
          <w:tcPr>
            <w:tcW w:w="336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106,068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106,452</w:t>
            </w:r>
          </w:p>
        </w:tc>
        <w:tc>
          <w:tcPr>
            <w:tcW w:w="0" w:type="dxa"/>
            <w:vAlign w:val="bottom"/>
          </w:tcPr>
          <w:p>
            <w:pPr>
              <w:spacing w:after="0"/>
              <w:rPr>
                <w:sz w:val="1"/>
                <w:szCs w:val="1"/>
                <w:color w:val="auto"/>
              </w:rPr>
            </w:pPr>
          </w:p>
        </w:tc>
      </w:tr>
      <w:tr>
        <w:trPr>
          <w:trHeight w:val="239"/>
        </w:trPr>
        <w:tc>
          <w:tcPr>
            <w:tcW w:w="3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3,459,369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3,465,352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60" w:type="dxa"/>
            <w:vAlign w:val="bottom"/>
          </w:tcPr>
          <w:p>
            <w:pPr>
              <w:ind w:left="20"/>
              <w:spacing w:after="0" w:line="191" w:lineRule="exact"/>
              <w:rPr>
                <w:sz w:val="20"/>
                <w:szCs w:val="20"/>
                <w:color w:val="auto"/>
              </w:rPr>
            </w:pPr>
            <w:r>
              <w:rPr>
                <w:rFonts w:ascii="Arial" w:cs="Arial" w:eastAsia="Arial" w:hAnsi="Arial"/>
                <w:sz w:val="17"/>
                <w:szCs w:val="17"/>
                <w:color w:val="auto"/>
              </w:rPr>
              <w:t>Accrued interest excluded from total</w:t>
            </w:r>
          </w:p>
        </w:tc>
        <w:tc>
          <w:tcPr>
            <w:tcW w:w="180" w:type="dxa"/>
            <w:vAlign w:val="bottom"/>
          </w:tcPr>
          <w:p>
            <w:pPr>
              <w:jc w:val="right"/>
              <w:spacing w:after="0" w:line="191"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91" w:lineRule="exact"/>
              <w:rPr>
                <w:sz w:val="20"/>
                <w:szCs w:val="20"/>
                <w:color w:val="auto"/>
              </w:rPr>
            </w:pPr>
            <w:r>
              <w:rPr>
                <w:rFonts w:ascii="Arial" w:cs="Arial" w:eastAsia="Arial" w:hAnsi="Arial"/>
                <w:sz w:val="17"/>
                <w:szCs w:val="17"/>
                <w:color w:val="auto"/>
              </w:rPr>
              <w:t>27</w:t>
            </w:r>
          </w:p>
        </w:tc>
        <w:tc>
          <w:tcPr>
            <w:tcW w:w="26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060" w:type="dxa"/>
            <w:vAlign w:val="bottom"/>
          </w:tcPr>
          <w:p>
            <w:pPr>
              <w:jc w:val="right"/>
              <w:spacing w:after="0" w:line="191" w:lineRule="exact"/>
              <w:rPr>
                <w:sz w:val="20"/>
                <w:szCs w:val="20"/>
                <w:color w:val="auto"/>
              </w:rPr>
            </w:pPr>
            <w:r>
              <w:rPr>
                <w:rFonts w:ascii="Arial" w:cs="Arial" w:eastAsia="Arial" w:hAnsi="Arial"/>
                <w:sz w:val="17"/>
                <w:szCs w:val="17"/>
                <w:color w:val="auto"/>
              </w:rPr>
              <w:t>7</w:t>
            </w:r>
          </w:p>
        </w:tc>
        <w:tc>
          <w:tcPr>
            <w:tcW w:w="300" w:type="dxa"/>
            <w:vAlign w:val="bottom"/>
            <w:gridSpan w:val="2"/>
          </w:tcPr>
          <w:p>
            <w:pPr>
              <w:jc w:val="right"/>
              <w:ind w:right="14"/>
              <w:spacing w:after="0" w:line="191"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91" w:lineRule="exact"/>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94"/>
              <w:spacing w:after="0" w:line="191"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91" w:lineRule="exact"/>
              <w:rPr>
                <w:sz w:val="20"/>
                <w:szCs w:val="20"/>
                <w:color w:val="auto"/>
              </w:rPr>
            </w:pPr>
            <w:r>
              <w:rPr>
                <w:rFonts w:ascii="Arial" w:cs="Arial" w:eastAsia="Arial" w:hAnsi="Arial"/>
                <w:sz w:val="17"/>
                <w:szCs w:val="17"/>
                <w:color w:val="auto"/>
              </w:rPr>
              <w:t>34</w:t>
            </w:r>
          </w:p>
        </w:tc>
        <w:tc>
          <w:tcPr>
            <w:tcW w:w="300" w:type="dxa"/>
            <w:vAlign w:val="bottom"/>
            <w:gridSpan w:val="2"/>
          </w:tcPr>
          <w:p>
            <w:pPr>
              <w:jc w:val="right"/>
              <w:ind w:right="14"/>
              <w:spacing w:after="0" w:line="191"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91" w:lineRule="exact"/>
              <w:rPr>
                <w:sz w:val="20"/>
                <w:szCs w:val="20"/>
                <w:color w:val="auto"/>
              </w:rPr>
            </w:pPr>
            <w:r>
              <w:rPr>
                <w:rFonts w:ascii="Arial" w:cs="Arial" w:eastAsia="Arial" w:hAnsi="Arial"/>
                <w:sz w:val="17"/>
                <w:szCs w:val="17"/>
                <w:color w:val="auto"/>
              </w:rPr>
              <w:t>9,975</w:t>
            </w:r>
          </w:p>
        </w:tc>
        <w:tc>
          <w:tcPr>
            <w:tcW w:w="360" w:type="dxa"/>
            <w:vAlign w:val="bottom"/>
            <w:gridSpan w:val="2"/>
          </w:tcPr>
          <w:p>
            <w:pPr>
              <w:jc w:val="right"/>
              <w:ind w:right="74"/>
              <w:spacing w:after="0" w:line="191"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91" w:lineRule="exact"/>
              <w:rPr>
                <w:sz w:val="20"/>
                <w:szCs w:val="20"/>
                <w:color w:val="auto"/>
              </w:rPr>
            </w:pPr>
            <w:r>
              <w:rPr>
                <w:rFonts w:ascii="Arial" w:cs="Arial" w:eastAsia="Arial" w:hAnsi="Arial"/>
                <w:sz w:val="17"/>
                <w:szCs w:val="17"/>
                <w:color w:val="auto"/>
              </w:rPr>
              <w:t>10,009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June 30, 2023, there were no troubled loan modifications or subsequent defaults.</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the six months ended June 30, 2022, the terms of one loan was modified as a TDR. The modification of the terms of this loan included a reduction of the stated interest rate of the loan and a 34 month extension of the maturity date. The pre- and post-modification outstanding loan balances were both $0.3 million at June 30, 2022. This TDR increased the ACL by $0.03 million and resulted in zero charge-offs during the six months ended June 30, 2022. There were no TDRs that subsequently defaulted within twelve months following the modification during the three and six month period ended June 30, 2022.</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A loan is considered to be in payment default generally once it is 90 days contractually past due under the modified terms.</w:t>
      </w:r>
    </w:p>
    <w:p>
      <w:pPr>
        <w:spacing w:after="0" w:line="19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order to determine whether a borrower is experiencing financial difficulty, we perform an evaluation of the probability that the borrower will be in payment default on any of its debt in the foreseeable future without the modification. This evaluation is performed under our internal underwriting policy.</w:t>
      </w:r>
    </w:p>
    <w:p>
      <w:pPr>
        <w:spacing w:after="0" w:line="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Credit Quality Indicators </w:t>
      </w:r>
      <w:r>
        <w:rPr>
          <w:rFonts w:ascii="Arial" w:cs="Arial" w:eastAsia="Arial" w:hAnsi="Arial"/>
          <w:sz w:val="17"/>
          <w:szCs w:val="17"/>
          <w:color w:val="auto"/>
        </w:rPr>
        <w:t>– As part of our on-going monitoring of the credit quality of our loan portfolios, we track certain credit quality indicators including (a)</w:t>
      </w:r>
      <w:r>
        <w:rPr>
          <w:rFonts w:ascii="Arial" w:cs="Arial" w:eastAsia="Arial" w:hAnsi="Arial"/>
          <w:sz w:val="17"/>
          <w:szCs w:val="17"/>
          <w:b w:val="1"/>
          <w:bCs w:val="1"/>
          <w:color w:val="auto"/>
        </w:rPr>
        <w:t xml:space="preserve"> </w:t>
      </w:r>
      <w:r>
        <w:rPr>
          <w:rFonts w:ascii="Arial" w:cs="Arial" w:eastAsia="Arial" w:hAnsi="Arial"/>
          <w:sz w:val="17"/>
          <w:szCs w:val="17"/>
          <w:color w:val="auto"/>
        </w:rPr>
        <w:t>risk grade of commercial loans, (b) the level of classified commercial loans, (c) credit scores of mortgage and installment loan borrowers, and (d) delinquency history and non-performing loans.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For commercial loans, we use a loan rating system that is similar to those employed by state and federal banking regulators. Loans are graded on a scale of 1 to 12.</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A description of the general characteristics of the ratings follows: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Rating 1 through 6</w:t>
      </w:r>
      <w:r>
        <w:rPr>
          <w:rFonts w:ascii="Arial" w:cs="Arial" w:eastAsia="Arial" w:hAnsi="Arial"/>
          <w:sz w:val="17"/>
          <w:szCs w:val="17"/>
          <w:color w:val="auto"/>
        </w:rPr>
        <w:t>: These loans are generally referred to as our “non-watch” commercial credits that include very high or exceptional credit fundamentals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acceptable credit fundamentals.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Rating 7 and 8</w:t>
      </w:r>
      <w:r>
        <w:rPr>
          <w:rFonts w:ascii="Arial" w:cs="Arial" w:eastAsia="Arial" w:hAnsi="Arial"/>
          <w:sz w:val="17"/>
          <w:szCs w:val="17"/>
          <w:color w:val="auto"/>
        </w:rPr>
        <w:t>: These loans are generally referred to as our “watch” commercial credits. These ratings include loans to borrowers that exhibit potential credit</w:t>
      </w:r>
      <w:r>
        <w:rPr>
          <w:rFonts w:ascii="Arial" w:cs="Arial" w:eastAsia="Arial" w:hAnsi="Arial"/>
          <w:sz w:val="17"/>
          <w:szCs w:val="17"/>
          <w:i w:val="1"/>
          <w:iCs w:val="1"/>
          <w:color w:val="auto"/>
        </w:rPr>
        <w:t xml:space="preserve"> </w:t>
      </w:r>
      <w:r>
        <w:rPr>
          <w:rFonts w:ascii="Arial" w:cs="Arial" w:eastAsia="Arial" w:hAnsi="Arial"/>
          <w:sz w:val="17"/>
          <w:szCs w:val="17"/>
          <w:color w:val="auto"/>
        </w:rPr>
        <w:t>weakness or downward trends. If not checked or cured these trends could weaken our asset or credit position. While potentially weak, no loss of principal or interest is envisioned with these ratings.</w:t>
      </w:r>
    </w:p>
    <w:p>
      <w:pPr>
        <w:spacing w:after="0" w:line="13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Rating 9</w:t>
      </w:r>
      <w:r>
        <w:rPr>
          <w:rFonts w:ascii="Arial" w:cs="Arial" w:eastAsia="Arial" w:hAnsi="Arial"/>
          <w:sz w:val="17"/>
          <w:szCs w:val="17"/>
          <w:color w:val="auto"/>
        </w:rPr>
        <w:t>: These loans are generally referred to as our “substandard accruing” commercial credits. This rating includes loans to borrowers that exhibit a well-defined weakness where payment default is probable and loss is possible if deficiencies are not corrected. Generally, loans with this rating are considered collectible as to both principal and interest primarily due to collateral coverage.</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Rating 10 and 11</w:t>
      </w:r>
      <w:r>
        <w:rPr>
          <w:rFonts w:ascii="Arial" w:cs="Arial" w:eastAsia="Arial" w:hAnsi="Arial"/>
          <w:sz w:val="17"/>
          <w:szCs w:val="17"/>
          <w:color w:val="auto"/>
        </w:rPr>
        <w:t>: These loans are generally referred to as our ‘‘substandard - non-accrual’’ and ‘‘doubtful’’ commercial credits. Our doubtful rating includes a sub</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for a loss rate other than 50% (which is the standard doubtful loss rate). These ratings include loans to borrowers with weaknesses that make collection of the loan in full, on the basis of current facts, conditions and values at best questionable and at worst improbable. All of these loans are placed in non-accrual.</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Rating 12</w:t>
      </w:r>
      <w:r>
        <w:rPr>
          <w:rFonts w:ascii="Arial" w:cs="Arial" w:eastAsia="Arial" w:hAnsi="Arial"/>
          <w:sz w:val="17"/>
          <w:szCs w:val="17"/>
          <w:color w:val="auto"/>
        </w:rPr>
        <w:t>: These loans are generally referred to as our “loss” commercial credits. This rating includes loans to borrowers that are deemed incapable of repayment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are charged-off.</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loan ratings by loan class for our commercial portfolio loan segment at June 30, 2023 and December 31,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color w:val="auto"/>
              </w:rPr>
              <w:t>Commercial</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1"/>
              <w:spacing w:after="0"/>
              <w:rPr>
                <w:sz w:val="20"/>
                <w:szCs w:val="20"/>
                <w:color w:val="auto"/>
              </w:rPr>
            </w:pPr>
            <w:r>
              <w:rPr>
                <w:rFonts w:ascii="Arial" w:cs="Arial" w:eastAsia="Arial" w:hAnsi="Arial"/>
                <w:sz w:val="14"/>
                <w:szCs w:val="14"/>
                <w:color w:val="auto"/>
                <w:w w:val="94"/>
              </w:rPr>
              <w:t>Revolving</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60" w:type="dxa"/>
            <w:vAlign w:val="bottom"/>
            <w:gridSpan w:val="10"/>
            <w:vMerge w:val="restart"/>
          </w:tcPr>
          <w:p>
            <w:pPr>
              <w:jc w:val="right"/>
              <w:ind w:right="351"/>
              <w:spacing w:after="0"/>
              <w:rPr>
                <w:sz w:val="20"/>
                <w:szCs w:val="20"/>
                <w:color w:val="auto"/>
              </w:rPr>
            </w:pPr>
            <w:r>
              <w:rPr>
                <w:rFonts w:ascii="Arial" w:cs="Arial" w:eastAsia="Arial" w:hAnsi="Arial"/>
                <w:sz w:val="14"/>
                <w:szCs w:val="14"/>
                <w:color w:val="auto"/>
                <w:w w:val="95"/>
              </w:rPr>
              <w:t>Term Loans Amortized Cost Basis by Origination Year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1"/>
              <w:spacing w:after="0"/>
              <w:rPr>
                <w:sz w:val="20"/>
                <w:szCs w:val="20"/>
                <w:color w:val="auto"/>
              </w:rPr>
            </w:pPr>
            <w:r>
              <w:rPr>
                <w:rFonts w:ascii="Arial" w:cs="Arial" w:eastAsia="Arial" w:hAnsi="Arial"/>
                <w:sz w:val="14"/>
                <w:szCs w:val="14"/>
                <w:color w:val="auto"/>
                <w:w w:val="89"/>
              </w:rPr>
              <w:t>Loans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60" w:type="dxa"/>
            <w:vAlign w:val="bottom"/>
            <w:gridSpan w:val="10"/>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center"/>
              <w:ind w:right="51"/>
              <w:spacing w:after="0" w:line="147" w:lineRule="exact"/>
              <w:rPr>
                <w:sz w:val="20"/>
                <w:szCs w:val="20"/>
                <w:color w:val="auto"/>
              </w:rPr>
            </w:pPr>
            <w:r>
              <w:rPr>
                <w:rFonts w:ascii="Arial" w:cs="Arial" w:eastAsia="Arial" w:hAnsi="Arial"/>
                <w:sz w:val="14"/>
                <w:szCs w:val="14"/>
                <w:color w:val="auto"/>
                <w:w w:val="91"/>
              </w:rPr>
              <w:t>Amortized</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3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51"/>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51"/>
              <w:spacing w:after="0"/>
              <w:rPr>
                <w:sz w:val="20"/>
                <w:szCs w:val="20"/>
                <w:color w:val="auto"/>
              </w:rPr>
            </w:pPr>
            <w:r>
              <w:rPr>
                <w:rFonts w:ascii="Arial" w:cs="Arial" w:eastAsia="Arial" w:hAnsi="Arial"/>
                <w:sz w:val="14"/>
                <w:szCs w:val="14"/>
                <w:color w:val="auto"/>
              </w:rPr>
              <w:t>2021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51"/>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31"/>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51"/>
              <w:spacing w:after="0"/>
              <w:rPr>
                <w:sz w:val="20"/>
                <w:szCs w:val="20"/>
                <w:color w:val="auto"/>
              </w:rPr>
            </w:pPr>
            <w:r>
              <w:rPr>
                <w:rFonts w:ascii="Arial" w:cs="Arial" w:eastAsia="Arial" w:hAnsi="Arial"/>
                <w:sz w:val="14"/>
                <w:szCs w:val="14"/>
                <w:color w:val="auto"/>
              </w:rPr>
              <w:t>Prior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51"/>
              <w:spacing w:after="0"/>
              <w:rPr>
                <w:sz w:val="20"/>
                <w:szCs w:val="20"/>
                <w:color w:val="auto"/>
              </w:rPr>
            </w:pPr>
            <w:r>
              <w:rPr>
                <w:rFonts w:ascii="Arial" w:cs="Arial" w:eastAsia="Arial" w:hAnsi="Arial"/>
                <w:sz w:val="14"/>
                <w:szCs w:val="14"/>
                <w:color w:val="auto"/>
                <w:w w:val="86"/>
              </w:rPr>
              <w:t>Cost Basis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1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
        </w:trPr>
        <w:tc>
          <w:tcPr>
            <w:tcW w:w="3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4"/>
          </w:tcPr>
          <w:p>
            <w:pPr>
              <w:jc w:val="right"/>
              <w:ind w:right="411"/>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80" w:type="dxa"/>
            <w:vAlign w:val="bottom"/>
          </w:tcPr>
          <w:p>
            <w:pPr>
              <w:ind w:left="20"/>
              <w:spacing w:after="0"/>
              <w:rPr>
                <w:sz w:val="20"/>
                <w:szCs w:val="20"/>
                <w:color w:val="auto"/>
              </w:rPr>
            </w:pPr>
            <w:r>
              <w:rPr>
                <w:rFonts w:ascii="Arial" w:cs="Arial" w:eastAsia="Arial" w:hAnsi="Arial"/>
                <w:sz w:val="14"/>
                <w:szCs w:val="14"/>
                <w:color w:val="auto"/>
              </w:rPr>
              <w:t>June 30, 2023</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280" w:type="dxa"/>
            <w:vAlign w:val="bottom"/>
          </w:tcPr>
          <w:p>
            <w:pPr>
              <w:ind w:left="180"/>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41,984</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161,339</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80,550</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49,596</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46,832</w:t>
            </w: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233,392</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722,938</w:t>
            </w:r>
          </w:p>
        </w:tc>
        <w:tc>
          <w:tcPr>
            <w:tcW w:w="0" w:type="dxa"/>
            <w:vAlign w:val="bottom"/>
          </w:tcPr>
          <w:p>
            <w:pPr>
              <w:spacing w:after="0"/>
              <w:rPr>
                <w:sz w:val="1"/>
                <w:szCs w:val="1"/>
                <w:color w:val="auto"/>
              </w:rPr>
            </w:pPr>
          </w:p>
        </w:tc>
      </w:tr>
      <w:tr>
        <w:trPr>
          <w:trHeight w:val="184"/>
        </w:trPr>
        <w:tc>
          <w:tcPr>
            <w:tcW w:w="3280" w:type="dxa"/>
            <w:vAlign w:val="bottom"/>
          </w:tcPr>
          <w:p>
            <w:pPr>
              <w:ind w:left="320"/>
              <w:spacing w:after="0"/>
              <w:rPr>
                <w:sz w:val="20"/>
                <w:szCs w:val="20"/>
                <w:color w:val="auto"/>
              </w:rPr>
            </w:pPr>
            <w:r>
              <w:rPr>
                <w:rFonts w:ascii="Arial" w:cs="Arial" w:eastAsia="Arial" w:hAnsi="Arial"/>
                <w:sz w:val="14"/>
                <w:szCs w:val="14"/>
                <w:color w:val="auto"/>
              </w:rPr>
              <w:t>Watch (7-8)</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18,708</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Substandard Accrual (9)</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3,979</w:t>
            </w:r>
          </w:p>
        </w:tc>
        <w:tc>
          <w:tcPr>
            <w:tcW w:w="0" w:type="dxa"/>
            <w:vAlign w:val="bottom"/>
          </w:tcPr>
          <w:p>
            <w:pPr>
              <w:spacing w:after="0"/>
              <w:rPr>
                <w:sz w:val="1"/>
                <w:szCs w:val="1"/>
                <w:color w:val="auto"/>
              </w:rPr>
            </w:pPr>
          </w:p>
        </w:tc>
      </w:tr>
      <w:tr>
        <w:trPr>
          <w:trHeight w:val="177"/>
        </w:trPr>
        <w:tc>
          <w:tcPr>
            <w:tcW w:w="3280" w:type="dxa"/>
            <w:vAlign w:val="bottom"/>
          </w:tcPr>
          <w:p>
            <w:pPr>
              <w:ind w:left="320"/>
              <w:spacing w:after="0"/>
              <w:rPr>
                <w:sz w:val="20"/>
                <w:szCs w:val="20"/>
                <w:color w:val="auto"/>
              </w:rPr>
            </w:pPr>
            <w:r>
              <w:rPr>
                <w:rFonts w:ascii="Arial" w:cs="Arial" w:eastAsia="Arial" w:hAnsi="Arial"/>
                <w:sz w:val="14"/>
                <w:szCs w:val="14"/>
                <w:color w:val="auto"/>
              </w:rPr>
              <w:t>Non-Accrual (10-11)</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9"/>
        </w:trPr>
        <w:tc>
          <w:tcPr>
            <w:tcW w:w="3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42,522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83,095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55,283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52,632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111,103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239,174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745,658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28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real estate</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80" w:type="dxa"/>
            <w:vAlign w:val="bottom"/>
          </w:tcPr>
          <w:p>
            <w:pPr>
              <w:ind w:left="320"/>
              <w:spacing w:after="0"/>
              <w:rPr>
                <w:sz w:val="20"/>
                <w:szCs w:val="20"/>
                <w:color w:val="auto"/>
              </w:rPr>
            </w:pPr>
            <w:r>
              <w:rPr>
                <w:rFonts w:ascii="Arial" w:cs="Arial" w:eastAsia="Arial" w:hAnsi="Arial"/>
                <w:sz w:val="14"/>
                <w:szCs w:val="14"/>
                <w:color w:val="auto"/>
              </w:rPr>
              <w:t>Non-watch (1-6)</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82,991</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177,367</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146,014</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30,902</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84,971</w:t>
            </w:r>
          </w:p>
        </w:tc>
        <w:tc>
          <w:tcPr>
            <w:tcW w:w="30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201,524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46,246</w:t>
            </w:r>
          </w:p>
        </w:tc>
        <w:tc>
          <w:tcPr>
            <w:tcW w:w="32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770,015</w:t>
            </w:r>
          </w:p>
        </w:tc>
        <w:tc>
          <w:tcPr>
            <w:tcW w:w="0" w:type="dxa"/>
            <w:vAlign w:val="bottom"/>
          </w:tcPr>
          <w:p>
            <w:pPr>
              <w:spacing w:after="0"/>
              <w:rPr>
                <w:sz w:val="1"/>
                <w:szCs w:val="1"/>
                <w:color w:val="auto"/>
              </w:rPr>
            </w:pPr>
          </w:p>
        </w:tc>
      </w:tr>
      <w:tr>
        <w:trPr>
          <w:trHeight w:val="190"/>
        </w:trPr>
        <w:tc>
          <w:tcPr>
            <w:tcW w:w="3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Watch (7-8)</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20,399</w:t>
            </w:r>
          </w:p>
        </w:tc>
        <w:tc>
          <w:tcPr>
            <w:tcW w:w="0" w:type="dxa"/>
            <w:vAlign w:val="bottom"/>
          </w:tcPr>
          <w:p>
            <w:pPr>
              <w:spacing w:after="0"/>
              <w:rPr>
                <w:sz w:val="1"/>
                <w:szCs w:val="1"/>
                <w:color w:val="auto"/>
              </w:rPr>
            </w:pPr>
          </w:p>
        </w:tc>
      </w:tr>
      <w:tr>
        <w:trPr>
          <w:trHeight w:val="184"/>
        </w:trPr>
        <w:tc>
          <w:tcPr>
            <w:tcW w:w="3280" w:type="dxa"/>
            <w:vAlign w:val="bottom"/>
          </w:tcPr>
          <w:p>
            <w:pPr>
              <w:ind w:left="320"/>
              <w:spacing w:after="0"/>
              <w:rPr>
                <w:sz w:val="20"/>
                <w:szCs w:val="20"/>
                <w:color w:val="auto"/>
              </w:rPr>
            </w:pPr>
            <w:r>
              <w:rPr>
                <w:rFonts w:ascii="Arial" w:cs="Arial" w:eastAsia="Arial" w:hAnsi="Arial"/>
                <w:sz w:val="14"/>
                <w:szCs w:val="14"/>
                <w:color w:val="auto"/>
              </w:rPr>
              <w:t>Substandard Accrual (9)</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2,090</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Non-Accrual (10-11)</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3280" w:type="dxa"/>
            <w:vAlign w:val="bottom"/>
          </w:tcPr>
          <w:p>
            <w:pPr>
              <w:ind w:left="48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82,991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178,646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161,158</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30,902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89,467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203,094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46,246</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792,504</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280" w:type="dxa"/>
            <w:vAlign w:val="bottom"/>
          </w:tcPr>
          <w:p>
            <w:pPr>
              <w:ind w:left="20"/>
              <w:spacing w:after="0"/>
              <w:rPr>
                <w:sz w:val="20"/>
                <w:szCs w:val="20"/>
                <w:color w:val="auto"/>
              </w:rPr>
            </w:pPr>
            <w:r>
              <w:rPr>
                <w:rFonts w:ascii="Arial" w:cs="Arial" w:eastAsia="Arial" w:hAnsi="Arial"/>
                <w:sz w:val="14"/>
                <w:szCs w:val="14"/>
                <w:color w:val="auto"/>
              </w:rPr>
              <w:t>Current period gross charge-offs</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280" w:type="dxa"/>
            <w:vAlign w:val="bottom"/>
          </w:tcPr>
          <w:p>
            <w:pPr>
              <w:ind w:left="180"/>
              <w:spacing w:after="0"/>
              <w:rPr>
                <w:sz w:val="20"/>
                <w:szCs w:val="20"/>
                <w:color w:val="auto"/>
              </w:rPr>
            </w:pPr>
            <w:r>
              <w:rPr>
                <w:rFonts w:ascii="Arial" w:cs="Arial" w:eastAsia="Arial" w:hAnsi="Arial"/>
                <w:sz w:val="14"/>
                <w:szCs w:val="14"/>
                <w:color w:val="auto"/>
              </w:rPr>
              <w:t>Total Commercial</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Non-watch (1-6)</w:t>
            </w: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124,975</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338,706</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226,564</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80,498</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131,803</w:t>
            </w: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310,769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279,638</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1,492,953</w:t>
            </w:r>
          </w:p>
        </w:tc>
        <w:tc>
          <w:tcPr>
            <w:tcW w:w="0" w:type="dxa"/>
            <w:vAlign w:val="bottom"/>
          </w:tcPr>
          <w:p>
            <w:pPr>
              <w:spacing w:after="0"/>
              <w:rPr>
                <w:sz w:val="1"/>
                <w:szCs w:val="1"/>
                <w:color w:val="auto"/>
              </w:rPr>
            </w:pPr>
          </w:p>
        </w:tc>
      </w:tr>
      <w:tr>
        <w:trPr>
          <w:trHeight w:val="184"/>
        </w:trPr>
        <w:tc>
          <w:tcPr>
            <w:tcW w:w="3280" w:type="dxa"/>
            <w:vAlign w:val="bottom"/>
          </w:tcPr>
          <w:p>
            <w:pPr>
              <w:ind w:left="320"/>
              <w:spacing w:after="0"/>
              <w:rPr>
                <w:sz w:val="20"/>
                <w:szCs w:val="20"/>
                <w:color w:val="auto"/>
              </w:rPr>
            </w:pPr>
            <w:r>
              <w:rPr>
                <w:rFonts w:ascii="Arial" w:cs="Arial" w:eastAsia="Arial" w:hAnsi="Arial"/>
                <w:sz w:val="14"/>
                <w:szCs w:val="14"/>
                <w:color w:val="auto"/>
              </w:rPr>
              <w:t>Watch (7-8)</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16,744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6,647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color w:val="auto"/>
              </w:rPr>
              <w:t>39,107</w:t>
            </w:r>
          </w:p>
        </w:tc>
        <w:tc>
          <w:tcPr>
            <w:tcW w:w="0" w:type="dxa"/>
            <w:vAlign w:val="bottom"/>
          </w:tcPr>
          <w:p>
            <w:pPr>
              <w:spacing w:after="0"/>
              <w:rPr>
                <w:sz w:val="1"/>
                <w:szCs w:val="1"/>
                <w:color w:val="auto"/>
              </w:rPr>
            </w:pPr>
          </w:p>
        </w:tc>
      </w:tr>
      <w:tr>
        <w:trPr>
          <w:trHeight w:val="190"/>
        </w:trPr>
        <w:tc>
          <w:tcPr>
            <w:tcW w:w="3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Substandard Accrual (9)</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6,069</w:t>
            </w:r>
          </w:p>
        </w:tc>
        <w:tc>
          <w:tcPr>
            <w:tcW w:w="0" w:type="dxa"/>
            <w:vAlign w:val="bottom"/>
          </w:tcPr>
          <w:p>
            <w:pPr>
              <w:spacing w:after="0"/>
              <w:rPr>
                <w:sz w:val="1"/>
                <w:szCs w:val="1"/>
                <w:color w:val="auto"/>
              </w:rPr>
            </w:pPr>
          </w:p>
        </w:tc>
      </w:tr>
      <w:tr>
        <w:trPr>
          <w:trHeight w:val="188"/>
        </w:trPr>
        <w:tc>
          <w:tcPr>
            <w:tcW w:w="32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Non-Accrual (10-11)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17"/>
        </w:trPr>
        <w:tc>
          <w:tcPr>
            <w:tcW w:w="3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340,495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244,253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142,099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314,197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285,420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1,538,162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80" w:type="dxa"/>
            <w:vAlign w:val="bottom"/>
          </w:tcPr>
          <w:p>
            <w:pPr>
              <w:ind w:left="20"/>
              <w:spacing w:after="0" w:line="152" w:lineRule="exact"/>
              <w:rPr>
                <w:sz w:val="20"/>
                <w:szCs w:val="20"/>
                <w:color w:val="auto"/>
              </w:rPr>
            </w:pPr>
            <w:r>
              <w:rPr>
                <w:rFonts w:ascii="Arial" w:cs="Arial" w:eastAsia="Arial" w:hAnsi="Arial"/>
                <w:sz w:val="14"/>
                <w:szCs w:val="14"/>
                <w:color w:val="auto"/>
              </w:rPr>
              <w:t>Accrued interest excluded from total</w:t>
            </w:r>
          </w:p>
        </w:tc>
        <w:tc>
          <w:tcPr>
            <w:tcW w:w="180" w:type="dxa"/>
            <w:vAlign w:val="bottom"/>
            <w:tcBorders>
              <w:top w:val="single" w:sz="8" w:color="auto"/>
              <w:bottom w:val="single" w:sz="8" w:color="auto"/>
            </w:tcBorders>
          </w:tcPr>
          <w:p>
            <w:pPr>
              <w:jc w:val="right"/>
              <w:ind w:right="3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130</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1,115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675</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31"/>
              <w:spacing w:after="0" w:line="15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243</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449</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31"/>
              <w:spacing w:after="0" w:line="15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1,052</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1,459</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1"/>
              <w:spacing w:after="0" w:line="15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1"/>
              <w:spacing w:after="0" w:line="152" w:lineRule="exact"/>
              <w:rPr>
                <w:sz w:val="20"/>
                <w:szCs w:val="20"/>
                <w:color w:val="auto"/>
              </w:rPr>
            </w:pPr>
            <w:r>
              <w:rPr>
                <w:rFonts w:ascii="Arial" w:cs="Arial" w:eastAsia="Arial" w:hAnsi="Arial"/>
                <w:sz w:val="14"/>
                <w:szCs w:val="14"/>
                <w:color w:val="auto"/>
              </w:rPr>
              <w:t>5,123</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gross charge-offs</w:t>
            </w: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3300" w:type="dxa"/>
        <w:tblCellMar>
          <w:top w:w="0" w:type="dxa"/>
          <w:left w:w="0" w:type="dxa"/>
          <w:bottom w:w="0" w:type="dxa"/>
          <w:right w:w="0" w:type="dxa"/>
        </w:tblCellMar>
      </w:tblPr>
      <w:tr>
        <w:trPr>
          <w:trHeight w:val="168"/>
        </w:trPr>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Revolving</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3960" w:type="dxa"/>
            <w:vAlign w:val="bottom"/>
            <w:gridSpan w:val="4"/>
            <w:vMerge w:val="restart"/>
          </w:tcPr>
          <w:p>
            <w:pPr>
              <w:jc w:val="right"/>
              <w:ind w:right="411"/>
              <w:spacing w:after="0"/>
              <w:rPr>
                <w:sz w:val="20"/>
                <w:szCs w:val="20"/>
                <w:color w:val="auto"/>
              </w:rPr>
            </w:pPr>
            <w:r>
              <w:rPr>
                <w:rFonts w:ascii="Arial" w:cs="Arial" w:eastAsia="Arial" w:hAnsi="Arial"/>
                <w:sz w:val="14"/>
                <w:szCs w:val="14"/>
                <w:color w:val="auto"/>
              </w:rPr>
              <w:t>Term Loans Amortized Cost Basis by Origination Year</w:t>
            </w:r>
          </w:p>
        </w:tc>
        <w:tc>
          <w:tcPr>
            <w:tcW w:w="9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83"/>
              </w:rPr>
              <w:t>Loans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40" w:type="dxa"/>
            <w:vAlign w:val="bottom"/>
            <w:tcBorders>
              <w:bottom w:val="single" w:sz="8" w:color="auto"/>
            </w:tcBorders>
          </w:tcPr>
          <w:p>
            <w:pPr>
              <w:spacing w:after="0"/>
              <w:rPr>
                <w:sz w:val="13"/>
                <w:szCs w:val="13"/>
                <w:color w:val="auto"/>
              </w:rPr>
            </w:pPr>
          </w:p>
        </w:tc>
        <w:tc>
          <w:tcPr>
            <w:tcW w:w="3960" w:type="dxa"/>
            <w:vAlign w:val="bottom"/>
            <w:tcBorders>
              <w:bottom w:val="single" w:sz="8" w:color="auto"/>
            </w:tcBorders>
            <w:gridSpan w:val="4"/>
            <w:vMerge w:val="continue"/>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Amortized</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940" w:type="dxa"/>
            <w:vAlign w:val="bottom"/>
          </w:tcPr>
          <w:p>
            <w:pPr>
              <w:jc w:val="right"/>
              <w:ind w:right="291"/>
              <w:spacing w:after="0"/>
              <w:rPr>
                <w:sz w:val="20"/>
                <w:szCs w:val="20"/>
                <w:color w:val="auto"/>
              </w:rPr>
            </w:pPr>
            <w:r>
              <w:rPr>
                <w:rFonts w:ascii="Arial" w:cs="Arial" w:eastAsia="Arial" w:hAnsi="Arial"/>
                <w:sz w:val="14"/>
                <w:szCs w:val="14"/>
                <w:color w:val="auto"/>
              </w:rPr>
              <w:t>2022</w:t>
            </w:r>
          </w:p>
        </w:tc>
        <w:tc>
          <w:tcPr>
            <w:tcW w:w="980" w:type="dxa"/>
            <w:vAlign w:val="bottom"/>
          </w:tcPr>
          <w:p>
            <w:pPr>
              <w:jc w:val="right"/>
              <w:ind w:right="291"/>
              <w:spacing w:after="0"/>
              <w:rPr>
                <w:sz w:val="20"/>
                <w:szCs w:val="20"/>
                <w:color w:val="auto"/>
              </w:rPr>
            </w:pPr>
            <w:r>
              <w:rPr>
                <w:rFonts w:ascii="Arial" w:cs="Arial" w:eastAsia="Arial" w:hAnsi="Arial"/>
                <w:sz w:val="14"/>
                <w:szCs w:val="14"/>
                <w:color w:val="auto"/>
              </w:rPr>
              <w:t>2021</w:t>
            </w:r>
          </w:p>
        </w:tc>
        <w:tc>
          <w:tcPr>
            <w:tcW w:w="1000" w:type="dxa"/>
            <w:vAlign w:val="bottom"/>
          </w:tcPr>
          <w:p>
            <w:pPr>
              <w:jc w:val="right"/>
              <w:ind w:right="291"/>
              <w:spacing w:after="0"/>
              <w:rPr>
                <w:sz w:val="20"/>
                <w:szCs w:val="20"/>
                <w:color w:val="auto"/>
              </w:rPr>
            </w:pPr>
            <w:r>
              <w:rPr>
                <w:rFonts w:ascii="Arial" w:cs="Arial" w:eastAsia="Arial" w:hAnsi="Arial"/>
                <w:sz w:val="14"/>
                <w:szCs w:val="14"/>
                <w:color w:val="auto"/>
              </w:rPr>
              <w:t>2020</w:t>
            </w:r>
          </w:p>
        </w:tc>
        <w:tc>
          <w:tcPr>
            <w:tcW w:w="980" w:type="dxa"/>
            <w:vAlign w:val="bottom"/>
          </w:tcPr>
          <w:p>
            <w:pPr>
              <w:jc w:val="right"/>
              <w:ind w:right="291"/>
              <w:spacing w:after="0"/>
              <w:rPr>
                <w:sz w:val="20"/>
                <w:szCs w:val="20"/>
                <w:color w:val="auto"/>
              </w:rPr>
            </w:pPr>
            <w:r>
              <w:rPr>
                <w:rFonts w:ascii="Arial" w:cs="Arial" w:eastAsia="Arial" w:hAnsi="Arial"/>
                <w:sz w:val="14"/>
                <w:szCs w:val="14"/>
                <w:color w:val="auto"/>
              </w:rPr>
              <w:t>2019</w:t>
            </w:r>
          </w:p>
        </w:tc>
        <w:tc>
          <w:tcPr>
            <w:tcW w:w="1000" w:type="dxa"/>
            <w:vAlign w:val="bottom"/>
          </w:tcPr>
          <w:p>
            <w:pPr>
              <w:jc w:val="right"/>
              <w:ind w:right="291"/>
              <w:spacing w:after="0"/>
              <w:rPr>
                <w:sz w:val="20"/>
                <w:szCs w:val="20"/>
                <w:color w:val="auto"/>
              </w:rPr>
            </w:pPr>
            <w:r>
              <w:rPr>
                <w:rFonts w:ascii="Arial" w:cs="Arial" w:eastAsia="Arial" w:hAnsi="Arial"/>
                <w:sz w:val="14"/>
                <w:szCs w:val="14"/>
                <w:color w:val="auto"/>
              </w:rPr>
              <w:t>2018</w:t>
            </w:r>
          </w:p>
        </w:tc>
        <w:tc>
          <w:tcPr>
            <w:tcW w:w="940" w:type="dxa"/>
            <w:vAlign w:val="bottom"/>
          </w:tcPr>
          <w:p>
            <w:pPr>
              <w:ind w:left="360"/>
              <w:spacing w:after="0"/>
              <w:rPr>
                <w:sz w:val="20"/>
                <w:szCs w:val="20"/>
                <w:color w:val="auto"/>
              </w:rPr>
            </w:pPr>
            <w:r>
              <w:rPr>
                <w:rFonts w:ascii="Arial" w:cs="Arial" w:eastAsia="Arial" w:hAnsi="Arial"/>
                <w:sz w:val="14"/>
                <w:szCs w:val="14"/>
                <w:color w:val="auto"/>
              </w:rPr>
              <w:t>Prior</w:t>
            </w:r>
          </w:p>
        </w:tc>
        <w:tc>
          <w:tcPr>
            <w:tcW w:w="1140" w:type="dxa"/>
            <w:vAlign w:val="bottom"/>
          </w:tcPr>
          <w:p>
            <w:pPr>
              <w:jc w:val="center"/>
              <w:spacing w:after="0"/>
              <w:rPr>
                <w:sz w:val="20"/>
                <w:szCs w:val="20"/>
                <w:color w:val="auto"/>
              </w:rPr>
            </w:pPr>
            <w:r>
              <w:rPr>
                <w:rFonts w:ascii="Arial" w:cs="Arial" w:eastAsia="Arial" w:hAnsi="Arial"/>
                <w:sz w:val="14"/>
                <w:szCs w:val="14"/>
                <w:color w:val="auto"/>
                <w:w w:val="89"/>
              </w:rPr>
              <w:t>Cost Basis</w:t>
            </w:r>
          </w:p>
        </w:tc>
        <w:tc>
          <w:tcPr>
            <w:tcW w:w="600" w:type="dxa"/>
            <w:vAlign w:val="bottom"/>
          </w:tcPr>
          <w:p>
            <w:pPr>
              <w:ind w:left="320"/>
              <w:spacing w:after="0"/>
              <w:rPr>
                <w:sz w:val="20"/>
                <w:szCs w:val="20"/>
                <w:color w:val="auto"/>
              </w:rPr>
            </w:pPr>
            <w:r>
              <w:rPr>
                <w:rFonts w:ascii="Arial" w:cs="Arial" w:eastAsia="Arial" w:hAnsi="Arial"/>
                <w:sz w:val="14"/>
                <w:szCs w:val="14"/>
                <w:color w:val="auto"/>
                <w:w w:val="83"/>
              </w:rPr>
              <w:t>Total</w:t>
            </w:r>
          </w:p>
        </w:tc>
        <w:tc>
          <w:tcPr>
            <w:tcW w:w="0" w:type="dxa"/>
            <w:vAlign w:val="bottom"/>
          </w:tcPr>
          <w:p>
            <w:pPr>
              <w:spacing w:after="0"/>
              <w:rPr>
                <w:sz w:val="1"/>
                <w:szCs w:val="1"/>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thousands)</w:t>
            </w:r>
          </w:p>
        </w:tc>
        <w:tc>
          <w:tcPr>
            <w:tcW w:w="4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19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2022</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77"/>
        </w:trPr>
        <w:tc>
          <w:tcPr>
            <w:tcW w:w="3300" w:type="dxa"/>
            <w:vAlign w:val="bottom"/>
          </w:tcPr>
          <w:p>
            <w:pPr>
              <w:ind w:left="18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6"/>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Non-watch (1-6)</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157,561</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89,251</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58,292</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45,792</w:t>
            </w:r>
          </w:p>
        </w:tc>
        <w:tc>
          <w:tcPr>
            <w:tcW w:w="520" w:type="dxa"/>
            <w:vAlign w:val="bottom"/>
            <w:gridSpan w:val="2"/>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88"/>
              </w:rPr>
              <w:t>30,715</w:t>
            </w:r>
          </w:p>
        </w:tc>
        <w:tc>
          <w:tcPr>
            <w:tcW w:w="32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95,908</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237,906</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715,425</w:t>
            </w:r>
          </w:p>
        </w:tc>
      </w:tr>
      <w:tr>
        <w:trPr>
          <w:trHeight w:val="184"/>
        </w:trPr>
        <w:tc>
          <w:tcPr>
            <w:tcW w:w="3300" w:type="dxa"/>
            <w:vAlign w:val="bottom"/>
          </w:tcPr>
          <w:p>
            <w:pPr>
              <w:ind w:left="320"/>
              <w:spacing w:after="0"/>
              <w:rPr>
                <w:sz w:val="20"/>
                <w:szCs w:val="20"/>
                <w:color w:val="auto"/>
              </w:rPr>
            </w:pPr>
            <w:r>
              <w:rPr>
                <w:rFonts w:ascii="Arial" w:cs="Arial" w:eastAsia="Arial" w:hAnsi="Arial"/>
                <w:sz w:val="14"/>
                <w:szCs w:val="14"/>
                <w:color w:val="auto"/>
              </w:rPr>
              <w:t>Watch (7-8)</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4,539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1,690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2,793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15,062</w:t>
            </w:r>
          </w:p>
        </w:tc>
      </w:tr>
      <w:tr>
        <w:trPr>
          <w:trHeight w:val="190"/>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Substandard Accrual (9)</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w:t>
            </w:r>
          </w:p>
        </w:tc>
      </w:tr>
      <w:tr>
        <w:trPr>
          <w:trHeight w:val="188"/>
        </w:trPr>
        <w:tc>
          <w:tcPr>
            <w:tcW w:w="3300" w:type="dxa"/>
            <w:vAlign w:val="bottom"/>
          </w:tcPr>
          <w:p>
            <w:pPr>
              <w:ind w:left="320"/>
              <w:spacing w:after="0"/>
              <w:rPr>
                <w:sz w:val="20"/>
                <w:szCs w:val="20"/>
                <w:color w:val="auto"/>
              </w:rPr>
            </w:pPr>
            <w:r>
              <w:rPr>
                <w:rFonts w:ascii="Arial" w:cs="Arial" w:eastAsia="Arial" w:hAnsi="Arial"/>
                <w:sz w:val="14"/>
                <w:szCs w:val="14"/>
                <w:color w:val="auto"/>
              </w:rPr>
              <w:t>Non-Accrual (10-11)</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212"/>
        </w:trPr>
        <w:tc>
          <w:tcPr>
            <w:tcW w:w="3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158,241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94,761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59,141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47,870</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88"/>
              </w:rPr>
              <w:t>30,929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100,822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240,699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732,463</w:t>
            </w:r>
          </w:p>
        </w:tc>
      </w:tr>
      <w:tr>
        <w:trPr>
          <w:trHeight w:val="20"/>
        </w:trPr>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52"/>
        </w:trPr>
        <w:tc>
          <w:tcPr>
            <w:tcW w:w="3300" w:type="dxa"/>
            <w:vAlign w:val="bottom"/>
          </w:tcPr>
          <w:p>
            <w:pPr>
              <w:ind w:left="20"/>
              <w:spacing w:after="0" w:line="152" w:lineRule="exact"/>
              <w:rPr>
                <w:sz w:val="20"/>
                <w:szCs w:val="20"/>
                <w:color w:val="auto"/>
              </w:rPr>
            </w:pPr>
            <w:r>
              <w:rPr>
                <w:rFonts w:ascii="Arial" w:cs="Arial" w:eastAsia="Arial" w:hAnsi="Arial"/>
                <w:sz w:val="14"/>
                <w:szCs w:val="14"/>
                <w:color w:val="auto"/>
              </w:rPr>
              <w:t>Accrued interest excluded from total</w:t>
            </w:r>
          </w:p>
        </w:tc>
        <w:tc>
          <w:tcPr>
            <w:tcW w:w="220" w:type="dxa"/>
            <w:vAlign w:val="bottom"/>
            <w:tcBorders>
              <w:top w:val="single" w:sz="8" w:color="auto"/>
              <w:bottom w:val="single" w:sz="8" w:color="auto"/>
            </w:tcBorders>
          </w:tcPr>
          <w:p>
            <w:pPr>
              <w:jc w:val="right"/>
              <w:ind w:right="71"/>
              <w:spacing w:after="0" w:line="15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238</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1"/>
              <w:spacing w:after="0" w:line="15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178</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1"/>
              <w:spacing w:after="0" w:line="15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146</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1"/>
              <w:spacing w:after="0" w:line="15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105</w:t>
            </w: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71"/>
              <w:spacing w:after="0" w:line="152"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11"/>
              <w:spacing w:after="0" w:line="152" w:lineRule="exact"/>
              <w:rPr>
                <w:sz w:val="20"/>
                <w:szCs w:val="20"/>
                <w:color w:val="auto"/>
              </w:rPr>
            </w:pPr>
            <w:r>
              <w:rPr>
                <w:rFonts w:ascii="Arial" w:cs="Arial" w:eastAsia="Arial" w:hAnsi="Arial"/>
                <w:sz w:val="14"/>
                <w:szCs w:val="14"/>
                <w:color w:val="auto"/>
              </w:rPr>
              <w:t>181</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1"/>
              <w:spacing w:after="0" w:line="15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308</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1"/>
              <w:spacing w:after="0" w:line="15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890</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91"/>
              <w:spacing w:after="0" w:line="15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2,046</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4"/>
        </w:trPr>
        <w:tc>
          <w:tcPr>
            <w:tcW w:w="3300" w:type="dxa"/>
            <w:vAlign w:val="bottom"/>
          </w:tcPr>
          <w:p>
            <w:pPr>
              <w:ind w:left="180"/>
              <w:spacing w:after="0"/>
              <w:rPr>
                <w:sz w:val="20"/>
                <w:szCs w:val="20"/>
                <w:color w:val="auto"/>
              </w:rPr>
            </w:pPr>
            <w:r>
              <w:rPr>
                <w:rFonts w:ascii="Arial" w:cs="Arial" w:eastAsia="Arial" w:hAnsi="Arial"/>
                <w:sz w:val="14"/>
                <w:szCs w:val="14"/>
                <w:color w:val="auto"/>
              </w:rPr>
              <w:t>Commercial real estate</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Non-watch (1-6)</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170,238</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154,918</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38,062</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97,762</w:t>
            </w:r>
          </w:p>
        </w:tc>
        <w:tc>
          <w:tcPr>
            <w:tcW w:w="520" w:type="dxa"/>
            <w:vAlign w:val="bottom"/>
            <w:gridSpan w:val="2"/>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88"/>
              </w:rPr>
              <w:t>56,580</w:t>
            </w:r>
          </w:p>
        </w:tc>
        <w:tc>
          <w:tcPr>
            <w:tcW w:w="32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159,514</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42,030</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719,104</w:t>
            </w:r>
          </w:p>
        </w:tc>
      </w:tr>
      <w:tr>
        <w:trPr>
          <w:trHeight w:val="177"/>
        </w:trPr>
        <w:tc>
          <w:tcPr>
            <w:tcW w:w="3300" w:type="dxa"/>
            <w:vAlign w:val="bottom"/>
          </w:tcPr>
          <w:p>
            <w:pPr>
              <w:ind w:left="320"/>
              <w:spacing w:after="0"/>
              <w:rPr>
                <w:sz w:val="20"/>
                <w:szCs w:val="20"/>
                <w:color w:val="auto"/>
              </w:rPr>
            </w:pPr>
            <w:r>
              <w:rPr>
                <w:rFonts w:ascii="Arial" w:cs="Arial" w:eastAsia="Arial" w:hAnsi="Arial"/>
                <w:sz w:val="14"/>
                <w:szCs w:val="14"/>
                <w:color w:val="auto"/>
              </w:rPr>
              <w:t>Watch (7-8)</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4,769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1,010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8,027</w:t>
            </w:r>
          </w:p>
        </w:tc>
      </w:tr>
      <w:tr>
        <w:trPr>
          <w:trHeight w:val="196"/>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Substandard Accrual (9)</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2,014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7,259</w:t>
            </w:r>
          </w:p>
        </w:tc>
      </w:tr>
      <w:tr>
        <w:trPr>
          <w:trHeight w:val="188"/>
        </w:trPr>
        <w:tc>
          <w:tcPr>
            <w:tcW w:w="330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Non-Accrual (10-11)</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3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170,238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155,100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38,375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102,712</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88"/>
              </w:rPr>
              <w:t>59,604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166,219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42,142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734,390</w:t>
            </w: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2,363</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4"/>
        </w:trPr>
        <w:tc>
          <w:tcPr>
            <w:tcW w:w="3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184"/>
        </w:trPr>
        <w:tc>
          <w:tcPr>
            <w:tcW w:w="3300" w:type="dxa"/>
            <w:vAlign w:val="bottom"/>
          </w:tcPr>
          <w:p>
            <w:pPr>
              <w:ind w:left="180"/>
              <w:spacing w:after="0"/>
              <w:rPr>
                <w:sz w:val="20"/>
                <w:szCs w:val="20"/>
                <w:color w:val="auto"/>
              </w:rPr>
            </w:pPr>
            <w:r>
              <w:rPr>
                <w:rFonts w:ascii="Arial" w:cs="Arial" w:eastAsia="Arial" w:hAnsi="Arial"/>
                <w:sz w:val="14"/>
                <w:szCs w:val="14"/>
                <w:color w:val="auto"/>
              </w:rPr>
              <w:t>Total Commercial</w:t>
            </w: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0"/>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Non-watch (1-6)</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327,799</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244,169</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96,354</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143,554</w:t>
            </w:r>
          </w:p>
        </w:tc>
        <w:tc>
          <w:tcPr>
            <w:tcW w:w="520" w:type="dxa"/>
            <w:vAlign w:val="bottom"/>
            <w:gridSpan w:val="2"/>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88"/>
              </w:rPr>
              <w:t>87,295</w:t>
            </w:r>
          </w:p>
        </w:tc>
        <w:tc>
          <w:tcPr>
            <w:tcW w:w="32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255,422</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279,936</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1,434,529</w:t>
            </w:r>
          </w:p>
        </w:tc>
      </w:tr>
      <w:tr>
        <w:trPr>
          <w:trHeight w:val="184"/>
        </w:trPr>
        <w:tc>
          <w:tcPr>
            <w:tcW w:w="3300" w:type="dxa"/>
            <w:vAlign w:val="bottom"/>
          </w:tcPr>
          <w:p>
            <w:pPr>
              <w:ind w:left="320"/>
              <w:spacing w:after="0"/>
              <w:rPr>
                <w:sz w:val="20"/>
                <w:szCs w:val="20"/>
                <w:color w:val="auto"/>
              </w:rPr>
            </w:pPr>
            <w:r>
              <w:rPr>
                <w:rFonts w:ascii="Arial" w:cs="Arial" w:eastAsia="Arial" w:hAnsi="Arial"/>
                <w:sz w:val="14"/>
                <w:szCs w:val="14"/>
                <w:color w:val="auto"/>
              </w:rPr>
              <w:t>Watch (7-8)</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6,459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jc w:val="right"/>
              <w:ind w:right="11"/>
              <w:spacing w:after="0"/>
              <w:rPr>
                <w:sz w:val="20"/>
                <w:szCs w:val="20"/>
                <w:color w:val="auto"/>
              </w:rPr>
            </w:pPr>
            <w:r>
              <w:rPr>
                <w:rFonts w:ascii="Arial" w:cs="Arial" w:eastAsia="Arial" w:hAnsi="Arial"/>
                <w:sz w:val="14"/>
                <w:szCs w:val="14"/>
                <w:color w:val="auto"/>
              </w:rPr>
              <w:t>1,115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2,905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23,089</w:t>
            </w:r>
          </w:p>
        </w:tc>
      </w:tr>
      <w:tr>
        <w:trPr>
          <w:trHeight w:val="203"/>
        </w:trPr>
        <w:tc>
          <w:tcPr>
            <w:tcW w:w="3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Substandard Accrual (9)</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2,123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w:t>
            </w:r>
          </w:p>
        </w:tc>
      </w:tr>
      <w:tr>
        <w:trPr>
          <w:trHeight w:val="177"/>
        </w:trPr>
        <w:tc>
          <w:tcPr>
            <w:tcW w:w="3300" w:type="dxa"/>
            <w:vAlign w:val="bottom"/>
          </w:tcPr>
          <w:p>
            <w:pPr>
              <w:ind w:left="320"/>
              <w:spacing w:after="0"/>
              <w:rPr>
                <w:sz w:val="20"/>
                <w:szCs w:val="20"/>
                <w:color w:val="auto"/>
              </w:rPr>
            </w:pPr>
            <w:r>
              <w:rPr>
                <w:rFonts w:ascii="Arial" w:cs="Arial" w:eastAsia="Arial" w:hAnsi="Arial"/>
                <w:sz w:val="14"/>
                <w:szCs w:val="14"/>
                <w:color w:val="auto"/>
              </w:rPr>
              <w:t>Non-Accrual (10-11)</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r>
      <w:tr>
        <w:trPr>
          <w:trHeight w:val="209"/>
        </w:trPr>
        <w:tc>
          <w:tcPr>
            <w:tcW w:w="33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328,479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249,861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97,516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150,582</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88"/>
              </w:rPr>
              <w:t>90,533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267,041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282,841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1,466,853</w:t>
            </w:r>
          </w:p>
        </w:tc>
      </w:tr>
      <w:tr>
        <w:trPr>
          <w:trHeight w:val="20"/>
        </w:trPr>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5"/>
        </w:trPr>
        <w:tc>
          <w:tcPr>
            <w:tcW w:w="330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847</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387</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4,409</w:t>
            </w:r>
          </w:p>
        </w:tc>
      </w:tr>
      <w:tr>
        <w:trPr>
          <w:trHeight w:val="20"/>
        </w:trPr>
        <w:tc>
          <w:tcPr>
            <w:tcW w:w="3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each of our mortgage and installment portfolio segment classes, we generally monitor credit quality based on the credit scores of the borrowers. These credit scores are generally updated semi-annually.</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tables summarize credit scores by loan class for our mortgage and installment loan portfolio segments at June 30, 2023 and December 31,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right"/>
              <w:ind w:right="271"/>
              <w:spacing w:after="0"/>
              <w:rPr>
                <w:sz w:val="20"/>
                <w:szCs w:val="20"/>
                <w:color w:val="auto"/>
              </w:rPr>
            </w:pPr>
            <w:r>
              <w:rPr>
                <w:rFonts w:ascii="Arial" w:cs="Arial" w:eastAsia="Arial" w:hAnsi="Arial"/>
                <w:sz w:val="14"/>
                <w:szCs w:val="14"/>
                <w:color w:val="auto"/>
              </w:rPr>
              <w:t>Mortgage (1)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132"/>
              <w:spacing w:after="0" w:line="129" w:lineRule="exact"/>
              <w:rPr>
                <w:sz w:val="20"/>
                <w:szCs w:val="20"/>
                <w:color w:val="auto"/>
              </w:rPr>
            </w:pPr>
            <w:r>
              <w:rPr>
                <w:rFonts w:ascii="Arial" w:cs="Arial" w:eastAsia="Arial" w:hAnsi="Arial"/>
                <w:sz w:val="14"/>
                <w:szCs w:val="14"/>
                <w:color w:val="auto"/>
                <w:w w:val="94"/>
              </w:rPr>
              <w:t>Revolving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60" w:type="dxa"/>
            <w:vAlign w:val="bottom"/>
            <w:gridSpan w:val="10"/>
            <w:vMerge w:val="restart"/>
          </w:tcPr>
          <w:p>
            <w:pPr>
              <w:jc w:val="right"/>
              <w:ind w:right="351"/>
              <w:spacing w:after="0"/>
              <w:rPr>
                <w:sz w:val="20"/>
                <w:szCs w:val="20"/>
                <w:color w:val="auto"/>
              </w:rPr>
            </w:pPr>
            <w:r>
              <w:rPr>
                <w:rFonts w:ascii="Arial" w:cs="Arial" w:eastAsia="Arial" w:hAnsi="Arial"/>
                <w:sz w:val="14"/>
                <w:szCs w:val="14"/>
                <w:color w:val="auto"/>
                <w:w w:val="95"/>
              </w:rPr>
              <w:t>Term Loans Amortized Cost Basis by Origination Year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32"/>
              <w:spacing w:after="0" w:line="142" w:lineRule="exact"/>
              <w:rPr>
                <w:sz w:val="20"/>
                <w:szCs w:val="20"/>
                <w:color w:val="auto"/>
              </w:rPr>
            </w:pPr>
            <w:r>
              <w:rPr>
                <w:rFonts w:ascii="Arial" w:cs="Arial" w:eastAsia="Arial" w:hAnsi="Arial"/>
                <w:sz w:val="14"/>
                <w:szCs w:val="14"/>
                <w:color w:val="auto"/>
                <w:w w:val="89"/>
              </w:rPr>
              <w:t>Loans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vMerge w:val="restart"/>
          </w:tcPr>
          <w:p>
            <w:pPr>
              <w:jc w:val="center"/>
              <w:ind w:right="132"/>
              <w:spacing w:after="0" w:line="114" w:lineRule="exact"/>
              <w:rPr>
                <w:sz w:val="20"/>
                <w:szCs w:val="20"/>
                <w:color w:val="auto"/>
              </w:rPr>
            </w:pPr>
            <w:r>
              <w:rPr>
                <w:rFonts w:ascii="Arial" w:cs="Arial" w:eastAsia="Arial" w:hAnsi="Arial"/>
                <w:sz w:val="13"/>
                <w:szCs w:val="13"/>
                <w:color w:val="auto"/>
                <w:w w:val="99"/>
              </w:rPr>
              <w:t>Amortized</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vMerge w:val="restart"/>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9"/>
        </w:trPr>
        <w:tc>
          <w:tcPr>
            <w:tcW w:w="2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86"/>
              </w:rPr>
              <w:t>Cost Basis</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right"/>
              <w:ind w:right="251"/>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20"/>
              <w:spacing w:after="0"/>
              <w:rPr>
                <w:sz w:val="20"/>
                <w:szCs w:val="20"/>
                <w:color w:val="auto"/>
              </w:rPr>
            </w:pPr>
            <w:r>
              <w:rPr>
                <w:rFonts w:ascii="Arial" w:cs="Arial" w:eastAsia="Arial" w:hAnsi="Arial"/>
                <w:sz w:val="14"/>
                <w:szCs w:val="14"/>
                <w:color w:val="auto"/>
              </w:rPr>
              <w:t>June 30, 2023</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60" w:type="dxa"/>
            <w:vAlign w:val="bottom"/>
          </w:tcPr>
          <w:p>
            <w:pPr>
              <w:ind w:left="180"/>
              <w:spacing w:after="0"/>
              <w:rPr>
                <w:sz w:val="20"/>
                <w:szCs w:val="20"/>
                <w:color w:val="auto"/>
              </w:rPr>
            </w:pPr>
            <w:r>
              <w:rPr>
                <w:rFonts w:ascii="Arial" w:cs="Arial" w:eastAsia="Arial" w:hAnsi="Arial"/>
                <w:sz w:val="14"/>
                <w:szCs w:val="14"/>
                <w:color w:val="auto"/>
              </w:rPr>
              <w:t>1-4 family owner occupied - jumbo</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23,390</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57,622</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18,549</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4,628</w:t>
            </w: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5,526</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113,470</w:t>
            </w: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23,422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117,180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203,566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65,298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20,739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450,536</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70,232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175,527</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11,885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20,351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53,148</w:t>
            </w: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3,018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15,603</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499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1,582</w:t>
            </w: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553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2,721</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960" w:type="dxa"/>
            <w:vAlign w:val="bottom"/>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38,347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202,857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355,841</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123,723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40,594</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48,693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812,587</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771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2,093</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right"/>
              <w:ind w:right="311"/>
              <w:spacing w:after="0"/>
              <w:rPr>
                <w:sz w:val="20"/>
                <w:szCs w:val="20"/>
                <w:color w:val="auto"/>
              </w:rPr>
            </w:pPr>
            <w:r>
              <w:rPr>
                <w:rFonts w:ascii="Arial" w:cs="Arial" w:eastAsia="Arial" w:hAnsi="Arial"/>
                <w:sz w:val="14"/>
                <w:szCs w:val="14"/>
                <w:color w:val="auto"/>
              </w:rPr>
              <w:t>Mortgage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51"/>
              <w:spacing w:after="0" w:line="129" w:lineRule="exact"/>
              <w:rPr>
                <w:sz w:val="20"/>
                <w:szCs w:val="20"/>
                <w:color w:val="auto"/>
              </w:rPr>
            </w:pPr>
            <w:r>
              <w:rPr>
                <w:rFonts w:ascii="Arial" w:cs="Arial" w:eastAsia="Arial" w:hAnsi="Arial"/>
                <w:sz w:val="14"/>
                <w:szCs w:val="14"/>
                <w:color w:val="auto"/>
                <w:w w:val="94"/>
              </w:rPr>
              <w:t>Revolving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60" w:type="dxa"/>
            <w:vAlign w:val="bottom"/>
            <w:gridSpan w:val="10"/>
            <w:vMerge w:val="restart"/>
          </w:tcPr>
          <w:p>
            <w:pPr>
              <w:jc w:val="right"/>
              <w:ind w:right="351"/>
              <w:spacing w:after="0"/>
              <w:rPr>
                <w:sz w:val="20"/>
                <w:szCs w:val="20"/>
                <w:color w:val="auto"/>
              </w:rPr>
            </w:pPr>
            <w:r>
              <w:rPr>
                <w:rFonts w:ascii="Arial" w:cs="Arial" w:eastAsia="Arial" w:hAnsi="Arial"/>
                <w:sz w:val="14"/>
                <w:szCs w:val="14"/>
                <w:color w:val="auto"/>
                <w:w w:val="95"/>
              </w:rPr>
              <w:t>Term Loans Amortized Cost Basis by Origination Year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51"/>
              <w:spacing w:after="0" w:line="142" w:lineRule="exact"/>
              <w:rPr>
                <w:sz w:val="20"/>
                <w:szCs w:val="20"/>
                <w:color w:val="auto"/>
              </w:rPr>
            </w:pPr>
            <w:r>
              <w:rPr>
                <w:rFonts w:ascii="Arial" w:cs="Arial" w:eastAsia="Arial" w:hAnsi="Arial"/>
                <w:sz w:val="14"/>
                <w:szCs w:val="14"/>
                <w:color w:val="auto"/>
                <w:w w:val="89"/>
              </w:rPr>
              <w:t>Loans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3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vMerge w:val="restart"/>
          </w:tcPr>
          <w:p>
            <w:pPr>
              <w:jc w:val="center"/>
              <w:ind w:right="151"/>
              <w:spacing w:after="0" w:line="114" w:lineRule="exact"/>
              <w:rPr>
                <w:sz w:val="20"/>
                <w:szCs w:val="20"/>
                <w:color w:val="auto"/>
              </w:rPr>
            </w:pPr>
            <w:r>
              <w:rPr>
                <w:rFonts w:ascii="Arial" w:cs="Arial" w:eastAsia="Arial" w:hAnsi="Arial"/>
                <w:sz w:val="13"/>
                <w:szCs w:val="13"/>
                <w:color w:val="auto"/>
                <w:w w:val="99"/>
              </w:rPr>
              <w:t>Amortized</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vMerge w:val="restart"/>
          </w:tcPr>
          <w:p>
            <w:pPr>
              <w:jc w:val="right"/>
              <w:ind w:right="23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9"/>
        </w:trPr>
        <w:tc>
          <w:tcPr>
            <w:tcW w:w="3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Prior</w:t>
            </w: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color w:val="auto"/>
                <w:w w:val="86"/>
              </w:rPr>
              <w:t>Cost Basis</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right"/>
              <w:ind w:right="291"/>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020" w:type="dxa"/>
            <w:vAlign w:val="bottom"/>
          </w:tcPr>
          <w:p>
            <w:pPr>
              <w:ind w:left="20"/>
              <w:spacing w:after="0"/>
              <w:rPr>
                <w:sz w:val="20"/>
                <w:szCs w:val="20"/>
                <w:color w:val="auto"/>
              </w:rPr>
            </w:pPr>
            <w:r>
              <w:rPr>
                <w:rFonts w:ascii="Arial" w:cs="Arial" w:eastAsia="Arial" w:hAnsi="Arial"/>
                <w:sz w:val="14"/>
                <w:szCs w:val="14"/>
                <w:color w:val="auto"/>
              </w:rPr>
              <w:t>June 30, 2023 -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1-4 family owner occupied - non-jumbo</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2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3,025</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4,656</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9,780</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4,799</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2,906</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9,256</w:t>
            </w:r>
          </w:p>
        </w:tc>
        <w:tc>
          <w:tcPr>
            <w:tcW w:w="30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3,692</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38,114</w:t>
            </w:r>
          </w:p>
        </w:tc>
        <w:tc>
          <w:tcPr>
            <w:tcW w:w="0" w:type="dxa"/>
            <w:vAlign w:val="bottom"/>
          </w:tcPr>
          <w:p>
            <w:pPr>
              <w:spacing w:after="0"/>
              <w:rPr>
                <w:sz w:val="1"/>
                <w:szCs w:val="1"/>
                <w:color w:val="auto"/>
              </w:rPr>
            </w:pPr>
          </w:p>
        </w:tc>
      </w:tr>
      <w:tr>
        <w:trPr>
          <w:trHeight w:val="190"/>
        </w:trPr>
        <w:tc>
          <w:tcPr>
            <w:tcW w:w="3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18,943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8,768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115,594</w:t>
            </w:r>
          </w:p>
        </w:tc>
        <w:tc>
          <w:tcPr>
            <w:tcW w:w="0" w:type="dxa"/>
            <w:vAlign w:val="bottom"/>
          </w:tcPr>
          <w:p>
            <w:pPr>
              <w:spacing w:after="0"/>
              <w:rPr>
                <w:sz w:val="1"/>
                <w:szCs w:val="1"/>
                <w:color w:val="auto"/>
              </w:rPr>
            </w:pPr>
          </w:p>
        </w:tc>
      </w:tr>
      <w:tr>
        <w:trPr>
          <w:trHeight w:val="184"/>
        </w:trPr>
        <w:tc>
          <w:tcPr>
            <w:tcW w:w="3020" w:type="dxa"/>
            <w:vAlign w:val="bottom"/>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24,688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24,168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3,647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78,742</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12,936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1,284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38,387</w:t>
            </w:r>
          </w:p>
        </w:tc>
        <w:tc>
          <w:tcPr>
            <w:tcW w:w="0" w:type="dxa"/>
            <w:vAlign w:val="bottom"/>
          </w:tcPr>
          <w:p>
            <w:pPr>
              <w:spacing w:after="0"/>
              <w:rPr>
                <w:sz w:val="1"/>
                <w:szCs w:val="1"/>
                <w:color w:val="auto"/>
              </w:rPr>
            </w:pPr>
          </w:p>
        </w:tc>
      </w:tr>
      <w:tr>
        <w:trPr>
          <w:trHeight w:val="177"/>
        </w:trPr>
        <w:tc>
          <w:tcPr>
            <w:tcW w:w="3020" w:type="dxa"/>
            <w:vAlign w:val="bottom"/>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8,728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12,637</w:t>
            </w: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4,891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7,911</w:t>
            </w:r>
          </w:p>
        </w:tc>
        <w:tc>
          <w:tcPr>
            <w:tcW w:w="0" w:type="dxa"/>
            <w:vAlign w:val="bottom"/>
          </w:tcPr>
          <w:p>
            <w:pPr>
              <w:spacing w:after="0"/>
              <w:rPr>
                <w:sz w:val="1"/>
                <w:szCs w:val="1"/>
                <w:color w:val="auto"/>
              </w:rPr>
            </w:pPr>
          </w:p>
        </w:tc>
      </w:tr>
      <w:tr>
        <w:trPr>
          <w:trHeight w:val="184"/>
        </w:trPr>
        <w:tc>
          <w:tcPr>
            <w:tcW w:w="3020" w:type="dxa"/>
            <w:vAlign w:val="bottom"/>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2,902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5,475</w:t>
            </w:r>
          </w:p>
        </w:tc>
        <w:tc>
          <w:tcPr>
            <w:tcW w:w="0" w:type="dxa"/>
            <w:vAlign w:val="bottom"/>
          </w:tcPr>
          <w:p>
            <w:pPr>
              <w:spacing w:after="0"/>
              <w:rPr>
                <w:sz w:val="1"/>
                <w:szCs w:val="1"/>
                <w:color w:val="auto"/>
              </w:rPr>
            </w:pPr>
          </w:p>
        </w:tc>
      </w:tr>
      <w:tr>
        <w:trPr>
          <w:trHeight w:val="190"/>
        </w:trPr>
        <w:tc>
          <w:tcPr>
            <w:tcW w:w="3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1,439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188"/>
        </w:trPr>
        <w:tc>
          <w:tcPr>
            <w:tcW w:w="30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3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20,887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74,803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83,263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17,621</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299,418</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020" w:type="dxa"/>
            <w:vAlign w:val="bottom"/>
          </w:tcPr>
          <w:p>
            <w:pPr>
              <w:ind w:left="20"/>
              <w:spacing w:after="0" w:line="152" w:lineRule="exact"/>
              <w:rPr>
                <w:sz w:val="20"/>
                <w:szCs w:val="20"/>
                <w:color w:val="auto"/>
              </w:rPr>
            </w:pPr>
            <w:r>
              <w:rPr>
                <w:rFonts w:ascii="Arial" w:cs="Arial" w:eastAsia="Arial" w:hAnsi="Arial"/>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71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223</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84</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47</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11"/>
              <w:spacing w:after="0" w:line="152" w:lineRule="exact"/>
              <w:rPr>
                <w:sz w:val="20"/>
                <w:szCs w:val="20"/>
                <w:color w:val="auto"/>
              </w:rPr>
            </w:pPr>
            <w:r>
              <w:rPr>
                <w:rFonts w:ascii="Arial" w:cs="Arial" w:eastAsia="Arial" w:hAnsi="Arial"/>
                <w:sz w:val="14"/>
                <w:szCs w:val="14"/>
                <w:color w:val="auto"/>
              </w:rPr>
              <w:t>292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1"/>
              <w:spacing w:after="0" w:line="15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1"/>
              <w:spacing w:after="0" w:line="152" w:lineRule="exact"/>
              <w:rPr>
                <w:sz w:val="20"/>
                <w:szCs w:val="20"/>
                <w:color w:val="auto"/>
              </w:rPr>
            </w:pPr>
            <w:r>
              <w:rPr>
                <w:rFonts w:ascii="Arial" w:cs="Arial" w:eastAsia="Arial" w:hAnsi="Arial"/>
                <w:sz w:val="14"/>
                <w:szCs w:val="14"/>
                <w:color w:val="auto"/>
              </w:rPr>
              <w:t>130</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31"/>
              <w:spacing w:after="0" w:line="15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962</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3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1-4 family non-owner occupied</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2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2,809</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2,388</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13,579</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3,126</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3,453</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7,074</w:t>
            </w:r>
          </w:p>
        </w:tc>
        <w:tc>
          <w:tcPr>
            <w:tcW w:w="30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1,513</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33,942</w:t>
            </w:r>
          </w:p>
        </w:tc>
        <w:tc>
          <w:tcPr>
            <w:tcW w:w="0" w:type="dxa"/>
            <w:vAlign w:val="bottom"/>
          </w:tcPr>
          <w:p>
            <w:pPr>
              <w:spacing w:after="0"/>
              <w:rPr>
                <w:sz w:val="1"/>
                <w:szCs w:val="1"/>
                <w:color w:val="auto"/>
              </w:rPr>
            </w:pPr>
          </w:p>
        </w:tc>
      </w:tr>
      <w:tr>
        <w:trPr>
          <w:trHeight w:val="190"/>
        </w:trPr>
        <w:tc>
          <w:tcPr>
            <w:tcW w:w="3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14,138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3,156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95,067</w:t>
            </w:r>
          </w:p>
        </w:tc>
        <w:tc>
          <w:tcPr>
            <w:tcW w:w="0" w:type="dxa"/>
            <w:vAlign w:val="bottom"/>
          </w:tcPr>
          <w:p>
            <w:pPr>
              <w:spacing w:after="0"/>
              <w:rPr>
                <w:sz w:val="1"/>
                <w:szCs w:val="1"/>
                <w:color w:val="auto"/>
              </w:rPr>
            </w:pPr>
          </w:p>
        </w:tc>
      </w:tr>
      <w:tr>
        <w:trPr>
          <w:trHeight w:val="184"/>
        </w:trPr>
        <w:tc>
          <w:tcPr>
            <w:tcW w:w="3020" w:type="dxa"/>
            <w:vAlign w:val="bottom"/>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6,952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2,127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35,992</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3,693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11,367</w:t>
            </w:r>
          </w:p>
        </w:tc>
        <w:tc>
          <w:tcPr>
            <w:tcW w:w="0" w:type="dxa"/>
            <w:vAlign w:val="bottom"/>
          </w:tcPr>
          <w:p>
            <w:pPr>
              <w:spacing w:after="0"/>
              <w:rPr>
                <w:sz w:val="1"/>
                <w:szCs w:val="1"/>
                <w:color w:val="auto"/>
              </w:rPr>
            </w:pPr>
          </w:p>
        </w:tc>
      </w:tr>
      <w:tr>
        <w:trPr>
          <w:trHeight w:val="177"/>
        </w:trPr>
        <w:tc>
          <w:tcPr>
            <w:tcW w:w="3020" w:type="dxa"/>
            <w:vAlign w:val="bottom"/>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1,763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2,410</w:t>
            </w: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1,013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184"/>
        </w:trPr>
        <w:tc>
          <w:tcPr>
            <w:tcW w:w="3020" w:type="dxa"/>
            <w:vAlign w:val="bottom"/>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90"/>
        </w:trPr>
        <w:tc>
          <w:tcPr>
            <w:tcW w:w="3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88"/>
        </w:trPr>
        <w:tc>
          <w:tcPr>
            <w:tcW w:w="3020" w:type="dxa"/>
            <w:vAlign w:val="bottom"/>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31,451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58,541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35,052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7,628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180,937</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020" w:type="dxa"/>
            <w:vAlign w:val="bottom"/>
          </w:tcPr>
          <w:p>
            <w:pPr>
              <w:ind w:left="20"/>
              <w:spacing w:after="0" w:line="152" w:lineRule="exact"/>
              <w:rPr>
                <w:sz w:val="20"/>
                <w:szCs w:val="20"/>
                <w:color w:val="auto"/>
              </w:rPr>
            </w:pPr>
            <w:r>
              <w:rPr>
                <w:rFonts w:ascii="Arial" w:cs="Arial" w:eastAsia="Arial" w:hAnsi="Arial"/>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161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65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11"/>
              <w:spacing w:after="0" w:line="152" w:lineRule="exact"/>
              <w:rPr>
                <w:sz w:val="20"/>
                <w:szCs w:val="20"/>
                <w:color w:val="auto"/>
              </w:rPr>
            </w:pPr>
            <w:r>
              <w:rPr>
                <w:rFonts w:ascii="Arial" w:cs="Arial" w:eastAsia="Arial" w:hAnsi="Arial"/>
                <w:sz w:val="14"/>
                <w:szCs w:val="14"/>
                <w:color w:val="auto"/>
              </w:rPr>
              <w:t>137</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1"/>
              <w:spacing w:after="0" w:line="152"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1"/>
              <w:spacing w:after="0" w:line="152"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31"/>
              <w:spacing w:after="0" w:line="15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1-4 family - 2nd lien</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2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142</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78</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541</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644</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187</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1,425</w:t>
            </w:r>
          </w:p>
        </w:tc>
        <w:tc>
          <w:tcPr>
            <w:tcW w:w="30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10,075</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13,092</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3,506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36,268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50,121</w:t>
            </w:r>
          </w:p>
        </w:tc>
        <w:tc>
          <w:tcPr>
            <w:tcW w:w="0" w:type="dxa"/>
            <w:vAlign w:val="bottom"/>
          </w:tcPr>
          <w:p>
            <w:pPr>
              <w:spacing w:after="0"/>
              <w:rPr>
                <w:sz w:val="1"/>
                <w:szCs w:val="1"/>
                <w:color w:val="auto"/>
              </w:rPr>
            </w:pPr>
          </w:p>
        </w:tc>
      </w:tr>
      <w:tr>
        <w:trPr>
          <w:trHeight w:val="177"/>
        </w:trPr>
        <w:tc>
          <w:tcPr>
            <w:tcW w:w="3020" w:type="dxa"/>
            <w:vAlign w:val="bottom"/>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2,619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23,558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31,198</w:t>
            </w: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1,702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7,972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11,017</w:t>
            </w:r>
          </w:p>
        </w:tc>
        <w:tc>
          <w:tcPr>
            <w:tcW w:w="0" w:type="dxa"/>
            <w:vAlign w:val="bottom"/>
          </w:tcPr>
          <w:p>
            <w:pPr>
              <w:spacing w:after="0"/>
              <w:rPr>
                <w:sz w:val="1"/>
                <w:szCs w:val="1"/>
                <w:color w:val="auto"/>
              </w:rPr>
            </w:pPr>
          </w:p>
        </w:tc>
      </w:tr>
      <w:tr>
        <w:trPr>
          <w:trHeight w:val="184"/>
        </w:trPr>
        <w:tc>
          <w:tcPr>
            <w:tcW w:w="3020" w:type="dxa"/>
            <w:vAlign w:val="bottom"/>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952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2,030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3,330</w:t>
            </w:r>
          </w:p>
        </w:tc>
        <w:tc>
          <w:tcPr>
            <w:tcW w:w="0" w:type="dxa"/>
            <w:vAlign w:val="bottom"/>
          </w:tcPr>
          <w:p>
            <w:pPr>
              <w:spacing w:after="0"/>
              <w:rPr>
                <w:sz w:val="1"/>
                <w:szCs w:val="1"/>
                <w:color w:val="auto"/>
              </w:rPr>
            </w:pPr>
          </w:p>
        </w:tc>
      </w:tr>
      <w:tr>
        <w:trPr>
          <w:trHeight w:val="190"/>
        </w:trPr>
        <w:tc>
          <w:tcPr>
            <w:tcW w:w="3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84"/>
        </w:trPr>
        <w:tc>
          <w:tcPr>
            <w:tcW w:w="3020" w:type="dxa"/>
            <w:vAlign w:val="bottom"/>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11"/>
              <w:spacing w:after="0"/>
              <w:rPr>
                <w:sz w:val="20"/>
                <w:szCs w:val="20"/>
                <w:color w:val="auto"/>
              </w:rPr>
            </w:pPr>
            <w:r>
              <w:rPr>
                <w:rFonts w:ascii="Arial" w:cs="Arial" w:eastAsia="Arial" w:hAnsi="Arial"/>
                <w:sz w:val="14"/>
                <w:szCs w:val="14"/>
                <w:color w:val="auto"/>
              </w:rPr>
              <w:t>296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77"/>
        </w:trPr>
        <w:tc>
          <w:tcPr>
            <w:tcW w:w="3020" w:type="dxa"/>
            <w:vAlign w:val="bottom"/>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10,918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80,546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110,286</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02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622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color w:val="auto"/>
              </w:rPr>
              <w:t>Mortgage - continued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151"/>
              <w:spacing w:after="0" w:line="129" w:lineRule="exact"/>
              <w:rPr>
                <w:sz w:val="20"/>
                <w:szCs w:val="20"/>
                <w:color w:val="auto"/>
              </w:rPr>
            </w:pPr>
            <w:r>
              <w:rPr>
                <w:rFonts w:ascii="Arial" w:cs="Arial" w:eastAsia="Arial" w:hAnsi="Arial"/>
                <w:sz w:val="14"/>
                <w:szCs w:val="14"/>
                <w:color w:val="auto"/>
                <w:w w:val="91"/>
              </w:rPr>
              <w:t>Revolving</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60" w:type="dxa"/>
            <w:vAlign w:val="bottom"/>
            <w:gridSpan w:val="10"/>
            <w:vMerge w:val="restart"/>
          </w:tcPr>
          <w:p>
            <w:pPr>
              <w:jc w:val="right"/>
              <w:ind w:right="351"/>
              <w:spacing w:after="0"/>
              <w:rPr>
                <w:sz w:val="20"/>
                <w:szCs w:val="20"/>
                <w:color w:val="auto"/>
              </w:rPr>
            </w:pPr>
            <w:r>
              <w:rPr>
                <w:rFonts w:ascii="Arial" w:cs="Arial" w:eastAsia="Arial" w:hAnsi="Arial"/>
                <w:sz w:val="14"/>
                <w:szCs w:val="14"/>
                <w:color w:val="auto"/>
                <w:w w:val="95"/>
              </w:rPr>
              <w:t>Term Loans Amortized Cost Basis by Origination Year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51"/>
              <w:spacing w:after="0" w:line="142" w:lineRule="exact"/>
              <w:rPr>
                <w:sz w:val="20"/>
                <w:szCs w:val="20"/>
                <w:color w:val="auto"/>
              </w:rPr>
            </w:pPr>
            <w:r>
              <w:rPr>
                <w:rFonts w:ascii="Arial" w:cs="Arial" w:eastAsia="Arial" w:hAnsi="Arial"/>
                <w:sz w:val="14"/>
                <w:szCs w:val="14"/>
                <w:color w:val="auto"/>
                <w:w w:val="83"/>
              </w:rPr>
              <w:t>Loans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vMerge w:val="restart"/>
          </w:tcPr>
          <w:p>
            <w:pPr>
              <w:jc w:val="center"/>
              <w:ind w:right="151"/>
              <w:spacing w:after="0" w:line="114" w:lineRule="exact"/>
              <w:rPr>
                <w:sz w:val="20"/>
                <w:szCs w:val="20"/>
                <w:color w:val="auto"/>
              </w:rPr>
            </w:pPr>
            <w:r>
              <w:rPr>
                <w:rFonts w:ascii="Arial" w:cs="Arial" w:eastAsia="Arial" w:hAnsi="Arial"/>
                <w:sz w:val="13"/>
                <w:szCs w:val="13"/>
                <w:color w:val="auto"/>
              </w:rPr>
              <w:t>Amortized</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vMerge w:val="restart"/>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9"/>
        </w:trPr>
        <w:tc>
          <w:tcPr>
            <w:tcW w:w="2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color w:val="auto"/>
                <w:w w:val="89"/>
              </w:rPr>
              <w:t>Cost Basis</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right"/>
              <w:ind w:right="251"/>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20"/>
              <w:spacing w:after="0"/>
              <w:rPr>
                <w:sz w:val="20"/>
                <w:szCs w:val="20"/>
                <w:color w:val="auto"/>
              </w:rPr>
            </w:pPr>
            <w:r>
              <w:rPr>
                <w:rFonts w:ascii="Arial" w:cs="Arial" w:eastAsia="Arial" w:hAnsi="Arial"/>
                <w:sz w:val="14"/>
                <w:szCs w:val="14"/>
                <w:color w:val="auto"/>
              </w:rPr>
              <w:t>June 30, 2023 -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60" w:type="dxa"/>
            <w:vAlign w:val="bottom"/>
          </w:tcPr>
          <w:p>
            <w:pPr>
              <w:ind w:left="180"/>
              <w:spacing w:after="0"/>
              <w:rPr>
                <w:sz w:val="20"/>
                <w:szCs w:val="20"/>
                <w:color w:val="auto"/>
              </w:rPr>
            </w:pPr>
            <w:r>
              <w:rPr>
                <w:rFonts w:ascii="Arial" w:cs="Arial" w:eastAsia="Arial" w:hAnsi="Arial"/>
                <w:sz w:val="14"/>
                <w:szCs w:val="14"/>
                <w:color w:val="auto"/>
              </w:rPr>
              <w:t>Resort lending</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6,314</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6,839</w:t>
            </w: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18,113</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7,974</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4,184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4,235</w:t>
            </w: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60" w:type="dxa"/>
            <w:vAlign w:val="bottom"/>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1,041</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33,426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38,170</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4"/>
                <w:szCs w:val="14"/>
                <w:color w:val="auto"/>
              </w:rPr>
              <w:t>Current period gross charge-offs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rPr>
                <w:sz w:val="20"/>
                <w:szCs w:val="20"/>
                <w:color w:val="auto"/>
              </w:rPr>
            </w:pPr>
            <w:r>
              <w:rPr>
                <w:rFonts w:ascii="Arial" w:cs="Arial" w:eastAsia="Arial" w:hAnsi="Arial"/>
                <w:sz w:val="14"/>
                <w:szCs w:val="14"/>
                <w:color w:val="auto"/>
              </w:rPr>
              <w:t>Total Mortgage</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9,731</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30,512</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82,047</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27,118</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11,174</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29,595</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15,280</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205,457</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40,805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173,235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265,833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96,460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32,966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70,904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49,228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729,431</w:t>
            </w: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79,972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35,697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329,433</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25,190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27,165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17,234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29,033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9,893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118,154</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34,437</w:t>
            </w: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1,325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6,485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12,071</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9,392</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3,023</w:t>
            </w:r>
          </w:p>
        </w:tc>
        <w:tc>
          <w:tcPr>
            <w:tcW w:w="0" w:type="dxa"/>
            <w:vAlign w:val="bottom"/>
          </w:tcPr>
          <w:p>
            <w:pPr>
              <w:spacing w:after="0"/>
              <w:rPr>
                <w:sz w:val="1"/>
                <w:szCs w:val="1"/>
                <w:color w:val="auto"/>
              </w:rPr>
            </w:pPr>
          </w:p>
        </w:tc>
      </w:tr>
      <w:tr>
        <w:trPr>
          <w:trHeight w:val="187"/>
        </w:trPr>
        <w:tc>
          <w:tcPr>
            <w:tcW w:w="2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74,658</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315,253</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474,024</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186,075</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71,709</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211,352</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108,327</w:t>
            </w:r>
          </w:p>
        </w:tc>
        <w:tc>
          <w:tcPr>
            <w:tcW w:w="32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1,441,398</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960" w:type="dxa"/>
            <w:vAlign w:val="bottom"/>
          </w:tcPr>
          <w:p>
            <w:pPr>
              <w:ind w:left="20"/>
              <w:spacing w:after="0" w:line="152" w:lineRule="exact"/>
              <w:rPr>
                <w:sz w:val="20"/>
                <w:szCs w:val="20"/>
                <w:color w:val="auto"/>
              </w:rPr>
            </w:pPr>
            <w:r>
              <w:rPr>
                <w:rFonts w:ascii="Arial" w:cs="Arial" w:eastAsia="Arial" w:hAnsi="Arial"/>
                <w:sz w:val="14"/>
                <w:szCs w:val="14"/>
                <w:color w:val="auto"/>
              </w:rPr>
              <w:t>Current period gross charge-offs</w:t>
            </w:r>
          </w:p>
        </w:tc>
        <w:tc>
          <w:tcPr>
            <w:tcW w:w="200" w:type="dxa"/>
            <w:vAlign w:val="bottom"/>
            <w:tcBorders>
              <w:top w:val="single" w:sz="8" w:color="auto"/>
              <w:bottom w:val="single" w:sz="8" w:color="auto"/>
            </w:tcBorders>
          </w:tcPr>
          <w:p>
            <w:pPr>
              <w:jc w:val="right"/>
              <w:ind w:right="31"/>
              <w:spacing w:after="0" w:line="15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31"/>
              <w:spacing w:after="0" w:line="15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31"/>
              <w:spacing w:after="0" w:line="15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1"/>
              <w:spacing w:after="0" w:line="15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71"/>
              <w:spacing w:after="0" w:line="15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32"/>
              <w:spacing w:after="0"/>
              <w:rPr>
                <w:sz w:val="20"/>
                <w:szCs w:val="20"/>
                <w:color w:val="auto"/>
              </w:rPr>
            </w:pPr>
            <w:r>
              <w:rPr>
                <w:rFonts w:ascii="Arial" w:cs="Arial" w:eastAsia="Arial" w:hAnsi="Arial"/>
                <w:sz w:val="14"/>
                <w:szCs w:val="14"/>
                <w:color w:val="auto"/>
                <w:w w:val="94"/>
              </w:rPr>
              <w:t>Revolving</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60" w:type="dxa"/>
            <w:vAlign w:val="bottom"/>
            <w:gridSpan w:val="10"/>
            <w:vMerge w:val="restart"/>
          </w:tcPr>
          <w:p>
            <w:pPr>
              <w:jc w:val="right"/>
              <w:ind w:right="351"/>
              <w:spacing w:after="0"/>
              <w:rPr>
                <w:sz w:val="20"/>
                <w:szCs w:val="20"/>
                <w:color w:val="auto"/>
              </w:rPr>
            </w:pPr>
            <w:r>
              <w:rPr>
                <w:rFonts w:ascii="Arial" w:cs="Arial" w:eastAsia="Arial" w:hAnsi="Arial"/>
                <w:sz w:val="14"/>
                <w:szCs w:val="14"/>
                <w:color w:val="auto"/>
                <w:w w:val="95"/>
              </w:rPr>
              <w:t>Term Loans Amortized Cost Basis by Origination Year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32"/>
              <w:spacing w:after="0" w:line="142" w:lineRule="exact"/>
              <w:rPr>
                <w:sz w:val="20"/>
                <w:szCs w:val="20"/>
                <w:color w:val="auto"/>
              </w:rPr>
            </w:pPr>
            <w:r>
              <w:rPr>
                <w:rFonts w:ascii="Arial" w:cs="Arial" w:eastAsia="Arial" w:hAnsi="Arial"/>
                <w:sz w:val="14"/>
                <w:szCs w:val="14"/>
                <w:color w:val="auto"/>
                <w:w w:val="89"/>
              </w:rPr>
              <w:t>Loans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vMerge w:val="restart"/>
          </w:tcPr>
          <w:p>
            <w:pPr>
              <w:jc w:val="center"/>
              <w:ind w:right="132"/>
              <w:spacing w:after="0" w:line="114" w:lineRule="exact"/>
              <w:rPr>
                <w:sz w:val="20"/>
                <w:szCs w:val="20"/>
                <w:color w:val="auto"/>
              </w:rPr>
            </w:pPr>
            <w:r>
              <w:rPr>
                <w:rFonts w:ascii="Arial" w:cs="Arial" w:eastAsia="Arial" w:hAnsi="Arial"/>
                <w:sz w:val="13"/>
                <w:szCs w:val="13"/>
                <w:color w:val="auto"/>
                <w:w w:val="99"/>
              </w:rPr>
              <w:t>Amortized</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vMerge w:val="restart"/>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9"/>
        </w:trPr>
        <w:tc>
          <w:tcPr>
            <w:tcW w:w="2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86"/>
              </w:rPr>
              <w:t>Cost Basis</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right"/>
              <w:ind w:right="251"/>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Arial" w:cs="Arial" w:eastAsia="Arial" w:hAnsi="Arial"/>
                <w:sz w:val="14"/>
                <w:szCs w:val="14"/>
                <w:color w:val="auto"/>
              </w:rPr>
              <w:t>December 31, 2022</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960" w:type="dxa"/>
            <w:vAlign w:val="bottom"/>
          </w:tcPr>
          <w:p>
            <w:pPr>
              <w:ind w:left="180"/>
              <w:spacing w:after="0"/>
              <w:rPr>
                <w:sz w:val="20"/>
                <w:szCs w:val="20"/>
                <w:color w:val="auto"/>
              </w:rPr>
            </w:pPr>
            <w:r>
              <w:rPr>
                <w:rFonts w:ascii="Arial" w:cs="Arial" w:eastAsia="Arial" w:hAnsi="Arial"/>
                <w:sz w:val="14"/>
                <w:szCs w:val="14"/>
                <w:color w:val="auto"/>
              </w:rPr>
              <w:t>1-4 family owner occupied - jumbo</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23,764</w:t>
            </w:r>
          </w:p>
        </w:tc>
        <w:tc>
          <w:tcPr>
            <w:tcW w:w="28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54,637</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16,848</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9,211</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w:t>
            </w:r>
          </w:p>
        </w:tc>
        <w:tc>
          <w:tcPr>
            <w:tcW w:w="30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6,946</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115,033</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97,269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189,653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71,555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16,140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393,219</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34,158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179,877</w:t>
            </w: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10,905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20,743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4,250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50,515</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1,712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10,135</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549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2,534</w:t>
            </w: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960" w:type="dxa"/>
            <w:vAlign w:val="bottom"/>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168,357</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359,013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129,415</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40,986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12,310</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38,797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3,685</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752,563</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506</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1-4 family owner occupied - non-jumbo</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8,894</w:t>
            </w:r>
          </w:p>
        </w:tc>
        <w:tc>
          <w:tcPr>
            <w:tcW w:w="28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10,498</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5,558</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3,220</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2,074</w:t>
            </w:r>
          </w:p>
        </w:tc>
        <w:tc>
          <w:tcPr>
            <w:tcW w:w="30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6,074</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1,680</w:t>
            </w:r>
          </w:p>
        </w:tc>
        <w:tc>
          <w:tcPr>
            <w:tcW w:w="32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37,998</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33,833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112,492</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17,629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7,626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22,506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3,509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71,997</w:t>
            </w: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7,983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32,924</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1,539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1,035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7,044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13,202</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8,079</w:t>
            </w: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tcPr>
          <w:p>
            <w:pPr>
              <w:spacing w:after="0"/>
              <w:rPr>
                <w:sz w:val="15"/>
                <w:szCs w:val="15"/>
                <w:color w:val="auto"/>
              </w:rPr>
            </w:pP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6,094</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186"/>
        </w:trPr>
        <w:tc>
          <w:tcPr>
            <w:tcW w:w="296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69,878</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56,896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33,325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19,157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14,658</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75,264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285,632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283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right"/>
              <w:spacing w:after="0"/>
              <w:rPr>
                <w:sz w:val="20"/>
                <w:szCs w:val="20"/>
                <w:color w:val="auto"/>
              </w:rPr>
            </w:pPr>
            <w:r>
              <w:rPr>
                <w:rFonts w:ascii="Arial" w:cs="Arial" w:eastAsia="Arial" w:hAnsi="Arial"/>
                <w:sz w:val="14"/>
                <w:szCs w:val="14"/>
                <w:color w:val="auto"/>
              </w:rPr>
              <w:t>Mortgage - continued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jc w:val="center"/>
              <w:ind w:right="151"/>
              <w:spacing w:after="0" w:line="129" w:lineRule="exact"/>
              <w:rPr>
                <w:sz w:val="20"/>
                <w:szCs w:val="20"/>
                <w:color w:val="auto"/>
              </w:rPr>
            </w:pPr>
            <w:r>
              <w:rPr>
                <w:rFonts w:ascii="Arial" w:cs="Arial" w:eastAsia="Arial" w:hAnsi="Arial"/>
                <w:sz w:val="14"/>
                <w:szCs w:val="14"/>
                <w:color w:val="auto"/>
                <w:w w:val="91"/>
              </w:rPr>
              <w:t>Revolving</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60" w:type="dxa"/>
            <w:vAlign w:val="bottom"/>
            <w:gridSpan w:val="10"/>
            <w:vMerge w:val="restart"/>
          </w:tcPr>
          <w:p>
            <w:pPr>
              <w:jc w:val="right"/>
              <w:ind w:right="351"/>
              <w:spacing w:after="0"/>
              <w:rPr>
                <w:sz w:val="20"/>
                <w:szCs w:val="20"/>
                <w:color w:val="auto"/>
              </w:rPr>
            </w:pPr>
            <w:r>
              <w:rPr>
                <w:rFonts w:ascii="Arial" w:cs="Arial" w:eastAsia="Arial" w:hAnsi="Arial"/>
                <w:sz w:val="14"/>
                <w:szCs w:val="14"/>
                <w:color w:val="auto"/>
                <w:w w:val="95"/>
              </w:rPr>
              <w:t>Term Loans Amortized Cost Basis by Origination Year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51"/>
              <w:spacing w:after="0" w:line="142" w:lineRule="exact"/>
              <w:rPr>
                <w:sz w:val="20"/>
                <w:szCs w:val="20"/>
                <w:color w:val="auto"/>
              </w:rPr>
            </w:pPr>
            <w:r>
              <w:rPr>
                <w:rFonts w:ascii="Arial" w:cs="Arial" w:eastAsia="Arial" w:hAnsi="Arial"/>
                <w:sz w:val="14"/>
                <w:szCs w:val="14"/>
                <w:color w:val="auto"/>
                <w:w w:val="83"/>
              </w:rPr>
              <w:t>Loans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60" w:type="dxa"/>
            <w:vAlign w:val="bottom"/>
            <w:gridSpan w:val="10"/>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vMerge w:val="restart"/>
          </w:tcPr>
          <w:p>
            <w:pPr>
              <w:jc w:val="center"/>
              <w:ind w:right="151"/>
              <w:spacing w:after="0" w:line="114" w:lineRule="exact"/>
              <w:rPr>
                <w:sz w:val="20"/>
                <w:szCs w:val="20"/>
                <w:color w:val="auto"/>
              </w:rPr>
            </w:pPr>
            <w:r>
              <w:rPr>
                <w:rFonts w:ascii="Arial" w:cs="Arial" w:eastAsia="Arial" w:hAnsi="Arial"/>
                <w:sz w:val="13"/>
                <w:szCs w:val="13"/>
                <w:color w:val="auto"/>
              </w:rPr>
              <w:t>Amortized</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vMerge w:val="restart"/>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9"/>
        </w:trPr>
        <w:tc>
          <w:tcPr>
            <w:tcW w:w="2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color w:val="auto"/>
                <w:w w:val="89"/>
              </w:rPr>
              <w:t>Cost Basis</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right"/>
              <w:ind w:right="251"/>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960" w:type="dxa"/>
            <w:vAlign w:val="bottom"/>
          </w:tcPr>
          <w:p>
            <w:pPr>
              <w:ind w:left="20"/>
              <w:spacing w:after="0"/>
              <w:rPr>
                <w:sz w:val="20"/>
                <w:szCs w:val="20"/>
                <w:color w:val="auto"/>
              </w:rPr>
            </w:pPr>
            <w:r>
              <w:rPr>
                <w:rFonts w:ascii="Arial" w:cs="Arial" w:eastAsia="Arial" w:hAnsi="Arial"/>
                <w:sz w:val="14"/>
                <w:szCs w:val="14"/>
                <w:color w:val="auto"/>
              </w:rPr>
              <w:t>December 31, 2022 - (continued)</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960" w:type="dxa"/>
            <w:vAlign w:val="bottom"/>
          </w:tcPr>
          <w:p>
            <w:pPr>
              <w:ind w:left="180"/>
              <w:spacing w:after="0"/>
              <w:rPr>
                <w:sz w:val="20"/>
                <w:szCs w:val="20"/>
                <w:color w:val="auto"/>
              </w:rPr>
            </w:pPr>
            <w:r>
              <w:rPr>
                <w:rFonts w:ascii="Arial" w:cs="Arial" w:eastAsia="Arial" w:hAnsi="Arial"/>
                <w:sz w:val="14"/>
                <w:szCs w:val="14"/>
                <w:color w:val="auto"/>
              </w:rPr>
              <w:t>1-4 family non-owner occupied</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4,329</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9,308</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5,178</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5,842</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31,239</w:t>
            </w: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36,363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6,103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4,132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95,817</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37,957</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2,489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13,145</w:t>
            </w: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3,369</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60" w:type="dxa"/>
            <w:vAlign w:val="bottom"/>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37,669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60,722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26,725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12,003</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31,752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8,893</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183,100</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1-4 family - 2nd lien</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238</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282</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454</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267</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200</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503</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8,000</w:t>
            </w:r>
          </w:p>
        </w:tc>
        <w:tc>
          <w:tcPr>
            <w:tcW w:w="32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9,944</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38,346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50,133</w:t>
            </w: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20,981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29,094</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10,770</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2,040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3,606</w:t>
            </w: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4,184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78,005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105,277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960" w:type="dxa"/>
            <w:vAlign w:val="bottom"/>
          </w:tcPr>
          <w:p>
            <w:pPr>
              <w:ind w:left="180"/>
              <w:spacing w:after="0"/>
              <w:rPr>
                <w:sz w:val="20"/>
                <w:szCs w:val="20"/>
                <w:color w:val="auto"/>
              </w:rPr>
            </w:pPr>
            <w:r>
              <w:rPr>
                <w:rFonts w:ascii="Arial" w:cs="Arial" w:eastAsia="Arial" w:hAnsi="Arial"/>
                <w:sz w:val="14"/>
                <w:szCs w:val="14"/>
                <w:color w:val="auto"/>
              </w:rPr>
              <w:t>Resort lending</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7,031</w:t>
            </w:r>
          </w:p>
        </w:tc>
        <w:tc>
          <w:tcPr>
            <w:tcW w:w="30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7,728</w:t>
            </w: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20,142</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7,181</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5,573</w:t>
            </w: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960" w:type="dxa"/>
            <w:vAlign w:val="bottom"/>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35,803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41,837</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Mortgage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37,225</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75,154</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28,038</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16,845</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6,282</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26,396</w:t>
            </w:r>
          </w:p>
        </w:tc>
        <w:tc>
          <w:tcPr>
            <w:tcW w:w="300" w:type="dxa"/>
            <w:vAlign w:val="bottom"/>
            <w:gridSpan w:val="2"/>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12,002</w:t>
            </w:r>
          </w:p>
        </w:tc>
        <w:tc>
          <w:tcPr>
            <w:tcW w:w="320" w:type="dxa"/>
            <w:vAlign w:val="bottom"/>
            <w:gridSpan w:val="2"/>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201,942</w:t>
            </w:r>
          </w:p>
        </w:tc>
        <w:tc>
          <w:tcPr>
            <w:tcW w:w="0" w:type="dxa"/>
            <w:vAlign w:val="bottom"/>
          </w:tcPr>
          <w:p>
            <w:pPr>
              <w:spacing w:after="0"/>
              <w:rPr>
                <w:sz w:val="1"/>
                <w:szCs w:val="1"/>
                <w:color w:val="auto"/>
              </w:rPr>
            </w:pPr>
          </w:p>
        </w:tc>
      </w:tr>
      <w:tr>
        <w:trPr>
          <w:trHeight w:val="196"/>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101,298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29,060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65,818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53,097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671,803</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700-749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62,106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119,609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18,698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47,163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27,956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326,106</w:t>
            </w: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112,927</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600-649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1,549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2,342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31,207</w:t>
            </w:r>
          </w:p>
        </w:tc>
        <w:tc>
          <w:tcPr>
            <w:tcW w:w="0" w:type="dxa"/>
            <w:vAlign w:val="bottom"/>
          </w:tcPr>
          <w:p>
            <w:pPr>
              <w:spacing w:after="0"/>
              <w:rPr>
                <w:sz w:val="1"/>
                <w:szCs w:val="1"/>
                <w:color w:val="auto"/>
              </w:rPr>
            </w:pPr>
          </w:p>
        </w:tc>
      </w:tr>
      <w:tr>
        <w:trPr>
          <w:trHeight w:val="190"/>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12,480</w:t>
            </w:r>
          </w:p>
        </w:tc>
        <w:tc>
          <w:tcPr>
            <w:tcW w:w="0" w:type="dxa"/>
            <w:vAlign w:val="bottom"/>
          </w:tcPr>
          <w:p>
            <w:pPr>
              <w:spacing w:after="0"/>
              <w:rPr>
                <w:sz w:val="1"/>
                <w:szCs w:val="1"/>
                <w:color w:val="auto"/>
              </w:rPr>
            </w:pPr>
          </w:p>
        </w:tc>
      </w:tr>
      <w:tr>
        <w:trPr>
          <w:trHeight w:val="184"/>
        </w:trPr>
        <w:tc>
          <w:tcPr>
            <w:tcW w:w="2960" w:type="dxa"/>
            <w:vAlign w:val="bottom"/>
          </w:tcPr>
          <w:p>
            <w:pPr>
              <w:ind w:left="320"/>
              <w:spacing w:after="0"/>
              <w:rPr>
                <w:sz w:val="20"/>
                <w:szCs w:val="20"/>
                <w:color w:val="auto"/>
              </w:rPr>
            </w:pPr>
            <w:r>
              <w:rPr>
                <w:rFonts w:ascii="Arial" w:cs="Arial" w:eastAsia="Arial" w:hAnsi="Arial"/>
                <w:sz w:val="14"/>
                <w:szCs w:val="14"/>
                <w:color w:val="auto"/>
              </w:rPr>
              <w:t>500-549</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8,504</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w:t>
            </w:r>
          </w:p>
        </w:tc>
        <w:tc>
          <w:tcPr>
            <w:tcW w:w="0" w:type="dxa"/>
            <w:vAlign w:val="bottom"/>
          </w:tcPr>
          <w:p>
            <w:pPr>
              <w:spacing w:after="0"/>
              <w:rPr>
                <w:sz w:val="1"/>
                <w:szCs w:val="1"/>
                <w:color w:val="auto"/>
              </w:rPr>
            </w:pPr>
          </w:p>
        </w:tc>
      </w:tr>
      <w:tr>
        <w:trPr>
          <w:trHeight w:val="177"/>
        </w:trPr>
        <w:tc>
          <w:tcPr>
            <w:tcW w:w="2960" w:type="dxa"/>
            <w:vAlign w:val="bottom"/>
          </w:tcPr>
          <w:p>
            <w:pPr>
              <w:ind w:left="320"/>
              <w:spacing w:after="0"/>
              <w:rPr>
                <w:sz w:val="20"/>
                <w:szCs w:val="20"/>
                <w:color w:val="auto"/>
              </w:rPr>
            </w:pPr>
            <w:r>
              <w:rPr>
                <w:rFonts w:ascii="Arial" w:cs="Arial" w:eastAsia="Arial" w:hAnsi="Arial"/>
                <w:sz w:val="14"/>
                <w:szCs w:val="14"/>
                <w:color w:val="auto"/>
              </w:rPr>
              <w:t>Unknown</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281,325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484,225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74,596</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191,703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107,037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1,368,409</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6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698</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4,116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Credit scores have been updated within the last twelve months.</w:t>
      </w:r>
    </w:p>
    <w:p>
      <w:pPr>
        <w:sectPr>
          <w:pgSz w:w="11900" w:h="16838" w:orient="portrait"/>
          <w:cols w:equalWidth="0" w:num="1">
            <w:col w:w="11240"/>
          </w:cols>
          <w:pgMar w:left="320" w:top="127" w:right="3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1"/>
              <w:spacing w:after="0"/>
              <w:rPr>
                <w:sz w:val="20"/>
                <w:szCs w:val="20"/>
                <w:color w:val="auto"/>
              </w:rPr>
            </w:pPr>
            <w:r>
              <w:rPr>
                <w:rFonts w:ascii="Arial" w:cs="Arial" w:eastAsia="Arial" w:hAnsi="Arial"/>
                <w:sz w:val="14"/>
                <w:szCs w:val="14"/>
                <w:color w:val="auto"/>
                <w:w w:val="92"/>
              </w:rPr>
              <w:t>Installment (1)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
        </w:trPr>
        <w:tc>
          <w:tcPr>
            <w:tcW w:w="2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9"/>
        </w:trPr>
        <w:tc>
          <w:tcPr>
            <w:tcW w:w="2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4"/>
                <w:szCs w:val="14"/>
                <w:color w:val="auto"/>
                <w:w w:val="89"/>
              </w:rPr>
              <w:t>Term Loans Amortized Cost Basis by Origination Year</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77"/>
        </w:trPr>
        <w:tc>
          <w:tcPr>
            <w:tcW w:w="2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83"/>
              </w:rPr>
              <w:t>2020</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2019</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Total</w:t>
            </w:r>
          </w:p>
        </w:tc>
      </w:tr>
      <w:tr>
        <w:trPr>
          <w:trHeight w:val="170"/>
        </w:trPr>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1"/>
              <w:spacing w:after="0"/>
              <w:rPr>
                <w:sz w:val="20"/>
                <w:szCs w:val="20"/>
                <w:color w:val="auto"/>
              </w:rPr>
            </w:pPr>
            <w:r>
              <w:rPr>
                <w:rFonts w:ascii="Arial" w:cs="Arial" w:eastAsia="Arial" w:hAnsi="Arial"/>
                <w:sz w:val="14"/>
                <w:szCs w:val="14"/>
                <w:color w:val="auto"/>
                <w:w w:val="87"/>
              </w:rPr>
              <w:t>(In thousands)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8"/>
        </w:trPr>
        <w:tc>
          <w:tcPr>
            <w:tcW w:w="2780" w:type="dxa"/>
            <w:vAlign w:val="bottom"/>
          </w:tcPr>
          <w:p>
            <w:pPr>
              <w:ind w:left="20"/>
              <w:spacing w:after="0"/>
              <w:rPr>
                <w:sz w:val="20"/>
                <w:szCs w:val="20"/>
                <w:color w:val="auto"/>
              </w:rPr>
            </w:pPr>
            <w:r>
              <w:rPr>
                <w:rFonts w:ascii="Arial" w:cs="Arial" w:eastAsia="Arial" w:hAnsi="Arial"/>
                <w:sz w:val="14"/>
                <w:szCs w:val="14"/>
                <w:color w:val="auto"/>
              </w:rPr>
              <w:t>June 30, 2023</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9"/>
        </w:trPr>
        <w:tc>
          <w:tcPr>
            <w:tcW w:w="2780" w:type="dxa"/>
            <w:vAlign w:val="bottom"/>
          </w:tcPr>
          <w:p>
            <w:pPr>
              <w:ind w:left="180"/>
              <w:spacing w:after="0"/>
              <w:rPr>
                <w:sz w:val="20"/>
                <w:szCs w:val="20"/>
                <w:color w:val="auto"/>
              </w:rPr>
            </w:pPr>
            <w:r>
              <w:rPr>
                <w:rFonts w:ascii="Arial" w:cs="Arial" w:eastAsia="Arial" w:hAnsi="Arial"/>
                <w:sz w:val="14"/>
                <w:szCs w:val="14"/>
                <w:color w:val="auto"/>
              </w:rPr>
              <w:t>Boat lending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9"/>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7,784</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7,197</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4,321</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4,858</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8,188</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41,079</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24,889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40,493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33,916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17,044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14,036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24,342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154,720</w:t>
            </w:r>
          </w:p>
        </w:tc>
      </w:tr>
      <w:tr>
        <w:trPr>
          <w:trHeight w:val="190"/>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60,336</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1,369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13,934</w:t>
            </w:r>
          </w:p>
        </w:tc>
      </w:tr>
      <w:tr>
        <w:trPr>
          <w:trHeight w:val="203"/>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3,106</w:t>
            </w:r>
          </w:p>
        </w:tc>
      </w:tr>
      <w:tr>
        <w:trPr>
          <w:trHeight w:val="177"/>
        </w:trPr>
        <w:tc>
          <w:tcPr>
            <w:tcW w:w="2780" w:type="dxa"/>
            <w:vAlign w:val="bottom"/>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1,079</w:t>
            </w:r>
          </w:p>
        </w:tc>
      </w:tr>
      <w:tr>
        <w:trPr>
          <w:trHeight w:val="196"/>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187"/>
        </w:trPr>
        <w:tc>
          <w:tcPr>
            <w:tcW w:w="2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780" w:type="dxa"/>
            <w:vAlign w:val="bottom"/>
          </w:tcPr>
          <w:p>
            <w:pPr>
              <w:ind w:left="48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45,455</w:t>
            </w:r>
          </w:p>
        </w:tc>
        <w:tc>
          <w:tcPr>
            <w:tcW w:w="36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67,957</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60,384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29,539</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25,873</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45,558</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274,766</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Arial" w:cs="Arial" w:eastAsia="Arial" w:hAnsi="Arial"/>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2"/>
        </w:trPr>
        <w:tc>
          <w:tcPr>
            <w:tcW w:w="2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4"/>
        </w:trPr>
        <w:tc>
          <w:tcPr>
            <w:tcW w:w="2780" w:type="dxa"/>
            <w:vAlign w:val="bottom"/>
          </w:tcPr>
          <w:p>
            <w:pPr>
              <w:ind w:left="180"/>
              <w:spacing w:after="0"/>
              <w:rPr>
                <w:sz w:val="20"/>
                <w:szCs w:val="20"/>
                <w:color w:val="auto"/>
              </w:rPr>
            </w:pPr>
            <w:r>
              <w:rPr>
                <w:rFonts w:ascii="Arial" w:cs="Arial" w:eastAsia="Arial" w:hAnsi="Arial"/>
                <w:sz w:val="14"/>
                <w:szCs w:val="14"/>
                <w:color w:val="auto"/>
              </w:rPr>
              <w:t>Recreational vehicle lending</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0"/>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2,785</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9,710</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4,136</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6,390</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39,266</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47,336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43,045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13,865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14,072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142,365</w:t>
            </w:r>
          </w:p>
        </w:tc>
      </w:tr>
      <w:tr>
        <w:trPr>
          <w:trHeight w:val="203"/>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64,949</w:t>
            </w:r>
          </w:p>
        </w:tc>
      </w:tr>
      <w:tr>
        <w:trPr>
          <w:trHeight w:val="177"/>
        </w:trPr>
        <w:tc>
          <w:tcPr>
            <w:tcW w:w="2780" w:type="dxa"/>
            <w:vAlign w:val="bottom"/>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15,488</w:t>
            </w:r>
          </w:p>
        </w:tc>
      </w:tr>
      <w:tr>
        <w:trPr>
          <w:trHeight w:val="196"/>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3,557</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1,279</w:t>
            </w:r>
          </w:p>
        </w:tc>
      </w:tr>
      <w:tr>
        <w:trPr>
          <w:trHeight w:val="190"/>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217</w:t>
            </w:r>
          </w:p>
        </w:tc>
      </w:tr>
      <w:tr>
        <w:trPr>
          <w:trHeight w:val="203"/>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3"/>
        </w:trPr>
        <w:tc>
          <w:tcPr>
            <w:tcW w:w="2780" w:type="dxa"/>
            <w:vAlign w:val="bottom"/>
          </w:tcPr>
          <w:p>
            <w:pPr>
              <w:ind w:left="48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23,666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83,597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86,596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26,698</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20,202</w:t>
            </w:r>
          </w:p>
        </w:tc>
        <w:tc>
          <w:tcPr>
            <w:tcW w:w="80" w:type="dxa"/>
            <w:vAlign w:val="bottom"/>
          </w:tcPr>
          <w:p>
            <w:pPr>
              <w:spacing w:after="0"/>
              <w:rPr>
                <w:sz w:val="15"/>
                <w:szCs w:val="15"/>
                <w:color w:val="auto"/>
              </w:rPr>
            </w:pP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27,544</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268,303</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Arial" w:cs="Arial" w:eastAsia="Arial" w:hAnsi="Arial"/>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2"/>
        </w:trPr>
        <w:tc>
          <w:tcPr>
            <w:tcW w:w="2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77"/>
        </w:trPr>
        <w:tc>
          <w:tcPr>
            <w:tcW w:w="278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w:t>
            </w:r>
          </w:p>
        </w:tc>
        <w:tc>
          <w:tcPr>
            <w:tcW w:w="28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7,732</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8,993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13,081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8,613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4,476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5,005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42,485</w:t>
            </w:r>
          </w:p>
        </w:tc>
      </w:tr>
      <w:tr>
        <w:trPr>
          <w:trHeight w:val="190"/>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24,717</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22,998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29,457</w:t>
            </w:r>
          </w:p>
        </w:tc>
      </w:tr>
      <w:tr>
        <w:trPr>
          <w:trHeight w:val="203"/>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1,977</w:t>
            </w:r>
          </w:p>
        </w:tc>
      </w:tr>
      <w:tr>
        <w:trPr>
          <w:trHeight w:val="177"/>
        </w:trPr>
        <w:tc>
          <w:tcPr>
            <w:tcW w:w="2780" w:type="dxa"/>
            <w:vAlign w:val="bottom"/>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722</w:t>
            </w:r>
          </w:p>
        </w:tc>
      </w:tr>
      <w:tr>
        <w:trPr>
          <w:trHeight w:val="196"/>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w:t>
            </w:r>
          </w:p>
        </w:tc>
      </w:tr>
      <w:tr>
        <w:trPr>
          <w:trHeight w:val="187"/>
        </w:trPr>
        <w:tc>
          <w:tcPr>
            <w:tcW w:w="2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r>
      <w:tr>
        <w:trPr>
          <w:trHeight w:val="189"/>
        </w:trPr>
        <w:tc>
          <w:tcPr>
            <w:tcW w:w="2780" w:type="dxa"/>
            <w:vAlign w:val="bottom"/>
          </w:tcPr>
          <w:p>
            <w:pPr>
              <w:ind w:left="480"/>
              <w:spacing w:after="0"/>
              <w:rPr>
                <w:sz w:val="20"/>
                <w:szCs w:val="20"/>
                <w:color w:val="auto"/>
              </w:rPr>
            </w:pPr>
            <w:r>
              <w:rPr>
                <w:rFonts w:ascii="Arial" w:cs="Arial" w:eastAsia="Arial" w:hAnsi="Arial"/>
                <w:sz w:val="14"/>
                <w:szCs w:val="14"/>
                <w:color w:val="auto"/>
              </w:rPr>
              <w:t>Total</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16,856</w:t>
            </w:r>
          </w:p>
        </w:tc>
        <w:tc>
          <w:tcPr>
            <w:tcW w:w="36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46,704</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18,969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9,447</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5,181</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11,328</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108,485</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52"/>
        </w:trPr>
        <w:tc>
          <w:tcPr>
            <w:tcW w:w="2780" w:type="dxa"/>
            <w:vAlign w:val="bottom"/>
          </w:tcPr>
          <w:p>
            <w:pPr>
              <w:ind w:left="20"/>
              <w:spacing w:after="0" w:line="152" w:lineRule="exact"/>
              <w:rPr>
                <w:sz w:val="20"/>
                <w:szCs w:val="20"/>
                <w:color w:val="auto"/>
              </w:rPr>
            </w:pPr>
            <w:r>
              <w:rPr>
                <w:rFonts w:ascii="Arial" w:cs="Arial" w:eastAsia="Arial" w:hAnsi="Arial"/>
                <w:sz w:val="14"/>
                <w:szCs w:val="14"/>
                <w:color w:val="auto"/>
              </w:rPr>
              <w:t>Current period gross charge-offs</w:t>
            </w:r>
          </w:p>
        </w:tc>
        <w:tc>
          <w:tcPr>
            <w:tcW w:w="260" w:type="dxa"/>
            <w:vAlign w:val="bottom"/>
            <w:tcBorders>
              <w:top w:val="single" w:sz="8" w:color="auto"/>
              <w:bottom w:val="single" w:sz="8" w:color="auto"/>
            </w:tcBorders>
          </w:tcPr>
          <w:p>
            <w:pPr>
              <w:jc w:val="right"/>
              <w:ind w:right="111"/>
              <w:spacing w:after="0" w:line="15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817</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1"/>
              <w:spacing w:after="0" w:line="15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1"/>
              <w:spacing w:after="0" w:line="15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91"/>
              <w:spacing w:after="0" w:line="15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91"/>
              <w:spacing w:after="0" w:line="15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85</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1"/>
              <w:spacing w:after="0" w:line="15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968</w:t>
            </w:r>
          </w:p>
        </w:tc>
      </w:tr>
      <w:tr>
        <w:trPr>
          <w:trHeight w:val="20"/>
        </w:trPr>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1"/>
              <w:spacing w:after="0"/>
              <w:rPr>
                <w:sz w:val="20"/>
                <w:szCs w:val="20"/>
                <w:color w:val="auto"/>
              </w:rPr>
            </w:pPr>
            <w:r>
              <w:rPr>
                <w:rFonts w:ascii="Arial" w:cs="Arial" w:eastAsia="Arial" w:hAnsi="Arial"/>
                <w:sz w:val="14"/>
                <w:szCs w:val="14"/>
                <w:color w:val="auto"/>
                <w:w w:val="92"/>
              </w:rPr>
              <w:t>Installment (1)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
        </w:trPr>
        <w:tc>
          <w:tcPr>
            <w:tcW w:w="2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9"/>
        </w:trPr>
        <w:tc>
          <w:tcPr>
            <w:tcW w:w="2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4"/>
                <w:szCs w:val="14"/>
                <w:color w:val="auto"/>
                <w:w w:val="89"/>
              </w:rPr>
              <w:t>Term Loans Amortized Cost Basis by Origination Year</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77"/>
        </w:trPr>
        <w:tc>
          <w:tcPr>
            <w:tcW w:w="27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color w:val="auto"/>
                <w:w w:val="83"/>
              </w:rPr>
              <w:t>2020</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1905</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Total</w:t>
            </w:r>
          </w:p>
        </w:tc>
      </w:tr>
      <w:tr>
        <w:trPr>
          <w:trHeight w:val="170"/>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1"/>
              <w:spacing w:after="0"/>
              <w:rPr>
                <w:sz w:val="20"/>
                <w:szCs w:val="20"/>
                <w:color w:val="auto"/>
              </w:rPr>
            </w:pPr>
            <w:r>
              <w:rPr>
                <w:rFonts w:ascii="Arial" w:cs="Arial" w:eastAsia="Arial" w:hAnsi="Arial"/>
                <w:sz w:val="14"/>
                <w:szCs w:val="14"/>
                <w:color w:val="auto"/>
                <w:w w:val="87"/>
              </w:rPr>
              <w:t>(In thousands)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8"/>
        </w:trPr>
        <w:tc>
          <w:tcPr>
            <w:tcW w:w="2780" w:type="dxa"/>
            <w:vAlign w:val="bottom"/>
          </w:tcPr>
          <w:p>
            <w:pPr>
              <w:ind w:left="20"/>
              <w:spacing w:after="0"/>
              <w:rPr>
                <w:sz w:val="20"/>
                <w:szCs w:val="20"/>
                <w:color w:val="auto"/>
              </w:rPr>
            </w:pPr>
            <w:r>
              <w:rPr>
                <w:rFonts w:ascii="Arial" w:cs="Arial" w:eastAsia="Arial" w:hAnsi="Arial"/>
                <w:sz w:val="14"/>
                <w:szCs w:val="14"/>
                <w:color w:val="auto"/>
              </w:rPr>
              <w:t>June 30, 2023 - continued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
        </w:trPr>
        <w:tc>
          <w:tcPr>
            <w:tcW w:w="2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0"/>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installment</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12,283</w:t>
            </w:r>
          </w:p>
        </w:tc>
        <w:tc>
          <w:tcPr>
            <w:tcW w:w="36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18,294</w:t>
            </w:r>
          </w:p>
        </w:tc>
        <w:tc>
          <w:tcPr>
            <w:tcW w:w="280" w:type="dxa"/>
            <w:vAlign w:val="bottom"/>
            <w:gridSpan w:val="2"/>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22,321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9,712</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9,834</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15,633</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88,077</w:t>
            </w:r>
          </w:p>
        </w:tc>
      </w:tr>
      <w:tr>
        <w:trPr>
          <w:trHeight w:val="203"/>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35,385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339,570</w:t>
            </w:r>
          </w:p>
        </w:tc>
      </w:tr>
      <w:tr>
        <w:trPr>
          <w:trHeight w:val="177"/>
        </w:trPr>
        <w:tc>
          <w:tcPr>
            <w:tcW w:w="2780" w:type="dxa"/>
            <w:vAlign w:val="bottom"/>
          </w:tcPr>
          <w:p>
            <w:pPr>
              <w:ind w:left="320"/>
              <w:spacing w:after="0"/>
              <w:rPr>
                <w:sz w:val="20"/>
                <w:szCs w:val="20"/>
                <w:color w:val="auto"/>
              </w:rPr>
            </w:pPr>
            <w:r>
              <w:rPr>
                <w:rFonts w:ascii="Arial" w:cs="Arial" w:eastAsia="Arial" w:hAnsi="Arial"/>
                <w:sz w:val="14"/>
                <w:szCs w:val="14"/>
                <w:color w:val="auto"/>
              </w:rPr>
              <w:t>700-749</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19,962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45,121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41,248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15,707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10,931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17,033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150,002</w:t>
            </w:r>
          </w:p>
        </w:tc>
      </w:tr>
      <w:tr>
        <w:trPr>
          <w:trHeight w:val="196"/>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30,744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58,879</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600-649</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8,640</w:t>
            </w:r>
          </w:p>
        </w:tc>
      </w:tr>
      <w:tr>
        <w:trPr>
          <w:trHeight w:val="190"/>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500-549</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2,128</w:t>
            </w:r>
          </w:p>
        </w:tc>
      </w:tr>
      <w:tr>
        <w:trPr>
          <w:trHeight w:val="203"/>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r>
      <w:tr>
        <w:trPr>
          <w:trHeight w:val="177"/>
        </w:trPr>
        <w:tc>
          <w:tcPr>
            <w:tcW w:w="2780" w:type="dxa"/>
            <w:vAlign w:val="bottom"/>
          </w:tcPr>
          <w:p>
            <w:pPr>
              <w:ind w:left="320"/>
              <w:spacing w:after="0"/>
              <w:rPr>
                <w:sz w:val="20"/>
                <w:szCs w:val="20"/>
                <w:color w:val="auto"/>
              </w:rPr>
            </w:pPr>
            <w:r>
              <w:rPr>
                <w:rFonts w:ascii="Arial" w:cs="Arial" w:eastAsia="Arial" w:hAnsi="Arial"/>
                <w:sz w:val="14"/>
                <w:szCs w:val="14"/>
                <w:color w:val="auto"/>
              </w:rPr>
              <w:t>Unknown</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w:t>
            </w:r>
          </w:p>
        </w:tc>
      </w:tr>
      <w:tr>
        <w:trPr>
          <w:trHeight w:val="209"/>
        </w:trPr>
        <w:tc>
          <w:tcPr>
            <w:tcW w:w="2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85,977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198,258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165,949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65,684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51,256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84,430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651,554</w:t>
            </w:r>
          </w:p>
        </w:tc>
      </w:tr>
      <w:tr>
        <w:trPr>
          <w:trHeight w:val="20"/>
        </w:trPr>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2"/>
        </w:trPr>
        <w:tc>
          <w:tcPr>
            <w:tcW w:w="2780" w:type="dxa"/>
            <w:vAlign w:val="bottom"/>
          </w:tcPr>
          <w:p>
            <w:pPr>
              <w:ind w:left="20"/>
              <w:spacing w:after="0" w:line="152" w:lineRule="exact"/>
              <w:rPr>
                <w:sz w:val="20"/>
                <w:szCs w:val="20"/>
                <w:color w:val="auto"/>
              </w:rPr>
            </w:pPr>
            <w:r>
              <w:rPr>
                <w:rFonts w:ascii="Arial" w:cs="Arial" w:eastAsia="Arial" w:hAnsi="Arial"/>
                <w:sz w:val="14"/>
                <w:szCs w:val="14"/>
                <w:color w:val="auto"/>
              </w:rPr>
              <w:t>Accrued interest excluded from total</w:t>
            </w:r>
          </w:p>
        </w:tc>
        <w:tc>
          <w:tcPr>
            <w:tcW w:w="240" w:type="dxa"/>
            <w:vAlign w:val="bottom"/>
            <w:tcBorders>
              <w:top w:val="single" w:sz="8" w:color="auto"/>
              <w:bottom w:val="single" w:sz="8" w:color="auto"/>
            </w:tcBorders>
          </w:tcPr>
          <w:p>
            <w:pPr>
              <w:jc w:val="right"/>
              <w:ind w:right="91"/>
              <w:spacing w:after="0" w:line="15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303</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1"/>
              <w:spacing w:after="0" w:line="15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419</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1"/>
              <w:spacing w:after="0" w:line="15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355</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142</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1"/>
              <w:spacing w:after="0" w:line="15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118</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91"/>
              <w:spacing w:after="0" w:line="15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1"/>
              <w:spacing w:after="0" w:line="15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2" w:lineRule="exact"/>
              <w:rPr>
                <w:sz w:val="20"/>
                <w:szCs w:val="20"/>
                <w:color w:val="auto"/>
              </w:rPr>
            </w:pPr>
            <w:r>
              <w:rPr>
                <w:rFonts w:ascii="Arial" w:cs="Arial" w:eastAsia="Arial" w:hAnsi="Arial"/>
                <w:sz w:val="14"/>
                <w:szCs w:val="14"/>
                <w:color w:val="auto"/>
              </w:rPr>
              <w:t>1,552</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period gross charge-offs</w:t>
            </w: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6"/>
          </w:tcPr>
          <w:p>
            <w:pPr>
              <w:jc w:val="center"/>
              <w:ind w:left="631"/>
              <w:spacing w:after="0"/>
              <w:rPr>
                <w:sz w:val="20"/>
                <w:szCs w:val="20"/>
                <w:color w:val="auto"/>
              </w:rPr>
            </w:pPr>
            <w:r>
              <w:rPr>
                <w:rFonts w:ascii="Arial" w:cs="Arial" w:eastAsia="Arial" w:hAnsi="Arial"/>
                <w:sz w:val="14"/>
                <w:szCs w:val="14"/>
                <w:color w:val="auto"/>
                <w:w w:val="90"/>
              </w:rPr>
              <w:t>Installment - continued (1)</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
        </w:trPr>
        <w:tc>
          <w:tcPr>
            <w:tcW w:w="2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9"/>
        </w:trPr>
        <w:tc>
          <w:tcPr>
            <w:tcW w:w="2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jc w:val="center"/>
              <w:ind w:right="111"/>
              <w:spacing w:after="0"/>
              <w:rPr>
                <w:sz w:val="20"/>
                <w:szCs w:val="20"/>
                <w:color w:val="auto"/>
              </w:rPr>
            </w:pPr>
            <w:r>
              <w:rPr>
                <w:rFonts w:ascii="Arial" w:cs="Arial" w:eastAsia="Arial" w:hAnsi="Arial"/>
                <w:sz w:val="14"/>
                <w:szCs w:val="14"/>
                <w:color w:val="auto"/>
                <w:w w:val="89"/>
              </w:rPr>
              <w:t>Term Loans Amortized Cost Basis by Origination Year</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77"/>
        </w:trPr>
        <w:tc>
          <w:tcPr>
            <w:tcW w:w="2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color w:val="auto"/>
                <w:w w:val="83"/>
              </w:rPr>
              <w:t>2019</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2018</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Prior</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Total</w:t>
            </w:r>
          </w:p>
        </w:tc>
      </w:tr>
      <w:tr>
        <w:trPr>
          <w:trHeight w:val="170"/>
        </w:trPr>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71"/>
              <w:spacing w:after="0"/>
              <w:rPr>
                <w:sz w:val="20"/>
                <w:szCs w:val="20"/>
                <w:color w:val="auto"/>
              </w:rPr>
            </w:pPr>
            <w:r>
              <w:rPr>
                <w:rFonts w:ascii="Arial" w:cs="Arial" w:eastAsia="Arial" w:hAnsi="Arial"/>
                <w:sz w:val="14"/>
                <w:szCs w:val="14"/>
                <w:color w:val="auto"/>
                <w:w w:val="87"/>
              </w:rPr>
              <w:t>(In thousands)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8"/>
        </w:trPr>
        <w:tc>
          <w:tcPr>
            <w:tcW w:w="2780" w:type="dxa"/>
            <w:vAlign w:val="bottom"/>
          </w:tcPr>
          <w:p>
            <w:pPr>
              <w:ind w:left="20"/>
              <w:spacing w:after="0"/>
              <w:rPr>
                <w:sz w:val="20"/>
                <w:szCs w:val="20"/>
                <w:color w:val="auto"/>
              </w:rPr>
            </w:pPr>
            <w:r>
              <w:rPr>
                <w:rFonts w:ascii="Arial" w:cs="Arial" w:eastAsia="Arial" w:hAnsi="Arial"/>
                <w:sz w:val="14"/>
                <w:szCs w:val="14"/>
                <w:color w:val="auto"/>
              </w:rPr>
              <w:t>December 31, 2022</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9"/>
        </w:trPr>
        <w:tc>
          <w:tcPr>
            <w:tcW w:w="2780" w:type="dxa"/>
            <w:vAlign w:val="bottom"/>
          </w:tcPr>
          <w:p>
            <w:pPr>
              <w:ind w:left="180"/>
              <w:spacing w:after="0"/>
              <w:rPr>
                <w:sz w:val="20"/>
                <w:szCs w:val="20"/>
                <w:color w:val="auto"/>
              </w:rPr>
            </w:pPr>
            <w:r>
              <w:rPr>
                <w:rFonts w:ascii="Arial" w:cs="Arial" w:eastAsia="Arial" w:hAnsi="Arial"/>
                <w:sz w:val="14"/>
                <w:szCs w:val="14"/>
                <w:color w:val="auto"/>
              </w:rPr>
              <w:t>Boat lending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9"/>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7,901</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8,763</w:t>
            </w: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5,102</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5,955</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35,724</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44,498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37,531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20,179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16,506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146,032</w:t>
            </w:r>
          </w:p>
        </w:tc>
      </w:tr>
      <w:tr>
        <w:trPr>
          <w:trHeight w:val="190"/>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15,390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13,704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52,712</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3,933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4,135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1,498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2,213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14,101</w:t>
            </w:r>
          </w:p>
        </w:tc>
      </w:tr>
      <w:tr>
        <w:trPr>
          <w:trHeight w:val="203"/>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1,043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3,009</w:t>
            </w:r>
          </w:p>
        </w:tc>
      </w:tr>
      <w:tr>
        <w:trPr>
          <w:trHeight w:val="177"/>
        </w:trPr>
        <w:tc>
          <w:tcPr>
            <w:tcW w:w="2780" w:type="dxa"/>
            <w:vAlign w:val="bottom"/>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763</w:t>
            </w:r>
          </w:p>
        </w:tc>
      </w:tr>
      <w:tr>
        <w:trPr>
          <w:trHeight w:val="196"/>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87"/>
        </w:trPr>
        <w:tc>
          <w:tcPr>
            <w:tcW w:w="2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780" w:type="dxa"/>
            <w:vAlign w:val="bottom"/>
          </w:tcPr>
          <w:p>
            <w:pPr>
              <w:jc w:val="center"/>
              <w:ind w:right="1471"/>
              <w:spacing w:after="0"/>
              <w:rPr>
                <w:sz w:val="20"/>
                <w:szCs w:val="20"/>
                <w:color w:val="auto"/>
              </w:rPr>
            </w:pPr>
            <w:r>
              <w:rPr>
                <w:rFonts w:ascii="Arial" w:cs="Arial" w:eastAsia="Arial" w:hAnsi="Arial"/>
                <w:sz w:val="14"/>
                <w:szCs w:val="14"/>
                <w:color w:val="auto"/>
                <w:w w:val="89"/>
              </w:rPr>
              <w:t>Total</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72,682</w:t>
            </w:r>
          </w:p>
        </w:tc>
        <w:tc>
          <w:tcPr>
            <w:tcW w:w="36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65,428</w:t>
            </w:r>
          </w:p>
        </w:tc>
        <w:tc>
          <w:tcPr>
            <w:tcW w:w="26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33,576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29,128</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22,350</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29,801</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252,965</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148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93"/>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Recreational vehicle lending</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7"/>
        </w:trPr>
        <w:tc>
          <w:tcPr>
            <w:tcW w:w="278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9,327</w:t>
            </w:r>
          </w:p>
        </w:tc>
        <w:tc>
          <w:tcPr>
            <w:tcW w:w="36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10,752</w:t>
            </w:r>
          </w:p>
        </w:tc>
        <w:tc>
          <w:tcPr>
            <w:tcW w:w="26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4,524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4,834</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3,416</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4,319</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37,172</w:t>
            </w:r>
          </w:p>
        </w:tc>
      </w:tr>
      <w:tr>
        <w:trPr>
          <w:trHeight w:val="196"/>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49,949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146,407</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23,143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24,945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4,459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65,445</w:t>
            </w:r>
          </w:p>
        </w:tc>
      </w:tr>
      <w:tr>
        <w:trPr>
          <w:trHeight w:val="190"/>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6,516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16,119</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1,608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3,721</w:t>
            </w:r>
          </w:p>
        </w:tc>
      </w:tr>
      <w:tr>
        <w:trPr>
          <w:trHeight w:val="203"/>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381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w:t>
            </w:r>
          </w:p>
        </w:tc>
      </w:tr>
      <w:tr>
        <w:trPr>
          <w:trHeight w:val="177"/>
        </w:trPr>
        <w:tc>
          <w:tcPr>
            <w:tcW w:w="2780" w:type="dxa"/>
            <w:vAlign w:val="bottom"/>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539</w:t>
            </w:r>
          </w:p>
        </w:tc>
      </w:tr>
      <w:tr>
        <w:trPr>
          <w:trHeight w:val="196"/>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r>
      <w:tr>
        <w:trPr>
          <w:trHeight w:val="188"/>
        </w:trPr>
        <w:tc>
          <w:tcPr>
            <w:tcW w:w="27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4"/>
        </w:trPr>
        <w:tc>
          <w:tcPr>
            <w:tcW w:w="2780" w:type="dxa"/>
            <w:vAlign w:val="bottom"/>
            <w:tcBorders>
              <w:bottom w:val="single" w:sz="8" w:color="CCEEFF"/>
            </w:tcBorders>
            <w:shd w:val="clear" w:color="auto" w:fill="CCEEFF"/>
          </w:tcPr>
          <w:p>
            <w:pPr>
              <w:jc w:val="center"/>
              <w:ind w:right="1471"/>
              <w:spacing w:after="0"/>
              <w:rPr>
                <w:sz w:val="20"/>
                <w:szCs w:val="20"/>
                <w:color w:val="auto"/>
              </w:rPr>
            </w:pPr>
            <w:r>
              <w:rPr>
                <w:rFonts w:ascii="Arial" w:cs="Arial" w:eastAsia="Arial" w:hAnsi="Arial"/>
                <w:sz w:val="14"/>
                <w:szCs w:val="14"/>
                <w:color w:val="auto"/>
                <w:w w:val="89"/>
              </w:rPr>
              <w:t>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89,938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94,529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23,305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16,366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270,673</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227</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77"/>
        </w:trPr>
        <w:tc>
          <w:tcPr>
            <w:tcW w:w="278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6"/>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36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1,647</w:t>
            </w:r>
          </w:p>
        </w:tc>
        <w:tc>
          <w:tcPr>
            <w:tcW w:w="260" w:type="dxa"/>
            <w:vAlign w:val="bottom"/>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w:t>
            </w:r>
          </w:p>
        </w:tc>
        <w:tc>
          <w:tcPr>
            <w:tcW w:w="340" w:type="dxa"/>
            <w:vAlign w:val="bottom"/>
            <w:gridSpan w:val="2"/>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7,109</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15,692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9,973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3,612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39,869</w:t>
            </w:r>
          </w:p>
        </w:tc>
      </w:tr>
      <w:tr>
        <w:trPr>
          <w:trHeight w:val="190"/>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7,517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26,222</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22,740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2,851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28,926</w:t>
            </w:r>
          </w:p>
        </w:tc>
      </w:tr>
      <w:tr>
        <w:trPr>
          <w:trHeight w:val="203"/>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634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w:t>
            </w:r>
          </w:p>
        </w:tc>
      </w:tr>
      <w:tr>
        <w:trPr>
          <w:trHeight w:val="177"/>
        </w:trPr>
        <w:tc>
          <w:tcPr>
            <w:tcW w:w="2780" w:type="dxa"/>
            <w:vAlign w:val="bottom"/>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642</w:t>
            </w:r>
          </w:p>
        </w:tc>
      </w:tr>
      <w:tr>
        <w:trPr>
          <w:trHeight w:val="196"/>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87"/>
        </w:trPr>
        <w:tc>
          <w:tcPr>
            <w:tcW w:w="2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w:t>
            </w:r>
          </w:p>
        </w:tc>
      </w:tr>
      <w:tr>
        <w:trPr>
          <w:trHeight w:val="189"/>
        </w:trPr>
        <w:tc>
          <w:tcPr>
            <w:tcW w:w="2780" w:type="dxa"/>
            <w:vAlign w:val="bottom"/>
          </w:tcPr>
          <w:p>
            <w:pPr>
              <w:jc w:val="center"/>
              <w:ind w:right="1471"/>
              <w:spacing w:after="0"/>
              <w:rPr>
                <w:sz w:val="20"/>
                <w:szCs w:val="20"/>
                <w:color w:val="auto"/>
              </w:rPr>
            </w:pPr>
            <w:r>
              <w:rPr>
                <w:rFonts w:ascii="Arial" w:cs="Arial" w:eastAsia="Arial" w:hAnsi="Arial"/>
                <w:sz w:val="14"/>
                <w:szCs w:val="14"/>
                <w:color w:val="auto"/>
                <w:w w:val="89"/>
              </w:rPr>
              <w:t>Total</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51,861</w:t>
            </w:r>
          </w:p>
        </w:tc>
        <w:tc>
          <w:tcPr>
            <w:tcW w:w="36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22,954</w:t>
            </w:r>
          </w:p>
        </w:tc>
        <w:tc>
          <w:tcPr>
            <w:tcW w:w="26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11,773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7,097</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3,742</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9,025</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106,452</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26"/>
        </w:trPr>
        <w:tc>
          <w:tcPr>
            <w:tcW w:w="2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93"/>
        </w:trPr>
        <w:tc>
          <w:tcPr>
            <w:tcW w:w="2780" w:type="dxa"/>
            <w:vAlign w:val="bottom"/>
            <w:shd w:val="clear" w:color="auto" w:fill="CCEEFF"/>
          </w:tcPr>
          <w:p>
            <w:pPr>
              <w:jc w:val="center"/>
              <w:ind w:right="1431"/>
              <w:spacing w:after="0"/>
              <w:rPr>
                <w:sz w:val="20"/>
                <w:szCs w:val="20"/>
                <w:color w:val="auto"/>
              </w:rPr>
            </w:pPr>
            <w:r>
              <w:rPr>
                <w:rFonts w:ascii="Arial" w:cs="Arial" w:eastAsia="Arial" w:hAnsi="Arial"/>
                <w:sz w:val="14"/>
                <w:szCs w:val="14"/>
                <w:color w:val="auto"/>
                <w:w w:val="90"/>
              </w:rPr>
              <w:t>Total installment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800 and above</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19,202</w:t>
            </w:r>
          </w:p>
        </w:tc>
        <w:tc>
          <w:tcPr>
            <w:tcW w:w="360" w:type="dxa"/>
            <w:vAlign w:val="bottom"/>
            <w:gridSpan w:val="2"/>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21,162</w:t>
            </w:r>
          </w:p>
        </w:tc>
        <w:tc>
          <w:tcPr>
            <w:tcW w:w="260" w:type="dxa"/>
            <w:vAlign w:val="bottom"/>
            <w:gridSpan w:val="2"/>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10,364</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10,878</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7,394</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11,005</w:t>
            </w:r>
          </w:p>
        </w:tc>
        <w:tc>
          <w:tcPr>
            <w:tcW w:w="340" w:type="dxa"/>
            <w:vAlign w:val="bottom"/>
            <w:gridSpan w:val="2"/>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80,005</w:t>
            </w:r>
          </w:p>
        </w:tc>
      </w:tr>
      <w:tr>
        <w:trPr>
          <w:trHeight w:val="190"/>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750-799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111,745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97,453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25,934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332,308</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700-749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48,381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46,166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18,365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12,108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7,635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144,379</w:t>
            </w:r>
          </w:p>
        </w:tc>
      </w:tr>
      <w:tr>
        <w:trPr>
          <w:trHeight w:val="190"/>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650-699</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13,502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59,146</w:t>
            </w:r>
          </w:p>
        </w:tc>
      </w:tr>
      <w:tr>
        <w:trPr>
          <w:trHeight w:val="184"/>
        </w:trPr>
        <w:tc>
          <w:tcPr>
            <w:tcW w:w="2780" w:type="dxa"/>
            <w:vAlign w:val="bottom"/>
          </w:tcPr>
          <w:p>
            <w:pPr>
              <w:ind w:left="320"/>
              <w:spacing w:after="0"/>
              <w:rPr>
                <w:sz w:val="20"/>
                <w:szCs w:val="20"/>
                <w:color w:val="auto"/>
              </w:rPr>
            </w:pPr>
            <w:r>
              <w:rPr>
                <w:rFonts w:ascii="Arial" w:cs="Arial" w:eastAsia="Arial" w:hAnsi="Arial"/>
                <w:sz w:val="14"/>
                <w:szCs w:val="14"/>
                <w:color w:val="auto"/>
              </w:rPr>
              <w:t>600-649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3,285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9,078</w:t>
            </w:r>
          </w:p>
        </w:tc>
      </w:tr>
      <w:tr>
        <w:trPr>
          <w:trHeight w:val="203"/>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550-599</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w:t>
            </w:r>
          </w:p>
        </w:tc>
      </w:tr>
      <w:tr>
        <w:trPr>
          <w:trHeight w:val="177"/>
        </w:trPr>
        <w:tc>
          <w:tcPr>
            <w:tcW w:w="2780" w:type="dxa"/>
            <w:vAlign w:val="bottom"/>
          </w:tcPr>
          <w:p>
            <w:pPr>
              <w:ind w:left="320"/>
              <w:spacing w:after="0"/>
              <w:rPr>
                <w:sz w:val="20"/>
                <w:szCs w:val="20"/>
                <w:color w:val="auto"/>
              </w:rPr>
            </w:pPr>
            <w:r>
              <w:rPr>
                <w:rFonts w:ascii="Arial" w:cs="Arial" w:eastAsia="Arial" w:hAnsi="Arial"/>
                <w:sz w:val="14"/>
                <w:szCs w:val="14"/>
                <w:color w:val="auto"/>
              </w:rPr>
              <w:t>500-549</w:t>
            </w: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567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1,600</w:t>
            </w:r>
          </w:p>
        </w:tc>
      </w:tr>
      <w:tr>
        <w:trPr>
          <w:trHeight w:val="196"/>
        </w:trPr>
        <w:tc>
          <w:tcPr>
            <w:tcW w:w="2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Under 500</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137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r>
      <w:tr>
        <w:trPr>
          <w:trHeight w:val="188"/>
        </w:trPr>
        <w:tc>
          <w:tcPr>
            <w:tcW w:w="278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Unknown</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p>
        </w:tc>
      </w:tr>
      <w:tr>
        <w:trPr>
          <w:trHeight w:val="204"/>
        </w:trPr>
        <w:tc>
          <w:tcPr>
            <w:tcW w:w="2780" w:type="dxa"/>
            <w:vAlign w:val="bottom"/>
            <w:tcBorders>
              <w:bottom w:val="single" w:sz="8" w:color="CCEEFF"/>
            </w:tcBorders>
            <w:shd w:val="clear" w:color="auto" w:fill="CCEEFF"/>
          </w:tcPr>
          <w:p>
            <w:pPr>
              <w:jc w:val="center"/>
              <w:ind w:right="1471"/>
              <w:spacing w:after="0"/>
              <w:rPr>
                <w:sz w:val="20"/>
                <w:szCs w:val="20"/>
                <w:color w:val="auto"/>
              </w:rPr>
            </w:pPr>
            <w:r>
              <w:rPr>
                <w:rFonts w:ascii="Arial" w:cs="Arial" w:eastAsia="Arial" w:hAnsi="Arial"/>
                <w:sz w:val="14"/>
                <w:szCs w:val="14"/>
                <w:color w:val="auto"/>
                <w:w w:val="89"/>
              </w:rPr>
              <w:t>Total</w:t>
            </w: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214,481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182,911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75,947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59,530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42,029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55,192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630,090</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165"/>
        </w:trPr>
        <w:tc>
          <w:tcPr>
            <w:tcW w:w="2780" w:type="dxa"/>
            <w:vAlign w:val="bottom"/>
          </w:tcPr>
          <w:p>
            <w:pPr>
              <w:ind w:left="20"/>
              <w:spacing w:after="0"/>
              <w:rPr>
                <w:sz w:val="20"/>
                <w:szCs w:val="20"/>
                <w:color w:val="auto"/>
              </w:rPr>
            </w:pPr>
            <w:r>
              <w:rPr>
                <w:rFonts w:ascii="Arial" w:cs="Arial" w:eastAsia="Arial" w:hAnsi="Arial"/>
                <w:sz w:val="14"/>
                <w:szCs w:val="14"/>
                <w:color w:val="auto"/>
              </w:rPr>
              <w:t>Accrued interest excluded from total</w:t>
            </w: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423</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1,484</w:t>
            </w:r>
          </w:p>
        </w:tc>
      </w:tr>
      <w:tr>
        <w:trPr>
          <w:trHeight w:val="20"/>
        </w:trPr>
        <w:tc>
          <w:tcPr>
            <w:tcW w:w="2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Credit scores have been updated within the last twelve months.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Foreclosed residential real estate properties included in other real estate and repossessed assets on our Condensed Consolidated Statements of Financial Condition totaled $0.7 million and $0.4 million at June 30, 2023 and December 31,</w:t>
      </w:r>
    </w:p>
    <w:p>
      <w:pPr>
        <w:sectPr>
          <w:pgSz w:w="11900" w:h="16838" w:orient="portrait"/>
          <w:cols w:equalWidth="0" w:num="1">
            <w:col w:w="11240"/>
          </w:cols>
          <w:pgMar w:left="320" w:top="127" w:right="3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2022, respectively. Retail mortgage loans secured by residential real estate properties for which formal foreclosure proceedings are in process according to local requirements totaled $0.2 million and $0.8 million at June 30, 2023 and December 31, 2022, respectively.</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During the three and six month period ended June 30, 2023, we sold $10.2 million and $51.5 million, respectively, of portfolio residential mortgage loans servicing retained and recognized a gain (loss) on sale of $0.01 million and $(0.15) million, respectively. These transactions were done primarily for asset/liability management purposes. During the first quarter of 2022, we sold $33.4 million of portfolio residential fixed rate mortgage loans servicing retained and recognized a gain on sale of $0.41 million. This transaction was done primarily for asset/liability management purposes. There were no portfolio mortgage loan sales in the second quarter of 2022.</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ind w:left="300" w:hanging="297"/>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Shareholders’ Equity and Earnings Per Common Share</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December 20, 2022, our Board of Directors authorized a share repurchase plan (the “Repurchase Plan”) to buy back up to 1,100,000 shares of our outstanding common stock through December 31, 2023. Shares would be repurchased through open market transactions, though we could execute repurchases through other means, such as privately negotiated transactions. The timing and amount of any share repurchases will depend on a variety of factors, including, among others, securities law restrictions, the trading price of our common stock, regulatory requirements, potential alternative uses for capital, and our financial performance. During the six month periods ended June 30, 2023 and 2022 repurchases were made totaling 200,000 shares and 181,586 shares of common stock, for an aggregate purchase price of $3.3 million and $4.0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basic and diluted net income per common share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3060" w:type="dxa"/>
            <w:vAlign w:val="bottom"/>
            <w:gridSpan w:val="5"/>
          </w:tcPr>
          <w:p>
            <w:pPr>
              <w:jc w:val="right"/>
              <w:ind w:right="714"/>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540" w:type="dxa"/>
            <w:vAlign w:val="bottom"/>
            <w:gridSpan w:val="4"/>
          </w:tcPr>
          <w:p>
            <w:pPr>
              <w:jc w:val="right"/>
              <w:ind w:right="794"/>
              <w:spacing w:after="0"/>
              <w:rPr>
                <w:sz w:val="20"/>
                <w:szCs w:val="20"/>
                <w:color w:val="auto"/>
              </w:rPr>
            </w:pPr>
            <w:r>
              <w:rPr>
                <w:rFonts w:ascii="Arial" w:cs="Arial" w:eastAsia="Arial" w:hAnsi="Arial"/>
                <w:sz w:val="17"/>
                <w:szCs w:val="17"/>
                <w:color w:val="auto"/>
              </w:rPr>
              <w:t>Six Months Ended</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7"/>
                <w:szCs w:val="17"/>
                <w:color w:val="auto"/>
              </w:rPr>
              <w:t>June 30,</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60" w:type="dxa"/>
            <w:vAlign w:val="bottom"/>
            <w:gridSpan w:val="3"/>
          </w:tcPr>
          <w:p>
            <w:pPr>
              <w:jc w:val="right"/>
              <w:ind w:right="160"/>
              <w:spacing w:after="0"/>
              <w:rPr>
                <w:sz w:val="20"/>
                <w:szCs w:val="20"/>
                <w:color w:val="auto"/>
              </w:rPr>
            </w:pPr>
            <w:r>
              <w:rPr>
                <w:rFonts w:ascii="Arial" w:cs="Arial" w:eastAsia="Arial" w:hAnsi="Arial"/>
                <w:sz w:val="17"/>
                <w:szCs w:val="17"/>
                <w:color w:val="auto"/>
              </w:rPr>
              <w:t>June 30,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60" w:type="dxa"/>
            <w:vAlign w:val="bottom"/>
            <w:gridSpan w:val="4"/>
          </w:tcPr>
          <w:p>
            <w:pPr>
              <w:jc w:val="right"/>
              <w:ind w:right="714"/>
              <w:spacing w:after="0" w:line="175" w:lineRule="exact"/>
              <w:rPr>
                <w:sz w:val="20"/>
                <w:szCs w:val="20"/>
                <w:color w:val="auto"/>
              </w:rPr>
            </w:pPr>
            <w:r>
              <w:rPr>
                <w:rFonts w:ascii="Arial" w:cs="Arial" w:eastAsia="Arial" w:hAnsi="Arial"/>
                <w:sz w:val="17"/>
                <w:szCs w:val="17"/>
                <w:color w:val="auto"/>
              </w:rPr>
              <w:t>(In thousands, except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7"/>
                <w:szCs w:val="17"/>
                <w:color w:val="auto"/>
              </w:rPr>
              <w:t>per share data)</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14,790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13,001</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27,781</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30,968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(1)</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21,041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21,070</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21,131</w:t>
            </w:r>
          </w:p>
        </w:tc>
        <w:tc>
          <w:tcPr>
            <w:tcW w:w="0" w:type="dxa"/>
            <w:vAlign w:val="bottom"/>
          </w:tcPr>
          <w:p>
            <w:pPr>
              <w:spacing w:after="0"/>
              <w:rPr>
                <w:sz w:val="1"/>
                <w:szCs w:val="1"/>
                <w:color w:val="auto"/>
              </w:rPr>
            </w:pPr>
          </w:p>
        </w:tc>
      </w:tr>
      <w:tr>
        <w:trPr>
          <w:trHeight w:val="168"/>
        </w:trPr>
        <w:tc>
          <w:tcPr>
            <w:tcW w:w="5040" w:type="dxa"/>
            <w:vAlign w:val="bottom"/>
          </w:tcPr>
          <w:p>
            <w:pPr>
              <w:ind w:left="180"/>
              <w:spacing w:after="0" w:line="168" w:lineRule="exact"/>
              <w:rPr>
                <w:sz w:val="20"/>
                <w:szCs w:val="20"/>
                <w:color w:val="auto"/>
              </w:rPr>
            </w:pPr>
            <w:r>
              <w:rPr>
                <w:rFonts w:ascii="Arial" w:cs="Arial" w:eastAsia="Arial" w:hAnsi="Arial"/>
                <w:sz w:val="17"/>
                <w:szCs w:val="17"/>
                <w:color w:val="auto"/>
              </w:rPr>
              <w:t>Stock units for deferred compensation plan for non-employee</w:t>
            </w:r>
          </w:p>
        </w:tc>
        <w:tc>
          <w:tcPr>
            <w:tcW w:w="9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133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154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18"/>
        </w:trPr>
        <w:tc>
          <w:tcPr>
            <w:tcW w:w="5040" w:type="dxa"/>
            <w:vAlign w:val="bottom"/>
          </w:tcPr>
          <w:p>
            <w:pPr>
              <w:ind w:left="320"/>
              <w:spacing w:after="0"/>
              <w:rPr>
                <w:sz w:val="20"/>
                <w:szCs w:val="20"/>
                <w:color w:val="auto"/>
              </w:rPr>
            </w:pPr>
            <w:r>
              <w:rPr>
                <w:rFonts w:ascii="Arial" w:cs="Arial" w:eastAsia="Arial" w:hAnsi="Arial"/>
                <w:sz w:val="17"/>
                <w:szCs w:val="17"/>
                <w:color w:val="auto"/>
              </w:rPr>
              <w:t>directors</w:t>
            </w:r>
          </w:p>
        </w:tc>
        <w:tc>
          <w:tcPr>
            <w:tcW w:w="9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Effect of stock options</w:t>
            </w: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Performance share units</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62"/>
        </w:trPr>
        <w:tc>
          <w:tcPr>
            <w:tcW w:w="5040" w:type="dxa"/>
            <w:vAlign w:val="bottom"/>
            <w:shd w:val="clear" w:color="auto" w:fill="CCEEFF"/>
          </w:tcPr>
          <w:p>
            <w:pPr>
              <w:ind w:left="320"/>
              <w:spacing w:after="0" w:line="162" w:lineRule="exact"/>
              <w:rPr>
                <w:sz w:val="20"/>
                <w:szCs w:val="20"/>
                <w:color w:val="auto"/>
              </w:rPr>
            </w:pPr>
            <w:r>
              <w:rPr>
                <w:rFonts w:ascii="Arial" w:cs="Arial" w:eastAsia="Arial" w:hAnsi="Arial"/>
                <w:sz w:val="17"/>
                <w:szCs w:val="17"/>
                <w:color w:val="auto"/>
              </w:rPr>
              <w:t>Weighted average shares outstanding for calculation of diluted</w:t>
            </w:r>
          </w:p>
        </w:tc>
        <w:tc>
          <w:tcPr>
            <w:tcW w:w="92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21,223</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21,266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21,260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21,334</w:t>
            </w:r>
          </w:p>
        </w:tc>
        <w:tc>
          <w:tcPr>
            <w:tcW w:w="0" w:type="dxa"/>
            <w:vAlign w:val="bottom"/>
          </w:tcPr>
          <w:p>
            <w:pPr>
              <w:spacing w:after="0"/>
              <w:rPr>
                <w:sz w:val="1"/>
                <w:szCs w:val="1"/>
                <w:color w:val="auto"/>
              </w:rPr>
            </w:pPr>
          </w:p>
        </w:tc>
      </w:tr>
      <w:tr>
        <w:trPr>
          <w:trHeight w:val="213"/>
        </w:trPr>
        <w:tc>
          <w:tcPr>
            <w:tcW w:w="5040" w:type="dxa"/>
            <w:vAlign w:val="bottom"/>
            <w:tcBorders>
              <w:bottom w:val="single" w:sz="8" w:color="CCEEFF"/>
            </w:tcBorders>
            <w:shd w:val="clear" w:color="auto" w:fill="CCEEFF"/>
          </w:tcPr>
          <w:p>
            <w:pPr>
              <w:ind w:left="480"/>
              <w:spacing w:after="0" w:line="193" w:lineRule="exact"/>
              <w:rPr>
                <w:sz w:val="20"/>
                <w:szCs w:val="20"/>
                <w:color w:val="auto"/>
              </w:rPr>
            </w:pPr>
            <w:r>
              <w:rPr>
                <w:rFonts w:ascii="Arial" w:cs="Arial" w:eastAsia="Arial" w:hAnsi="Arial"/>
                <w:sz w:val="17"/>
                <w:szCs w:val="17"/>
                <w:color w:val="auto"/>
              </w:rPr>
              <w:t>earnings per share</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common share</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40" w:type="dxa"/>
            <w:vAlign w:val="bottom"/>
          </w:tcPr>
          <w:p>
            <w:pPr>
              <w:ind w:left="180"/>
              <w:spacing w:after="0"/>
              <w:rPr>
                <w:sz w:val="20"/>
                <w:szCs w:val="20"/>
                <w:color w:val="auto"/>
              </w:rPr>
            </w:pPr>
            <w:r>
              <w:rPr>
                <w:rFonts w:ascii="Arial" w:cs="Arial" w:eastAsia="Arial" w:hAnsi="Arial"/>
                <w:sz w:val="17"/>
                <w:szCs w:val="17"/>
                <w:color w:val="auto"/>
              </w:rPr>
              <w:t>Basic (1)</w:t>
            </w:r>
          </w:p>
        </w:tc>
        <w:tc>
          <w:tcPr>
            <w:tcW w:w="920" w:type="dxa"/>
            <w:vAlign w:val="bottom"/>
          </w:tcPr>
          <w:p>
            <w:pPr>
              <w:jc w:val="right"/>
              <w:ind w:right="73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0.70</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0.62</w:t>
            </w:r>
          </w:p>
        </w:tc>
        <w:tc>
          <w:tcPr>
            <w:tcW w:w="6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1.32</w:t>
            </w:r>
          </w:p>
        </w:tc>
        <w:tc>
          <w:tcPr>
            <w:tcW w:w="4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0.61</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Basic net income per common share includes weighted average common shares outstanding during the period and participating share awards.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Weighted average stock options outstanding that were not considered in computing diluted net income per common share because they were anti-dilutive were zero for the three and six month periods ended June 30, 2023 and 2022, respectively.</w:t>
      </w:r>
    </w:p>
    <w:p>
      <w:pPr>
        <w:spacing w:after="0" w:line="139" w:lineRule="exact"/>
        <w:rPr>
          <w:sz w:val="20"/>
          <w:szCs w:val="20"/>
          <w:color w:val="auto"/>
        </w:rPr>
      </w:pPr>
    </w:p>
    <w:p>
      <w:pPr>
        <w:ind w:left="300" w:hanging="297"/>
        <w:spacing w:after="0"/>
        <w:tabs>
          <w:tab w:leader="none" w:pos="30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Derivative Financial Instruments</w:t>
      </w:r>
    </w:p>
    <w:p>
      <w:pPr>
        <w:spacing w:after="0" w:line="178"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We are required to record derivatives on our Condensed Consolidated Statements of Financial Condition as assets and liabilities measured at their fair value. The accounting for increases and decreases in the value of derivatives depends upon the use of derivatives and whether the derivatives qualify for hedge accounting.</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derivative financial instruments according to the type of hedge in which they are designated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June 30, 2023</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ind w:left="180"/>
              <w:spacing w:after="0"/>
              <w:rPr>
                <w:sz w:val="20"/>
                <w:szCs w:val="20"/>
                <w:color w:val="auto"/>
              </w:rPr>
            </w:pPr>
            <w:r>
              <w:rPr>
                <w:rFonts w:ascii="Arial" w:cs="Arial" w:eastAsia="Arial" w:hAnsi="Arial"/>
                <w:sz w:val="17"/>
                <w:szCs w:val="17"/>
                <w:color w:val="auto"/>
              </w:rPr>
              <w:t>Notional</w:t>
            </w:r>
          </w:p>
        </w:tc>
        <w:tc>
          <w:tcPr>
            <w:tcW w:w="1680" w:type="dxa"/>
            <w:vAlign w:val="bottom"/>
          </w:tcPr>
          <w:p>
            <w:pPr>
              <w:jc w:val="center"/>
              <w:spacing w:after="0" w:line="162" w:lineRule="exact"/>
              <w:rPr>
                <w:sz w:val="20"/>
                <w:szCs w:val="20"/>
                <w:color w:val="auto"/>
              </w:rPr>
            </w:pPr>
            <w:r>
              <w:rPr>
                <w:rFonts w:ascii="Arial" w:cs="Arial" w:eastAsia="Arial" w:hAnsi="Arial"/>
                <w:sz w:val="17"/>
                <w:szCs w:val="17"/>
                <w:color w:val="auto"/>
                <w:w w:val="88"/>
              </w:rPr>
              <w:t>Average</w:t>
            </w:r>
          </w:p>
        </w:tc>
        <w:tc>
          <w:tcPr>
            <w:tcW w:w="320" w:type="dxa"/>
            <w:vAlign w:val="bottom"/>
          </w:tcPr>
          <w:p>
            <w:pPr>
              <w:spacing w:after="0"/>
              <w:rPr>
                <w:sz w:val="14"/>
                <w:szCs w:val="14"/>
                <w:color w:val="auto"/>
              </w:rPr>
            </w:pPr>
          </w:p>
        </w:tc>
        <w:tc>
          <w:tcPr>
            <w:tcW w:w="1160" w:type="dxa"/>
            <w:vAlign w:val="bottom"/>
            <w:vMerge w:val="restart"/>
          </w:tcPr>
          <w:p>
            <w:pPr>
              <w:jc w:val="center"/>
              <w:ind w:right="234"/>
              <w:spacing w:after="0"/>
              <w:rPr>
                <w:sz w:val="20"/>
                <w:szCs w:val="20"/>
                <w:color w:val="auto"/>
              </w:rPr>
            </w:pPr>
            <w:r>
              <w:rPr>
                <w:rFonts w:ascii="Arial" w:cs="Arial" w:eastAsia="Arial" w:hAnsi="Arial"/>
                <w:sz w:val="17"/>
                <w:szCs w:val="17"/>
                <w:color w:val="auto"/>
                <w:w w:val="95"/>
              </w:rPr>
              <w:t>Fair</w:t>
            </w:r>
          </w:p>
        </w:tc>
        <w:tc>
          <w:tcPr>
            <w:tcW w:w="0" w:type="dxa"/>
            <w:vAlign w:val="bottom"/>
          </w:tcPr>
          <w:p>
            <w:pPr>
              <w:spacing w:after="0"/>
              <w:rPr>
                <w:sz w:val="1"/>
                <w:szCs w:val="1"/>
                <w:color w:val="auto"/>
              </w:rPr>
            </w:pPr>
          </w:p>
        </w:tc>
      </w:tr>
      <w:tr>
        <w:trPr>
          <w:trHeight w:val="180"/>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80" w:type="dxa"/>
            <w:vAlign w:val="bottom"/>
          </w:tcPr>
          <w:p>
            <w:pPr>
              <w:jc w:val="center"/>
              <w:spacing w:after="0" w:line="180" w:lineRule="exact"/>
              <w:rPr>
                <w:sz w:val="20"/>
                <w:szCs w:val="20"/>
                <w:color w:val="auto"/>
              </w:rPr>
            </w:pPr>
            <w:r>
              <w:rPr>
                <w:rFonts w:ascii="Arial" w:cs="Arial" w:eastAsia="Arial" w:hAnsi="Arial"/>
                <w:sz w:val="17"/>
                <w:szCs w:val="17"/>
                <w:color w:val="auto"/>
                <w:w w:val="99"/>
              </w:rPr>
              <w:t>Maturity</w:t>
            </w: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Amount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(years)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color w:val="auto"/>
                <w:w w:val="91"/>
              </w:rPr>
              <w:t>Value</w:t>
            </w:r>
          </w:p>
        </w:tc>
        <w:tc>
          <w:tcPr>
            <w:tcW w:w="0" w:type="dxa"/>
            <w:vAlign w:val="bottom"/>
          </w:tcPr>
          <w:p>
            <w:pPr>
              <w:spacing w:after="0"/>
              <w:rPr>
                <w:sz w:val="1"/>
                <w:szCs w:val="1"/>
                <w:color w:val="auto"/>
              </w:rPr>
            </w:pPr>
          </w:p>
        </w:tc>
      </w:tr>
      <w:tr>
        <w:trPr>
          <w:trHeight w:val="211"/>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1"/>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00" w:type="dxa"/>
            <w:vAlign w:val="bottom"/>
          </w:tcPr>
          <w:p>
            <w:pPr>
              <w:ind w:left="20"/>
              <w:spacing w:after="0"/>
              <w:rPr>
                <w:sz w:val="20"/>
                <w:szCs w:val="20"/>
                <w:color w:val="auto"/>
              </w:rPr>
            </w:pPr>
            <w:r>
              <w:rPr>
                <w:rFonts w:ascii="Arial" w:cs="Arial" w:eastAsia="Arial" w:hAnsi="Arial"/>
                <w:sz w:val="17"/>
                <w:szCs w:val="17"/>
                <w:color w:val="auto"/>
              </w:rPr>
              <w:t>Fair value hedge designation</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Pay-fixed interest rate swap agreement - commercial</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6,219</w:t>
            </w: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5.9</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c>
          <w:tcPr>
            <w:tcW w:w="0" w:type="dxa"/>
            <w:vAlign w:val="bottom"/>
          </w:tcPr>
          <w:p>
            <w:pPr>
              <w:spacing w:after="0"/>
              <w:rPr>
                <w:sz w:val="1"/>
                <w:szCs w:val="1"/>
                <w:color w:val="auto"/>
              </w:rPr>
            </w:pPr>
          </w:p>
        </w:tc>
      </w:tr>
      <w:tr>
        <w:trPr>
          <w:trHeight w:val="218"/>
        </w:trPr>
        <w:tc>
          <w:tcPr>
            <w:tcW w:w="6600" w:type="dxa"/>
            <w:vAlign w:val="bottom"/>
          </w:tcPr>
          <w:p>
            <w:pPr>
              <w:ind w:left="180"/>
              <w:spacing w:after="0"/>
              <w:rPr>
                <w:sz w:val="20"/>
                <w:szCs w:val="20"/>
                <w:color w:val="auto"/>
              </w:rPr>
            </w:pPr>
            <w:r>
              <w:rPr>
                <w:rFonts w:ascii="Arial" w:cs="Arial" w:eastAsia="Arial" w:hAnsi="Arial"/>
                <w:sz w:val="17"/>
                <w:szCs w:val="17"/>
                <w:color w:val="auto"/>
              </w:rPr>
              <w:t>Pay-fixed interest rate swap agreements - securities available for sale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148,895</w:t>
            </w:r>
          </w:p>
        </w:tc>
        <w:tc>
          <w:tcPr>
            <w:tcW w:w="1680" w:type="dxa"/>
            <w:vAlign w:val="bottom"/>
          </w:tcPr>
          <w:p>
            <w:pPr>
              <w:jc w:val="right"/>
              <w:ind w:right="34"/>
              <w:spacing w:after="0"/>
              <w:rPr>
                <w:sz w:val="20"/>
                <w:szCs w:val="20"/>
                <w:color w:val="auto"/>
              </w:rPr>
            </w:pPr>
            <w:r>
              <w:rPr>
                <w:rFonts w:ascii="Arial" w:cs="Arial" w:eastAsia="Arial" w:hAnsi="Arial"/>
                <w:sz w:val="17"/>
                <w:szCs w:val="17"/>
                <w:color w:val="auto"/>
              </w:rPr>
              <w:t>4.4</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19,530</w:t>
            </w:r>
          </w:p>
        </w:tc>
        <w:tc>
          <w:tcPr>
            <w:tcW w:w="0" w:type="dxa"/>
            <w:vAlign w:val="bottom"/>
          </w:tcPr>
          <w:p>
            <w:pPr>
              <w:spacing w:after="0"/>
              <w:rPr>
                <w:sz w:val="1"/>
                <w:szCs w:val="1"/>
                <w:color w:val="auto"/>
              </w:rPr>
            </w:pPr>
          </w:p>
        </w:tc>
      </w:tr>
      <w:tr>
        <w:trPr>
          <w:trHeight w:val="233"/>
        </w:trPr>
        <w:tc>
          <w:tcPr>
            <w:tcW w:w="6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Pay-fixed interest rate swap agreements - installment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95,000</w:t>
            </w: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3.2</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0" w:type="dxa"/>
            <w:vAlign w:val="bottom"/>
          </w:tcPr>
          <w:p>
            <w:pPr>
              <w:spacing w:after="0"/>
              <w:rPr>
                <w:sz w:val="1"/>
                <w:szCs w:val="1"/>
                <w:color w:val="auto"/>
              </w:rPr>
            </w:pPr>
          </w:p>
        </w:tc>
      </w:tr>
      <w:tr>
        <w:trPr>
          <w:trHeight w:val="218"/>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Interest rate cap agreements - securities available for sale</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40,970</w:t>
            </w:r>
          </w:p>
        </w:tc>
        <w:tc>
          <w:tcPr>
            <w:tcW w:w="1680" w:type="dxa"/>
            <w:vAlign w:val="bottom"/>
            <w:tcBorders>
              <w:bottom w:val="single" w:sz="8" w:color="CCEEFF"/>
            </w:tcBorders>
          </w:tcPr>
          <w:p>
            <w:pPr>
              <w:jc w:val="right"/>
              <w:ind w:right="34"/>
              <w:spacing w:after="0"/>
              <w:rPr>
                <w:sz w:val="20"/>
                <w:szCs w:val="20"/>
                <w:color w:val="auto"/>
              </w:rPr>
            </w:pPr>
            <w:r>
              <w:rPr>
                <w:rFonts w:ascii="Arial" w:cs="Arial" w:eastAsia="Arial" w:hAnsi="Arial"/>
                <w:sz w:val="17"/>
                <w:szCs w:val="17"/>
                <w:color w:val="auto"/>
              </w:rPr>
              <w:t>4.8</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954</w:t>
            </w:r>
          </w:p>
        </w:tc>
        <w:tc>
          <w:tcPr>
            <w:tcW w:w="0" w:type="dxa"/>
            <w:vAlign w:val="bottom"/>
          </w:tcPr>
          <w:p>
            <w:pPr>
              <w:spacing w:after="0"/>
              <w:rPr>
                <w:sz w:val="1"/>
                <w:szCs w:val="1"/>
                <w:color w:val="auto"/>
              </w:rPr>
            </w:pPr>
          </w:p>
        </w:tc>
      </w:tr>
      <w:tr>
        <w:trPr>
          <w:trHeight w:val="238"/>
        </w:trPr>
        <w:tc>
          <w:tcPr>
            <w:tcW w:w="6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291,084</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4.1</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21,622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 hedge designation</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tcPr>
          <w:p>
            <w:pPr>
              <w:ind w:left="180"/>
              <w:spacing w:after="0"/>
              <w:rPr>
                <w:sz w:val="20"/>
                <w:szCs w:val="20"/>
                <w:color w:val="auto"/>
              </w:rPr>
            </w:pPr>
            <w:r>
              <w:rPr>
                <w:rFonts w:ascii="Arial" w:cs="Arial" w:eastAsia="Arial" w:hAnsi="Arial"/>
                <w:sz w:val="17"/>
                <w:szCs w:val="17"/>
                <w:color w:val="auto"/>
              </w:rPr>
              <w:t>Rate-lock mortgage loan commitments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42,599</w:t>
            </w:r>
          </w:p>
        </w:tc>
        <w:tc>
          <w:tcPr>
            <w:tcW w:w="1680" w:type="dxa"/>
            <w:vAlign w:val="bottom"/>
          </w:tcPr>
          <w:p>
            <w:pPr>
              <w:jc w:val="right"/>
              <w:ind w:right="34"/>
              <w:spacing w:after="0"/>
              <w:rPr>
                <w:sz w:val="20"/>
                <w:szCs w:val="20"/>
                <w:color w:val="auto"/>
              </w:rPr>
            </w:pPr>
            <w:r>
              <w:rPr>
                <w:rFonts w:ascii="Arial" w:cs="Arial" w:eastAsia="Arial" w:hAnsi="Arial"/>
                <w:sz w:val="17"/>
                <w:szCs w:val="17"/>
                <w:color w:val="auto"/>
              </w:rPr>
              <w:t>0.1</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0"/>
        </w:trPr>
        <w:tc>
          <w:tcPr>
            <w:tcW w:w="6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Mandatory commitments to sell mortgage loans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62,623</w:t>
            </w: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25"/>
        </w:trPr>
        <w:tc>
          <w:tcPr>
            <w:tcW w:w="6600" w:type="dxa"/>
            <w:vAlign w:val="bottom"/>
          </w:tcPr>
          <w:p>
            <w:pPr>
              <w:ind w:left="180"/>
              <w:spacing w:after="0"/>
              <w:rPr>
                <w:sz w:val="20"/>
                <w:szCs w:val="20"/>
                <w:color w:val="auto"/>
              </w:rPr>
            </w:pPr>
            <w:r>
              <w:rPr>
                <w:rFonts w:ascii="Arial" w:cs="Arial" w:eastAsia="Arial" w:hAnsi="Arial"/>
                <w:sz w:val="17"/>
                <w:szCs w:val="17"/>
                <w:color w:val="auto"/>
              </w:rPr>
              <w:t>Pay-fixed interest rate swap agreements - commercial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318,781</w:t>
            </w:r>
          </w:p>
        </w:tc>
        <w:tc>
          <w:tcPr>
            <w:tcW w:w="1680" w:type="dxa"/>
            <w:vAlign w:val="bottom"/>
          </w:tcPr>
          <w:p>
            <w:pPr>
              <w:jc w:val="right"/>
              <w:ind w:right="34"/>
              <w:spacing w:after="0"/>
              <w:rPr>
                <w:sz w:val="20"/>
                <w:szCs w:val="20"/>
                <w:color w:val="auto"/>
              </w:rPr>
            </w:pPr>
            <w:r>
              <w:rPr>
                <w:rFonts w:ascii="Arial" w:cs="Arial" w:eastAsia="Arial" w:hAnsi="Arial"/>
                <w:sz w:val="17"/>
                <w:szCs w:val="17"/>
                <w:color w:val="auto"/>
              </w:rPr>
              <w:t>5.9</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16,178</w:t>
            </w: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Pay-variable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318,781</w:t>
            </w: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5.9</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(16,178)</w:t>
            </w:r>
          </w:p>
        </w:tc>
        <w:tc>
          <w:tcPr>
            <w:tcW w:w="0" w:type="dxa"/>
            <w:vAlign w:val="bottom"/>
          </w:tcPr>
          <w:p>
            <w:pPr>
              <w:spacing w:after="0"/>
              <w:rPr>
                <w:sz w:val="1"/>
                <w:szCs w:val="1"/>
                <w:color w:val="auto"/>
              </w:rPr>
            </w:pPr>
          </w:p>
        </w:tc>
      </w:tr>
      <w:tr>
        <w:trPr>
          <w:trHeight w:val="218"/>
        </w:trPr>
        <w:tc>
          <w:tcPr>
            <w:tcW w:w="6600" w:type="dxa"/>
            <w:vAlign w:val="bottom"/>
          </w:tcPr>
          <w:p>
            <w:pPr>
              <w:ind w:left="180"/>
              <w:spacing w:after="0"/>
              <w:rPr>
                <w:sz w:val="20"/>
                <w:szCs w:val="20"/>
                <w:color w:val="auto"/>
              </w:rPr>
            </w:pPr>
            <w:r>
              <w:rPr>
                <w:rFonts w:ascii="Arial" w:cs="Arial" w:eastAsia="Arial" w:hAnsi="Arial"/>
                <w:sz w:val="17"/>
                <w:szCs w:val="17"/>
                <w:color w:val="auto"/>
              </w:rPr>
              <w:t>Pay-variable interest rate swap agreement</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40,000</w:t>
            </w:r>
          </w:p>
        </w:tc>
        <w:tc>
          <w:tcPr>
            <w:tcW w:w="1680" w:type="dxa"/>
            <w:vAlign w:val="bottom"/>
          </w:tcPr>
          <w:p>
            <w:pPr>
              <w:jc w:val="right"/>
              <w:ind w:right="34"/>
              <w:spacing w:after="0"/>
              <w:rPr>
                <w:sz w:val="20"/>
                <w:szCs w:val="20"/>
                <w:color w:val="auto"/>
              </w:rPr>
            </w:pPr>
            <w:r>
              <w:rPr>
                <w:rFonts w:ascii="Arial" w:cs="Arial" w:eastAsia="Arial" w:hAnsi="Arial"/>
                <w:sz w:val="17"/>
                <w:szCs w:val="17"/>
                <w:color w:val="auto"/>
              </w:rPr>
              <w:t>0.1</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51"/>
        </w:trPr>
        <w:tc>
          <w:tcPr>
            <w:tcW w:w="6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782,784</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4.8</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7"/>
                <w:szCs w:val="17"/>
                <w:color w:val="auto"/>
                <w:w w:val="91"/>
              </w:rPr>
              <w:t>December 31, 2022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6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vMerge w:val="restart"/>
          </w:tcPr>
          <w:p>
            <w:pPr>
              <w:ind w:left="180"/>
              <w:spacing w:after="0"/>
              <w:rPr>
                <w:sz w:val="20"/>
                <w:szCs w:val="20"/>
                <w:color w:val="auto"/>
              </w:rPr>
            </w:pPr>
            <w:r>
              <w:rPr>
                <w:rFonts w:ascii="Arial" w:cs="Arial" w:eastAsia="Arial" w:hAnsi="Arial"/>
                <w:sz w:val="17"/>
                <w:szCs w:val="17"/>
                <w:color w:val="auto"/>
              </w:rPr>
              <w:t>Notional</w:t>
            </w:r>
          </w:p>
        </w:tc>
        <w:tc>
          <w:tcPr>
            <w:tcW w:w="1680" w:type="dxa"/>
            <w:vAlign w:val="bottom"/>
          </w:tcPr>
          <w:p>
            <w:pPr>
              <w:jc w:val="center"/>
              <w:spacing w:after="0" w:line="162" w:lineRule="exact"/>
              <w:rPr>
                <w:sz w:val="20"/>
                <w:szCs w:val="20"/>
                <w:color w:val="auto"/>
              </w:rPr>
            </w:pPr>
            <w:r>
              <w:rPr>
                <w:rFonts w:ascii="Arial" w:cs="Arial" w:eastAsia="Arial" w:hAnsi="Arial"/>
                <w:sz w:val="17"/>
                <w:szCs w:val="17"/>
                <w:color w:val="auto"/>
                <w:w w:val="88"/>
              </w:rPr>
              <w:t>Average</w:t>
            </w:r>
          </w:p>
        </w:tc>
        <w:tc>
          <w:tcPr>
            <w:tcW w:w="320" w:type="dxa"/>
            <w:vAlign w:val="bottom"/>
          </w:tcPr>
          <w:p>
            <w:pPr>
              <w:spacing w:after="0"/>
              <w:rPr>
                <w:sz w:val="14"/>
                <w:szCs w:val="14"/>
                <w:color w:val="auto"/>
              </w:rPr>
            </w:pPr>
          </w:p>
        </w:tc>
        <w:tc>
          <w:tcPr>
            <w:tcW w:w="1160" w:type="dxa"/>
            <w:vAlign w:val="bottom"/>
            <w:vMerge w:val="restart"/>
          </w:tcPr>
          <w:p>
            <w:pPr>
              <w:jc w:val="center"/>
              <w:ind w:right="234"/>
              <w:spacing w:after="0"/>
              <w:rPr>
                <w:sz w:val="20"/>
                <w:szCs w:val="20"/>
                <w:color w:val="auto"/>
              </w:rPr>
            </w:pPr>
            <w:r>
              <w:rPr>
                <w:rFonts w:ascii="Arial" w:cs="Arial" w:eastAsia="Arial" w:hAnsi="Arial"/>
                <w:sz w:val="17"/>
                <w:szCs w:val="17"/>
                <w:color w:val="auto"/>
                <w:w w:val="95"/>
              </w:rPr>
              <w:t>Fair</w:t>
            </w:r>
          </w:p>
        </w:tc>
        <w:tc>
          <w:tcPr>
            <w:tcW w:w="0" w:type="dxa"/>
            <w:vAlign w:val="bottom"/>
          </w:tcPr>
          <w:p>
            <w:pPr>
              <w:spacing w:after="0"/>
              <w:rPr>
                <w:sz w:val="1"/>
                <w:szCs w:val="1"/>
                <w:color w:val="auto"/>
              </w:rPr>
            </w:pPr>
          </w:p>
        </w:tc>
      </w:tr>
      <w:tr>
        <w:trPr>
          <w:trHeight w:val="180"/>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680" w:type="dxa"/>
            <w:vAlign w:val="bottom"/>
          </w:tcPr>
          <w:p>
            <w:pPr>
              <w:jc w:val="center"/>
              <w:spacing w:after="0" w:line="180" w:lineRule="exact"/>
              <w:rPr>
                <w:sz w:val="20"/>
                <w:szCs w:val="20"/>
                <w:color w:val="auto"/>
              </w:rPr>
            </w:pPr>
            <w:r>
              <w:rPr>
                <w:rFonts w:ascii="Arial" w:cs="Arial" w:eastAsia="Arial" w:hAnsi="Arial"/>
                <w:sz w:val="17"/>
                <w:szCs w:val="17"/>
                <w:color w:val="auto"/>
                <w:w w:val="99"/>
              </w:rPr>
              <w:t>Maturity</w:t>
            </w: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Amount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(years)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color w:val="auto"/>
                <w:w w:val="91"/>
              </w:rPr>
              <w:t>Value</w:t>
            </w:r>
          </w:p>
        </w:tc>
        <w:tc>
          <w:tcPr>
            <w:tcW w:w="0" w:type="dxa"/>
            <w:vAlign w:val="bottom"/>
          </w:tcPr>
          <w:p>
            <w:pPr>
              <w:spacing w:after="0"/>
              <w:rPr>
                <w:sz w:val="1"/>
                <w:szCs w:val="1"/>
                <w:color w:val="auto"/>
              </w:rPr>
            </w:pPr>
          </w:p>
        </w:tc>
      </w:tr>
      <w:tr>
        <w:trPr>
          <w:trHeight w:val="212"/>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7"/>
                <w:szCs w:val="17"/>
                <w:color w:val="auto"/>
                <w:w w:val="91"/>
              </w:rPr>
              <w:t>(Dollars 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hedge designation</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0" w:type="dxa"/>
            <w:vAlign w:val="bottom"/>
          </w:tcPr>
          <w:p>
            <w:pPr>
              <w:ind w:left="180"/>
              <w:spacing w:after="0"/>
              <w:rPr>
                <w:sz w:val="20"/>
                <w:szCs w:val="20"/>
                <w:color w:val="auto"/>
              </w:rPr>
            </w:pPr>
            <w:r>
              <w:rPr>
                <w:rFonts w:ascii="Arial" w:cs="Arial" w:eastAsia="Arial" w:hAnsi="Arial"/>
                <w:sz w:val="17"/>
                <w:szCs w:val="17"/>
                <w:color w:val="auto"/>
              </w:rPr>
              <w:t>Pay-fixed interest rate swap agreement - commercial</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6,401</w:t>
            </w:r>
          </w:p>
        </w:tc>
        <w:tc>
          <w:tcPr>
            <w:tcW w:w="1680" w:type="dxa"/>
            <w:vAlign w:val="bottom"/>
          </w:tcPr>
          <w:p>
            <w:pPr>
              <w:jc w:val="right"/>
              <w:ind w:right="34"/>
              <w:spacing w:after="0"/>
              <w:rPr>
                <w:sz w:val="20"/>
                <w:szCs w:val="20"/>
                <w:color w:val="auto"/>
              </w:rPr>
            </w:pPr>
            <w:r>
              <w:rPr>
                <w:rFonts w:ascii="Arial" w:cs="Arial" w:eastAsia="Arial" w:hAnsi="Arial"/>
                <w:sz w:val="17"/>
                <w:szCs w:val="17"/>
                <w:color w:val="auto"/>
              </w:rPr>
              <w:t>6.4</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447</w:t>
            </w:r>
          </w:p>
        </w:tc>
        <w:tc>
          <w:tcPr>
            <w:tcW w:w="0" w:type="dxa"/>
            <w:vAlign w:val="bottom"/>
          </w:tcPr>
          <w:p>
            <w:pPr>
              <w:spacing w:after="0"/>
              <w:rPr>
                <w:sz w:val="1"/>
                <w:szCs w:val="1"/>
                <w:color w:val="auto"/>
              </w:rPr>
            </w:pPr>
          </w:p>
        </w:tc>
      </w:tr>
      <w:tr>
        <w:trPr>
          <w:trHeight w:val="220"/>
        </w:trPr>
        <w:tc>
          <w:tcPr>
            <w:tcW w:w="6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Pay-fixed interest rate swap agreements - securities available for sale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148,895</w:t>
            </w: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4.8</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19,906</w:t>
            </w:r>
          </w:p>
        </w:tc>
        <w:tc>
          <w:tcPr>
            <w:tcW w:w="0" w:type="dxa"/>
            <w:vAlign w:val="bottom"/>
          </w:tcPr>
          <w:p>
            <w:pPr>
              <w:spacing w:after="0"/>
              <w:rPr>
                <w:sz w:val="1"/>
                <w:szCs w:val="1"/>
                <w:color w:val="auto"/>
              </w:rPr>
            </w:pPr>
          </w:p>
        </w:tc>
      </w:tr>
      <w:tr>
        <w:trPr>
          <w:trHeight w:val="225"/>
        </w:trPr>
        <w:tc>
          <w:tcPr>
            <w:tcW w:w="6600" w:type="dxa"/>
            <w:vAlign w:val="bottom"/>
          </w:tcPr>
          <w:p>
            <w:pPr>
              <w:ind w:left="180"/>
              <w:spacing w:after="0"/>
              <w:rPr>
                <w:sz w:val="20"/>
                <w:szCs w:val="20"/>
                <w:color w:val="auto"/>
              </w:rPr>
            </w:pPr>
            <w:r>
              <w:rPr>
                <w:rFonts w:ascii="Arial" w:cs="Arial" w:eastAsia="Arial" w:hAnsi="Arial"/>
                <w:sz w:val="17"/>
                <w:szCs w:val="17"/>
                <w:color w:val="auto"/>
              </w:rPr>
              <w:t>Pay-fixed interest rate swap agreements - installment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25,000</w:t>
            </w:r>
          </w:p>
        </w:tc>
        <w:tc>
          <w:tcPr>
            <w:tcW w:w="1680" w:type="dxa"/>
            <w:vAlign w:val="bottom"/>
          </w:tcPr>
          <w:p>
            <w:pPr>
              <w:jc w:val="right"/>
              <w:ind w:right="34"/>
              <w:spacing w:after="0"/>
              <w:rPr>
                <w:sz w:val="20"/>
                <w:szCs w:val="20"/>
                <w:color w:val="auto"/>
              </w:rPr>
            </w:pPr>
            <w:r>
              <w:rPr>
                <w:rFonts w:ascii="Arial" w:cs="Arial" w:eastAsia="Arial" w:hAnsi="Arial"/>
                <w:sz w:val="17"/>
                <w:szCs w:val="17"/>
                <w:color w:val="auto"/>
              </w:rPr>
              <w:t>2.0</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rate cap agreements - securities available for sale</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40,970</w:t>
            </w: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5.3</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931</w:t>
            </w:r>
          </w:p>
        </w:tc>
        <w:tc>
          <w:tcPr>
            <w:tcW w:w="0" w:type="dxa"/>
            <w:vAlign w:val="bottom"/>
          </w:tcPr>
          <w:p>
            <w:pPr>
              <w:spacing w:after="0"/>
              <w:rPr>
                <w:sz w:val="1"/>
                <w:szCs w:val="1"/>
                <w:color w:val="auto"/>
              </w:rPr>
            </w:pPr>
          </w:p>
        </w:tc>
      </w:tr>
      <w:tr>
        <w:trPr>
          <w:trHeight w:val="213"/>
        </w:trPr>
        <w:tc>
          <w:tcPr>
            <w:tcW w:w="6600" w:type="dxa"/>
            <w:vAlign w:val="bottom"/>
          </w:tcPr>
          <w:p>
            <w:pPr>
              <w:ind w:left="3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221,266</w:t>
            </w:r>
          </w:p>
        </w:tc>
        <w:tc>
          <w:tcPr>
            <w:tcW w:w="1680" w:type="dxa"/>
            <w:vAlign w:val="bottom"/>
          </w:tcPr>
          <w:p>
            <w:pPr>
              <w:jc w:val="right"/>
              <w:ind w:right="34"/>
              <w:spacing w:after="0"/>
              <w:rPr>
                <w:sz w:val="20"/>
                <w:szCs w:val="20"/>
                <w:color w:val="auto"/>
              </w:rPr>
            </w:pPr>
            <w:r>
              <w:rPr>
                <w:rFonts w:ascii="Arial" w:cs="Arial" w:eastAsia="Arial" w:hAnsi="Arial"/>
                <w:sz w:val="17"/>
                <w:szCs w:val="17"/>
                <w:color w:val="auto"/>
              </w:rPr>
              <w:t>4.6</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21,361</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00" w:type="dxa"/>
            <w:vAlign w:val="bottom"/>
          </w:tcPr>
          <w:p>
            <w:pPr>
              <w:ind w:left="20"/>
              <w:spacing w:after="0"/>
              <w:rPr>
                <w:sz w:val="20"/>
                <w:szCs w:val="20"/>
                <w:color w:val="auto"/>
              </w:rPr>
            </w:pPr>
            <w:r>
              <w:rPr>
                <w:rFonts w:ascii="Arial" w:cs="Arial" w:eastAsia="Arial" w:hAnsi="Arial"/>
                <w:sz w:val="17"/>
                <w:szCs w:val="17"/>
                <w:color w:val="auto"/>
              </w:rPr>
              <w:t>No hedge designation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Rate-lock mortgage loan commitments</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19,918</w:t>
            </w: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0.1</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218"/>
        </w:trPr>
        <w:tc>
          <w:tcPr>
            <w:tcW w:w="6600" w:type="dxa"/>
            <w:vAlign w:val="bottom"/>
          </w:tcPr>
          <w:p>
            <w:pPr>
              <w:ind w:left="180"/>
              <w:spacing w:after="0"/>
              <w:rPr>
                <w:sz w:val="20"/>
                <w:szCs w:val="20"/>
                <w:color w:val="auto"/>
              </w:rPr>
            </w:pPr>
            <w:r>
              <w:rPr>
                <w:rFonts w:ascii="Arial" w:cs="Arial" w:eastAsia="Arial" w:hAnsi="Arial"/>
                <w:sz w:val="17"/>
                <w:szCs w:val="17"/>
                <w:color w:val="auto"/>
              </w:rPr>
              <w:t>Mandatory commitments to sell mortgage loans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49,258</w:t>
            </w:r>
          </w:p>
        </w:tc>
        <w:tc>
          <w:tcPr>
            <w:tcW w:w="1680" w:type="dxa"/>
            <w:vAlign w:val="bottom"/>
          </w:tcPr>
          <w:p>
            <w:pPr>
              <w:jc w:val="right"/>
              <w:ind w:right="34"/>
              <w:spacing w:after="0"/>
              <w:rPr>
                <w:sz w:val="20"/>
                <w:szCs w:val="20"/>
                <w:color w:val="auto"/>
              </w:rPr>
            </w:pPr>
            <w:r>
              <w:rPr>
                <w:rFonts w:ascii="Arial" w:cs="Arial" w:eastAsia="Arial" w:hAnsi="Arial"/>
                <w:sz w:val="17"/>
                <w:szCs w:val="17"/>
                <w:color w:val="auto"/>
              </w:rPr>
              <w:t>0.1</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20"/>
        </w:trPr>
        <w:tc>
          <w:tcPr>
            <w:tcW w:w="66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Pay-fixed interest rate swap agreements - commercial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279,005</w:t>
            </w:r>
          </w:p>
        </w:tc>
        <w:tc>
          <w:tcPr>
            <w:tcW w:w="16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6.0</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17,063</w:t>
            </w:r>
          </w:p>
        </w:tc>
        <w:tc>
          <w:tcPr>
            <w:tcW w:w="0" w:type="dxa"/>
            <w:vAlign w:val="bottom"/>
          </w:tcPr>
          <w:p>
            <w:pPr>
              <w:spacing w:after="0"/>
              <w:rPr>
                <w:sz w:val="1"/>
                <w:szCs w:val="1"/>
                <w:color w:val="auto"/>
              </w:rPr>
            </w:pPr>
          </w:p>
        </w:tc>
      </w:tr>
      <w:tr>
        <w:trPr>
          <w:trHeight w:val="231"/>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Pay-variable interest rate swap agreements - commercial</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279,005</w:t>
            </w:r>
          </w:p>
        </w:tc>
        <w:tc>
          <w:tcPr>
            <w:tcW w:w="1680" w:type="dxa"/>
            <w:vAlign w:val="bottom"/>
            <w:tcBorders>
              <w:bottom w:val="single" w:sz="8" w:color="CCEEFF"/>
            </w:tcBorders>
          </w:tcPr>
          <w:p>
            <w:pPr>
              <w:jc w:val="right"/>
              <w:ind w:right="34"/>
              <w:spacing w:after="0"/>
              <w:rPr>
                <w:sz w:val="20"/>
                <w:szCs w:val="20"/>
                <w:color w:val="auto"/>
              </w:rPr>
            </w:pPr>
            <w:r>
              <w:rPr>
                <w:rFonts w:ascii="Arial" w:cs="Arial" w:eastAsia="Arial" w:hAnsi="Arial"/>
                <w:sz w:val="17"/>
                <w:szCs w:val="17"/>
                <w:color w:val="auto"/>
              </w:rPr>
              <w:t>6.0</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(17,063)</w:t>
            </w:r>
          </w:p>
        </w:tc>
        <w:tc>
          <w:tcPr>
            <w:tcW w:w="0" w:type="dxa"/>
            <w:vAlign w:val="bottom"/>
          </w:tcPr>
          <w:p>
            <w:pPr>
              <w:spacing w:after="0"/>
              <w:rPr>
                <w:sz w:val="1"/>
                <w:szCs w:val="1"/>
                <w:color w:val="auto"/>
              </w:rPr>
            </w:pPr>
          </w:p>
        </w:tc>
      </w:tr>
      <w:tr>
        <w:trPr>
          <w:trHeight w:val="238"/>
        </w:trPr>
        <w:tc>
          <w:tcPr>
            <w:tcW w:w="6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627,186</w:t>
            </w:r>
          </w:p>
        </w:tc>
        <w:tc>
          <w:tcPr>
            <w:tcW w:w="1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5.3</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established management objectives and strategies that include interest-rate risk parameters for maximum fluctuations in net interest income and market value of portfolio equity. We monitor our interest rate risk position via simulation modeling reports. The goal of our asset/liability management efforts is to maintain profitable financial leverage within established risk parameters.</w:t>
      </w:r>
    </w:p>
    <w:p>
      <w:pPr>
        <w:spacing w:after="0" w:line="20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entered into pay-fixed interest rate swaps and caps to protect a portion of the fair value of a certain fixed rate commercial loan and certain installment loans (‘‘Fair Value Hedge – Portfolio Loans’’). As a result, changes in the fair values of the pay-fixed interest rate swap and caps are expected to offset changes in the fair values of the fixed rate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portfolio loans due to fluctuations in interest rates. We record the fair values of Fair Value Hedge – Portfolio Loans in accrued income and other assets and accrued expenses and other liabilities on our Condensed Consolidated Statements of Financial Condition. The hedged items (fixed rate commercial loan and certain fixed rate installment loans) are also recorded at fair value which offsets the adjustment to the Fair Value Hedge – Portfolio Loans. On an ongoing basis, we adjust our Condensed Consolidated Statements of Financial Condition to reflect the then current fair values of both the Fair Value Hedge – Portfolio Loans and the hedged items. The related gains or losses are reported in interest income – interest and fees on loans in our Condensed Consolidated Statements of Operations. During the second quarter of 2023 we terminated the interest rate cap that was previously hedging certain installment loans. The remaining unrealized loss on this terminated interest cap is being amortized into earnings over the original life of the interest rate cap.</w:t>
      </w:r>
    </w:p>
    <w:p>
      <w:pPr>
        <w:spacing w:after="0" w:line="195"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We have entered into pay-fixed interest rate swap and interest rate cap agreements to protect a portion of the fair value of certain securities available for sale (‘‘Fair Value Hedge – AFS Securities’’). As a result, the change in the fair value of the pay-fixed interest rate swap and interest rate cap agreements is expected to offset a portion of the change in the fair value of the fixed rate securities available for sale due to fluctuations in interest rates. We record the fair value of Fair Value Hedge</w:t>
      </w:r>
    </w:p>
    <w:p>
      <w:pPr>
        <w:jc w:val="both"/>
        <w:spacing w:after="0" w:line="256" w:lineRule="auto"/>
        <w:rPr>
          <w:sz w:val="20"/>
          <w:szCs w:val="20"/>
          <w:color w:val="auto"/>
        </w:rPr>
      </w:pPr>
      <w:r>
        <w:rPr>
          <w:rFonts w:ascii="Arial" w:cs="Arial" w:eastAsia="Arial" w:hAnsi="Arial"/>
          <w:sz w:val="17"/>
          <w:szCs w:val="17"/>
          <w:color w:val="auto"/>
        </w:rPr>
        <w:t>– AFS Securities in accrued income and other assets and accrued expenses and other liabilities on our Condensed Consolidated Statements of Financial Condition. The hedged items (fixed rate securities available for sale) are also recorded at fair value which offsets the adjustment to the Fair Value Hedge – AFS Securities. On an ongoing basis, we adjust our Condensed Consolidated Statements of Financial Condition to reflect the then current fair value of both the Fair Value Hedge – AFS Securities and the hedged item. The related gains or losses are reported in interest income – interest on securities – taxable and interest income – interest on securities – tax-exempt in our Condensed Consolidated Statements of Operations.</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financial derivative instruments have not been designated as hedges. The fair value of these derivative financial instruments has been recorded on our Condensed Consolidated Statements of Financial Condition and is adjusted on an ongoing basis to reflect their then current fair value. The changes in fair value of derivative financial instruments not designated as hedges are recognized in our Condensed Consolidated Statements of Operations.</w:t>
      </w:r>
    </w:p>
    <w:p>
      <w:pPr>
        <w:spacing w:after="0" w:line="132"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In the ordinary course of business, we enter into rate-lock mortgage loan commitments with customers (“Rate-Lock Commitments”). These commitments expose us to interest rate risk. We also enter into mandatory commitments to sell mortgage loans (“Mandatory Commitments”) to reduce the impact of price fluctuations of mortgage loans held for sale and Rate-Lock Commitments. Mandatory Commitments help protect our loan sale profit margin from fluctuations in interest rates. The changes in the fair value of Rate-Lock Commitments and Mandatory Commitments are recognized currently as part of net gains on mortgage loans in our Condensed Consolidated Statements of Operations. We obtain market prices on Mandatory Commitments and Rate-Lock Commitments. Net gains on mortgage loans, as well as net income may be more volatile as a result of these derivative instruments, which are not designated as hedges.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a program that allows commercial loan customers to lock in a fixed rate for a longer period of time than we would normally offer for interest rate risk reasons. We will enter into a variable rate commercial loan and an interest rate swap agreement with a customer and then enter into an offsetting interest rate swap agreement with an unrelated party. The interest rate swap agreement fair values will generally move in opposite directions resulting in little or no net impact on our Condensed Consolidated Statements of Operations. All of the interest rate swap agreements - commercial in the table above with no hedge designation relate to this program.</w:t>
      </w:r>
    </w:p>
    <w:p>
      <w:pPr>
        <w:spacing w:after="0" w:line="144"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We have entered into a no hedge designation pay-variable interest rate swap agreement in an attempt to manage the cost of certain funding liabilities. The changes in fair value of this no hedge pay-variable interest rate swap is recorded in non-interest expense-other in our Condensed Consolidated Statements of Operations.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tables illustrate the impact that the derivative financial instruments discussed above have on individual line items in the Condensed Consolidated Statements of Financial Condition for the periods presented: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Fair Values of Derivative Instruments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180"/>
              <w:spacing w:after="0"/>
              <w:rPr>
                <w:sz w:val="20"/>
                <w:szCs w:val="20"/>
                <w:color w:val="auto"/>
              </w:rPr>
            </w:pPr>
            <w:r>
              <w:rPr>
                <w:rFonts w:ascii="Arial" w:cs="Arial" w:eastAsia="Arial" w:hAnsi="Arial"/>
                <w:sz w:val="17"/>
                <w:szCs w:val="17"/>
                <w:color w:val="auto"/>
              </w:rPr>
              <w:t>Asset Derivatives</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7"/>
                <w:szCs w:val="17"/>
                <w:color w:val="auto"/>
              </w:rPr>
              <w:t>Liability Derivatives</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00" w:type="dxa"/>
            <w:vAlign w:val="bottom"/>
          </w:tcPr>
          <w:p>
            <w:pPr>
              <w:spacing w:after="0"/>
              <w:rPr>
                <w:sz w:val="15"/>
                <w:szCs w:val="15"/>
                <w:color w:val="auto"/>
              </w:rPr>
            </w:pPr>
          </w:p>
        </w:tc>
        <w:tc>
          <w:tcPr>
            <w:tcW w:w="1380" w:type="dxa"/>
            <w:vAlign w:val="bottom"/>
            <w:gridSpan w:val="3"/>
          </w:tcPr>
          <w:p>
            <w:pPr>
              <w:ind w:left="780"/>
              <w:spacing w:after="0" w:line="175" w:lineRule="exact"/>
              <w:rPr>
                <w:sz w:val="20"/>
                <w:szCs w:val="20"/>
                <w:color w:val="auto"/>
              </w:rPr>
            </w:pPr>
            <w:r>
              <w:rPr>
                <w:rFonts w:ascii="Arial" w:cs="Arial" w:eastAsia="Arial" w:hAnsi="Arial"/>
                <w:sz w:val="17"/>
                <w:szCs w:val="17"/>
                <w:color w:val="auto"/>
                <w:w w:val="88"/>
              </w:rPr>
              <w:t>June 30,</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4"/>
          </w:tcPr>
          <w:p>
            <w:pPr>
              <w:jc w:val="right"/>
              <w:ind w:right="494"/>
              <w:spacing w:after="0" w:line="175" w:lineRule="exact"/>
              <w:rPr>
                <w:sz w:val="20"/>
                <w:szCs w:val="20"/>
                <w:color w:val="auto"/>
              </w:rPr>
            </w:pPr>
            <w:r>
              <w:rPr>
                <w:rFonts w:ascii="Arial" w:cs="Arial" w:eastAsia="Arial" w:hAnsi="Arial"/>
                <w:sz w:val="17"/>
                <w:szCs w:val="17"/>
                <w:color w:val="auto"/>
              </w:rPr>
              <w:t>December 31,</w:t>
            </w:r>
          </w:p>
        </w:tc>
        <w:tc>
          <w:tcPr>
            <w:tcW w:w="100" w:type="dxa"/>
            <w:vAlign w:val="bottom"/>
          </w:tcPr>
          <w:p>
            <w:pPr>
              <w:spacing w:after="0"/>
              <w:rPr>
                <w:sz w:val="15"/>
                <w:szCs w:val="15"/>
                <w:color w:val="auto"/>
              </w:rPr>
            </w:pPr>
          </w:p>
        </w:tc>
        <w:tc>
          <w:tcPr>
            <w:tcW w:w="1380" w:type="dxa"/>
            <w:vAlign w:val="bottom"/>
            <w:gridSpan w:val="3"/>
          </w:tcPr>
          <w:p>
            <w:pPr>
              <w:ind w:left="760"/>
              <w:spacing w:after="0" w:line="175" w:lineRule="exact"/>
              <w:rPr>
                <w:sz w:val="20"/>
                <w:szCs w:val="20"/>
                <w:color w:val="auto"/>
              </w:rPr>
            </w:pPr>
            <w:r>
              <w:rPr>
                <w:rFonts w:ascii="Arial" w:cs="Arial" w:eastAsia="Arial" w:hAnsi="Arial"/>
                <w:sz w:val="17"/>
                <w:szCs w:val="17"/>
                <w:color w:val="auto"/>
                <w:w w:val="91"/>
              </w:rPr>
              <w:t>June 30,</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4"/>
          </w:tcPr>
          <w:p>
            <w:pPr>
              <w:ind w:left="560"/>
              <w:spacing w:after="0" w:line="175" w:lineRule="exact"/>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18"/>
        </w:trPr>
        <w:tc>
          <w:tcPr>
            <w:tcW w:w="25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w w:val="89"/>
              </w:rPr>
              <w:t>2023</w:t>
            </w:r>
          </w:p>
        </w:tc>
        <w:tc>
          <w:tcPr>
            <w:tcW w:w="7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w w:val="89"/>
              </w:rPr>
              <w:t>2022</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95"/>
              </w:rPr>
              <w:t>2023</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w w:val="95"/>
              </w:rPr>
              <w:t>2022</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880" w:type="dxa"/>
            <w:vAlign w:val="bottom"/>
          </w:tcPr>
          <w:p>
            <w:pPr>
              <w:jc w:val="center"/>
              <w:ind w:left="54"/>
              <w:spacing w:after="0" w:line="162" w:lineRule="exact"/>
              <w:rPr>
                <w:sz w:val="20"/>
                <w:szCs w:val="20"/>
                <w:color w:val="auto"/>
              </w:rPr>
            </w:pPr>
            <w:r>
              <w:rPr>
                <w:rFonts w:ascii="Arial" w:cs="Arial" w:eastAsia="Arial" w:hAnsi="Arial"/>
                <w:sz w:val="17"/>
                <w:szCs w:val="17"/>
                <w:color w:val="auto"/>
                <w:w w:val="87"/>
              </w:rPr>
              <w:t>Balance</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restart"/>
          </w:tcPr>
          <w:p>
            <w:pPr>
              <w:jc w:val="right"/>
              <w:ind w:right="274"/>
              <w:spacing w:after="0"/>
              <w:rPr>
                <w:sz w:val="20"/>
                <w:szCs w:val="20"/>
                <w:color w:val="auto"/>
              </w:rPr>
            </w:pPr>
            <w:r>
              <w:rPr>
                <w:rFonts w:ascii="Arial" w:cs="Arial" w:eastAsia="Arial" w:hAnsi="Arial"/>
                <w:sz w:val="17"/>
                <w:szCs w:val="17"/>
                <w:color w:val="auto"/>
              </w:rPr>
              <w:t>Fair</w:t>
            </w:r>
          </w:p>
        </w:tc>
        <w:tc>
          <w:tcPr>
            <w:tcW w:w="80" w:type="dxa"/>
            <w:vAlign w:val="bottom"/>
          </w:tcPr>
          <w:p>
            <w:pPr>
              <w:spacing w:after="0"/>
              <w:rPr>
                <w:sz w:val="14"/>
                <w:szCs w:val="14"/>
                <w:color w:val="auto"/>
              </w:rPr>
            </w:pPr>
          </w:p>
        </w:tc>
        <w:tc>
          <w:tcPr>
            <w:tcW w:w="880" w:type="dxa"/>
            <w:vAlign w:val="bottom"/>
          </w:tcPr>
          <w:p>
            <w:pPr>
              <w:jc w:val="center"/>
              <w:ind w:left="74"/>
              <w:spacing w:after="0" w:line="162" w:lineRule="exact"/>
              <w:rPr>
                <w:sz w:val="20"/>
                <w:szCs w:val="20"/>
                <w:color w:val="auto"/>
              </w:rPr>
            </w:pPr>
            <w:r>
              <w:rPr>
                <w:rFonts w:ascii="Arial" w:cs="Arial" w:eastAsia="Arial" w:hAnsi="Arial"/>
                <w:sz w:val="17"/>
                <w:szCs w:val="17"/>
                <w:color w:val="auto"/>
                <w:w w:val="91"/>
              </w:rPr>
              <w:t>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7"/>
                <w:szCs w:val="17"/>
                <w:color w:val="auto"/>
              </w:rPr>
              <w:t>Fair</w:t>
            </w:r>
          </w:p>
        </w:tc>
        <w:tc>
          <w:tcPr>
            <w:tcW w:w="100" w:type="dxa"/>
            <w:vAlign w:val="bottom"/>
          </w:tcPr>
          <w:p>
            <w:pPr>
              <w:spacing w:after="0"/>
              <w:rPr>
                <w:sz w:val="14"/>
                <w:szCs w:val="14"/>
                <w:color w:val="auto"/>
              </w:rPr>
            </w:pPr>
          </w:p>
        </w:tc>
        <w:tc>
          <w:tcPr>
            <w:tcW w:w="840" w:type="dxa"/>
            <w:vAlign w:val="bottom"/>
          </w:tcPr>
          <w:p>
            <w:pPr>
              <w:jc w:val="center"/>
              <w:ind w:left="74"/>
              <w:spacing w:after="0" w:line="162" w:lineRule="exact"/>
              <w:rPr>
                <w:sz w:val="20"/>
                <w:szCs w:val="20"/>
                <w:color w:val="auto"/>
              </w:rPr>
            </w:pPr>
            <w:r>
              <w:rPr>
                <w:rFonts w:ascii="Arial" w:cs="Arial" w:eastAsia="Arial" w:hAnsi="Arial"/>
                <w:sz w:val="17"/>
                <w:szCs w:val="17"/>
                <w:color w:val="auto"/>
                <w:w w:val="91"/>
              </w:rPr>
              <w:t>Balance</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ind w:right="274"/>
              <w:spacing w:after="0"/>
              <w:rPr>
                <w:sz w:val="20"/>
                <w:szCs w:val="20"/>
                <w:color w:val="auto"/>
              </w:rPr>
            </w:pPr>
            <w:r>
              <w:rPr>
                <w:rFonts w:ascii="Arial" w:cs="Arial" w:eastAsia="Arial" w:hAnsi="Arial"/>
                <w:sz w:val="17"/>
                <w:szCs w:val="17"/>
                <w:color w:val="auto"/>
              </w:rPr>
              <w:t>Fair</w:t>
            </w:r>
          </w:p>
        </w:tc>
        <w:tc>
          <w:tcPr>
            <w:tcW w:w="120" w:type="dxa"/>
            <w:vAlign w:val="bottom"/>
          </w:tcPr>
          <w:p>
            <w:pPr>
              <w:spacing w:after="0"/>
              <w:rPr>
                <w:sz w:val="14"/>
                <w:szCs w:val="14"/>
                <w:color w:val="auto"/>
              </w:rPr>
            </w:pPr>
          </w:p>
        </w:tc>
        <w:tc>
          <w:tcPr>
            <w:tcW w:w="840" w:type="dxa"/>
            <w:vAlign w:val="bottom"/>
          </w:tcPr>
          <w:p>
            <w:pPr>
              <w:jc w:val="center"/>
              <w:ind w:left="74"/>
              <w:spacing w:after="0" w:line="162" w:lineRule="exact"/>
              <w:rPr>
                <w:sz w:val="20"/>
                <w:szCs w:val="20"/>
                <w:color w:val="auto"/>
              </w:rPr>
            </w:pPr>
            <w:r>
              <w:rPr>
                <w:rFonts w:ascii="Arial" w:cs="Arial" w:eastAsia="Arial" w:hAnsi="Arial"/>
                <w:sz w:val="17"/>
                <w:szCs w:val="17"/>
                <w:color w:val="auto"/>
                <w:w w:val="91"/>
              </w:rPr>
              <w:t>Balance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7"/>
                <w:szCs w:val="17"/>
                <w:color w:val="auto"/>
              </w:rPr>
              <w:t>Fair</w:t>
            </w: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880" w:type="dxa"/>
            <w:vAlign w:val="bottom"/>
          </w:tcPr>
          <w:p>
            <w:pPr>
              <w:jc w:val="center"/>
              <w:ind w:left="54"/>
              <w:spacing w:after="0" w:line="180" w:lineRule="exact"/>
              <w:rPr>
                <w:sz w:val="20"/>
                <w:szCs w:val="20"/>
                <w:color w:val="auto"/>
              </w:rPr>
            </w:pPr>
            <w:r>
              <w:rPr>
                <w:rFonts w:ascii="Arial" w:cs="Arial" w:eastAsia="Arial" w:hAnsi="Arial"/>
                <w:sz w:val="17"/>
                <w:szCs w:val="17"/>
                <w:color w:val="auto"/>
                <w:w w:val="85"/>
              </w:rPr>
              <w:t>Sheet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ind w:left="54"/>
              <w:spacing w:after="0" w:line="180" w:lineRule="exact"/>
              <w:rPr>
                <w:sz w:val="20"/>
                <w:szCs w:val="20"/>
                <w:color w:val="auto"/>
              </w:rPr>
            </w:pPr>
            <w:r>
              <w:rPr>
                <w:rFonts w:ascii="Arial" w:cs="Arial" w:eastAsia="Arial" w:hAnsi="Arial"/>
                <w:sz w:val="17"/>
                <w:szCs w:val="17"/>
                <w:color w:val="auto"/>
                <w:w w:val="85"/>
              </w:rPr>
              <w:t>Sheet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left="94"/>
              <w:spacing w:after="0" w:line="180" w:lineRule="exact"/>
              <w:rPr>
                <w:sz w:val="20"/>
                <w:szCs w:val="20"/>
                <w:color w:val="auto"/>
              </w:rPr>
            </w:pPr>
            <w:r>
              <w:rPr>
                <w:rFonts w:ascii="Arial" w:cs="Arial" w:eastAsia="Arial" w:hAnsi="Arial"/>
                <w:sz w:val="17"/>
                <w:szCs w:val="17"/>
                <w:color w:val="auto"/>
                <w:w w:val="85"/>
              </w:rPr>
              <w:t>Sheet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left="54"/>
              <w:spacing w:after="0" w:line="180" w:lineRule="exact"/>
              <w:rPr>
                <w:sz w:val="20"/>
                <w:szCs w:val="20"/>
                <w:color w:val="auto"/>
              </w:rPr>
            </w:pPr>
            <w:r>
              <w:rPr>
                <w:rFonts w:ascii="Arial" w:cs="Arial" w:eastAsia="Arial" w:hAnsi="Arial"/>
                <w:sz w:val="17"/>
                <w:szCs w:val="17"/>
                <w:color w:val="auto"/>
                <w:w w:val="85"/>
              </w:rPr>
              <w:t>Sheet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00" w:type="dxa"/>
            <w:vAlign w:val="bottom"/>
          </w:tcPr>
          <w:p>
            <w:pPr>
              <w:spacing w:after="0"/>
              <w:rPr>
                <w:sz w:val="18"/>
                <w:szCs w:val="18"/>
                <w:color w:val="auto"/>
              </w:rPr>
            </w:pPr>
          </w:p>
        </w:tc>
        <w:tc>
          <w:tcPr>
            <w:tcW w:w="880" w:type="dxa"/>
            <w:vAlign w:val="bottom"/>
            <w:tcBorders>
              <w:bottom w:val="single" w:sz="8" w:color="auto"/>
            </w:tcBorders>
          </w:tcPr>
          <w:p>
            <w:pPr>
              <w:jc w:val="center"/>
              <w:ind w:left="54"/>
              <w:spacing w:after="0"/>
              <w:rPr>
                <w:sz w:val="20"/>
                <w:szCs w:val="20"/>
                <w:color w:val="auto"/>
              </w:rPr>
            </w:pPr>
            <w:r>
              <w:rPr>
                <w:rFonts w:ascii="Arial" w:cs="Arial" w:eastAsia="Arial" w:hAnsi="Arial"/>
                <w:sz w:val="17"/>
                <w:szCs w:val="17"/>
                <w:color w:val="auto"/>
                <w:w w:val="96"/>
              </w:rPr>
              <w:t>Location</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w w:val="91"/>
              </w:rPr>
              <w:t>Value</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74"/>
              <w:spacing w:after="0"/>
              <w:rPr>
                <w:sz w:val="20"/>
                <w:szCs w:val="20"/>
                <w:color w:val="auto"/>
              </w:rPr>
            </w:pPr>
            <w:r>
              <w:rPr>
                <w:rFonts w:ascii="Arial" w:cs="Arial" w:eastAsia="Arial" w:hAnsi="Arial"/>
                <w:sz w:val="17"/>
                <w:szCs w:val="17"/>
                <w:color w:val="auto"/>
                <w:w w:val="93"/>
              </w:rPr>
              <w:t>Location</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Value</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94"/>
              <w:spacing w:after="0"/>
              <w:rPr>
                <w:sz w:val="20"/>
                <w:szCs w:val="20"/>
                <w:color w:val="auto"/>
              </w:rPr>
            </w:pPr>
            <w:r>
              <w:rPr>
                <w:rFonts w:ascii="Arial" w:cs="Arial" w:eastAsia="Arial" w:hAnsi="Arial"/>
                <w:sz w:val="17"/>
                <w:szCs w:val="17"/>
                <w:color w:val="auto"/>
                <w:w w:val="96"/>
              </w:rPr>
              <w:t>Location</w:t>
            </w: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91"/>
              </w:rPr>
              <w:t>Value</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54"/>
              <w:spacing w:after="0"/>
              <w:rPr>
                <w:sz w:val="20"/>
                <w:szCs w:val="20"/>
                <w:color w:val="auto"/>
              </w:rPr>
            </w:pPr>
            <w:r>
              <w:rPr>
                <w:rFonts w:ascii="Arial" w:cs="Arial" w:eastAsia="Arial" w:hAnsi="Arial"/>
                <w:sz w:val="17"/>
                <w:szCs w:val="17"/>
                <w:color w:val="auto"/>
                <w:w w:val="96"/>
              </w:rPr>
              <w:t>Location</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Value</w:t>
            </w:r>
          </w:p>
        </w:tc>
        <w:tc>
          <w:tcPr>
            <w:tcW w:w="0" w:type="dxa"/>
            <w:vAlign w:val="bottom"/>
          </w:tcPr>
          <w:p>
            <w:pPr>
              <w:spacing w:after="0"/>
              <w:rPr>
                <w:sz w:val="1"/>
                <w:szCs w:val="1"/>
                <w:color w:val="auto"/>
              </w:rPr>
            </w:pPr>
          </w:p>
        </w:tc>
      </w:tr>
      <w:tr>
        <w:trPr>
          <w:trHeight w:val="211"/>
        </w:trPr>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ind w:left="340"/>
              <w:spacing w:after="0"/>
              <w:rPr>
                <w:sz w:val="20"/>
                <w:szCs w:val="20"/>
                <w:color w:val="auto"/>
              </w:rPr>
            </w:pPr>
            <w:r>
              <w:rPr>
                <w:rFonts w:ascii="Arial" w:cs="Arial" w:eastAsia="Arial" w:hAnsi="Arial"/>
                <w:sz w:val="17"/>
                <w:szCs w:val="17"/>
                <w:color w:val="auto"/>
              </w:rPr>
              <w:t>(In thousands)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500" w:type="dxa"/>
            <w:vAlign w:val="bottom"/>
          </w:tcPr>
          <w:p>
            <w:pPr>
              <w:ind w:left="20"/>
              <w:spacing w:after="0" w:line="183" w:lineRule="exact"/>
              <w:rPr>
                <w:sz w:val="20"/>
                <w:szCs w:val="20"/>
                <w:color w:val="auto"/>
              </w:rPr>
            </w:pPr>
            <w:r>
              <w:rPr>
                <w:rFonts w:ascii="Arial" w:cs="Arial" w:eastAsia="Arial" w:hAnsi="Arial"/>
                <w:sz w:val="17"/>
                <w:szCs w:val="17"/>
                <w:color w:val="auto"/>
                <w:w w:val="94"/>
              </w:rPr>
              <w:t>Derivatives designated as hedging</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00" w:type="dxa"/>
            <w:vAlign w:val="bottom"/>
          </w:tcPr>
          <w:p>
            <w:pPr>
              <w:ind w:left="180"/>
              <w:spacing w:after="0"/>
              <w:rPr>
                <w:sz w:val="20"/>
                <w:szCs w:val="20"/>
                <w:color w:val="auto"/>
              </w:rPr>
            </w:pPr>
            <w:r>
              <w:rPr>
                <w:rFonts w:ascii="Arial" w:cs="Arial" w:eastAsia="Arial" w:hAnsi="Arial"/>
                <w:sz w:val="17"/>
                <w:szCs w:val="17"/>
                <w:color w:val="auto"/>
              </w:rPr>
              <w:t>instruments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0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rPr>
              <w:t>Pay-fixed interest rate swap</w:t>
            </w:r>
          </w:p>
        </w:tc>
        <w:tc>
          <w:tcPr>
            <w:tcW w:w="8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7"/>
              </w:rPr>
              <w:t>Other assets</w:t>
            </w:r>
          </w:p>
        </w:tc>
        <w:tc>
          <w:tcPr>
            <w:tcW w:w="5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20,668</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7"/>
              </w:rPr>
              <w:t>Other assets</w:t>
            </w:r>
          </w:p>
        </w:tc>
        <w:tc>
          <w:tcPr>
            <w:tcW w:w="4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20,430</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Other</w:t>
            </w: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Other</w:t>
            </w:r>
          </w:p>
        </w:tc>
        <w:tc>
          <w:tcPr>
            <w:tcW w:w="4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2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agreements</w:t>
            </w:r>
          </w:p>
        </w:tc>
        <w:tc>
          <w:tcPr>
            <w:tcW w:w="880" w:type="dxa"/>
            <w:vAlign w:val="bottom"/>
            <w:vMerge w:val="continue"/>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540" w:type="dxa"/>
            <w:vAlign w:val="bottom"/>
            <w:gridSpan w:val="2"/>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480" w:type="dxa"/>
            <w:vAlign w:val="bottom"/>
            <w:gridSpan w:val="2"/>
            <w:vMerge w:val="continue"/>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500" w:type="dxa"/>
            <w:vAlign w:val="bottom"/>
            <w:vMerge w:val="restart"/>
          </w:tcPr>
          <w:p>
            <w:pPr>
              <w:ind w:left="180"/>
              <w:spacing w:after="0"/>
              <w:rPr>
                <w:sz w:val="20"/>
                <w:szCs w:val="20"/>
                <w:color w:val="auto"/>
              </w:rPr>
            </w:pPr>
            <w:r>
              <w:rPr>
                <w:rFonts w:ascii="Arial" w:cs="Arial" w:eastAsia="Arial" w:hAnsi="Arial"/>
                <w:sz w:val="17"/>
                <w:szCs w:val="17"/>
                <w:color w:val="auto"/>
              </w:rPr>
              <w:t>Interest rate cap agreements</w:t>
            </w:r>
          </w:p>
        </w:tc>
        <w:tc>
          <w:tcPr>
            <w:tcW w:w="880" w:type="dxa"/>
            <w:vAlign w:val="bottom"/>
            <w:vMerge w:val="restart"/>
          </w:tcPr>
          <w:p>
            <w:pPr>
              <w:ind w:left="20"/>
              <w:spacing w:after="0"/>
              <w:rPr>
                <w:sz w:val="20"/>
                <w:szCs w:val="20"/>
                <w:color w:val="auto"/>
              </w:rPr>
            </w:pPr>
            <w:r>
              <w:rPr>
                <w:rFonts w:ascii="Arial" w:cs="Arial" w:eastAsia="Arial" w:hAnsi="Arial"/>
                <w:sz w:val="17"/>
                <w:szCs w:val="17"/>
                <w:color w:val="auto"/>
                <w:w w:val="87"/>
              </w:rPr>
              <w:t>Other assets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954</w:t>
            </w:r>
          </w:p>
        </w:tc>
        <w:tc>
          <w:tcPr>
            <w:tcW w:w="8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Arial" w:cs="Arial" w:eastAsia="Arial" w:hAnsi="Arial"/>
                <w:sz w:val="17"/>
                <w:szCs w:val="17"/>
                <w:color w:val="auto"/>
                <w:w w:val="87"/>
              </w:rPr>
              <w:t>Other assets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931</w:t>
            </w:r>
          </w:p>
        </w:tc>
        <w:tc>
          <w:tcPr>
            <w:tcW w:w="100" w:type="dxa"/>
            <w:vAlign w:val="bottom"/>
          </w:tcPr>
          <w:p>
            <w:pPr>
              <w:spacing w:after="0"/>
              <w:rPr>
                <w:sz w:val="14"/>
                <w:szCs w:val="14"/>
                <w:color w:val="auto"/>
              </w:rPr>
            </w:pPr>
          </w:p>
        </w:tc>
        <w:tc>
          <w:tcPr>
            <w:tcW w:w="840" w:type="dxa"/>
            <w:vAlign w:val="bottom"/>
          </w:tcPr>
          <w:p>
            <w:pPr>
              <w:ind w:left="20"/>
              <w:spacing w:after="0" w:line="168" w:lineRule="exact"/>
              <w:rPr>
                <w:sz w:val="20"/>
                <w:szCs w:val="20"/>
                <w:color w:val="auto"/>
              </w:rPr>
            </w:pPr>
            <w:r>
              <w:rPr>
                <w:rFonts w:ascii="Arial" w:cs="Arial" w:eastAsia="Arial" w:hAnsi="Arial"/>
                <w:sz w:val="17"/>
                <w:szCs w:val="17"/>
                <w:color w:val="auto"/>
              </w:rPr>
              <w:t>Other</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Arial" w:cs="Arial" w:eastAsia="Arial" w:hAnsi="Arial"/>
                <w:sz w:val="17"/>
                <w:szCs w:val="17"/>
                <w:color w:val="auto"/>
              </w:rPr>
              <w:t>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50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liabilities</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21,622</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21,361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line="168" w:lineRule="exact"/>
              <w:rPr>
                <w:sz w:val="20"/>
                <w:szCs w:val="20"/>
                <w:color w:val="auto"/>
              </w:rPr>
            </w:pPr>
            <w:r>
              <w:rPr>
                <w:rFonts w:ascii="Arial" w:cs="Arial" w:eastAsia="Arial" w:hAnsi="Arial"/>
                <w:sz w:val="17"/>
                <w:szCs w:val="17"/>
                <w:color w:val="auto"/>
              </w:rPr>
              <w:t>Derivatives not designated as</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180"/>
              <w:spacing w:after="0"/>
              <w:rPr>
                <w:sz w:val="20"/>
                <w:szCs w:val="20"/>
                <w:color w:val="auto"/>
              </w:rPr>
            </w:pPr>
            <w:r>
              <w:rPr>
                <w:rFonts w:ascii="Arial" w:cs="Arial" w:eastAsia="Arial" w:hAnsi="Arial"/>
                <w:sz w:val="17"/>
                <w:szCs w:val="17"/>
                <w:color w:val="auto"/>
              </w:rPr>
              <w:t>hedging instruments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180"/>
              <w:spacing w:after="0" w:line="176" w:lineRule="exact"/>
              <w:rPr>
                <w:sz w:val="20"/>
                <w:szCs w:val="20"/>
                <w:color w:val="auto"/>
              </w:rPr>
            </w:pPr>
            <w:r>
              <w:rPr>
                <w:rFonts w:ascii="Arial" w:cs="Arial" w:eastAsia="Arial" w:hAnsi="Arial"/>
                <w:sz w:val="17"/>
                <w:szCs w:val="17"/>
                <w:color w:val="auto"/>
              </w:rPr>
              <w:t>Rate-lock mortgage loan</w:t>
            </w:r>
          </w:p>
        </w:tc>
        <w:tc>
          <w:tcPr>
            <w:tcW w:w="8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7"/>
              </w:rPr>
              <w:t>Other assets</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7"/>
              </w:rPr>
              <w:t>Other assets</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commitments</w:t>
            </w:r>
          </w:p>
        </w:tc>
        <w:tc>
          <w:tcPr>
            <w:tcW w:w="8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500" w:type="dxa"/>
            <w:vAlign w:val="bottom"/>
          </w:tcPr>
          <w:p>
            <w:pPr>
              <w:ind w:left="180"/>
              <w:spacing w:after="0" w:line="181" w:lineRule="exact"/>
              <w:rPr>
                <w:sz w:val="20"/>
                <w:szCs w:val="20"/>
                <w:color w:val="auto"/>
              </w:rPr>
            </w:pPr>
            <w:r>
              <w:rPr>
                <w:rFonts w:ascii="Arial" w:cs="Arial" w:eastAsia="Arial" w:hAnsi="Arial"/>
                <w:sz w:val="17"/>
                <w:szCs w:val="17"/>
                <w:color w:val="auto"/>
                <w:w w:val="97"/>
              </w:rPr>
              <w:t>Mandatory commitments to sell</w:t>
            </w: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ind w:left="20"/>
              <w:spacing w:after="0" w:line="181" w:lineRule="exact"/>
              <w:rPr>
                <w:sz w:val="20"/>
                <w:szCs w:val="20"/>
                <w:color w:val="auto"/>
              </w:rPr>
            </w:pPr>
            <w:r>
              <w:rPr>
                <w:rFonts w:ascii="Arial" w:cs="Arial" w:eastAsia="Arial" w:hAnsi="Arial"/>
                <w:sz w:val="17"/>
                <w:szCs w:val="17"/>
                <w:color w:val="auto"/>
              </w:rPr>
              <w:t>Other</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line="181" w:lineRule="exact"/>
              <w:rPr>
                <w:sz w:val="20"/>
                <w:szCs w:val="20"/>
                <w:color w:val="auto"/>
              </w:rPr>
            </w:pPr>
            <w:r>
              <w:rPr>
                <w:rFonts w:ascii="Arial" w:cs="Arial" w:eastAsia="Arial" w:hAnsi="Arial"/>
                <w:sz w:val="17"/>
                <w:szCs w:val="17"/>
                <w:color w:val="auto"/>
              </w:rPr>
              <w:t>Other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00" w:type="dxa"/>
            <w:vAlign w:val="bottom"/>
          </w:tcPr>
          <w:p>
            <w:pPr>
              <w:ind w:left="320"/>
              <w:spacing w:after="0"/>
              <w:rPr>
                <w:sz w:val="20"/>
                <w:szCs w:val="20"/>
                <w:color w:val="auto"/>
              </w:rPr>
            </w:pPr>
            <w:r>
              <w:rPr>
                <w:rFonts w:ascii="Arial" w:cs="Arial" w:eastAsia="Arial" w:hAnsi="Arial"/>
                <w:sz w:val="17"/>
                <w:szCs w:val="17"/>
                <w:color w:val="auto"/>
              </w:rPr>
              <w:t>mortgage loans</w:t>
            </w:r>
          </w:p>
        </w:tc>
        <w:tc>
          <w:tcPr>
            <w:tcW w:w="880" w:type="dxa"/>
            <w:vAlign w:val="bottom"/>
          </w:tcPr>
          <w:p>
            <w:pPr>
              <w:ind w:left="20"/>
              <w:spacing w:after="0"/>
              <w:rPr>
                <w:sz w:val="20"/>
                <w:szCs w:val="20"/>
                <w:color w:val="auto"/>
              </w:rPr>
            </w:pPr>
            <w:r>
              <w:rPr>
                <w:rFonts w:ascii="Arial" w:cs="Arial" w:eastAsia="Arial" w:hAnsi="Arial"/>
                <w:sz w:val="17"/>
                <w:szCs w:val="17"/>
                <w:color w:val="auto"/>
                <w:w w:val="87"/>
              </w:rPr>
              <w:t>Other assets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246</w:t>
            </w:r>
          </w:p>
        </w:tc>
        <w:tc>
          <w:tcPr>
            <w:tcW w:w="8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auto"/>
                <w:w w:val="87"/>
              </w:rPr>
              <w:t>Other assets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250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w w:val="98"/>
              </w:rPr>
              <w:t>Pay-variable interest rate swap</w:t>
            </w:r>
          </w:p>
        </w:tc>
        <w:tc>
          <w:tcPr>
            <w:tcW w:w="8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7"/>
              </w:rPr>
              <w:t>Other assets</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7"/>
              </w:rPr>
              <w:t>Other assets</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2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agreement</w:t>
            </w:r>
          </w:p>
        </w:tc>
        <w:tc>
          <w:tcPr>
            <w:tcW w:w="8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500" w:type="dxa"/>
            <w:vAlign w:val="bottom"/>
          </w:tcPr>
          <w:p>
            <w:pPr>
              <w:ind w:left="180"/>
              <w:spacing w:after="0" w:line="168" w:lineRule="exact"/>
              <w:rPr>
                <w:sz w:val="20"/>
                <w:szCs w:val="20"/>
                <w:color w:val="auto"/>
              </w:rPr>
            </w:pPr>
            <w:r>
              <w:rPr>
                <w:rFonts w:ascii="Arial" w:cs="Arial" w:eastAsia="Arial" w:hAnsi="Arial"/>
                <w:sz w:val="17"/>
                <w:szCs w:val="17"/>
                <w:color w:val="auto"/>
              </w:rPr>
              <w:t>Pay-fixed interest rate swap</w:t>
            </w:r>
          </w:p>
        </w:tc>
        <w:tc>
          <w:tcPr>
            <w:tcW w:w="880" w:type="dxa"/>
            <w:vAlign w:val="bottom"/>
            <w:vMerge w:val="restart"/>
          </w:tcPr>
          <w:p>
            <w:pPr>
              <w:ind w:left="20"/>
              <w:spacing w:after="0"/>
              <w:rPr>
                <w:sz w:val="20"/>
                <w:szCs w:val="20"/>
                <w:color w:val="auto"/>
              </w:rPr>
            </w:pPr>
            <w:r>
              <w:rPr>
                <w:rFonts w:ascii="Arial" w:cs="Arial" w:eastAsia="Arial" w:hAnsi="Arial"/>
                <w:sz w:val="17"/>
                <w:szCs w:val="17"/>
                <w:color w:val="auto"/>
                <w:w w:val="87"/>
              </w:rPr>
              <w:t>Other assets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17,010</w:t>
            </w:r>
          </w:p>
        </w:tc>
        <w:tc>
          <w:tcPr>
            <w:tcW w:w="8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Arial" w:cs="Arial" w:eastAsia="Arial" w:hAnsi="Arial"/>
                <w:sz w:val="17"/>
                <w:szCs w:val="17"/>
                <w:color w:val="auto"/>
                <w:w w:val="87"/>
              </w:rPr>
              <w:t>Other assets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17,567</w:t>
            </w:r>
          </w:p>
        </w:tc>
        <w:tc>
          <w:tcPr>
            <w:tcW w:w="100" w:type="dxa"/>
            <w:vAlign w:val="bottom"/>
          </w:tcPr>
          <w:p>
            <w:pPr>
              <w:spacing w:after="0"/>
              <w:rPr>
                <w:sz w:val="14"/>
                <w:szCs w:val="14"/>
                <w:color w:val="auto"/>
              </w:rPr>
            </w:pPr>
          </w:p>
        </w:tc>
        <w:tc>
          <w:tcPr>
            <w:tcW w:w="840" w:type="dxa"/>
            <w:vAlign w:val="bottom"/>
          </w:tcPr>
          <w:p>
            <w:pPr>
              <w:ind w:left="20"/>
              <w:spacing w:after="0" w:line="168" w:lineRule="exact"/>
              <w:rPr>
                <w:sz w:val="20"/>
                <w:szCs w:val="20"/>
                <w:color w:val="auto"/>
              </w:rPr>
            </w:pPr>
            <w:r>
              <w:rPr>
                <w:rFonts w:ascii="Arial" w:cs="Arial" w:eastAsia="Arial" w:hAnsi="Arial"/>
                <w:sz w:val="17"/>
                <w:szCs w:val="17"/>
                <w:color w:val="auto"/>
              </w:rPr>
              <w:t>Other</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832</w:t>
            </w:r>
          </w:p>
        </w:tc>
        <w:tc>
          <w:tcPr>
            <w:tcW w:w="120" w:type="dxa"/>
            <w:vAlign w:val="bottom"/>
          </w:tcPr>
          <w:p>
            <w:pPr>
              <w:spacing w:after="0"/>
              <w:rPr>
                <w:sz w:val="14"/>
                <w:szCs w:val="14"/>
                <w:color w:val="auto"/>
              </w:rPr>
            </w:pPr>
          </w:p>
        </w:tc>
        <w:tc>
          <w:tcPr>
            <w:tcW w:w="840" w:type="dxa"/>
            <w:vAlign w:val="bottom"/>
          </w:tcPr>
          <w:p>
            <w:pPr>
              <w:spacing w:after="0" w:line="168" w:lineRule="exact"/>
              <w:rPr>
                <w:sz w:val="20"/>
                <w:szCs w:val="20"/>
                <w:color w:val="auto"/>
              </w:rPr>
            </w:pPr>
            <w:r>
              <w:rPr>
                <w:rFonts w:ascii="Arial" w:cs="Arial" w:eastAsia="Arial" w:hAnsi="Arial"/>
                <w:sz w:val="17"/>
                <w:szCs w:val="17"/>
                <w:color w:val="auto"/>
              </w:rPr>
              <w:t>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18"/>
        </w:trPr>
        <w:tc>
          <w:tcPr>
            <w:tcW w:w="2500" w:type="dxa"/>
            <w:vAlign w:val="bottom"/>
          </w:tcPr>
          <w:p>
            <w:pPr>
              <w:ind w:left="320"/>
              <w:spacing w:after="0"/>
              <w:rPr>
                <w:sz w:val="20"/>
                <w:szCs w:val="20"/>
                <w:color w:val="auto"/>
              </w:rPr>
            </w:pPr>
            <w:r>
              <w:rPr>
                <w:rFonts w:ascii="Arial" w:cs="Arial" w:eastAsia="Arial" w:hAnsi="Arial"/>
                <w:sz w:val="17"/>
                <w:szCs w:val="17"/>
                <w:color w:val="auto"/>
              </w:rPr>
              <w:t>agreements - commercial</w:t>
            </w: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liabilities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500" w:type="dxa"/>
            <w:vAlign w:val="bottom"/>
            <w:shd w:val="clear" w:color="auto" w:fill="CCEEFF"/>
          </w:tcPr>
          <w:p>
            <w:pPr>
              <w:ind w:left="180"/>
              <w:spacing w:after="0" w:line="182" w:lineRule="exact"/>
              <w:rPr>
                <w:sz w:val="20"/>
                <w:szCs w:val="20"/>
                <w:color w:val="auto"/>
              </w:rPr>
            </w:pPr>
            <w:r>
              <w:rPr>
                <w:rFonts w:ascii="Arial" w:cs="Arial" w:eastAsia="Arial" w:hAnsi="Arial"/>
                <w:sz w:val="17"/>
                <w:szCs w:val="17"/>
                <w:color w:val="auto"/>
                <w:w w:val="98"/>
              </w:rPr>
              <w:t>Pay-variable interest rate swap</w:t>
            </w: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ind w:left="20"/>
              <w:spacing w:after="0" w:line="182" w:lineRule="exact"/>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17,010</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Other</w:t>
            </w: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17,567</w:t>
            </w:r>
          </w:p>
        </w:tc>
        <w:tc>
          <w:tcPr>
            <w:tcW w:w="0" w:type="dxa"/>
            <w:vAlign w:val="bottom"/>
          </w:tcPr>
          <w:p>
            <w:pPr>
              <w:spacing w:after="0"/>
              <w:rPr>
                <w:sz w:val="1"/>
                <w:szCs w:val="1"/>
                <w:color w:val="auto"/>
              </w:rPr>
            </w:pPr>
          </w:p>
        </w:tc>
      </w:tr>
      <w:tr>
        <w:trPr>
          <w:trHeight w:val="218"/>
        </w:trPr>
        <w:tc>
          <w:tcPr>
            <w:tcW w:w="2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agreements - commercial</w:t>
            </w:r>
          </w:p>
        </w:tc>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7"/>
              </w:rPr>
              <w:t>Other assets</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7"/>
              </w:rPr>
              <w:t>Other assets</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5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18,095</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17,854</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19,127</w:t>
            </w:r>
          </w:p>
        </w:tc>
        <w:tc>
          <w:tcPr>
            <w:tcW w:w="0" w:type="dxa"/>
            <w:vAlign w:val="bottom"/>
          </w:tcPr>
          <w:p>
            <w:pPr>
              <w:spacing w:after="0"/>
              <w:rPr>
                <w:sz w:val="1"/>
                <w:szCs w:val="1"/>
                <w:color w:val="auto"/>
              </w:rPr>
            </w:pPr>
          </w:p>
        </w:tc>
      </w:tr>
      <w:tr>
        <w:trPr>
          <w:trHeight w:val="233"/>
        </w:trPr>
        <w:tc>
          <w:tcPr>
            <w:tcW w:w="25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derivatives</w:t>
            </w:r>
          </w:p>
        </w:tc>
        <w:tc>
          <w:tcPr>
            <w:tcW w:w="8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39,717</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39,747</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17,854</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19,127</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ind w:left="1760"/>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ind w:left="1760"/>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The effect of derivative financial instruments on the Condensed Consolidated Statements of Operations follows:</w:t>
      </w:r>
    </w:p>
    <w:p>
      <w:pPr>
        <w:spacing w:after="0" w:line="371" w:lineRule="exact"/>
        <w:rPr>
          <w:sz w:val="20"/>
          <w:szCs w:val="20"/>
          <w:color w:val="auto"/>
        </w:rPr>
      </w:pPr>
    </w:p>
    <w:tbl>
      <w:tblPr>
        <w:tblLayout w:type="fixed"/>
        <w:tblInd w:w="2340" w:type="dxa"/>
        <w:tblCellMar>
          <w:top w:w="0" w:type="dxa"/>
          <w:left w:w="0" w:type="dxa"/>
          <w:bottom w:w="0" w:type="dxa"/>
          <w:right w:w="0" w:type="dxa"/>
        </w:tblCellMar>
      </w:tblPr>
      <w:tr>
        <w:trPr>
          <w:trHeight w:val="172"/>
        </w:trPr>
        <w:tc>
          <w:tcPr>
            <w:tcW w:w="1760" w:type="dxa"/>
            <w:vAlign w:val="bottom"/>
            <w:gridSpan w:val="4"/>
          </w:tcPr>
          <w:p>
            <w:pPr>
              <w:jc w:val="center"/>
              <w:spacing w:after="0"/>
              <w:rPr>
                <w:sz w:val="20"/>
                <w:szCs w:val="20"/>
                <w:color w:val="auto"/>
              </w:rPr>
            </w:pPr>
            <w:r>
              <w:rPr>
                <w:rFonts w:ascii="Arial" w:cs="Arial" w:eastAsia="Arial" w:hAnsi="Arial"/>
                <w:sz w:val="15"/>
                <w:szCs w:val="15"/>
                <w:color w:val="auto"/>
                <w:w w:val="94"/>
              </w:rPr>
              <w:t>Gain (loss) Recognized in</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center"/>
              <w:spacing w:after="0"/>
              <w:rPr>
                <w:sz w:val="20"/>
                <w:szCs w:val="20"/>
                <w:color w:val="auto"/>
              </w:rPr>
            </w:pPr>
            <w:r>
              <w:rPr>
                <w:rFonts w:ascii="Arial" w:cs="Arial" w:eastAsia="Arial" w:hAnsi="Arial"/>
                <w:sz w:val="15"/>
                <w:szCs w:val="15"/>
                <w:color w:val="auto"/>
                <w:w w:val="94"/>
              </w:rPr>
              <w:t>Loss Reclassified from</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1160" w:type="dxa"/>
            <w:vAlign w:val="bottom"/>
            <w:gridSpan w:val="3"/>
          </w:tcPr>
          <w:p>
            <w:pPr>
              <w:jc w:val="center"/>
              <w:ind w:right="523"/>
              <w:spacing w:after="0" w:line="155" w:lineRule="exact"/>
              <w:rPr>
                <w:sz w:val="20"/>
                <w:szCs w:val="20"/>
                <w:color w:val="auto"/>
              </w:rPr>
            </w:pPr>
            <w:r>
              <w:rPr>
                <w:rFonts w:ascii="Arial" w:cs="Arial" w:eastAsia="Arial" w:hAnsi="Arial"/>
                <w:sz w:val="15"/>
                <w:szCs w:val="15"/>
                <w:color w:val="auto"/>
                <w:w w:val="95"/>
              </w:rPr>
              <w:t>Other</w:t>
            </w: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94"/>
              </w:rPr>
              <w:t>Accumulated Other</w:t>
            </w: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6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93"/>
              </w:rPr>
              <w:t>Comprehensive Income</w:t>
            </w: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center"/>
              <w:spacing w:after="0" w:line="155" w:lineRule="exact"/>
              <w:rPr>
                <w:sz w:val="20"/>
                <w:szCs w:val="20"/>
                <w:color w:val="auto"/>
              </w:rPr>
            </w:pPr>
            <w:r>
              <w:rPr>
                <w:rFonts w:ascii="Arial" w:cs="Arial" w:eastAsia="Arial" w:hAnsi="Arial"/>
                <w:sz w:val="15"/>
                <w:szCs w:val="15"/>
                <w:color w:val="auto"/>
                <w:w w:val="93"/>
              </w:rPr>
              <w:t>Comprehensive Loss into</w:t>
            </w: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color w:val="auto"/>
                <w:w w:val="96"/>
              </w:rPr>
              <w:t>(Loss) (Effective Portion)</w:t>
            </w:r>
          </w:p>
        </w:tc>
        <w:tc>
          <w:tcPr>
            <w:tcW w:w="200" w:type="dxa"/>
            <w:vAlign w:val="bottom"/>
          </w:tcPr>
          <w:p>
            <w:pPr>
              <w:spacing w:after="0"/>
              <w:rPr>
                <w:sz w:val="17"/>
                <w:szCs w:val="17"/>
                <w:color w:val="auto"/>
              </w:rPr>
            </w:pPr>
          </w:p>
        </w:tc>
        <w:tc>
          <w:tcPr>
            <w:tcW w:w="1640" w:type="dxa"/>
            <w:vAlign w:val="bottom"/>
            <w:gridSpan w:val="2"/>
            <w:vMerge w:val="restart"/>
          </w:tcPr>
          <w:p>
            <w:pPr>
              <w:jc w:val="center"/>
              <w:ind w:right="180"/>
              <w:spacing w:after="0"/>
              <w:rPr>
                <w:sz w:val="20"/>
                <w:szCs w:val="20"/>
                <w:color w:val="auto"/>
              </w:rPr>
            </w:pPr>
            <w:r>
              <w:rPr>
                <w:rFonts w:ascii="Arial" w:cs="Arial" w:eastAsia="Arial" w:hAnsi="Arial"/>
                <w:sz w:val="15"/>
                <w:szCs w:val="15"/>
                <w:color w:val="auto"/>
                <w:w w:val="96"/>
              </w:rPr>
              <w:t>Location of Gain</w:t>
            </w: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color w:val="auto"/>
                <w:w w:val="96"/>
              </w:rPr>
              <w:t>Income (Effective Portion)</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760" w:type="dxa"/>
            <w:vAlign w:val="bottom"/>
            <w:gridSpan w:val="4"/>
            <w:vMerge w:val="restart"/>
          </w:tcPr>
          <w:p>
            <w:pPr>
              <w:jc w:val="center"/>
              <w:spacing w:after="0"/>
              <w:rPr>
                <w:sz w:val="20"/>
                <w:szCs w:val="20"/>
                <w:color w:val="auto"/>
              </w:rPr>
            </w:pPr>
            <w:r>
              <w:rPr>
                <w:rFonts w:ascii="Arial" w:cs="Arial" w:eastAsia="Arial" w:hAnsi="Arial"/>
                <w:sz w:val="15"/>
                <w:szCs w:val="15"/>
                <w:color w:val="auto"/>
                <w:w w:val="96"/>
              </w:rPr>
              <w:t>Three Month</w:t>
            </w:r>
          </w:p>
        </w:tc>
        <w:tc>
          <w:tcPr>
            <w:tcW w:w="200" w:type="dxa"/>
            <w:vAlign w:val="bottom"/>
          </w:tcPr>
          <w:p>
            <w:pPr>
              <w:spacing w:after="0"/>
              <w:rPr>
                <w:sz w:val="13"/>
                <w:szCs w:val="13"/>
                <w:color w:val="auto"/>
              </w:rPr>
            </w:pPr>
          </w:p>
        </w:tc>
        <w:tc>
          <w:tcPr>
            <w:tcW w:w="1640" w:type="dxa"/>
            <w:vAlign w:val="bottom"/>
            <w:gridSpan w:val="2"/>
          </w:tcPr>
          <w:p>
            <w:pPr>
              <w:jc w:val="center"/>
              <w:ind w:right="180"/>
              <w:spacing w:after="0" w:line="155" w:lineRule="exact"/>
              <w:rPr>
                <w:sz w:val="20"/>
                <w:szCs w:val="20"/>
                <w:color w:val="auto"/>
              </w:rPr>
            </w:pPr>
            <w:r>
              <w:rPr>
                <w:rFonts w:ascii="Arial" w:cs="Arial" w:eastAsia="Arial" w:hAnsi="Arial"/>
                <w:sz w:val="15"/>
                <w:szCs w:val="15"/>
                <w:color w:val="auto"/>
                <w:w w:val="93"/>
              </w:rPr>
              <w:t>(Loss) Reclassified</w:t>
            </w:r>
          </w:p>
        </w:tc>
        <w:tc>
          <w:tcPr>
            <w:tcW w:w="1780" w:type="dxa"/>
            <w:vAlign w:val="bottom"/>
            <w:gridSpan w:val="4"/>
            <w:vMerge w:val="restart"/>
          </w:tcPr>
          <w:p>
            <w:pPr>
              <w:jc w:val="center"/>
              <w:spacing w:after="0"/>
              <w:rPr>
                <w:sz w:val="20"/>
                <w:szCs w:val="20"/>
                <w:color w:val="auto"/>
              </w:rPr>
            </w:pPr>
            <w:r>
              <w:rPr>
                <w:rFonts w:ascii="Arial" w:cs="Arial" w:eastAsia="Arial" w:hAnsi="Arial"/>
                <w:sz w:val="15"/>
                <w:szCs w:val="15"/>
                <w:color w:val="auto"/>
                <w:w w:val="96"/>
              </w:rPr>
              <w:t>Three Month</w:t>
            </w: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76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2"/>
            <w:vMerge w:val="restart"/>
          </w:tcPr>
          <w:p>
            <w:pPr>
              <w:jc w:val="center"/>
              <w:ind w:right="200"/>
              <w:spacing w:after="0" w:line="155" w:lineRule="exact"/>
              <w:rPr>
                <w:sz w:val="20"/>
                <w:szCs w:val="20"/>
                <w:color w:val="auto"/>
              </w:rPr>
            </w:pPr>
            <w:r>
              <w:rPr>
                <w:rFonts w:ascii="Arial" w:cs="Arial" w:eastAsia="Arial" w:hAnsi="Arial"/>
                <w:sz w:val="15"/>
                <w:szCs w:val="15"/>
                <w:color w:val="auto"/>
                <w:w w:val="95"/>
              </w:rPr>
              <w:t>from Accumulated</w:t>
            </w:r>
          </w:p>
        </w:tc>
        <w:tc>
          <w:tcPr>
            <w:tcW w:w="178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8"/>
              </w:rPr>
              <w:t>Location of</w:t>
            </w:r>
          </w:p>
        </w:tc>
        <w:tc>
          <w:tcPr>
            <w:tcW w:w="0" w:type="dxa"/>
            <w:vAlign w:val="bottom"/>
          </w:tcPr>
          <w:p>
            <w:pPr>
              <w:spacing w:after="0"/>
              <w:rPr>
                <w:sz w:val="1"/>
                <w:szCs w:val="1"/>
                <w:color w:val="auto"/>
              </w:rPr>
            </w:pPr>
          </w:p>
        </w:tc>
      </w:tr>
      <w:tr>
        <w:trPr>
          <w:trHeight w:val="103"/>
        </w:trPr>
        <w:tc>
          <w:tcPr>
            <w:tcW w:w="1760" w:type="dxa"/>
            <w:vAlign w:val="bottom"/>
            <w:gridSpan w:val="4"/>
            <w:vMerge w:val="restart"/>
          </w:tcPr>
          <w:p>
            <w:pPr>
              <w:jc w:val="center"/>
              <w:spacing w:after="0" w:line="155" w:lineRule="exact"/>
              <w:rPr>
                <w:sz w:val="20"/>
                <w:szCs w:val="20"/>
                <w:color w:val="auto"/>
              </w:rPr>
            </w:pPr>
            <w:r>
              <w:rPr>
                <w:rFonts w:ascii="Arial" w:cs="Arial" w:eastAsia="Arial" w:hAnsi="Arial"/>
                <w:sz w:val="15"/>
                <w:szCs w:val="15"/>
                <w:color w:val="auto"/>
                <w:w w:val="91"/>
              </w:rPr>
              <w:t>Periods Ended</w:t>
            </w:r>
          </w:p>
        </w:tc>
        <w:tc>
          <w:tcPr>
            <w:tcW w:w="20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780" w:type="dxa"/>
            <w:vAlign w:val="bottom"/>
            <w:gridSpan w:val="4"/>
            <w:vMerge w:val="restart"/>
          </w:tcPr>
          <w:p>
            <w:pPr>
              <w:jc w:val="center"/>
              <w:spacing w:after="0" w:line="155" w:lineRule="exact"/>
              <w:rPr>
                <w:sz w:val="20"/>
                <w:szCs w:val="20"/>
                <w:color w:val="auto"/>
              </w:rPr>
            </w:pPr>
            <w:r>
              <w:rPr>
                <w:rFonts w:ascii="Arial" w:cs="Arial" w:eastAsia="Arial" w:hAnsi="Arial"/>
                <w:sz w:val="15"/>
                <w:szCs w:val="15"/>
                <w:color w:val="auto"/>
                <w:w w:val="91"/>
              </w:rPr>
              <w:t>Periods Ended</w:t>
            </w:r>
          </w:p>
        </w:tc>
        <w:tc>
          <w:tcPr>
            <w:tcW w:w="1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76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2"/>
            <w:vMerge w:val="restart"/>
          </w:tcPr>
          <w:p>
            <w:pPr>
              <w:jc w:val="center"/>
              <w:ind w:right="200"/>
              <w:spacing w:after="0" w:line="155" w:lineRule="exact"/>
              <w:rPr>
                <w:sz w:val="20"/>
                <w:szCs w:val="20"/>
                <w:color w:val="auto"/>
              </w:rPr>
            </w:pPr>
            <w:r>
              <w:rPr>
                <w:rFonts w:ascii="Arial" w:cs="Arial" w:eastAsia="Arial" w:hAnsi="Arial"/>
                <w:sz w:val="15"/>
                <w:szCs w:val="15"/>
                <w:color w:val="auto"/>
                <w:w w:val="92"/>
              </w:rPr>
              <w:t>Other Comprehensive</w:t>
            </w:r>
          </w:p>
        </w:tc>
        <w:tc>
          <w:tcPr>
            <w:tcW w:w="178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5"/>
              </w:rPr>
              <w:t>Gain (Loss)</w:t>
            </w:r>
          </w:p>
        </w:tc>
        <w:tc>
          <w:tcPr>
            <w:tcW w:w="0" w:type="dxa"/>
            <w:vAlign w:val="bottom"/>
          </w:tcPr>
          <w:p>
            <w:pPr>
              <w:spacing w:after="0"/>
              <w:rPr>
                <w:sz w:val="1"/>
                <w:szCs w:val="1"/>
                <w:color w:val="auto"/>
              </w:rPr>
            </w:pPr>
          </w:p>
        </w:tc>
      </w:tr>
      <w:tr>
        <w:trPr>
          <w:trHeight w:val="103"/>
        </w:trPr>
        <w:tc>
          <w:tcPr>
            <w:tcW w:w="600" w:type="dxa"/>
            <w:vAlign w:val="bottom"/>
          </w:tcPr>
          <w:p>
            <w:pPr>
              <w:spacing w:after="0"/>
              <w:rPr>
                <w:sz w:val="8"/>
                <w:szCs w:val="8"/>
                <w:color w:val="auto"/>
              </w:rPr>
            </w:pPr>
          </w:p>
        </w:tc>
        <w:tc>
          <w:tcPr>
            <w:tcW w:w="1160" w:type="dxa"/>
            <w:vAlign w:val="bottom"/>
            <w:gridSpan w:val="3"/>
            <w:vMerge w:val="restart"/>
          </w:tcPr>
          <w:p>
            <w:pPr>
              <w:jc w:val="center"/>
              <w:ind w:right="523"/>
              <w:spacing w:after="0"/>
              <w:rPr>
                <w:sz w:val="20"/>
                <w:szCs w:val="20"/>
                <w:color w:val="auto"/>
              </w:rPr>
            </w:pPr>
            <w:r>
              <w:rPr>
                <w:rFonts w:ascii="Arial" w:cs="Arial" w:eastAsia="Arial" w:hAnsi="Arial"/>
                <w:sz w:val="15"/>
                <w:szCs w:val="15"/>
                <w:color w:val="auto"/>
                <w:w w:val="90"/>
              </w:rPr>
              <w:t>June 30,</w:t>
            </w:r>
          </w:p>
        </w:tc>
        <w:tc>
          <w:tcPr>
            <w:tcW w:w="20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180" w:type="dxa"/>
            <w:vAlign w:val="bottom"/>
            <w:gridSpan w:val="3"/>
            <w:vMerge w:val="restart"/>
          </w:tcPr>
          <w:p>
            <w:pPr>
              <w:jc w:val="center"/>
              <w:ind w:right="523"/>
              <w:spacing w:after="0"/>
              <w:rPr>
                <w:sz w:val="20"/>
                <w:szCs w:val="20"/>
                <w:color w:val="auto"/>
              </w:rPr>
            </w:pPr>
            <w:r>
              <w:rPr>
                <w:rFonts w:ascii="Arial" w:cs="Arial" w:eastAsia="Arial" w:hAnsi="Arial"/>
                <w:sz w:val="15"/>
                <w:szCs w:val="15"/>
                <w:color w:val="auto"/>
                <w:w w:val="86"/>
              </w:rPr>
              <w:t>June 30,</w:t>
            </w:r>
          </w:p>
        </w:tc>
        <w:tc>
          <w:tcPr>
            <w:tcW w:w="1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6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gridSpan w:val="2"/>
            <w:vMerge w:val="restart"/>
          </w:tcPr>
          <w:p>
            <w:pPr>
              <w:jc w:val="center"/>
              <w:ind w:right="200"/>
              <w:spacing w:after="0" w:line="155" w:lineRule="exact"/>
              <w:rPr>
                <w:sz w:val="20"/>
                <w:szCs w:val="20"/>
                <w:color w:val="auto"/>
              </w:rPr>
            </w:pPr>
            <w:r>
              <w:rPr>
                <w:rFonts w:ascii="Arial" w:cs="Arial" w:eastAsia="Arial" w:hAnsi="Arial"/>
                <w:sz w:val="15"/>
                <w:szCs w:val="15"/>
                <w:color w:val="auto"/>
                <w:w w:val="94"/>
              </w:rPr>
              <w:t>Income into Income</w:t>
            </w:r>
          </w:p>
        </w:tc>
        <w:tc>
          <w:tcPr>
            <w:tcW w:w="6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46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3"/>
              </w:rPr>
              <w:t>Recognized</w:t>
            </w:r>
          </w:p>
        </w:tc>
        <w:tc>
          <w:tcPr>
            <w:tcW w:w="0" w:type="dxa"/>
            <w:vAlign w:val="bottom"/>
          </w:tcPr>
          <w:p>
            <w:pPr>
              <w:spacing w:after="0"/>
              <w:rPr>
                <w:sz w:val="1"/>
                <w:szCs w:val="1"/>
                <w:color w:val="auto"/>
              </w:rPr>
            </w:pPr>
          </w:p>
        </w:tc>
      </w:tr>
      <w:tr>
        <w:trPr>
          <w:trHeight w:val="42"/>
        </w:trPr>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2023</w:t>
            </w:r>
          </w:p>
        </w:tc>
        <w:tc>
          <w:tcPr>
            <w:tcW w:w="20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780" w:type="dxa"/>
            <w:vAlign w:val="bottom"/>
            <w:vMerge w:val="restart"/>
          </w:tcPr>
          <w:p>
            <w:pPr>
              <w:jc w:val="right"/>
              <w:ind w:right="163"/>
              <w:spacing w:after="0"/>
              <w:rPr>
                <w:sz w:val="20"/>
                <w:szCs w:val="20"/>
                <w:color w:val="auto"/>
              </w:rPr>
            </w:pPr>
            <w:r>
              <w:rPr>
                <w:rFonts w:ascii="Arial" w:cs="Arial" w:eastAsia="Arial" w:hAnsi="Arial"/>
                <w:sz w:val="15"/>
                <w:szCs w:val="15"/>
                <w:color w:val="auto"/>
              </w:rPr>
              <w:t>2022</w:t>
            </w:r>
          </w:p>
        </w:tc>
        <w:tc>
          <w:tcPr>
            <w:tcW w:w="200" w:type="dxa"/>
            <w:vAlign w:val="bottom"/>
          </w:tcPr>
          <w:p>
            <w:pPr>
              <w:spacing w:after="0"/>
              <w:rPr>
                <w:sz w:val="3"/>
                <w:szCs w:val="3"/>
                <w:color w:val="auto"/>
              </w:rPr>
            </w:pPr>
          </w:p>
        </w:tc>
        <w:tc>
          <w:tcPr>
            <w:tcW w:w="1640" w:type="dxa"/>
            <w:vAlign w:val="bottom"/>
            <w:gridSpan w:val="2"/>
            <w:vMerge w:val="continue"/>
          </w:tcPr>
          <w:p>
            <w:pPr>
              <w:spacing w:after="0"/>
              <w:rPr>
                <w:sz w:val="3"/>
                <w:szCs w:val="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2023</w:t>
            </w:r>
          </w:p>
        </w:tc>
        <w:tc>
          <w:tcPr>
            <w:tcW w:w="200" w:type="dxa"/>
            <w:vAlign w:val="bottom"/>
            <w:vMerge w:val="restart"/>
          </w:tcPr>
          <w:p>
            <w:pPr>
              <w:spacing w:after="0"/>
              <w:rPr>
                <w:sz w:val="3"/>
                <w:szCs w:val="3"/>
                <w:color w:val="auto"/>
              </w:rPr>
            </w:pPr>
          </w:p>
        </w:tc>
        <w:tc>
          <w:tcPr>
            <w:tcW w:w="180" w:type="dxa"/>
            <w:vAlign w:val="bottom"/>
            <w:vMerge w:val="restart"/>
          </w:tcPr>
          <w:p>
            <w:pPr>
              <w:spacing w:after="0"/>
              <w:rPr>
                <w:sz w:val="3"/>
                <w:szCs w:val="3"/>
                <w:color w:val="auto"/>
              </w:rPr>
            </w:pPr>
          </w:p>
        </w:tc>
        <w:tc>
          <w:tcPr>
            <w:tcW w:w="800" w:type="dxa"/>
            <w:vAlign w:val="bottom"/>
            <w:vMerge w:val="restart"/>
          </w:tcPr>
          <w:p>
            <w:pPr>
              <w:jc w:val="right"/>
              <w:ind w:right="163"/>
              <w:spacing w:after="0"/>
              <w:rPr>
                <w:sz w:val="20"/>
                <w:szCs w:val="20"/>
                <w:color w:val="auto"/>
              </w:rPr>
            </w:pPr>
            <w:r>
              <w:rPr>
                <w:rFonts w:ascii="Arial" w:cs="Arial" w:eastAsia="Arial" w:hAnsi="Arial"/>
                <w:sz w:val="15"/>
                <w:szCs w:val="15"/>
                <w:color w:val="auto"/>
              </w:rPr>
              <w:t>2022</w:t>
            </w:r>
          </w:p>
        </w:tc>
        <w:tc>
          <w:tcPr>
            <w:tcW w:w="18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6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(Effective Portion)</w:t>
            </w:r>
          </w:p>
        </w:tc>
        <w:tc>
          <w:tcPr>
            <w:tcW w:w="180" w:type="dxa"/>
            <w:vAlign w:val="bottom"/>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in Income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138670" cy="1308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5"/>
          <w:szCs w:val="15"/>
          <w:color w:val="auto"/>
        </w:rPr>
        <w:t>Fair Value Hedges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40"/>
        <w:spacing w:after="0"/>
        <w:rPr>
          <w:sz w:val="20"/>
          <w:szCs w:val="20"/>
          <w:color w:val="auto"/>
        </w:rPr>
      </w:pPr>
      <w:r>
        <w:rPr>
          <w:rFonts w:ascii="Arial" w:cs="Arial" w:eastAsia="Arial" w:hAnsi="Arial"/>
          <w:sz w:val="15"/>
          <w:szCs w:val="15"/>
          <w:color w:val="auto"/>
        </w:rPr>
        <w:t>Gain (Loss)</w:t>
      </w:r>
    </w:p>
    <w:p>
      <w:pPr>
        <w:jc w:val="center"/>
        <w:ind w:right="240"/>
        <w:spacing w:after="0" w:line="215" w:lineRule="auto"/>
        <w:rPr>
          <w:sz w:val="20"/>
          <w:szCs w:val="20"/>
          <w:color w:val="auto"/>
        </w:rPr>
      </w:pPr>
      <w:r>
        <w:rPr>
          <w:rFonts w:ascii="Arial" w:cs="Arial" w:eastAsia="Arial" w:hAnsi="Arial"/>
          <w:sz w:val="15"/>
          <w:szCs w:val="15"/>
          <w:color w:val="auto"/>
        </w:rPr>
        <w:t>Recognized</w:t>
      </w:r>
    </w:p>
    <w:p>
      <w:pPr>
        <w:jc w:val="center"/>
        <w:ind w:right="240"/>
        <w:spacing w:after="0"/>
        <w:rPr>
          <w:sz w:val="20"/>
          <w:szCs w:val="20"/>
          <w:color w:val="auto"/>
        </w:rPr>
      </w:pPr>
      <w:r>
        <w:rPr>
          <w:rFonts w:ascii="Arial" w:cs="Arial" w:eastAsia="Arial" w:hAnsi="Arial"/>
          <w:sz w:val="15"/>
          <w:szCs w:val="15"/>
          <w:color w:val="auto"/>
        </w:rPr>
        <w:t>in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10795</wp:posOffset>
            </wp:positionV>
            <wp:extent cx="10807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92" w:lineRule="exact"/>
        <w:rPr>
          <w:sz w:val="20"/>
          <w:szCs w:val="20"/>
          <w:color w:val="auto"/>
        </w:rPr>
      </w:pPr>
    </w:p>
    <w:p>
      <w:pPr>
        <w:jc w:val="center"/>
        <w:ind w:left="140" w:right="260"/>
        <w:spacing w:after="0" w:line="285" w:lineRule="auto"/>
        <w:rPr>
          <w:sz w:val="20"/>
          <w:szCs w:val="20"/>
          <w:color w:val="auto"/>
        </w:rPr>
      </w:pPr>
      <w:r>
        <w:rPr>
          <w:rFonts w:ascii="Arial" w:cs="Arial" w:eastAsia="Arial" w:hAnsi="Arial"/>
          <w:sz w:val="13"/>
          <w:szCs w:val="13"/>
          <w:color w:val="auto"/>
        </w:rPr>
        <w:t>Three Month Periods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-13335</wp:posOffset>
            </wp:positionV>
            <wp:extent cx="10807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15"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color w:val="auto"/>
        </w:rPr>
        <w:t>2023</w:t>
      </w:r>
      <w:r>
        <w:rPr>
          <w:sz w:val="20"/>
          <w:szCs w:val="20"/>
          <w:color w:val="auto"/>
        </w:rPr>
        <w:tab/>
      </w:r>
      <w:r>
        <w:rPr>
          <w:rFonts w:ascii="Arial" w:cs="Arial" w:eastAsia="Arial" w:hAnsi="Arial"/>
          <w:sz w:val="14"/>
          <w:szCs w:val="14"/>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25400</wp:posOffset>
            </wp:positionV>
            <wp:extent cx="10807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5"/>
          <w:szCs w:val="15"/>
          <w:color w:val="auto"/>
        </w:rPr>
        <w:t>(In thousands)</w:t>
      </w:r>
    </w:p>
    <w:p>
      <w:pPr>
        <w:spacing w:after="0" w:line="222" w:lineRule="exact"/>
        <w:rPr>
          <w:sz w:val="20"/>
          <w:szCs w:val="20"/>
          <w:color w:val="auto"/>
        </w:rPr>
      </w:pPr>
    </w:p>
    <w:p>
      <w:pPr>
        <w:sectPr>
          <w:pgSz w:w="11900" w:h="16838" w:orient="portrait"/>
          <w:cols w:equalWidth="0" w:num="2">
            <w:col w:w="9480" w:space="320"/>
            <w:col w:w="1440"/>
          </w:cols>
          <w:pgMar w:left="320" w:top="127" w:right="339" w:bottom="1440" w:gutter="0" w:footer="0" w:header="0"/>
        </w:sectPr>
      </w:pPr>
    </w:p>
    <w:p>
      <w:pPr>
        <w:spacing w:after="0" w:line="1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Pay-fixed interest rate swap</w:t>
      </w:r>
    </w:p>
    <w:p>
      <w:pPr>
        <w:ind w:left="320"/>
        <w:spacing w:after="0"/>
        <w:rPr>
          <w:sz w:val="20"/>
          <w:szCs w:val="20"/>
          <w:color w:val="auto"/>
        </w:rPr>
      </w:pPr>
      <w:r>
        <w:rPr>
          <w:rFonts w:ascii="Arial" w:cs="Arial" w:eastAsia="Arial" w:hAnsi="Arial"/>
          <w:sz w:val="15"/>
          <w:szCs w:val="15"/>
          <w:color w:val="auto"/>
        </w:rPr>
        <w:t>agreement - commercial</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Pay-fixed interest rate swap</w:t>
      </w:r>
    </w:p>
    <w:p>
      <w:pPr>
        <w:ind w:left="320"/>
        <w:spacing w:after="0"/>
        <w:rPr>
          <w:sz w:val="20"/>
          <w:szCs w:val="20"/>
          <w:color w:val="auto"/>
        </w:rPr>
      </w:pPr>
      <w:r>
        <w:rPr>
          <w:rFonts w:ascii="Arial" w:cs="Arial" w:eastAsia="Arial" w:hAnsi="Arial"/>
          <w:sz w:val="13"/>
          <w:szCs w:val="13"/>
          <w:color w:val="auto"/>
        </w:rPr>
        <w:t>agreement - securities available</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sale</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Pay-fixed interest rate swap</w:t>
      </w:r>
    </w:p>
    <w:p>
      <w:pPr>
        <w:ind w:left="320"/>
        <w:spacing w:after="0"/>
        <w:rPr>
          <w:sz w:val="20"/>
          <w:szCs w:val="20"/>
          <w:color w:val="auto"/>
        </w:rPr>
      </w:pPr>
      <w:r>
        <w:rPr>
          <w:rFonts w:ascii="Arial" w:cs="Arial" w:eastAsia="Arial" w:hAnsi="Arial"/>
          <w:sz w:val="15"/>
          <w:szCs w:val="15"/>
          <w:color w:val="auto"/>
        </w:rPr>
        <w:t>agreement - Installment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Pr>
          <w:p>
            <w:pPr>
              <w:spacing w:after="0"/>
              <w:rPr>
                <w:sz w:val="20"/>
                <w:szCs w:val="20"/>
                <w:color w:val="auto"/>
              </w:rPr>
            </w:pPr>
            <w:r>
              <w:rPr>
                <w:rFonts w:ascii="Arial" w:cs="Arial" w:eastAsia="Arial" w:hAnsi="Arial"/>
                <w:sz w:val="15"/>
                <w:szCs w:val="15"/>
                <w:color w:val="auto"/>
              </w:rPr>
              <w:t>Interest and fees on</w:t>
            </w:r>
          </w:p>
        </w:tc>
        <w:tc>
          <w:tcPr>
            <w:tcW w:w="400" w:type="dxa"/>
            <w:vAlign w:val="bottom"/>
            <w:vMerge w:val="restart"/>
          </w:tcPr>
          <w:p>
            <w:pPr>
              <w:jc w:val="right"/>
              <w:ind w:right="63"/>
              <w:spacing w:after="0"/>
              <w:rPr>
                <w:sz w:val="20"/>
                <w:szCs w:val="20"/>
                <w:color w:val="auto"/>
              </w:rPr>
            </w:pPr>
            <w:r>
              <w:rPr>
                <w:rFonts w:ascii="Arial" w:cs="Arial" w:eastAsia="Arial" w:hAnsi="Arial"/>
                <w:sz w:val="15"/>
                <w:szCs w:val="15"/>
                <w:color w:val="auto"/>
              </w:rPr>
              <w:t>$</w:t>
            </w: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118</w:t>
            </w:r>
          </w:p>
        </w:tc>
        <w:tc>
          <w:tcPr>
            <w:tcW w:w="32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96"/>
        </w:trPr>
        <w:tc>
          <w:tcPr>
            <w:tcW w:w="1460" w:type="dxa"/>
            <w:vAlign w:val="bottom"/>
          </w:tcPr>
          <w:p>
            <w:pPr>
              <w:ind w:left="140"/>
              <w:spacing w:after="0"/>
              <w:rPr>
                <w:sz w:val="20"/>
                <w:szCs w:val="20"/>
                <w:color w:val="auto"/>
              </w:rPr>
            </w:pPr>
            <w:r>
              <w:rPr>
                <w:rFonts w:ascii="Arial" w:cs="Arial" w:eastAsia="Arial" w:hAnsi="Arial"/>
                <w:sz w:val="15"/>
                <w:szCs w:val="15"/>
                <w:color w:val="auto"/>
              </w:rPr>
              <w:t>loans</w:t>
            </w:r>
          </w:p>
        </w:tc>
        <w:tc>
          <w:tcPr>
            <w:tcW w:w="4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line="165" w:lineRule="exact"/>
              <w:rPr>
                <w:sz w:val="20"/>
                <w:szCs w:val="20"/>
                <w:color w:val="auto"/>
              </w:rPr>
            </w:pPr>
            <w:r>
              <w:rPr>
                <w:rFonts w:ascii="Arial" w:cs="Arial" w:eastAsia="Arial" w:hAnsi="Arial"/>
                <w:sz w:val="15"/>
                <w:szCs w:val="15"/>
                <w:color w:val="auto"/>
              </w:rPr>
              <w:t>Interest on securities</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60" w:type="dxa"/>
            <w:vAlign w:val="bottom"/>
          </w:tcPr>
          <w:p>
            <w:pPr>
              <w:ind w:left="140"/>
              <w:spacing w:after="0" w:line="155" w:lineRule="exact"/>
              <w:rPr>
                <w:sz w:val="20"/>
                <w:szCs w:val="20"/>
                <w:color w:val="auto"/>
              </w:rPr>
            </w:pPr>
            <w:r>
              <w:rPr>
                <w:rFonts w:ascii="Arial" w:cs="Arial" w:eastAsia="Arial" w:hAnsi="Arial"/>
                <w:sz w:val="15"/>
                <w:szCs w:val="15"/>
                <w:color w:val="auto"/>
              </w:rPr>
              <w:t>available for sale -</w:t>
            </w:r>
          </w:p>
        </w:tc>
        <w:tc>
          <w:tcPr>
            <w:tcW w:w="400" w:type="dxa"/>
            <w:vAlign w:val="bottom"/>
          </w:tcPr>
          <w:p>
            <w:pPr>
              <w:spacing w:after="0"/>
              <w:rPr>
                <w:sz w:val="13"/>
                <w:szCs w:val="13"/>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2,368</w:t>
            </w:r>
          </w:p>
        </w:tc>
        <w:tc>
          <w:tcPr>
            <w:tcW w:w="32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3,501</w:t>
            </w:r>
          </w:p>
        </w:tc>
        <w:tc>
          <w:tcPr>
            <w:tcW w:w="0" w:type="dxa"/>
            <w:vAlign w:val="bottom"/>
          </w:tcPr>
          <w:p>
            <w:pPr>
              <w:spacing w:after="0"/>
              <w:rPr>
                <w:sz w:val="1"/>
                <w:szCs w:val="1"/>
                <w:color w:val="auto"/>
              </w:rPr>
            </w:pPr>
          </w:p>
        </w:tc>
      </w:tr>
      <w:tr>
        <w:trPr>
          <w:trHeight w:val="196"/>
        </w:trPr>
        <w:tc>
          <w:tcPr>
            <w:tcW w:w="1460" w:type="dxa"/>
            <w:vAlign w:val="bottom"/>
          </w:tcPr>
          <w:p>
            <w:pPr>
              <w:ind w:left="140"/>
              <w:spacing w:after="0"/>
              <w:rPr>
                <w:sz w:val="20"/>
                <w:szCs w:val="20"/>
                <w:color w:val="auto"/>
              </w:rPr>
            </w:pPr>
            <w:r>
              <w:rPr>
                <w:rFonts w:ascii="Arial" w:cs="Arial" w:eastAsia="Arial" w:hAnsi="Arial"/>
                <w:sz w:val="15"/>
                <w:szCs w:val="15"/>
                <w:color w:val="auto"/>
              </w:rPr>
              <w:t>tax - exempt</w:t>
            </w:r>
          </w:p>
        </w:tc>
        <w:tc>
          <w:tcPr>
            <w:tcW w:w="4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line="165" w:lineRule="exact"/>
              <w:rPr>
                <w:sz w:val="20"/>
                <w:szCs w:val="20"/>
                <w:color w:val="auto"/>
              </w:rPr>
            </w:pPr>
            <w:r>
              <w:rPr>
                <w:rFonts w:ascii="Arial" w:cs="Arial" w:eastAsia="Arial" w:hAnsi="Arial"/>
                <w:sz w:val="15"/>
                <w:szCs w:val="15"/>
                <w:color w:val="auto"/>
              </w:rPr>
              <w:t>Interest and fees on</w:t>
            </w:r>
          </w:p>
        </w:tc>
        <w:tc>
          <w:tcPr>
            <w:tcW w:w="400" w:type="dxa"/>
            <w:vAlign w:val="bottom"/>
          </w:tcPr>
          <w:p>
            <w:pPr>
              <w:spacing w:after="0"/>
              <w:rPr>
                <w:sz w:val="14"/>
                <w:szCs w:val="14"/>
                <w:color w:val="auto"/>
              </w:rPr>
            </w:pPr>
          </w:p>
        </w:tc>
        <w:tc>
          <w:tcPr>
            <w:tcW w:w="580" w:type="dxa"/>
            <w:vAlign w:val="bottom"/>
            <w:vMerge w:val="restart"/>
          </w:tcPr>
          <w:p>
            <w:pPr>
              <w:jc w:val="right"/>
              <w:ind w:right="3"/>
              <w:spacing w:after="0"/>
              <w:rPr>
                <w:sz w:val="20"/>
                <w:szCs w:val="20"/>
                <w:color w:val="auto"/>
              </w:rPr>
            </w:pPr>
            <w:r>
              <w:rPr>
                <w:rFonts w:ascii="Arial" w:cs="Arial" w:eastAsia="Arial" w:hAnsi="Arial"/>
                <w:sz w:val="15"/>
                <w:szCs w:val="15"/>
                <w:color w:val="auto"/>
              </w:rPr>
              <w:t>1,018</w:t>
            </w:r>
          </w:p>
        </w:tc>
        <w:tc>
          <w:tcPr>
            <w:tcW w:w="3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460" w:type="dxa"/>
            <w:vAlign w:val="bottom"/>
          </w:tcPr>
          <w:p>
            <w:pPr>
              <w:ind w:left="140"/>
              <w:spacing w:after="0"/>
              <w:rPr>
                <w:sz w:val="20"/>
                <w:szCs w:val="20"/>
                <w:color w:val="auto"/>
              </w:rPr>
            </w:pPr>
            <w:r>
              <w:rPr>
                <w:rFonts w:ascii="Arial" w:cs="Arial" w:eastAsia="Arial" w:hAnsi="Arial"/>
                <w:sz w:val="15"/>
                <w:szCs w:val="15"/>
                <w:color w:val="auto"/>
              </w:rPr>
              <w:t>loans</w:t>
            </w:r>
          </w:p>
        </w:tc>
        <w:tc>
          <w:tcPr>
            <w:tcW w:w="4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-5026660</wp:posOffset>
            </wp:positionH>
            <wp:positionV relativeFrom="paragraph">
              <wp:posOffset>-552450</wp:posOffset>
            </wp:positionV>
            <wp:extent cx="7138670" cy="3276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670" cy="3276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200" w:space="720"/>
            <w:col w:w="332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2340" w:type="dxa"/>
            <w:vAlign w:val="bottom"/>
            <w:shd w:val="clear" w:color="auto" w:fill="CCEEFF"/>
          </w:tcPr>
          <w:p>
            <w:pPr>
              <w:ind w:left="180"/>
              <w:spacing w:after="0" w:line="165" w:lineRule="exact"/>
              <w:rPr>
                <w:sz w:val="20"/>
                <w:szCs w:val="20"/>
                <w:color w:val="auto"/>
              </w:rPr>
            </w:pPr>
            <w:r>
              <w:rPr>
                <w:rFonts w:ascii="Arial" w:cs="Arial" w:eastAsia="Arial" w:hAnsi="Arial"/>
                <w:sz w:val="15"/>
                <w:szCs w:val="15"/>
                <w:color w:val="auto"/>
              </w:rPr>
              <w:t>Interest rate cap agreements -</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40" w:type="dxa"/>
            <w:vAlign w:val="bottom"/>
            <w:shd w:val="clear" w:color="auto" w:fill="CCEEFF"/>
          </w:tcPr>
          <w:p>
            <w:pPr>
              <w:ind w:left="200"/>
              <w:spacing w:after="0" w:line="165" w:lineRule="exact"/>
              <w:rPr>
                <w:sz w:val="20"/>
                <w:szCs w:val="20"/>
                <w:color w:val="auto"/>
              </w:rPr>
            </w:pPr>
            <w:r>
              <w:rPr>
                <w:rFonts w:ascii="Arial" w:cs="Arial" w:eastAsia="Arial" w:hAnsi="Arial"/>
                <w:sz w:val="15"/>
                <w:szCs w:val="15"/>
                <w:color w:val="auto"/>
              </w:rPr>
              <w:t>Interest on securities</w:t>
            </w: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20" w:type="dxa"/>
            <w:vAlign w:val="bottom"/>
            <w:shd w:val="clear" w:color="auto" w:fill="CCEEFF"/>
          </w:tcPr>
          <w:p>
            <w:pPr>
              <w:ind w:left="200"/>
              <w:spacing w:after="0" w:line="165" w:lineRule="exact"/>
              <w:rPr>
                <w:sz w:val="20"/>
                <w:szCs w:val="20"/>
                <w:color w:val="auto"/>
              </w:rPr>
            </w:pPr>
            <w:r>
              <w:rPr>
                <w:rFonts w:ascii="Arial" w:cs="Arial" w:eastAsia="Arial" w:hAnsi="Arial"/>
                <w:sz w:val="15"/>
                <w:szCs w:val="15"/>
                <w:color w:val="auto"/>
              </w:rPr>
              <w:t>Interest on securities</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40" w:type="dxa"/>
            <w:vAlign w:val="bottom"/>
            <w:shd w:val="clear" w:color="auto" w:fill="CCEEFF"/>
          </w:tcPr>
          <w:p>
            <w:pPr>
              <w:ind w:left="320"/>
              <w:spacing w:after="0" w:line="155" w:lineRule="exact"/>
              <w:rPr>
                <w:sz w:val="20"/>
                <w:szCs w:val="20"/>
                <w:color w:val="auto"/>
              </w:rPr>
            </w:pPr>
            <w:r>
              <w:rPr>
                <w:rFonts w:ascii="Arial" w:cs="Arial" w:eastAsia="Arial" w:hAnsi="Arial"/>
                <w:sz w:val="15"/>
                <w:szCs w:val="15"/>
                <w:color w:val="auto"/>
              </w:rPr>
              <w:t>securities available for sale</w:t>
            </w:r>
          </w:p>
        </w:tc>
        <w:tc>
          <w:tcPr>
            <w:tcW w:w="26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5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159</w:t>
            </w:r>
          </w:p>
        </w:tc>
        <w:tc>
          <w:tcPr>
            <w:tcW w:w="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40" w:type="dxa"/>
            <w:vAlign w:val="bottom"/>
            <w:vMerge w:val="restart"/>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840" w:type="dxa"/>
            <w:vAlign w:val="bottom"/>
            <w:shd w:val="clear" w:color="auto" w:fill="CCEEFF"/>
          </w:tcPr>
          <w:p>
            <w:pPr>
              <w:ind w:left="360"/>
              <w:spacing w:after="0" w:line="155" w:lineRule="exact"/>
              <w:rPr>
                <w:sz w:val="20"/>
                <w:szCs w:val="20"/>
                <w:color w:val="auto"/>
              </w:rPr>
            </w:pPr>
            <w:r>
              <w:rPr>
                <w:rFonts w:ascii="Arial" w:cs="Arial" w:eastAsia="Arial" w:hAnsi="Arial"/>
                <w:sz w:val="15"/>
                <w:szCs w:val="15"/>
                <w:color w:val="auto"/>
              </w:rPr>
              <w:t>available for sale -</w:t>
            </w:r>
          </w:p>
        </w:tc>
        <w:tc>
          <w:tcPr>
            <w:tcW w:w="30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500" w:type="dxa"/>
            <w:vAlign w:val="bottom"/>
            <w:vMerge w:val="restart"/>
            <w:shd w:val="clear" w:color="auto" w:fill="CCEEFF"/>
          </w:tcPr>
          <w:p>
            <w:pPr>
              <w:jc w:val="center"/>
              <w:ind w:left="103"/>
              <w:spacing w:after="0"/>
              <w:rPr>
                <w:sz w:val="20"/>
                <w:szCs w:val="20"/>
                <w:color w:val="auto"/>
              </w:rPr>
            </w:pPr>
            <w:r>
              <w:rPr>
                <w:rFonts w:ascii="Arial" w:cs="Arial" w:eastAsia="Arial" w:hAnsi="Arial"/>
                <w:sz w:val="15"/>
                <w:szCs w:val="15"/>
                <w:color w:val="auto"/>
                <w:w w:val="89"/>
              </w:rPr>
              <w:t>(68)</w:t>
            </w:r>
          </w:p>
        </w:tc>
        <w:tc>
          <w:tcPr>
            <w:tcW w:w="5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60" w:type="dxa"/>
            <w:vAlign w:val="bottom"/>
            <w:vMerge w:val="restart"/>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820" w:type="dxa"/>
            <w:vAlign w:val="bottom"/>
            <w:shd w:val="clear" w:color="auto" w:fill="CCEEFF"/>
          </w:tcPr>
          <w:p>
            <w:pPr>
              <w:ind w:left="340"/>
              <w:spacing w:after="0" w:line="155" w:lineRule="exact"/>
              <w:rPr>
                <w:sz w:val="20"/>
                <w:szCs w:val="20"/>
                <w:color w:val="auto"/>
              </w:rPr>
            </w:pPr>
            <w:r>
              <w:rPr>
                <w:rFonts w:ascii="Arial" w:cs="Arial" w:eastAsia="Arial" w:hAnsi="Arial"/>
                <w:sz w:val="15"/>
                <w:szCs w:val="15"/>
                <w:color w:val="auto"/>
              </w:rPr>
              <w:t>available for sale -</w:t>
            </w:r>
          </w:p>
        </w:tc>
        <w:tc>
          <w:tcPr>
            <w:tcW w:w="22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34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8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tax - exempt</w:t>
            </w:r>
          </w:p>
        </w:tc>
        <w:tc>
          <w:tcPr>
            <w:tcW w:w="30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tax - exempt</w:t>
            </w: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40" w:type="dxa"/>
            <w:vAlign w:val="bottom"/>
          </w:tcPr>
          <w:p>
            <w:pPr>
              <w:ind w:left="180"/>
              <w:spacing w:after="0" w:line="160" w:lineRule="exact"/>
              <w:rPr>
                <w:sz w:val="20"/>
                <w:szCs w:val="20"/>
                <w:color w:val="auto"/>
              </w:rPr>
            </w:pPr>
            <w:r>
              <w:rPr>
                <w:rFonts w:ascii="Arial" w:cs="Arial" w:eastAsia="Arial" w:hAnsi="Arial"/>
                <w:sz w:val="15"/>
                <w:szCs w:val="15"/>
                <w:color w:val="auto"/>
              </w:rPr>
              <w:t>Interest rate cap agreements -</w:t>
            </w:r>
          </w:p>
        </w:tc>
        <w:tc>
          <w:tcPr>
            <w:tcW w:w="26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color w:val="auto"/>
              </w:rPr>
              <w:t>(152)</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vMerge w:val="restart"/>
          </w:tcPr>
          <w:p>
            <w:pPr>
              <w:ind w:left="220"/>
              <w:spacing w:after="0"/>
              <w:rPr>
                <w:sz w:val="20"/>
                <w:szCs w:val="20"/>
                <w:color w:val="auto"/>
              </w:rPr>
            </w:pPr>
            <w:r>
              <w:rPr>
                <w:rFonts w:ascii="Arial" w:cs="Arial" w:eastAsia="Arial" w:hAnsi="Arial"/>
                <w:sz w:val="15"/>
                <w:szCs w:val="15"/>
                <w:color w:val="auto"/>
              </w:rPr>
              <w:t>—</w:t>
            </w:r>
          </w:p>
        </w:tc>
        <w:tc>
          <w:tcPr>
            <w:tcW w:w="1840" w:type="dxa"/>
            <w:vAlign w:val="bottom"/>
          </w:tcPr>
          <w:p>
            <w:pPr>
              <w:ind w:left="200"/>
              <w:spacing w:after="0" w:line="160" w:lineRule="exact"/>
              <w:rPr>
                <w:sz w:val="20"/>
                <w:szCs w:val="20"/>
                <w:color w:val="auto"/>
              </w:rPr>
            </w:pPr>
            <w:r>
              <w:rPr>
                <w:rFonts w:ascii="Arial" w:cs="Arial" w:eastAsia="Arial" w:hAnsi="Arial"/>
                <w:sz w:val="15"/>
                <w:szCs w:val="15"/>
                <w:color w:val="auto"/>
              </w:rPr>
              <w:t>Interest and fees on</w:t>
            </w:r>
          </w:p>
        </w:tc>
        <w:tc>
          <w:tcPr>
            <w:tcW w:w="300" w:type="dxa"/>
            <w:vAlign w:val="bottom"/>
          </w:tcPr>
          <w:p>
            <w:pPr>
              <w:spacing w:after="0"/>
              <w:rPr>
                <w:sz w:val="13"/>
                <w:szCs w:val="13"/>
                <w:color w:val="auto"/>
              </w:rPr>
            </w:pPr>
          </w:p>
        </w:tc>
        <w:tc>
          <w:tcPr>
            <w:tcW w:w="500" w:type="dxa"/>
            <w:vAlign w:val="bottom"/>
            <w:vMerge w:val="restart"/>
          </w:tcPr>
          <w:p>
            <w:pPr>
              <w:jc w:val="center"/>
              <w:ind w:left="143"/>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vMerge w:val="restart"/>
          </w:tcPr>
          <w:p>
            <w:pPr>
              <w:ind w:left="220"/>
              <w:spacing w:after="0"/>
              <w:rPr>
                <w:sz w:val="20"/>
                <w:szCs w:val="20"/>
                <w:color w:val="auto"/>
              </w:rPr>
            </w:pPr>
            <w:r>
              <w:rPr>
                <w:rFonts w:ascii="Arial" w:cs="Arial" w:eastAsia="Arial" w:hAnsi="Arial"/>
                <w:sz w:val="15"/>
                <w:szCs w:val="15"/>
                <w:color w:val="auto"/>
              </w:rPr>
              <w:t>—</w:t>
            </w:r>
          </w:p>
        </w:tc>
        <w:tc>
          <w:tcPr>
            <w:tcW w:w="1820" w:type="dxa"/>
            <w:vAlign w:val="bottom"/>
          </w:tcPr>
          <w:p>
            <w:pPr>
              <w:ind w:left="200"/>
              <w:spacing w:after="0" w:line="160" w:lineRule="exact"/>
              <w:rPr>
                <w:sz w:val="20"/>
                <w:szCs w:val="20"/>
                <w:color w:val="auto"/>
              </w:rPr>
            </w:pPr>
            <w:r>
              <w:rPr>
                <w:rFonts w:ascii="Arial" w:cs="Arial" w:eastAsia="Arial" w:hAnsi="Arial"/>
                <w:sz w:val="15"/>
                <w:szCs w:val="15"/>
                <w:color w:val="auto"/>
              </w:rPr>
              <w:t>Interest and fees on</w:t>
            </w:r>
          </w:p>
        </w:tc>
        <w:tc>
          <w:tcPr>
            <w:tcW w:w="2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34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installment</w:t>
            </w: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1840" w:type="dxa"/>
            <w:vAlign w:val="bottom"/>
            <w:tcBorders>
              <w:bottom w:val="single" w:sz="8" w:color="CCEEFF"/>
            </w:tcBorders>
          </w:tcPr>
          <w:p>
            <w:pPr>
              <w:ind w:left="360"/>
              <w:spacing w:after="0"/>
              <w:rPr>
                <w:sz w:val="20"/>
                <w:szCs w:val="20"/>
                <w:color w:val="auto"/>
              </w:rPr>
            </w:pPr>
            <w:r>
              <w:rPr>
                <w:rFonts w:ascii="Arial" w:cs="Arial" w:eastAsia="Arial" w:hAnsi="Arial"/>
                <w:sz w:val="15"/>
                <w:szCs w:val="15"/>
                <w:color w:val="auto"/>
              </w:rPr>
              <w:t>loans</w:t>
            </w: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82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loans</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5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8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shd w:val="clear" w:color="auto" w:fill="CCEEFF"/>
          </w:tcPr>
          <w:p>
            <w:pPr>
              <w:jc w:val="center"/>
              <w:ind w:left="103"/>
              <w:spacing w:after="0"/>
              <w:rPr>
                <w:sz w:val="20"/>
                <w:szCs w:val="20"/>
                <w:color w:val="auto"/>
              </w:rPr>
            </w:pPr>
            <w:r>
              <w:rPr>
                <w:rFonts w:ascii="Arial" w:cs="Arial" w:eastAsia="Arial" w:hAnsi="Arial"/>
                <w:sz w:val="15"/>
                <w:szCs w:val="15"/>
                <w:color w:val="auto"/>
                <w:w w:val="89"/>
              </w:rPr>
              <w:t>(68)</w:t>
            </w:r>
          </w:p>
        </w:tc>
        <w:tc>
          <w:tcPr>
            <w:tcW w:w="52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3,700</w:t>
            </w:r>
          </w:p>
        </w:tc>
        <w:tc>
          <w:tcPr>
            <w:tcW w:w="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3,701</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No hedge designation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3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Rate-lock mortgage loan</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Net gains on mortgage</w:t>
            </w:r>
          </w:p>
        </w:tc>
        <w:tc>
          <w:tcPr>
            <w:tcW w:w="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380</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(1,842)</w:t>
            </w:r>
          </w:p>
        </w:tc>
        <w:tc>
          <w:tcPr>
            <w:tcW w:w="0" w:type="dxa"/>
            <w:vAlign w:val="bottom"/>
          </w:tcPr>
          <w:p>
            <w:pPr>
              <w:spacing w:after="0"/>
              <w:rPr>
                <w:sz w:val="1"/>
                <w:szCs w:val="1"/>
                <w:color w:val="auto"/>
              </w:rPr>
            </w:pPr>
          </w:p>
        </w:tc>
      </w:tr>
      <w:tr>
        <w:trPr>
          <w:trHeight w:val="201"/>
        </w:trPr>
        <w:tc>
          <w:tcPr>
            <w:tcW w:w="2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commitments</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loans</w:t>
            </w:r>
          </w:p>
        </w:tc>
        <w:tc>
          <w:tcPr>
            <w:tcW w:w="22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40" w:type="dxa"/>
            <w:vAlign w:val="bottom"/>
          </w:tcPr>
          <w:p>
            <w:pPr>
              <w:ind w:left="180"/>
              <w:spacing w:after="0" w:line="160" w:lineRule="exact"/>
              <w:rPr>
                <w:sz w:val="20"/>
                <w:szCs w:val="20"/>
                <w:color w:val="auto"/>
              </w:rPr>
            </w:pPr>
            <w:r>
              <w:rPr>
                <w:rFonts w:ascii="Arial" w:cs="Arial" w:eastAsia="Arial" w:hAnsi="Arial"/>
                <w:sz w:val="15"/>
                <w:szCs w:val="15"/>
                <w:color w:val="auto"/>
              </w:rPr>
              <w:t>Mandatory commitments to sell</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ind w:left="200"/>
              <w:spacing w:after="0" w:line="160" w:lineRule="exact"/>
              <w:rPr>
                <w:sz w:val="20"/>
                <w:szCs w:val="20"/>
                <w:color w:val="auto"/>
              </w:rPr>
            </w:pPr>
            <w:r>
              <w:rPr>
                <w:rFonts w:ascii="Arial" w:cs="Arial" w:eastAsia="Arial" w:hAnsi="Arial"/>
                <w:sz w:val="15"/>
                <w:szCs w:val="15"/>
                <w:color w:val="auto"/>
              </w:rPr>
              <w:t>Net gains on mortgage</w:t>
            </w:r>
          </w:p>
        </w:tc>
        <w:tc>
          <w:tcPr>
            <w:tcW w:w="2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677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(1,350)</w:t>
            </w:r>
          </w:p>
        </w:tc>
        <w:tc>
          <w:tcPr>
            <w:tcW w:w="0" w:type="dxa"/>
            <w:vAlign w:val="bottom"/>
          </w:tcPr>
          <w:p>
            <w:pPr>
              <w:spacing w:after="0"/>
              <w:rPr>
                <w:sz w:val="1"/>
                <w:szCs w:val="1"/>
                <w:color w:val="auto"/>
              </w:rPr>
            </w:pPr>
          </w:p>
        </w:tc>
      </w:tr>
      <w:tr>
        <w:trPr>
          <w:trHeight w:val="199"/>
        </w:trPr>
        <w:tc>
          <w:tcPr>
            <w:tcW w:w="2340" w:type="dxa"/>
            <w:vAlign w:val="bottom"/>
          </w:tcPr>
          <w:p>
            <w:pPr>
              <w:ind w:left="320"/>
              <w:spacing w:after="0"/>
              <w:rPr>
                <w:sz w:val="20"/>
                <w:szCs w:val="20"/>
                <w:color w:val="auto"/>
              </w:rPr>
            </w:pPr>
            <w:r>
              <w:rPr>
                <w:rFonts w:ascii="Arial" w:cs="Arial" w:eastAsia="Arial" w:hAnsi="Arial"/>
                <w:sz w:val="15"/>
                <w:szCs w:val="15"/>
                <w:color w:val="auto"/>
              </w:rPr>
              <w:t>mortgage loans</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ind w:left="340"/>
              <w:spacing w:after="0"/>
              <w:rPr>
                <w:sz w:val="20"/>
                <w:szCs w:val="20"/>
                <w:color w:val="auto"/>
              </w:rPr>
            </w:pPr>
            <w:r>
              <w:rPr>
                <w:rFonts w:ascii="Arial" w:cs="Arial" w:eastAsia="Arial" w:hAnsi="Arial"/>
                <w:sz w:val="15"/>
                <w:szCs w:val="15"/>
                <w:color w:val="auto"/>
              </w:rPr>
              <w:t>loans</w:t>
            </w: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Pay-fixed interest rate swap</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ind w:left="200"/>
              <w:spacing w:after="0"/>
              <w:rPr>
                <w:sz w:val="20"/>
                <w:szCs w:val="20"/>
                <w:color w:val="auto"/>
              </w:rPr>
            </w:pPr>
            <w:r>
              <w:rPr>
                <w:rFonts w:ascii="Arial" w:cs="Arial" w:eastAsia="Arial" w:hAnsi="Arial"/>
                <w:sz w:val="15"/>
                <w:szCs w:val="15"/>
                <w:color w:val="auto"/>
              </w:rPr>
              <w:t>Interest income</w:t>
            </w:r>
          </w:p>
        </w:tc>
        <w:tc>
          <w:tcPr>
            <w:tcW w:w="2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4,689</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5,147</w:t>
            </w:r>
          </w:p>
        </w:tc>
        <w:tc>
          <w:tcPr>
            <w:tcW w:w="0" w:type="dxa"/>
            <w:vAlign w:val="bottom"/>
          </w:tcPr>
          <w:p>
            <w:pPr>
              <w:spacing w:after="0"/>
              <w:rPr>
                <w:sz w:val="1"/>
                <w:szCs w:val="1"/>
                <w:color w:val="auto"/>
              </w:rPr>
            </w:pPr>
          </w:p>
        </w:tc>
      </w:tr>
      <w:tr>
        <w:trPr>
          <w:trHeight w:val="201"/>
        </w:trPr>
        <w:tc>
          <w:tcPr>
            <w:tcW w:w="2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agreements - commercial</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2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40" w:type="dxa"/>
            <w:vAlign w:val="bottom"/>
          </w:tcPr>
          <w:p>
            <w:pPr>
              <w:ind w:left="180"/>
              <w:spacing w:after="0" w:line="160" w:lineRule="exact"/>
              <w:rPr>
                <w:sz w:val="20"/>
                <w:szCs w:val="20"/>
                <w:color w:val="auto"/>
              </w:rPr>
            </w:pPr>
            <w:r>
              <w:rPr>
                <w:rFonts w:ascii="Arial" w:cs="Arial" w:eastAsia="Arial" w:hAnsi="Arial"/>
                <w:sz w:val="15"/>
                <w:szCs w:val="15"/>
                <w:color w:val="auto"/>
              </w:rPr>
              <w:t>Pay-variable interest rate swap</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vMerge w:val="restart"/>
          </w:tcPr>
          <w:p>
            <w:pPr>
              <w:ind w:left="200"/>
              <w:spacing w:after="0"/>
              <w:rPr>
                <w:sz w:val="20"/>
                <w:szCs w:val="20"/>
                <w:color w:val="auto"/>
              </w:rPr>
            </w:pPr>
            <w:r>
              <w:rPr>
                <w:rFonts w:ascii="Arial" w:cs="Arial" w:eastAsia="Arial" w:hAnsi="Arial"/>
                <w:sz w:val="15"/>
                <w:szCs w:val="15"/>
                <w:color w:val="auto"/>
              </w:rPr>
              <w:t>Interest income</w:t>
            </w:r>
          </w:p>
        </w:tc>
        <w:tc>
          <w:tcPr>
            <w:tcW w:w="2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(4,689)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(5,147)</w:t>
            </w:r>
          </w:p>
        </w:tc>
        <w:tc>
          <w:tcPr>
            <w:tcW w:w="0" w:type="dxa"/>
            <w:vAlign w:val="bottom"/>
          </w:tcPr>
          <w:p>
            <w:pPr>
              <w:spacing w:after="0"/>
              <w:rPr>
                <w:sz w:val="1"/>
                <w:szCs w:val="1"/>
                <w:color w:val="auto"/>
              </w:rPr>
            </w:pPr>
          </w:p>
        </w:tc>
      </w:tr>
      <w:tr>
        <w:trPr>
          <w:trHeight w:val="199"/>
        </w:trPr>
        <w:tc>
          <w:tcPr>
            <w:tcW w:w="2340" w:type="dxa"/>
            <w:vAlign w:val="bottom"/>
          </w:tcPr>
          <w:p>
            <w:pPr>
              <w:ind w:left="320"/>
              <w:spacing w:after="0"/>
              <w:rPr>
                <w:sz w:val="20"/>
                <w:szCs w:val="20"/>
                <w:color w:val="auto"/>
              </w:rPr>
            </w:pPr>
            <w:r>
              <w:rPr>
                <w:rFonts w:ascii="Arial" w:cs="Arial" w:eastAsia="Arial" w:hAnsi="Arial"/>
                <w:sz w:val="15"/>
                <w:szCs w:val="15"/>
                <w:color w:val="auto"/>
              </w:rPr>
              <w:t>agreements - commercial</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97"/>
              </w:rPr>
              <w:t>Interest rate swaption agreement</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Net gains on mortgage</w:t>
            </w:r>
          </w:p>
        </w:tc>
        <w:tc>
          <w:tcPr>
            <w:tcW w:w="2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loans</w:t>
            </w: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340" w:type="dxa"/>
            <w:vAlign w:val="bottom"/>
          </w:tcPr>
          <w:p>
            <w:pPr>
              <w:ind w:left="180"/>
              <w:spacing w:after="0" w:line="160" w:lineRule="exact"/>
              <w:rPr>
                <w:sz w:val="20"/>
                <w:szCs w:val="20"/>
                <w:color w:val="auto"/>
              </w:rPr>
            </w:pPr>
            <w:r>
              <w:rPr>
                <w:rFonts w:ascii="Arial" w:cs="Arial" w:eastAsia="Arial" w:hAnsi="Arial"/>
                <w:sz w:val="15"/>
                <w:szCs w:val="15"/>
                <w:color w:val="auto"/>
              </w:rPr>
              <w:t>Pay-fixed interest rate swap</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20" w:type="dxa"/>
            <w:vAlign w:val="bottom"/>
          </w:tcPr>
          <w:p>
            <w:pPr>
              <w:ind w:left="200"/>
              <w:spacing w:after="0" w:line="160" w:lineRule="exact"/>
              <w:rPr>
                <w:sz w:val="20"/>
                <w:szCs w:val="20"/>
                <w:color w:val="auto"/>
              </w:rPr>
            </w:pPr>
            <w:r>
              <w:rPr>
                <w:rFonts w:ascii="Arial" w:cs="Arial" w:eastAsia="Arial" w:hAnsi="Arial"/>
                <w:sz w:val="15"/>
                <w:szCs w:val="15"/>
                <w:color w:val="auto"/>
              </w:rPr>
              <w:t>Net gains on mortgage</w:t>
            </w:r>
          </w:p>
        </w:tc>
        <w:tc>
          <w:tcPr>
            <w:tcW w:w="22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656</w:t>
            </w:r>
          </w:p>
        </w:tc>
        <w:tc>
          <w:tcPr>
            <w:tcW w:w="0" w:type="dxa"/>
            <w:vAlign w:val="bottom"/>
          </w:tcPr>
          <w:p>
            <w:pPr>
              <w:spacing w:after="0"/>
              <w:rPr>
                <w:sz w:val="1"/>
                <w:szCs w:val="1"/>
                <w:color w:val="auto"/>
              </w:rPr>
            </w:pPr>
          </w:p>
        </w:tc>
      </w:tr>
      <w:tr>
        <w:trPr>
          <w:trHeight w:val="199"/>
        </w:trPr>
        <w:tc>
          <w:tcPr>
            <w:tcW w:w="2340" w:type="dxa"/>
            <w:vAlign w:val="bottom"/>
          </w:tcPr>
          <w:p>
            <w:pPr>
              <w:ind w:left="320"/>
              <w:spacing w:after="0"/>
              <w:rPr>
                <w:sz w:val="20"/>
                <w:szCs w:val="20"/>
                <w:color w:val="auto"/>
              </w:rPr>
            </w:pPr>
            <w:r>
              <w:rPr>
                <w:rFonts w:ascii="Arial" w:cs="Arial" w:eastAsia="Arial" w:hAnsi="Arial"/>
                <w:sz w:val="15"/>
                <w:szCs w:val="15"/>
                <w:color w:val="auto"/>
              </w:rPr>
              <w:t>agreements - mortgage</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ind w:left="340"/>
              <w:spacing w:after="0"/>
              <w:rPr>
                <w:sz w:val="20"/>
                <w:szCs w:val="20"/>
                <w:color w:val="auto"/>
              </w:rPr>
            </w:pPr>
            <w:r>
              <w:rPr>
                <w:rFonts w:ascii="Arial" w:cs="Arial" w:eastAsia="Arial" w:hAnsi="Arial"/>
                <w:sz w:val="15"/>
                <w:szCs w:val="15"/>
                <w:color w:val="auto"/>
              </w:rPr>
              <w:t>loans</w:t>
            </w:r>
          </w:p>
        </w:tc>
        <w:tc>
          <w:tcPr>
            <w:tcW w:w="22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4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Pay-variable interest rate swap</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2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Non-interest expense -</w:t>
            </w:r>
          </w:p>
        </w:tc>
        <w:tc>
          <w:tcPr>
            <w:tcW w:w="22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agreement</w:t>
            </w: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2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w:t>
            </w:r>
          </w:p>
        </w:tc>
        <w:tc>
          <w:tcPr>
            <w:tcW w:w="22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Interest rate cap agreements</w:t>
            </w:r>
          </w:p>
        </w:tc>
        <w:tc>
          <w:tcPr>
            <w:tcW w:w="26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8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8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Interest expense</w:t>
            </w: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(2,513)</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560" w:type="dxa"/>
        <w:tblCellMar>
          <w:top w:w="0" w:type="dxa"/>
          <w:left w:w="0" w:type="dxa"/>
          <w:bottom w:w="0" w:type="dxa"/>
          <w:right w:w="0" w:type="dxa"/>
        </w:tblCellMar>
      </w:tblPr>
      <w:tr>
        <w:trPr>
          <w:trHeight w:val="172"/>
        </w:trPr>
        <w:tc>
          <w:tcPr>
            <w:tcW w:w="1820" w:type="dxa"/>
            <w:vAlign w:val="bottom"/>
            <w:gridSpan w:val="2"/>
          </w:tcPr>
          <w:p>
            <w:pPr>
              <w:jc w:val="center"/>
              <w:spacing w:after="0"/>
              <w:rPr>
                <w:sz w:val="20"/>
                <w:szCs w:val="20"/>
                <w:color w:val="auto"/>
              </w:rPr>
            </w:pPr>
            <w:r>
              <w:rPr>
                <w:rFonts w:ascii="Arial" w:cs="Arial" w:eastAsia="Arial" w:hAnsi="Arial"/>
                <w:sz w:val="15"/>
                <w:szCs w:val="15"/>
                <w:color w:val="auto"/>
                <w:w w:val="93"/>
              </w:rPr>
              <w:t>Gain (loss) Recognized in</w:t>
            </w:r>
          </w:p>
        </w:tc>
        <w:tc>
          <w:tcPr>
            <w:tcW w:w="146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5"/>
                <w:szCs w:val="15"/>
                <w:color w:val="auto"/>
                <w:w w:val="95"/>
              </w:rPr>
              <w:t>Loss Reclassified from</w:t>
            </w:r>
          </w:p>
        </w:tc>
        <w:tc>
          <w:tcPr>
            <w:tcW w:w="1780" w:type="dxa"/>
            <w:vAlign w:val="bottom"/>
          </w:tcPr>
          <w:p>
            <w:pPr>
              <w:spacing w:after="0"/>
              <w:rPr>
                <w:sz w:val="14"/>
                <w:szCs w:val="14"/>
                <w:color w:val="auto"/>
              </w:rPr>
            </w:pPr>
          </w:p>
        </w:tc>
        <w:tc>
          <w:tcPr>
            <w:tcW w:w="1820" w:type="dxa"/>
            <w:vAlign w:val="bottom"/>
            <w:gridSpan w:val="2"/>
            <w:vMerge w:val="restart"/>
          </w:tcPr>
          <w:p>
            <w:pPr>
              <w:jc w:val="center"/>
              <w:spacing w:after="0"/>
              <w:rPr>
                <w:sz w:val="20"/>
                <w:szCs w:val="20"/>
                <w:color w:val="auto"/>
              </w:rPr>
            </w:pPr>
            <w:r>
              <w:rPr>
                <w:rFonts w:ascii="Arial" w:cs="Arial" w:eastAsia="Arial" w:hAnsi="Arial"/>
                <w:sz w:val="15"/>
                <w:szCs w:val="15"/>
                <w:color w:val="auto"/>
                <w:w w:val="95"/>
              </w:rPr>
              <w:t>Gain (Loss)</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1200" w:type="dxa"/>
            <w:vAlign w:val="bottom"/>
          </w:tcPr>
          <w:p>
            <w:pPr>
              <w:jc w:val="center"/>
              <w:ind w:right="523"/>
              <w:spacing w:after="0" w:line="155" w:lineRule="exact"/>
              <w:rPr>
                <w:sz w:val="20"/>
                <w:szCs w:val="20"/>
                <w:color w:val="auto"/>
              </w:rPr>
            </w:pPr>
            <w:r>
              <w:rPr>
                <w:rFonts w:ascii="Arial" w:cs="Arial" w:eastAsia="Arial" w:hAnsi="Arial"/>
                <w:sz w:val="15"/>
                <w:szCs w:val="15"/>
                <w:color w:val="auto"/>
                <w:w w:val="95"/>
              </w:rPr>
              <w:t>Other</w:t>
            </w:r>
          </w:p>
        </w:tc>
        <w:tc>
          <w:tcPr>
            <w:tcW w:w="1460" w:type="dxa"/>
            <w:vAlign w:val="bottom"/>
            <w:vMerge w:val="restart"/>
          </w:tcPr>
          <w:p>
            <w:pPr>
              <w:jc w:val="center"/>
              <w:spacing w:after="0"/>
              <w:rPr>
                <w:sz w:val="20"/>
                <w:szCs w:val="20"/>
                <w:color w:val="auto"/>
              </w:rPr>
            </w:pPr>
            <w:r>
              <w:rPr>
                <w:rFonts w:ascii="Arial" w:cs="Arial" w:eastAsia="Arial" w:hAnsi="Arial"/>
                <w:sz w:val="15"/>
                <w:szCs w:val="15"/>
                <w:color w:val="auto"/>
                <w:w w:val="96"/>
              </w:rPr>
              <w:t>Location of Gain</w:t>
            </w:r>
          </w:p>
        </w:tc>
        <w:tc>
          <w:tcPr>
            <w:tcW w:w="1800" w:type="dxa"/>
            <w:vAlign w:val="bottom"/>
            <w:gridSpan w:val="2"/>
          </w:tcPr>
          <w:p>
            <w:pPr>
              <w:jc w:val="center"/>
              <w:spacing w:after="0" w:line="155" w:lineRule="exact"/>
              <w:rPr>
                <w:sz w:val="20"/>
                <w:szCs w:val="20"/>
                <w:color w:val="auto"/>
              </w:rPr>
            </w:pPr>
            <w:r>
              <w:rPr>
                <w:rFonts w:ascii="Arial" w:cs="Arial" w:eastAsia="Arial" w:hAnsi="Arial"/>
                <w:sz w:val="15"/>
                <w:szCs w:val="15"/>
                <w:color w:val="auto"/>
                <w:w w:val="94"/>
              </w:rPr>
              <w:t>Accumulated Other</w:t>
            </w:r>
          </w:p>
        </w:tc>
        <w:tc>
          <w:tcPr>
            <w:tcW w:w="1780" w:type="dxa"/>
            <w:vAlign w:val="bottom"/>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820" w:type="dxa"/>
            <w:vAlign w:val="bottom"/>
            <w:gridSpan w:val="2"/>
            <w:vMerge w:val="restart"/>
          </w:tcPr>
          <w:p>
            <w:pPr>
              <w:jc w:val="center"/>
              <w:spacing w:after="0" w:line="155" w:lineRule="exact"/>
              <w:rPr>
                <w:sz w:val="20"/>
                <w:szCs w:val="20"/>
                <w:color w:val="auto"/>
              </w:rPr>
            </w:pPr>
            <w:r>
              <w:rPr>
                <w:rFonts w:ascii="Arial" w:cs="Arial" w:eastAsia="Arial" w:hAnsi="Arial"/>
                <w:sz w:val="15"/>
                <w:szCs w:val="15"/>
                <w:color w:val="auto"/>
                <w:w w:val="93"/>
              </w:rPr>
              <w:t>Comprehensive Income</w:t>
            </w:r>
          </w:p>
        </w:tc>
        <w:tc>
          <w:tcPr>
            <w:tcW w:w="1460" w:type="dxa"/>
            <w:vAlign w:val="bottom"/>
            <w:vMerge w:val="continue"/>
          </w:tcPr>
          <w:p>
            <w:pPr>
              <w:spacing w:after="0"/>
              <w:rPr>
                <w:sz w:val="7"/>
                <w:szCs w:val="7"/>
                <w:color w:val="auto"/>
              </w:rPr>
            </w:pPr>
          </w:p>
        </w:tc>
        <w:tc>
          <w:tcPr>
            <w:tcW w:w="1800" w:type="dxa"/>
            <w:vAlign w:val="bottom"/>
            <w:gridSpan w:val="2"/>
            <w:vMerge w:val="restart"/>
          </w:tcPr>
          <w:p>
            <w:pPr>
              <w:jc w:val="center"/>
              <w:spacing w:after="0" w:line="155" w:lineRule="exact"/>
              <w:rPr>
                <w:sz w:val="20"/>
                <w:szCs w:val="20"/>
                <w:color w:val="auto"/>
              </w:rPr>
            </w:pPr>
            <w:r>
              <w:rPr>
                <w:rFonts w:ascii="Arial" w:cs="Arial" w:eastAsia="Arial" w:hAnsi="Arial"/>
                <w:sz w:val="15"/>
                <w:szCs w:val="15"/>
                <w:color w:val="auto"/>
                <w:w w:val="93"/>
              </w:rPr>
              <w:t>Comprehensive Loss into</w:t>
            </w:r>
          </w:p>
        </w:tc>
        <w:tc>
          <w:tcPr>
            <w:tcW w:w="1780" w:type="dxa"/>
            <w:vAlign w:val="bottom"/>
          </w:tcPr>
          <w:p>
            <w:pPr>
              <w:spacing w:after="0"/>
              <w:rPr>
                <w:sz w:val="7"/>
                <w:szCs w:val="7"/>
                <w:color w:val="auto"/>
              </w:rPr>
            </w:pPr>
          </w:p>
        </w:tc>
        <w:tc>
          <w:tcPr>
            <w:tcW w:w="1820" w:type="dxa"/>
            <w:vAlign w:val="bottom"/>
            <w:gridSpan w:val="2"/>
            <w:vMerge w:val="restart"/>
          </w:tcPr>
          <w:p>
            <w:pPr>
              <w:jc w:val="center"/>
              <w:spacing w:after="0" w:line="155" w:lineRule="exact"/>
              <w:rPr>
                <w:sz w:val="20"/>
                <w:szCs w:val="20"/>
                <w:color w:val="auto"/>
              </w:rPr>
            </w:pPr>
            <w:r>
              <w:rPr>
                <w:rFonts w:ascii="Arial" w:cs="Arial" w:eastAsia="Arial" w:hAnsi="Arial"/>
                <w:sz w:val="15"/>
                <w:szCs w:val="15"/>
                <w:color w:val="auto"/>
                <w:w w:val="93"/>
              </w:rPr>
              <w:t>Recognized</w:t>
            </w:r>
          </w:p>
        </w:tc>
        <w:tc>
          <w:tcPr>
            <w:tcW w:w="0" w:type="dxa"/>
            <w:vAlign w:val="bottom"/>
          </w:tcPr>
          <w:p>
            <w:pPr>
              <w:spacing w:after="0"/>
              <w:rPr>
                <w:sz w:val="1"/>
                <w:szCs w:val="1"/>
                <w:color w:val="auto"/>
              </w:rPr>
            </w:pPr>
          </w:p>
        </w:tc>
      </w:tr>
      <w:tr>
        <w:trPr>
          <w:trHeight w:val="64"/>
        </w:trPr>
        <w:tc>
          <w:tcPr>
            <w:tcW w:w="1820" w:type="dxa"/>
            <w:vAlign w:val="bottom"/>
            <w:gridSpan w:val="2"/>
            <w:vMerge w:val="continue"/>
          </w:tcPr>
          <w:p>
            <w:pPr>
              <w:spacing w:after="0"/>
              <w:rPr>
                <w:sz w:val="5"/>
                <w:szCs w:val="5"/>
                <w:color w:val="auto"/>
              </w:rPr>
            </w:pPr>
          </w:p>
        </w:tc>
        <w:tc>
          <w:tcPr>
            <w:tcW w:w="146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3"/>
              </w:rPr>
              <w:t>(Loss) Reclassified</w:t>
            </w:r>
          </w:p>
        </w:tc>
        <w:tc>
          <w:tcPr>
            <w:tcW w:w="1800" w:type="dxa"/>
            <w:vAlign w:val="bottom"/>
            <w:gridSpan w:val="2"/>
            <w:vMerge w:val="continue"/>
          </w:tcPr>
          <w:p>
            <w:pPr>
              <w:spacing w:after="0"/>
              <w:rPr>
                <w:sz w:val="5"/>
                <w:szCs w:val="5"/>
                <w:color w:val="auto"/>
              </w:rPr>
            </w:pPr>
          </w:p>
        </w:tc>
        <w:tc>
          <w:tcPr>
            <w:tcW w:w="178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1820" w:type="dxa"/>
            <w:vAlign w:val="bottom"/>
            <w:gridSpan w:val="2"/>
            <w:vMerge w:val="restart"/>
          </w:tcPr>
          <w:p>
            <w:pPr>
              <w:jc w:val="center"/>
              <w:spacing w:after="0"/>
              <w:rPr>
                <w:sz w:val="20"/>
                <w:szCs w:val="20"/>
                <w:color w:val="auto"/>
              </w:rPr>
            </w:pPr>
            <w:r>
              <w:rPr>
                <w:rFonts w:ascii="Arial" w:cs="Arial" w:eastAsia="Arial" w:hAnsi="Arial"/>
                <w:sz w:val="15"/>
                <w:szCs w:val="15"/>
                <w:color w:val="auto"/>
                <w:w w:val="96"/>
              </w:rPr>
              <w:t>(Loss) (Effective Portion)</w:t>
            </w:r>
          </w:p>
        </w:tc>
        <w:tc>
          <w:tcPr>
            <w:tcW w:w="1460" w:type="dxa"/>
            <w:vAlign w:val="bottom"/>
            <w:vMerge w:val="continue"/>
          </w:tcPr>
          <w:p>
            <w:pPr>
              <w:spacing w:after="0"/>
              <w:rPr>
                <w:sz w:val="7"/>
                <w:szCs w:val="7"/>
                <w:color w:val="auto"/>
              </w:rPr>
            </w:pPr>
          </w:p>
        </w:tc>
        <w:tc>
          <w:tcPr>
            <w:tcW w:w="1800" w:type="dxa"/>
            <w:vAlign w:val="bottom"/>
            <w:gridSpan w:val="2"/>
            <w:vMerge w:val="restart"/>
          </w:tcPr>
          <w:p>
            <w:pPr>
              <w:jc w:val="center"/>
              <w:spacing w:after="0"/>
              <w:rPr>
                <w:sz w:val="20"/>
                <w:szCs w:val="20"/>
                <w:color w:val="auto"/>
              </w:rPr>
            </w:pPr>
            <w:r>
              <w:rPr>
                <w:rFonts w:ascii="Arial" w:cs="Arial" w:eastAsia="Arial" w:hAnsi="Arial"/>
                <w:sz w:val="15"/>
                <w:szCs w:val="15"/>
                <w:color w:val="auto"/>
                <w:w w:val="96"/>
              </w:rPr>
              <w:t>Income (Effective Portion)</w:t>
            </w:r>
          </w:p>
        </w:tc>
        <w:tc>
          <w:tcPr>
            <w:tcW w:w="1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20" w:type="dxa"/>
            <w:vAlign w:val="bottom"/>
            <w:vMerge w:val="restart"/>
          </w:tcPr>
          <w:p>
            <w:pPr>
              <w:jc w:val="center"/>
              <w:ind w:right="523"/>
              <w:spacing w:after="0"/>
              <w:rPr>
                <w:sz w:val="20"/>
                <w:szCs w:val="20"/>
                <w:color w:val="auto"/>
              </w:rPr>
            </w:pPr>
            <w:r>
              <w:rPr>
                <w:rFonts w:ascii="Arial" w:cs="Arial" w:eastAsia="Arial" w:hAnsi="Arial"/>
                <w:sz w:val="15"/>
                <w:szCs w:val="15"/>
                <w:color w:val="auto"/>
                <w:w w:val="95"/>
              </w:rPr>
              <w:t>in Income</w:t>
            </w:r>
          </w:p>
        </w:tc>
        <w:tc>
          <w:tcPr>
            <w:tcW w:w="0" w:type="dxa"/>
            <w:vAlign w:val="bottom"/>
          </w:tcPr>
          <w:p>
            <w:pPr>
              <w:spacing w:after="0"/>
              <w:rPr>
                <w:sz w:val="1"/>
                <w:szCs w:val="1"/>
                <w:color w:val="auto"/>
              </w:rPr>
            </w:pPr>
          </w:p>
        </w:tc>
      </w:tr>
      <w:tr>
        <w:trPr>
          <w:trHeight w:val="108"/>
        </w:trPr>
        <w:tc>
          <w:tcPr>
            <w:tcW w:w="1820" w:type="dxa"/>
            <w:vAlign w:val="bottom"/>
            <w:tcBorders>
              <w:bottom w:val="single" w:sz="8" w:color="auto"/>
            </w:tcBorders>
            <w:gridSpan w:val="2"/>
            <w:vMerge w:val="continue"/>
          </w:tcPr>
          <w:p>
            <w:pPr>
              <w:spacing w:after="0"/>
              <w:rPr>
                <w:sz w:val="9"/>
                <w:szCs w:val="9"/>
                <w:color w:val="auto"/>
              </w:rPr>
            </w:pPr>
          </w:p>
        </w:tc>
        <w:tc>
          <w:tcPr>
            <w:tcW w:w="146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4"/>
              </w:rPr>
              <w:t>from Accumulated</w:t>
            </w:r>
          </w:p>
        </w:tc>
        <w:tc>
          <w:tcPr>
            <w:tcW w:w="1800" w:type="dxa"/>
            <w:vAlign w:val="bottom"/>
            <w:tcBorders>
              <w:bottom w:val="single" w:sz="8" w:color="auto"/>
            </w:tcBorders>
            <w:gridSpan w:val="2"/>
            <w:vMerge w:val="continue"/>
          </w:tcPr>
          <w:p>
            <w:pPr>
              <w:spacing w:after="0"/>
              <w:rPr>
                <w:sz w:val="9"/>
                <w:szCs w:val="9"/>
                <w:color w:val="auto"/>
              </w:rPr>
            </w:pPr>
          </w:p>
        </w:tc>
        <w:tc>
          <w:tcPr>
            <w:tcW w:w="17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1820" w:type="dxa"/>
            <w:vAlign w:val="bottom"/>
            <w:gridSpan w:val="2"/>
            <w:vMerge w:val="restart"/>
          </w:tcPr>
          <w:p>
            <w:pPr>
              <w:jc w:val="center"/>
              <w:spacing w:after="0"/>
              <w:rPr>
                <w:sz w:val="20"/>
                <w:szCs w:val="20"/>
                <w:color w:val="auto"/>
              </w:rPr>
            </w:pPr>
            <w:r>
              <w:rPr>
                <w:rFonts w:ascii="Arial" w:cs="Arial" w:eastAsia="Arial" w:hAnsi="Arial"/>
                <w:sz w:val="15"/>
                <w:szCs w:val="15"/>
                <w:color w:val="auto"/>
                <w:w w:val="98"/>
              </w:rPr>
              <w:t>Six Month</w:t>
            </w:r>
          </w:p>
        </w:tc>
        <w:tc>
          <w:tcPr>
            <w:tcW w:w="1460" w:type="dxa"/>
            <w:vAlign w:val="bottom"/>
          </w:tcPr>
          <w:p>
            <w:pPr>
              <w:jc w:val="center"/>
              <w:spacing w:after="0" w:line="155" w:lineRule="exact"/>
              <w:rPr>
                <w:sz w:val="20"/>
                <w:szCs w:val="20"/>
                <w:color w:val="auto"/>
              </w:rPr>
            </w:pPr>
            <w:r>
              <w:rPr>
                <w:rFonts w:ascii="Arial" w:cs="Arial" w:eastAsia="Arial" w:hAnsi="Arial"/>
                <w:sz w:val="15"/>
                <w:szCs w:val="15"/>
                <w:color w:val="auto"/>
                <w:w w:val="90"/>
              </w:rPr>
              <w:t>Other</w:t>
            </w:r>
          </w:p>
        </w:tc>
        <w:tc>
          <w:tcPr>
            <w:tcW w:w="1800" w:type="dxa"/>
            <w:vAlign w:val="bottom"/>
            <w:gridSpan w:val="2"/>
            <w:vMerge w:val="restart"/>
          </w:tcPr>
          <w:p>
            <w:pPr>
              <w:jc w:val="center"/>
              <w:spacing w:after="0"/>
              <w:rPr>
                <w:sz w:val="20"/>
                <w:szCs w:val="20"/>
                <w:color w:val="auto"/>
              </w:rPr>
            </w:pPr>
            <w:r>
              <w:rPr>
                <w:rFonts w:ascii="Arial" w:cs="Arial" w:eastAsia="Arial" w:hAnsi="Arial"/>
                <w:sz w:val="15"/>
                <w:szCs w:val="15"/>
                <w:color w:val="auto"/>
                <w:w w:val="98"/>
              </w:rPr>
              <w:t>Six Month</w:t>
            </w:r>
          </w:p>
        </w:tc>
        <w:tc>
          <w:tcPr>
            <w:tcW w:w="1780" w:type="dxa"/>
            <w:vAlign w:val="bottom"/>
          </w:tcPr>
          <w:p>
            <w:pPr>
              <w:spacing w:after="0"/>
              <w:rPr>
                <w:sz w:val="13"/>
                <w:szCs w:val="13"/>
                <w:color w:val="auto"/>
              </w:rPr>
            </w:pPr>
          </w:p>
        </w:tc>
        <w:tc>
          <w:tcPr>
            <w:tcW w:w="1820" w:type="dxa"/>
            <w:vAlign w:val="bottom"/>
            <w:gridSpan w:val="2"/>
            <w:vMerge w:val="restart"/>
          </w:tcPr>
          <w:p>
            <w:pPr>
              <w:jc w:val="center"/>
              <w:spacing w:after="0"/>
              <w:rPr>
                <w:sz w:val="20"/>
                <w:szCs w:val="20"/>
                <w:color w:val="auto"/>
              </w:rPr>
            </w:pPr>
            <w:r>
              <w:rPr>
                <w:rFonts w:ascii="Arial" w:cs="Arial" w:eastAsia="Arial" w:hAnsi="Arial"/>
                <w:sz w:val="15"/>
                <w:szCs w:val="15"/>
                <w:color w:val="auto"/>
                <w:w w:val="98"/>
              </w:rPr>
              <w:t>Six Month</w:t>
            </w:r>
          </w:p>
        </w:tc>
        <w:tc>
          <w:tcPr>
            <w:tcW w:w="0" w:type="dxa"/>
            <w:vAlign w:val="bottom"/>
          </w:tcPr>
          <w:p>
            <w:pPr>
              <w:spacing w:after="0"/>
              <w:rPr>
                <w:sz w:val="1"/>
                <w:szCs w:val="1"/>
                <w:color w:val="auto"/>
              </w:rPr>
            </w:pPr>
          </w:p>
        </w:tc>
      </w:tr>
      <w:tr>
        <w:trPr>
          <w:trHeight w:val="52"/>
        </w:trPr>
        <w:tc>
          <w:tcPr>
            <w:tcW w:w="1820" w:type="dxa"/>
            <w:vAlign w:val="bottom"/>
            <w:gridSpan w:val="2"/>
            <w:vMerge w:val="continue"/>
          </w:tcPr>
          <w:p>
            <w:pPr>
              <w:spacing w:after="0"/>
              <w:rPr>
                <w:sz w:val="4"/>
                <w:szCs w:val="4"/>
                <w:color w:val="auto"/>
              </w:rPr>
            </w:pPr>
          </w:p>
        </w:tc>
        <w:tc>
          <w:tcPr>
            <w:tcW w:w="146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3"/>
              </w:rPr>
              <w:t>Comprehensive</w:t>
            </w:r>
          </w:p>
        </w:tc>
        <w:tc>
          <w:tcPr>
            <w:tcW w:w="1800" w:type="dxa"/>
            <w:vAlign w:val="bottom"/>
            <w:gridSpan w:val="2"/>
            <w:vMerge w:val="continue"/>
          </w:tcPr>
          <w:p>
            <w:pPr>
              <w:spacing w:after="0"/>
              <w:rPr>
                <w:sz w:val="4"/>
                <w:szCs w:val="4"/>
                <w:color w:val="auto"/>
              </w:rPr>
            </w:pPr>
          </w:p>
        </w:tc>
        <w:tc>
          <w:tcPr>
            <w:tcW w:w="178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8"/>
              </w:rPr>
              <w:t>Location of</w:t>
            </w:r>
          </w:p>
        </w:tc>
        <w:tc>
          <w:tcPr>
            <w:tcW w:w="1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820" w:type="dxa"/>
            <w:vAlign w:val="bottom"/>
            <w:gridSpan w:val="2"/>
            <w:vMerge w:val="restart"/>
          </w:tcPr>
          <w:p>
            <w:pPr>
              <w:jc w:val="center"/>
              <w:spacing w:after="0" w:line="155" w:lineRule="exact"/>
              <w:rPr>
                <w:sz w:val="20"/>
                <w:szCs w:val="20"/>
                <w:color w:val="auto"/>
              </w:rPr>
            </w:pPr>
            <w:r>
              <w:rPr>
                <w:rFonts w:ascii="Arial" w:cs="Arial" w:eastAsia="Arial" w:hAnsi="Arial"/>
                <w:sz w:val="15"/>
                <w:szCs w:val="15"/>
                <w:color w:val="auto"/>
                <w:w w:val="91"/>
              </w:rPr>
              <w:t>Periods Ended</w:t>
            </w:r>
          </w:p>
        </w:tc>
        <w:tc>
          <w:tcPr>
            <w:tcW w:w="1460" w:type="dxa"/>
            <w:vAlign w:val="bottom"/>
            <w:vMerge w:val="continue"/>
          </w:tcPr>
          <w:p>
            <w:pPr>
              <w:spacing w:after="0"/>
              <w:rPr>
                <w:sz w:val="8"/>
                <w:szCs w:val="8"/>
                <w:color w:val="auto"/>
              </w:rPr>
            </w:pPr>
          </w:p>
        </w:tc>
        <w:tc>
          <w:tcPr>
            <w:tcW w:w="1800" w:type="dxa"/>
            <w:vAlign w:val="bottom"/>
            <w:gridSpan w:val="2"/>
            <w:vMerge w:val="restart"/>
          </w:tcPr>
          <w:p>
            <w:pPr>
              <w:jc w:val="center"/>
              <w:spacing w:after="0" w:line="155" w:lineRule="exact"/>
              <w:rPr>
                <w:sz w:val="20"/>
                <w:szCs w:val="20"/>
                <w:color w:val="auto"/>
              </w:rPr>
            </w:pPr>
            <w:r>
              <w:rPr>
                <w:rFonts w:ascii="Arial" w:cs="Arial" w:eastAsia="Arial" w:hAnsi="Arial"/>
                <w:sz w:val="15"/>
                <w:szCs w:val="15"/>
                <w:color w:val="auto"/>
                <w:w w:val="91"/>
              </w:rPr>
              <w:t>Periods Ended</w:t>
            </w:r>
          </w:p>
        </w:tc>
        <w:tc>
          <w:tcPr>
            <w:tcW w:w="1780" w:type="dxa"/>
            <w:vAlign w:val="bottom"/>
            <w:vMerge w:val="continue"/>
          </w:tcPr>
          <w:p>
            <w:pPr>
              <w:spacing w:after="0"/>
              <w:rPr>
                <w:sz w:val="8"/>
                <w:szCs w:val="8"/>
                <w:color w:val="auto"/>
              </w:rPr>
            </w:pPr>
          </w:p>
        </w:tc>
        <w:tc>
          <w:tcPr>
            <w:tcW w:w="1820" w:type="dxa"/>
            <w:vAlign w:val="bottom"/>
            <w:gridSpan w:val="2"/>
            <w:vMerge w:val="restart"/>
          </w:tcPr>
          <w:p>
            <w:pPr>
              <w:jc w:val="center"/>
              <w:spacing w:after="0" w:line="155" w:lineRule="exact"/>
              <w:rPr>
                <w:sz w:val="20"/>
                <w:szCs w:val="20"/>
                <w:color w:val="auto"/>
              </w:rPr>
            </w:pPr>
            <w:r>
              <w:rPr>
                <w:rFonts w:ascii="Arial" w:cs="Arial" w:eastAsia="Arial" w:hAnsi="Arial"/>
                <w:sz w:val="15"/>
                <w:szCs w:val="15"/>
                <w:color w:val="auto"/>
                <w:w w:val="91"/>
              </w:rPr>
              <w:t>Periods Ended</w:t>
            </w:r>
          </w:p>
        </w:tc>
        <w:tc>
          <w:tcPr>
            <w:tcW w:w="0" w:type="dxa"/>
            <w:vAlign w:val="bottom"/>
          </w:tcPr>
          <w:p>
            <w:pPr>
              <w:spacing w:after="0"/>
              <w:rPr>
                <w:sz w:val="1"/>
                <w:szCs w:val="1"/>
                <w:color w:val="auto"/>
              </w:rPr>
            </w:pPr>
          </w:p>
        </w:tc>
      </w:tr>
      <w:tr>
        <w:trPr>
          <w:trHeight w:val="52"/>
        </w:trPr>
        <w:tc>
          <w:tcPr>
            <w:tcW w:w="1820" w:type="dxa"/>
            <w:vAlign w:val="bottom"/>
            <w:gridSpan w:val="2"/>
            <w:vMerge w:val="continue"/>
          </w:tcPr>
          <w:p>
            <w:pPr>
              <w:spacing w:after="0"/>
              <w:rPr>
                <w:sz w:val="4"/>
                <w:szCs w:val="4"/>
                <w:color w:val="auto"/>
              </w:rPr>
            </w:pPr>
          </w:p>
        </w:tc>
        <w:tc>
          <w:tcPr>
            <w:tcW w:w="146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5"/>
              </w:rPr>
              <w:t>Income into</w:t>
            </w:r>
          </w:p>
        </w:tc>
        <w:tc>
          <w:tcPr>
            <w:tcW w:w="1800" w:type="dxa"/>
            <w:vAlign w:val="bottom"/>
            <w:gridSpan w:val="2"/>
            <w:vMerge w:val="continue"/>
          </w:tcPr>
          <w:p>
            <w:pPr>
              <w:spacing w:after="0"/>
              <w:rPr>
                <w:sz w:val="4"/>
                <w:szCs w:val="4"/>
                <w:color w:val="auto"/>
              </w:rPr>
            </w:pPr>
          </w:p>
        </w:tc>
        <w:tc>
          <w:tcPr>
            <w:tcW w:w="178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5"/>
              </w:rPr>
              <w:t>Gain (Loss)</w:t>
            </w:r>
          </w:p>
        </w:tc>
        <w:tc>
          <w:tcPr>
            <w:tcW w:w="1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620" w:type="dxa"/>
            <w:vAlign w:val="bottom"/>
          </w:tcPr>
          <w:p>
            <w:pPr>
              <w:spacing w:after="0"/>
              <w:rPr>
                <w:sz w:val="8"/>
                <w:szCs w:val="8"/>
                <w:color w:val="auto"/>
              </w:rPr>
            </w:pPr>
          </w:p>
        </w:tc>
        <w:tc>
          <w:tcPr>
            <w:tcW w:w="1200" w:type="dxa"/>
            <w:vAlign w:val="bottom"/>
            <w:vMerge w:val="restart"/>
          </w:tcPr>
          <w:p>
            <w:pPr>
              <w:jc w:val="center"/>
              <w:ind w:right="523"/>
              <w:spacing w:after="0"/>
              <w:rPr>
                <w:sz w:val="20"/>
                <w:szCs w:val="20"/>
                <w:color w:val="auto"/>
              </w:rPr>
            </w:pPr>
            <w:r>
              <w:rPr>
                <w:rFonts w:ascii="Arial" w:cs="Arial" w:eastAsia="Arial" w:hAnsi="Arial"/>
                <w:sz w:val="15"/>
                <w:szCs w:val="15"/>
                <w:color w:val="auto"/>
                <w:w w:val="90"/>
              </w:rPr>
              <w:t>June 30,</w:t>
            </w:r>
          </w:p>
        </w:tc>
        <w:tc>
          <w:tcPr>
            <w:tcW w:w="14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180" w:type="dxa"/>
            <w:vAlign w:val="bottom"/>
            <w:vMerge w:val="restart"/>
          </w:tcPr>
          <w:p>
            <w:pPr>
              <w:jc w:val="center"/>
              <w:ind w:right="543"/>
              <w:spacing w:after="0"/>
              <w:rPr>
                <w:sz w:val="20"/>
                <w:szCs w:val="20"/>
                <w:color w:val="auto"/>
              </w:rPr>
            </w:pPr>
            <w:r>
              <w:rPr>
                <w:rFonts w:ascii="Arial" w:cs="Arial" w:eastAsia="Arial" w:hAnsi="Arial"/>
                <w:sz w:val="15"/>
                <w:szCs w:val="15"/>
                <w:color w:val="auto"/>
                <w:w w:val="90"/>
              </w:rPr>
              <w:t>June 30,</w:t>
            </w:r>
          </w:p>
        </w:tc>
        <w:tc>
          <w:tcPr>
            <w:tcW w:w="17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20" w:type="dxa"/>
            <w:vAlign w:val="bottom"/>
            <w:vMerge w:val="restart"/>
          </w:tcPr>
          <w:p>
            <w:pPr>
              <w:jc w:val="center"/>
              <w:ind w:right="503"/>
              <w:spacing w:after="0"/>
              <w:rPr>
                <w:sz w:val="20"/>
                <w:szCs w:val="20"/>
                <w:color w:val="auto"/>
              </w:rPr>
            </w:pPr>
            <w:r>
              <w:rPr>
                <w:rFonts w:ascii="Arial" w:cs="Arial" w:eastAsia="Arial" w:hAnsi="Arial"/>
                <w:sz w:val="15"/>
                <w:szCs w:val="15"/>
                <w:color w:val="auto"/>
                <w:w w:val="90"/>
              </w:rPr>
              <w:t>June 30,</w:t>
            </w:r>
          </w:p>
        </w:tc>
        <w:tc>
          <w:tcPr>
            <w:tcW w:w="0" w:type="dxa"/>
            <w:vAlign w:val="bottom"/>
          </w:tcPr>
          <w:p>
            <w:pPr>
              <w:spacing w:after="0"/>
              <w:rPr>
                <w:sz w:val="1"/>
                <w:szCs w:val="1"/>
                <w:color w:val="auto"/>
              </w:rPr>
            </w:pPr>
          </w:p>
        </w:tc>
      </w:tr>
      <w:tr>
        <w:trPr>
          <w:trHeight w:val="95"/>
        </w:trPr>
        <w:tc>
          <w:tcPr>
            <w:tcW w:w="6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46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4"/>
              </w:rPr>
              <w:t>Income (Effective</w:t>
            </w:r>
          </w:p>
        </w:tc>
        <w:tc>
          <w:tcPr>
            <w:tcW w:w="6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780" w:type="dxa"/>
            <w:vAlign w:val="bottom"/>
            <w:vMerge w:val="restart"/>
          </w:tcPr>
          <w:p>
            <w:pPr>
              <w:jc w:val="center"/>
              <w:spacing w:after="0" w:line="155" w:lineRule="exact"/>
              <w:rPr>
                <w:sz w:val="20"/>
                <w:szCs w:val="20"/>
                <w:color w:val="auto"/>
              </w:rPr>
            </w:pPr>
            <w:r>
              <w:rPr>
                <w:rFonts w:ascii="Arial" w:cs="Arial" w:eastAsia="Arial" w:hAnsi="Arial"/>
                <w:sz w:val="15"/>
                <w:szCs w:val="15"/>
                <w:color w:val="auto"/>
                <w:w w:val="90"/>
              </w:rPr>
              <w:t>Recognized</w:t>
            </w:r>
          </w:p>
        </w:tc>
        <w:tc>
          <w:tcPr>
            <w:tcW w:w="6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2023</w:t>
            </w:r>
          </w:p>
        </w:tc>
        <w:tc>
          <w:tcPr>
            <w:tcW w:w="1200" w:type="dxa"/>
            <w:vAlign w:val="bottom"/>
            <w:vMerge w:val="restart"/>
          </w:tcPr>
          <w:p>
            <w:pPr>
              <w:jc w:val="right"/>
              <w:ind w:right="203"/>
              <w:spacing w:after="0"/>
              <w:rPr>
                <w:sz w:val="20"/>
                <w:szCs w:val="20"/>
                <w:color w:val="auto"/>
              </w:rPr>
            </w:pPr>
            <w:r>
              <w:rPr>
                <w:rFonts w:ascii="Arial" w:cs="Arial" w:eastAsia="Arial" w:hAnsi="Arial"/>
                <w:sz w:val="15"/>
                <w:szCs w:val="15"/>
                <w:color w:val="auto"/>
              </w:rPr>
              <w:t>2022</w:t>
            </w:r>
          </w:p>
        </w:tc>
        <w:tc>
          <w:tcPr>
            <w:tcW w:w="1460" w:type="dxa"/>
            <w:vAlign w:val="bottom"/>
            <w:vMerge w:val="continue"/>
          </w:tcPr>
          <w:p>
            <w:pPr>
              <w:spacing w:after="0"/>
              <w:rPr>
                <w:sz w:val="3"/>
                <w:szCs w:val="3"/>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2023</w:t>
            </w:r>
          </w:p>
        </w:tc>
        <w:tc>
          <w:tcPr>
            <w:tcW w:w="1180" w:type="dxa"/>
            <w:vAlign w:val="bottom"/>
            <w:vMerge w:val="restart"/>
          </w:tcPr>
          <w:p>
            <w:pPr>
              <w:jc w:val="right"/>
              <w:ind w:right="183"/>
              <w:spacing w:after="0"/>
              <w:rPr>
                <w:sz w:val="20"/>
                <w:szCs w:val="20"/>
                <w:color w:val="auto"/>
              </w:rPr>
            </w:pPr>
            <w:r>
              <w:rPr>
                <w:rFonts w:ascii="Arial" w:cs="Arial" w:eastAsia="Arial" w:hAnsi="Arial"/>
                <w:sz w:val="15"/>
                <w:szCs w:val="15"/>
                <w:color w:val="auto"/>
              </w:rPr>
              <w:t>2022</w:t>
            </w:r>
          </w:p>
        </w:tc>
        <w:tc>
          <w:tcPr>
            <w:tcW w:w="1780" w:type="dxa"/>
            <w:vAlign w:val="bottom"/>
            <w:vMerge w:val="continue"/>
          </w:tcPr>
          <w:p>
            <w:pPr>
              <w:spacing w:after="0"/>
              <w:rPr>
                <w:sz w:val="3"/>
                <w:szCs w:val="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2023</w:t>
            </w:r>
          </w:p>
        </w:tc>
        <w:tc>
          <w:tcPr>
            <w:tcW w:w="1220" w:type="dxa"/>
            <w:vAlign w:val="bottom"/>
            <w:vMerge w:val="restart"/>
          </w:tcPr>
          <w:p>
            <w:pPr>
              <w:jc w:val="right"/>
              <w:ind w:right="203"/>
              <w:spacing w:after="0"/>
              <w:rPr>
                <w:sz w:val="20"/>
                <w:szCs w:val="20"/>
                <w:color w:val="auto"/>
              </w:rPr>
            </w:pPr>
            <w:r>
              <w:rPr>
                <w:rFonts w:ascii="Arial" w:cs="Arial" w:eastAsia="Arial" w:hAnsi="Arial"/>
                <w:sz w:val="15"/>
                <w:szCs w:val="15"/>
                <w:color w:val="auto"/>
              </w:rPr>
              <w:t>2022</w:t>
            </w:r>
          </w:p>
        </w:tc>
        <w:tc>
          <w:tcPr>
            <w:tcW w:w="0" w:type="dxa"/>
            <w:vAlign w:val="bottom"/>
          </w:tcPr>
          <w:p>
            <w:pPr>
              <w:spacing w:after="0" w:line="20" w:lineRule="exact"/>
              <w:rPr>
                <w:sz w:val="1"/>
                <w:szCs w:val="1"/>
                <w:color w:val="auto"/>
              </w:rPr>
            </w:pPr>
          </w:p>
        </w:tc>
      </w:tr>
      <w:tr>
        <w:trPr>
          <w:trHeight w:val="196"/>
        </w:trPr>
        <w:tc>
          <w:tcPr>
            <w:tcW w:w="6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5"/>
                <w:szCs w:val="15"/>
                <w:color w:val="auto"/>
                <w:w w:val="95"/>
              </w:rPr>
              <w:t>Portion)</w:t>
            </w:r>
          </w:p>
        </w:tc>
        <w:tc>
          <w:tcPr>
            <w:tcW w:w="620" w:type="dxa"/>
            <w:vAlign w:val="bottom"/>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5"/>
                <w:szCs w:val="15"/>
                <w:color w:val="auto"/>
                <w:w w:val="95"/>
              </w:rPr>
              <w:t>in Income</w:t>
            </w:r>
          </w:p>
        </w:tc>
        <w:tc>
          <w:tcPr>
            <w:tcW w:w="6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3810</wp:posOffset>
            </wp:positionV>
            <wp:extent cx="55092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09260" cy="8255"/>
                    </a:xfrm>
                    <a:prstGeom prst="rect">
                      <a:avLst/>
                    </a:prstGeom>
                    <a:noFill/>
                  </pic:spPr>
                </pic:pic>
              </a:graphicData>
            </a:graphic>
          </wp:anchor>
        </w:drawing>
      </w:r>
    </w:p>
    <w:p>
      <w:pPr>
        <w:spacing w:after="0" w:line="3" w:lineRule="exact"/>
        <w:rPr>
          <w:sz w:val="20"/>
          <w:szCs w:val="20"/>
          <w:color w:val="auto"/>
        </w:rPr>
      </w:pPr>
    </w:p>
    <w:p>
      <w:pPr>
        <w:ind w:left="6460"/>
        <w:spacing w:after="0"/>
        <w:rPr>
          <w:sz w:val="20"/>
          <w:szCs w:val="20"/>
          <w:color w:val="auto"/>
        </w:rPr>
      </w:pPr>
      <w:r>
        <w:rPr>
          <w:rFonts w:ascii="Arial" w:cs="Arial" w:eastAsia="Arial" w:hAnsi="Arial"/>
          <w:sz w:val="15"/>
          <w:szCs w:val="15"/>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1308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5"/>
          <w:szCs w:val="15"/>
          <w:color w:val="auto"/>
        </w:rPr>
        <w:t>Fair Value Hedges</w:t>
      </w:r>
    </w:p>
    <w:p>
      <w:pPr>
        <w:sectPr>
          <w:pgSz w:w="11900" w:h="16838" w:orient="portrait"/>
          <w:cols w:equalWidth="0" w:num="1">
            <w:col w:w="11240"/>
          </w:cols>
          <w:pgMar w:left="320" w:top="127" w:right="339" w:bottom="1440" w:gutter="0" w:footer="0" w:header="0"/>
        </w:sectPr>
      </w:pPr>
    </w:p>
    <w:p>
      <w:pPr>
        <w:spacing w:after="0" w:line="2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Pay-fixed interest rate swap</w:t>
      </w:r>
    </w:p>
    <w:p>
      <w:pPr>
        <w:ind w:left="320"/>
        <w:spacing w:after="0"/>
        <w:rPr>
          <w:sz w:val="20"/>
          <w:szCs w:val="20"/>
          <w:color w:val="auto"/>
        </w:rPr>
      </w:pPr>
      <w:r>
        <w:rPr>
          <w:rFonts w:ascii="Arial" w:cs="Arial" w:eastAsia="Arial" w:hAnsi="Arial"/>
          <w:sz w:val="15"/>
          <w:szCs w:val="15"/>
          <w:color w:val="auto"/>
        </w:rPr>
        <w:t>agreement - commercial</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Pay-fixed interest rate swap</w:t>
      </w:r>
    </w:p>
    <w:p>
      <w:pPr>
        <w:ind w:left="320"/>
        <w:spacing w:after="0" w:line="230" w:lineRule="auto"/>
        <w:rPr>
          <w:sz w:val="20"/>
          <w:szCs w:val="20"/>
          <w:color w:val="auto"/>
        </w:rPr>
      </w:pPr>
      <w:r>
        <w:rPr>
          <w:rFonts w:ascii="Arial" w:cs="Arial" w:eastAsia="Arial" w:hAnsi="Arial"/>
          <w:sz w:val="14"/>
          <w:szCs w:val="14"/>
          <w:color w:val="auto"/>
        </w:rPr>
        <w:t>agreement - securities available for</w:t>
      </w:r>
    </w:p>
    <w:p>
      <w:pPr>
        <w:ind w:left="320"/>
        <w:spacing w:after="0"/>
        <w:rPr>
          <w:sz w:val="20"/>
          <w:szCs w:val="20"/>
          <w:color w:val="auto"/>
        </w:rPr>
      </w:pPr>
      <w:r>
        <w:rPr>
          <w:rFonts w:ascii="Arial" w:cs="Arial" w:eastAsia="Arial" w:hAnsi="Arial"/>
          <w:sz w:val="15"/>
          <w:szCs w:val="15"/>
          <w:color w:val="auto"/>
        </w:rPr>
        <w:t>sale</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Pay-fixed interest rate swap</w:t>
      </w:r>
    </w:p>
    <w:p>
      <w:pPr>
        <w:ind w:left="320"/>
        <w:spacing w:after="0"/>
        <w:rPr>
          <w:sz w:val="20"/>
          <w:szCs w:val="20"/>
          <w:color w:val="auto"/>
        </w:rPr>
      </w:pPr>
      <w:r>
        <w:rPr>
          <w:rFonts w:ascii="Arial" w:cs="Arial" w:eastAsia="Arial" w:hAnsi="Arial"/>
          <w:sz w:val="15"/>
          <w:szCs w:val="15"/>
          <w:color w:val="auto"/>
        </w:rPr>
        <w:t>agreement - Installment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600" w:type="dxa"/>
            <w:vAlign w:val="bottom"/>
          </w:tcPr>
          <w:p>
            <w:pPr>
              <w:spacing w:after="0"/>
              <w:rPr>
                <w:sz w:val="20"/>
                <w:szCs w:val="20"/>
                <w:color w:val="auto"/>
              </w:rPr>
            </w:pPr>
            <w:r>
              <w:rPr>
                <w:rFonts w:ascii="Arial" w:cs="Arial" w:eastAsia="Arial" w:hAnsi="Arial"/>
                <w:sz w:val="15"/>
                <w:szCs w:val="15"/>
                <w:color w:val="auto"/>
              </w:rPr>
              <w:t>Interest and fees on</w:t>
            </w:r>
          </w:p>
        </w:tc>
        <w:tc>
          <w:tcPr>
            <w:tcW w:w="360" w:type="dxa"/>
            <w:vAlign w:val="bottom"/>
            <w:vMerge w:val="restart"/>
          </w:tcPr>
          <w:p>
            <w:pPr>
              <w:jc w:val="right"/>
              <w:ind w:right="123"/>
              <w:spacing w:after="0"/>
              <w:rPr>
                <w:sz w:val="20"/>
                <w:szCs w:val="20"/>
                <w:color w:val="auto"/>
              </w:rPr>
            </w:pPr>
            <w:r>
              <w:rPr>
                <w:rFonts w:ascii="Arial" w:cs="Arial" w:eastAsia="Arial" w:hAnsi="Arial"/>
                <w:sz w:val="15"/>
                <w:szCs w:val="15"/>
                <w:color w:val="auto"/>
              </w:rPr>
              <w:t>$</w:t>
            </w:r>
          </w:p>
        </w:tc>
        <w:tc>
          <w:tcPr>
            <w:tcW w:w="600" w:type="dxa"/>
            <w:vAlign w:val="bottom"/>
            <w:vMerge w:val="restart"/>
          </w:tcPr>
          <w:p>
            <w:pPr>
              <w:jc w:val="right"/>
              <w:ind w:right="23"/>
              <w:spacing w:after="0"/>
              <w:rPr>
                <w:sz w:val="20"/>
                <w:szCs w:val="20"/>
                <w:color w:val="auto"/>
              </w:rPr>
            </w:pPr>
            <w:r>
              <w:rPr>
                <w:rFonts w:ascii="Arial" w:cs="Arial" w:eastAsia="Arial" w:hAnsi="Arial"/>
                <w:sz w:val="15"/>
                <w:szCs w:val="15"/>
                <w:color w:val="auto"/>
              </w:rPr>
              <w:t>17</w:t>
            </w:r>
          </w:p>
        </w:tc>
        <w:tc>
          <w:tcPr>
            <w:tcW w:w="30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576</w:t>
            </w:r>
          </w:p>
        </w:tc>
        <w:tc>
          <w:tcPr>
            <w:tcW w:w="0" w:type="dxa"/>
            <w:vAlign w:val="bottom"/>
          </w:tcPr>
          <w:p>
            <w:pPr>
              <w:spacing w:after="0"/>
              <w:rPr>
                <w:sz w:val="1"/>
                <w:szCs w:val="1"/>
                <w:color w:val="auto"/>
              </w:rPr>
            </w:pPr>
          </w:p>
        </w:tc>
      </w:tr>
      <w:tr>
        <w:trPr>
          <w:trHeight w:val="196"/>
        </w:trPr>
        <w:tc>
          <w:tcPr>
            <w:tcW w:w="1600" w:type="dxa"/>
            <w:vAlign w:val="bottom"/>
          </w:tcPr>
          <w:p>
            <w:pPr>
              <w:ind w:left="140"/>
              <w:spacing w:after="0"/>
              <w:rPr>
                <w:sz w:val="20"/>
                <w:szCs w:val="20"/>
                <w:color w:val="auto"/>
              </w:rPr>
            </w:pPr>
            <w:r>
              <w:rPr>
                <w:rFonts w:ascii="Arial" w:cs="Arial" w:eastAsia="Arial" w:hAnsi="Arial"/>
                <w:sz w:val="15"/>
                <w:szCs w:val="15"/>
                <w:color w:val="auto"/>
              </w:rPr>
              <w:t>loans</w:t>
            </w:r>
          </w:p>
        </w:tc>
        <w:tc>
          <w:tcPr>
            <w:tcW w:w="3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line="165" w:lineRule="exact"/>
              <w:rPr>
                <w:sz w:val="20"/>
                <w:szCs w:val="20"/>
                <w:color w:val="auto"/>
              </w:rPr>
            </w:pPr>
            <w:r>
              <w:rPr>
                <w:rFonts w:ascii="Arial" w:cs="Arial" w:eastAsia="Arial" w:hAnsi="Arial"/>
                <w:sz w:val="15"/>
                <w:szCs w:val="15"/>
                <w:color w:val="auto"/>
              </w:rPr>
              <w:t>Interest on securities</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600" w:type="dxa"/>
            <w:vAlign w:val="bottom"/>
          </w:tcPr>
          <w:p>
            <w:pPr>
              <w:ind w:left="140"/>
              <w:spacing w:after="0" w:line="155" w:lineRule="exact"/>
              <w:rPr>
                <w:sz w:val="20"/>
                <w:szCs w:val="20"/>
                <w:color w:val="auto"/>
              </w:rPr>
            </w:pPr>
            <w:r>
              <w:rPr>
                <w:rFonts w:ascii="Arial" w:cs="Arial" w:eastAsia="Arial" w:hAnsi="Arial"/>
                <w:sz w:val="15"/>
                <w:szCs w:val="15"/>
                <w:color w:val="auto"/>
                <w:w w:val="98"/>
              </w:rPr>
              <w:t>available for sale - tax</w:t>
            </w:r>
          </w:p>
        </w:tc>
        <w:tc>
          <w:tcPr>
            <w:tcW w:w="3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(376)</w:t>
            </w:r>
          </w:p>
        </w:tc>
        <w:tc>
          <w:tcPr>
            <w:tcW w:w="3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11,048</w:t>
            </w:r>
          </w:p>
        </w:tc>
        <w:tc>
          <w:tcPr>
            <w:tcW w:w="0" w:type="dxa"/>
            <w:vAlign w:val="bottom"/>
          </w:tcPr>
          <w:p>
            <w:pPr>
              <w:spacing w:after="0"/>
              <w:rPr>
                <w:sz w:val="1"/>
                <w:szCs w:val="1"/>
                <w:color w:val="auto"/>
              </w:rPr>
            </w:pPr>
          </w:p>
        </w:tc>
      </w:tr>
      <w:tr>
        <w:trPr>
          <w:trHeight w:val="196"/>
        </w:trPr>
        <w:tc>
          <w:tcPr>
            <w:tcW w:w="1600" w:type="dxa"/>
            <w:vAlign w:val="bottom"/>
          </w:tcPr>
          <w:p>
            <w:pPr>
              <w:ind w:left="140"/>
              <w:spacing w:after="0"/>
              <w:rPr>
                <w:sz w:val="20"/>
                <w:szCs w:val="20"/>
                <w:color w:val="auto"/>
              </w:rPr>
            </w:pPr>
            <w:r>
              <w:rPr>
                <w:rFonts w:ascii="Arial" w:cs="Arial" w:eastAsia="Arial" w:hAnsi="Arial"/>
                <w:sz w:val="15"/>
                <w:szCs w:val="15"/>
                <w:color w:val="auto"/>
              </w:rPr>
              <w:t>- exempt</w:t>
            </w:r>
          </w:p>
        </w:tc>
        <w:tc>
          <w:tcPr>
            <w:tcW w:w="3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line="165" w:lineRule="exact"/>
              <w:rPr>
                <w:sz w:val="20"/>
                <w:szCs w:val="20"/>
                <w:color w:val="auto"/>
              </w:rPr>
            </w:pPr>
            <w:r>
              <w:rPr>
                <w:rFonts w:ascii="Arial" w:cs="Arial" w:eastAsia="Arial" w:hAnsi="Arial"/>
                <w:sz w:val="15"/>
                <w:szCs w:val="15"/>
                <w:color w:val="auto"/>
              </w:rPr>
              <w:t>Interest and fees on</w:t>
            </w:r>
          </w:p>
        </w:tc>
        <w:tc>
          <w:tcPr>
            <w:tcW w:w="360" w:type="dxa"/>
            <w:vAlign w:val="bottom"/>
          </w:tcPr>
          <w:p>
            <w:pPr>
              <w:spacing w:after="0"/>
              <w:rPr>
                <w:sz w:val="14"/>
                <w:szCs w:val="14"/>
                <w:color w:val="auto"/>
              </w:rPr>
            </w:pPr>
          </w:p>
        </w:tc>
        <w:tc>
          <w:tcPr>
            <w:tcW w:w="600" w:type="dxa"/>
            <w:vAlign w:val="bottom"/>
            <w:vMerge w:val="restart"/>
          </w:tcPr>
          <w:p>
            <w:pPr>
              <w:jc w:val="right"/>
              <w:ind w:right="23"/>
              <w:spacing w:after="0"/>
              <w:rPr>
                <w:sz w:val="20"/>
                <w:szCs w:val="20"/>
                <w:color w:val="auto"/>
              </w:rPr>
            </w:pPr>
            <w:r>
              <w:rPr>
                <w:rFonts w:ascii="Arial" w:cs="Arial" w:eastAsia="Arial" w:hAnsi="Arial"/>
                <w:sz w:val="15"/>
                <w:szCs w:val="15"/>
                <w:color w:val="auto"/>
              </w:rPr>
              <w:t>597</w:t>
            </w:r>
          </w:p>
        </w:tc>
        <w:tc>
          <w:tcPr>
            <w:tcW w:w="30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600" w:type="dxa"/>
            <w:vAlign w:val="bottom"/>
          </w:tcPr>
          <w:p>
            <w:pPr>
              <w:ind w:left="140"/>
              <w:spacing w:after="0"/>
              <w:rPr>
                <w:sz w:val="20"/>
                <w:szCs w:val="20"/>
                <w:color w:val="auto"/>
              </w:rPr>
            </w:pPr>
            <w:r>
              <w:rPr>
                <w:rFonts w:ascii="Arial" w:cs="Arial" w:eastAsia="Arial" w:hAnsi="Arial"/>
                <w:sz w:val="15"/>
                <w:szCs w:val="15"/>
                <w:color w:val="auto"/>
              </w:rPr>
              <w:t>loans</w:t>
            </w:r>
          </w:p>
        </w:tc>
        <w:tc>
          <w:tcPr>
            <w:tcW w:w="3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-552450</wp:posOffset>
            </wp:positionV>
            <wp:extent cx="7138670" cy="3276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3276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040" w:space="720"/>
            <w:col w:w="348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2560" w:type="dxa"/>
            <w:vAlign w:val="bottom"/>
            <w:shd w:val="clear" w:color="auto" w:fill="CCEEFF"/>
          </w:tcPr>
          <w:p>
            <w:pPr>
              <w:ind w:left="180"/>
              <w:spacing w:after="0" w:line="165" w:lineRule="exact"/>
              <w:rPr>
                <w:sz w:val="20"/>
                <w:szCs w:val="20"/>
                <w:color w:val="auto"/>
              </w:rPr>
            </w:pPr>
            <w:r>
              <w:rPr>
                <w:rFonts w:ascii="Arial" w:cs="Arial" w:eastAsia="Arial" w:hAnsi="Arial"/>
                <w:sz w:val="15"/>
                <w:szCs w:val="15"/>
                <w:color w:val="auto"/>
              </w:rPr>
              <w:t>Interest rate cap agreements -</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60" w:type="dxa"/>
            <w:vAlign w:val="bottom"/>
            <w:shd w:val="clear" w:color="auto" w:fill="CCEEFF"/>
          </w:tcPr>
          <w:p>
            <w:pPr>
              <w:ind w:left="100"/>
              <w:spacing w:after="0" w:line="165" w:lineRule="exact"/>
              <w:rPr>
                <w:sz w:val="20"/>
                <w:szCs w:val="20"/>
                <w:color w:val="auto"/>
              </w:rPr>
            </w:pPr>
            <w:r>
              <w:rPr>
                <w:rFonts w:ascii="Arial" w:cs="Arial" w:eastAsia="Arial" w:hAnsi="Arial"/>
                <w:sz w:val="15"/>
                <w:szCs w:val="15"/>
                <w:color w:val="auto"/>
              </w:rPr>
              <w:t>Interest on</w:t>
            </w: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80" w:type="dxa"/>
            <w:vAlign w:val="bottom"/>
            <w:shd w:val="clear" w:color="auto" w:fill="CCEEFF"/>
          </w:tcPr>
          <w:p>
            <w:pPr>
              <w:ind w:left="120"/>
              <w:spacing w:after="0" w:line="165" w:lineRule="exact"/>
              <w:rPr>
                <w:sz w:val="20"/>
                <w:szCs w:val="20"/>
                <w:color w:val="auto"/>
              </w:rPr>
            </w:pPr>
            <w:r>
              <w:rPr>
                <w:rFonts w:ascii="Arial" w:cs="Arial" w:eastAsia="Arial" w:hAnsi="Arial"/>
                <w:sz w:val="15"/>
                <w:szCs w:val="15"/>
                <w:color w:val="auto"/>
              </w:rPr>
              <w:t>Interest on securities</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ind w:left="320"/>
              <w:spacing w:after="0" w:line="155" w:lineRule="exact"/>
              <w:rPr>
                <w:sz w:val="20"/>
                <w:szCs w:val="20"/>
                <w:color w:val="auto"/>
              </w:rPr>
            </w:pPr>
            <w:r>
              <w:rPr>
                <w:rFonts w:ascii="Arial" w:cs="Arial" w:eastAsia="Arial" w:hAnsi="Arial"/>
                <w:sz w:val="15"/>
                <w:szCs w:val="15"/>
                <w:color w:val="auto"/>
              </w:rPr>
              <w:t>securities available for sale</w:t>
            </w: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60" w:type="dxa"/>
            <w:vAlign w:val="bottom"/>
            <w:shd w:val="clear" w:color="auto" w:fill="CCEEFF"/>
          </w:tcPr>
          <w:p>
            <w:pPr>
              <w:ind w:left="260"/>
              <w:spacing w:after="0" w:line="155" w:lineRule="exact"/>
              <w:rPr>
                <w:sz w:val="20"/>
                <w:szCs w:val="20"/>
                <w:color w:val="auto"/>
              </w:rPr>
            </w:pPr>
            <w:r>
              <w:rPr>
                <w:rFonts w:ascii="Arial" w:cs="Arial" w:eastAsia="Arial" w:hAnsi="Arial"/>
                <w:sz w:val="15"/>
                <w:szCs w:val="15"/>
                <w:color w:val="auto"/>
              </w:rPr>
              <w:t>securities</w:t>
            </w:r>
          </w:p>
        </w:tc>
        <w:tc>
          <w:tcPr>
            <w:tcW w:w="3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780" w:type="dxa"/>
            <w:vAlign w:val="bottom"/>
            <w:shd w:val="clear" w:color="auto" w:fill="CCEEFF"/>
          </w:tcPr>
          <w:p>
            <w:pPr>
              <w:ind w:left="260"/>
              <w:spacing w:after="0" w:line="155" w:lineRule="exact"/>
              <w:rPr>
                <w:sz w:val="20"/>
                <w:szCs w:val="20"/>
                <w:color w:val="auto"/>
              </w:rPr>
            </w:pPr>
            <w:r>
              <w:rPr>
                <w:rFonts w:ascii="Arial" w:cs="Arial" w:eastAsia="Arial" w:hAnsi="Arial"/>
                <w:sz w:val="15"/>
                <w:szCs w:val="15"/>
                <w:color w:val="auto"/>
              </w:rPr>
              <w:t>available for sale - tax</w:t>
            </w: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6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80" w:type="dxa"/>
            <w:vAlign w:val="bottom"/>
            <w:vMerge w:val="restart"/>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60" w:type="dxa"/>
            <w:vAlign w:val="bottom"/>
            <w:shd w:val="clear" w:color="auto" w:fill="CCEEFF"/>
          </w:tcPr>
          <w:p>
            <w:pPr>
              <w:ind w:left="260"/>
              <w:spacing w:after="0" w:line="155" w:lineRule="exact"/>
              <w:rPr>
                <w:sz w:val="20"/>
                <w:szCs w:val="20"/>
                <w:color w:val="auto"/>
              </w:rPr>
            </w:pPr>
            <w:r>
              <w:rPr>
                <w:rFonts w:ascii="Arial" w:cs="Arial" w:eastAsia="Arial" w:hAnsi="Arial"/>
                <w:sz w:val="15"/>
                <w:szCs w:val="15"/>
                <w:color w:val="auto"/>
              </w:rPr>
              <w:t>available for sale</w:t>
            </w:r>
          </w:p>
        </w:tc>
        <w:tc>
          <w:tcPr>
            <w:tcW w:w="30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4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80" w:type="dxa"/>
            <w:vAlign w:val="bottom"/>
            <w:vMerge w:val="restart"/>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780" w:type="dxa"/>
            <w:vAlign w:val="bottom"/>
            <w:shd w:val="clear" w:color="auto" w:fill="CCEEFF"/>
          </w:tcPr>
          <w:p>
            <w:pPr>
              <w:ind w:left="260"/>
              <w:spacing w:after="0" w:line="155" w:lineRule="exact"/>
              <w:rPr>
                <w:sz w:val="20"/>
                <w:szCs w:val="20"/>
                <w:color w:val="auto"/>
              </w:rPr>
            </w:pPr>
            <w:r>
              <w:rPr>
                <w:rFonts w:ascii="Arial" w:cs="Arial" w:eastAsia="Arial" w:hAnsi="Arial"/>
                <w:sz w:val="15"/>
                <w:szCs w:val="15"/>
                <w:color w:val="auto"/>
              </w:rPr>
              <w:t>- exempt</w:t>
            </w:r>
          </w:p>
        </w:tc>
        <w:tc>
          <w:tcPr>
            <w:tcW w:w="2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247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4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 tax - exempt</w:t>
            </w:r>
          </w:p>
        </w:tc>
        <w:tc>
          <w:tcPr>
            <w:tcW w:w="3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560" w:type="dxa"/>
            <w:vAlign w:val="bottom"/>
          </w:tcPr>
          <w:p>
            <w:pPr>
              <w:ind w:left="180"/>
              <w:spacing w:after="0" w:line="160" w:lineRule="exact"/>
              <w:rPr>
                <w:sz w:val="20"/>
                <w:szCs w:val="20"/>
                <w:color w:val="auto"/>
              </w:rPr>
            </w:pPr>
            <w:r>
              <w:rPr>
                <w:rFonts w:ascii="Arial" w:cs="Arial" w:eastAsia="Arial" w:hAnsi="Arial"/>
                <w:sz w:val="15"/>
                <w:szCs w:val="15"/>
                <w:color w:val="auto"/>
              </w:rPr>
              <w:t>Interest rate cap agreements -</w:t>
            </w:r>
          </w:p>
        </w:tc>
        <w:tc>
          <w:tcPr>
            <w:tcW w:w="3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vMerge w:val="restart"/>
          </w:tcPr>
          <w:p>
            <w:pPr>
              <w:ind w:left="260"/>
              <w:spacing w:after="0"/>
              <w:rPr>
                <w:sz w:val="20"/>
                <w:szCs w:val="20"/>
                <w:color w:val="auto"/>
              </w:rPr>
            </w:pPr>
            <w:r>
              <w:rPr>
                <w:rFonts w:ascii="Arial" w:cs="Arial" w:eastAsia="Arial" w:hAnsi="Arial"/>
                <w:sz w:val="15"/>
                <w:szCs w:val="15"/>
                <w:color w:val="auto"/>
              </w:rPr>
              <w:t>—</w:t>
            </w:r>
          </w:p>
        </w:tc>
        <w:tc>
          <w:tcPr>
            <w:tcW w:w="1460" w:type="dxa"/>
            <w:vAlign w:val="bottom"/>
          </w:tcPr>
          <w:p>
            <w:pPr>
              <w:ind w:left="100"/>
              <w:spacing w:after="0" w:line="160" w:lineRule="exact"/>
              <w:rPr>
                <w:sz w:val="20"/>
                <w:szCs w:val="20"/>
                <w:color w:val="auto"/>
              </w:rPr>
            </w:pPr>
            <w:r>
              <w:rPr>
                <w:rFonts w:ascii="Arial" w:cs="Arial" w:eastAsia="Arial" w:hAnsi="Arial"/>
                <w:sz w:val="15"/>
                <w:szCs w:val="15"/>
                <w:color w:val="auto"/>
              </w:rPr>
              <w:t>Interest and fees on</w:t>
            </w:r>
          </w:p>
        </w:tc>
        <w:tc>
          <w:tcPr>
            <w:tcW w:w="3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vMerge w:val="restart"/>
          </w:tcPr>
          <w:p>
            <w:pPr>
              <w:ind w:left="260"/>
              <w:spacing w:after="0"/>
              <w:rPr>
                <w:sz w:val="20"/>
                <w:szCs w:val="20"/>
                <w:color w:val="auto"/>
              </w:rPr>
            </w:pPr>
            <w:r>
              <w:rPr>
                <w:rFonts w:ascii="Arial" w:cs="Arial" w:eastAsia="Arial" w:hAnsi="Arial"/>
                <w:sz w:val="15"/>
                <w:szCs w:val="15"/>
                <w:color w:val="auto"/>
              </w:rPr>
              <w:t>—</w:t>
            </w:r>
          </w:p>
        </w:tc>
        <w:tc>
          <w:tcPr>
            <w:tcW w:w="1780" w:type="dxa"/>
            <w:vAlign w:val="bottom"/>
          </w:tcPr>
          <w:p>
            <w:pPr>
              <w:ind w:left="120"/>
              <w:spacing w:after="0" w:line="160" w:lineRule="exact"/>
              <w:rPr>
                <w:sz w:val="20"/>
                <w:szCs w:val="20"/>
                <w:color w:val="auto"/>
              </w:rPr>
            </w:pPr>
            <w:r>
              <w:rPr>
                <w:rFonts w:ascii="Arial" w:cs="Arial" w:eastAsia="Arial" w:hAnsi="Arial"/>
                <w:sz w:val="15"/>
                <w:szCs w:val="15"/>
                <w:color w:val="auto"/>
              </w:rPr>
              <w:t>Interest and fees on</w:t>
            </w:r>
          </w:p>
        </w:tc>
        <w:tc>
          <w:tcPr>
            <w:tcW w:w="2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(14)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256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installment</w:t>
            </w:r>
          </w:p>
        </w:tc>
        <w:tc>
          <w:tcPr>
            <w:tcW w:w="3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loans</w:t>
            </w:r>
          </w:p>
        </w:tc>
        <w:tc>
          <w:tcPr>
            <w:tcW w:w="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loans</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(413)</w:t>
            </w:r>
          </w:p>
        </w:tc>
        <w:tc>
          <w:tcPr>
            <w:tcW w:w="4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46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17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471</w:t>
            </w:r>
          </w:p>
        </w:tc>
        <w:tc>
          <w:tcPr>
            <w:tcW w:w="2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11,624</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No hedge designation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5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Rate-lock mortgage loan</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Net gains on mortgage</w:t>
            </w: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1,063</w:t>
            </w: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(7,212)</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commitments</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loans</w:t>
            </w:r>
          </w:p>
        </w:tc>
        <w:tc>
          <w:tcPr>
            <w:tcW w:w="28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560" w:type="dxa"/>
            <w:vAlign w:val="bottom"/>
          </w:tcPr>
          <w:p>
            <w:pPr>
              <w:ind w:left="180"/>
              <w:spacing w:after="0" w:line="160" w:lineRule="exact"/>
              <w:rPr>
                <w:sz w:val="20"/>
                <w:szCs w:val="20"/>
                <w:color w:val="auto"/>
              </w:rPr>
            </w:pPr>
            <w:r>
              <w:rPr>
                <w:rFonts w:ascii="Arial" w:cs="Arial" w:eastAsia="Arial" w:hAnsi="Arial"/>
                <w:sz w:val="15"/>
                <w:szCs w:val="15"/>
                <w:color w:val="auto"/>
              </w:rPr>
              <w:t>Mandatory commitments to sell</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80" w:type="dxa"/>
            <w:vAlign w:val="bottom"/>
          </w:tcPr>
          <w:p>
            <w:pPr>
              <w:ind w:left="120"/>
              <w:spacing w:after="0" w:line="160" w:lineRule="exact"/>
              <w:rPr>
                <w:sz w:val="20"/>
                <w:szCs w:val="20"/>
                <w:color w:val="auto"/>
              </w:rPr>
            </w:pPr>
            <w:r>
              <w:rPr>
                <w:rFonts w:ascii="Arial" w:cs="Arial" w:eastAsia="Arial" w:hAnsi="Arial"/>
                <w:sz w:val="15"/>
                <w:szCs w:val="15"/>
                <w:color w:val="auto"/>
              </w:rPr>
              <w:t>Net gains on mortgage</w:t>
            </w:r>
          </w:p>
        </w:tc>
        <w:tc>
          <w:tcPr>
            <w:tcW w:w="2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(69)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624</w:t>
            </w:r>
          </w:p>
        </w:tc>
        <w:tc>
          <w:tcPr>
            <w:tcW w:w="0" w:type="dxa"/>
            <w:vAlign w:val="bottom"/>
          </w:tcPr>
          <w:p>
            <w:pPr>
              <w:spacing w:after="0"/>
              <w:rPr>
                <w:sz w:val="1"/>
                <w:szCs w:val="1"/>
                <w:color w:val="auto"/>
              </w:rPr>
            </w:pPr>
          </w:p>
        </w:tc>
      </w:tr>
      <w:tr>
        <w:trPr>
          <w:trHeight w:val="199"/>
        </w:trPr>
        <w:tc>
          <w:tcPr>
            <w:tcW w:w="2560" w:type="dxa"/>
            <w:vAlign w:val="bottom"/>
          </w:tcPr>
          <w:p>
            <w:pPr>
              <w:ind w:left="320"/>
              <w:spacing w:after="0"/>
              <w:rPr>
                <w:sz w:val="20"/>
                <w:szCs w:val="20"/>
                <w:color w:val="auto"/>
              </w:rPr>
            </w:pPr>
            <w:r>
              <w:rPr>
                <w:rFonts w:ascii="Arial" w:cs="Arial" w:eastAsia="Arial" w:hAnsi="Arial"/>
                <w:sz w:val="15"/>
                <w:szCs w:val="15"/>
                <w:color w:val="auto"/>
              </w:rPr>
              <w:t>mortgage loans</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Pr>
          <w:p>
            <w:pPr>
              <w:ind w:left="260"/>
              <w:spacing w:after="0"/>
              <w:rPr>
                <w:sz w:val="20"/>
                <w:szCs w:val="20"/>
                <w:color w:val="auto"/>
              </w:rPr>
            </w:pPr>
            <w:r>
              <w:rPr>
                <w:rFonts w:ascii="Arial" w:cs="Arial" w:eastAsia="Arial" w:hAnsi="Arial"/>
                <w:sz w:val="15"/>
                <w:szCs w:val="15"/>
                <w:color w:val="auto"/>
              </w:rPr>
              <w:t>loans</w:t>
            </w:r>
          </w:p>
        </w:tc>
        <w:tc>
          <w:tcPr>
            <w:tcW w:w="2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Pay-fixed interest rate swap</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ind w:left="120"/>
              <w:spacing w:after="0"/>
              <w:rPr>
                <w:sz w:val="20"/>
                <w:szCs w:val="20"/>
                <w:color w:val="auto"/>
              </w:rPr>
            </w:pPr>
            <w:r>
              <w:rPr>
                <w:rFonts w:ascii="Arial" w:cs="Arial" w:eastAsia="Arial" w:hAnsi="Arial"/>
                <w:sz w:val="15"/>
                <w:szCs w:val="15"/>
                <w:color w:val="auto"/>
              </w:rPr>
              <w:t>Interest income</w:t>
            </w:r>
          </w:p>
        </w:tc>
        <w:tc>
          <w:tcPr>
            <w:tcW w:w="2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14,724</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agreements - commercial</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560" w:type="dxa"/>
            <w:vAlign w:val="bottom"/>
          </w:tcPr>
          <w:p>
            <w:pPr>
              <w:ind w:left="180"/>
              <w:spacing w:after="0" w:line="160" w:lineRule="exact"/>
              <w:rPr>
                <w:sz w:val="20"/>
                <w:szCs w:val="20"/>
                <w:color w:val="auto"/>
              </w:rPr>
            </w:pPr>
            <w:r>
              <w:rPr>
                <w:rFonts w:ascii="Arial" w:cs="Arial" w:eastAsia="Arial" w:hAnsi="Arial"/>
                <w:sz w:val="15"/>
                <w:szCs w:val="15"/>
                <w:color w:val="auto"/>
              </w:rPr>
              <w:t>Pay-variable interest rate swap</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80" w:type="dxa"/>
            <w:vAlign w:val="bottom"/>
            <w:vMerge w:val="restart"/>
          </w:tcPr>
          <w:p>
            <w:pPr>
              <w:ind w:left="120"/>
              <w:spacing w:after="0"/>
              <w:rPr>
                <w:sz w:val="20"/>
                <w:szCs w:val="20"/>
                <w:color w:val="auto"/>
              </w:rPr>
            </w:pPr>
            <w:r>
              <w:rPr>
                <w:rFonts w:ascii="Arial" w:cs="Arial" w:eastAsia="Arial" w:hAnsi="Arial"/>
                <w:sz w:val="15"/>
                <w:szCs w:val="15"/>
                <w:color w:val="auto"/>
              </w:rPr>
              <w:t>Interest income</w:t>
            </w:r>
          </w:p>
        </w:tc>
        <w:tc>
          <w:tcPr>
            <w:tcW w:w="280" w:type="dxa"/>
            <w:vAlign w:val="bottom"/>
          </w:tcPr>
          <w:p>
            <w:pPr>
              <w:spacing w:after="0"/>
              <w:rPr>
                <w:sz w:val="13"/>
                <w:szCs w:val="13"/>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5"/>
                <w:szCs w:val="15"/>
                <w:color w:val="auto"/>
              </w:rPr>
              <w:t>885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(14,724)</w:t>
            </w:r>
          </w:p>
        </w:tc>
        <w:tc>
          <w:tcPr>
            <w:tcW w:w="0" w:type="dxa"/>
            <w:vAlign w:val="bottom"/>
          </w:tcPr>
          <w:p>
            <w:pPr>
              <w:spacing w:after="0"/>
              <w:rPr>
                <w:sz w:val="1"/>
                <w:szCs w:val="1"/>
                <w:color w:val="auto"/>
              </w:rPr>
            </w:pPr>
          </w:p>
        </w:tc>
      </w:tr>
      <w:tr>
        <w:trPr>
          <w:trHeight w:val="199"/>
        </w:trPr>
        <w:tc>
          <w:tcPr>
            <w:tcW w:w="2560" w:type="dxa"/>
            <w:vAlign w:val="bottom"/>
          </w:tcPr>
          <w:p>
            <w:pPr>
              <w:ind w:left="320"/>
              <w:spacing w:after="0"/>
              <w:rPr>
                <w:sz w:val="20"/>
                <w:szCs w:val="20"/>
                <w:color w:val="auto"/>
              </w:rPr>
            </w:pPr>
            <w:r>
              <w:rPr>
                <w:rFonts w:ascii="Arial" w:cs="Arial" w:eastAsia="Arial" w:hAnsi="Arial"/>
                <w:sz w:val="15"/>
                <w:szCs w:val="15"/>
                <w:color w:val="auto"/>
              </w:rPr>
              <w:t>agreements - commercial</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Interest rate swaption agreement</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Net gains on mortgage</w:t>
            </w:r>
          </w:p>
        </w:tc>
        <w:tc>
          <w:tcPr>
            <w:tcW w:w="2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loans</w:t>
            </w:r>
          </w:p>
        </w:tc>
        <w:tc>
          <w:tcPr>
            <w:tcW w:w="2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560" w:type="dxa"/>
            <w:vAlign w:val="bottom"/>
          </w:tcPr>
          <w:p>
            <w:pPr>
              <w:ind w:left="180"/>
              <w:spacing w:after="0" w:line="160" w:lineRule="exact"/>
              <w:rPr>
                <w:sz w:val="20"/>
                <w:szCs w:val="20"/>
                <w:color w:val="auto"/>
              </w:rPr>
            </w:pPr>
            <w:r>
              <w:rPr>
                <w:rFonts w:ascii="Arial" w:cs="Arial" w:eastAsia="Arial" w:hAnsi="Arial"/>
                <w:sz w:val="15"/>
                <w:szCs w:val="15"/>
                <w:color w:val="auto"/>
              </w:rPr>
              <w:t>Pay-fixed interest rate swap</w:t>
            </w: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80" w:type="dxa"/>
            <w:vAlign w:val="bottom"/>
          </w:tcPr>
          <w:p>
            <w:pPr>
              <w:ind w:left="120"/>
              <w:spacing w:after="0" w:line="160" w:lineRule="exact"/>
              <w:rPr>
                <w:sz w:val="20"/>
                <w:szCs w:val="20"/>
                <w:color w:val="auto"/>
              </w:rPr>
            </w:pPr>
            <w:r>
              <w:rPr>
                <w:rFonts w:ascii="Arial" w:cs="Arial" w:eastAsia="Arial" w:hAnsi="Arial"/>
                <w:sz w:val="15"/>
                <w:szCs w:val="15"/>
                <w:color w:val="auto"/>
              </w:rPr>
              <w:t>Net gains on mortgage</w:t>
            </w:r>
          </w:p>
        </w:tc>
        <w:tc>
          <w:tcPr>
            <w:tcW w:w="280" w:type="dxa"/>
            <w:vAlign w:val="bottom"/>
          </w:tcPr>
          <w:p>
            <w:pPr>
              <w:spacing w:after="0"/>
              <w:rPr>
                <w:sz w:val="13"/>
                <w:szCs w:val="13"/>
                <w:color w:val="auto"/>
              </w:rPr>
            </w:pPr>
          </w:p>
        </w:tc>
        <w:tc>
          <w:tcPr>
            <w:tcW w:w="60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1,283</w:t>
            </w:r>
          </w:p>
        </w:tc>
        <w:tc>
          <w:tcPr>
            <w:tcW w:w="0" w:type="dxa"/>
            <w:vAlign w:val="bottom"/>
          </w:tcPr>
          <w:p>
            <w:pPr>
              <w:spacing w:after="0"/>
              <w:rPr>
                <w:sz w:val="1"/>
                <w:szCs w:val="1"/>
                <w:color w:val="auto"/>
              </w:rPr>
            </w:pPr>
          </w:p>
        </w:tc>
      </w:tr>
      <w:tr>
        <w:trPr>
          <w:trHeight w:val="199"/>
        </w:trPr>
        <w:tc>
          <w:tcPr>
            <w:tcW w:w="2560" w:type="dxa"/>
            <w:vAlign w:val="bottom"/>
          </w:tcPr>
          <w:p>
            <w:pPr>
              <w:ind w:left="320"/>
              <w:spacing w:after="0"/>
              <w:rPr>
                <w:sz w:val="20"/>
                <w:szCs w:val="20"/>
                <w:color w:val="auto"/>
              </w:rPr>
            </w:pPr>
            <w:r>
              <w:rPr>
                <w:rFonts w:ascii="Arial" w:cs="Arial" w:eastAsia="Arial" w:hAnsi="Arial"/>
                <w:sz w:val="15"/>
                <w:szCs w:val="15"/>
                <w:color w:val="auto"/>
              </w:rPr>
              <w:t>agreements - mortgage</w:t>
            </w: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80" w:type="dxa"/>
            <w:vAlign w:val="bottom"/>
          </w:tcPr>
          <w:p>
            <w:pPr>
              <w:ind w:left="260"/>
              <w:spacing w:after="0"/>
              <w:rPr>
                <w:sz w:val="20"/>
                <w:szCs w:val="20"/>
                <w:color w:val="auto"/>
              </w:rPr>
            </w:pPr>
            <w:r>
              <w:rPr>
                <w:rFonts w:ascii="Arial" w:cs="Arial" w:eastAsia="Arial" w:hAnsi="Arial"/>
                <w:sz w:val="15"/>
                <w:szCs w:val="15"/>
                <w:color w:val="auto"/>
              </w:rPr>
              <w:t>loans</w:t>
            </w:r>
          </w:p>
        </w:tc>
        <w:tc>
          <w:tcPr>
            <w:tcW w:w="2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Pay-variable interest rate swap</w:t>
            </w:r>
          </w:p>
        </w:tc>
        <w:tc>
          <w:tcPr>
            <w:tcW w:w="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780" w:type="dxa"/>
            <w:vAlign w:val="bottom"/>
            <w:shd w:val="clear" w:color="auto" w:fill="CCEEFF"/>
          </w:tcPr>
          <w:p>
            <w:pPr>
              <w:ind w:left="120"/>
              <w:spacing w:after="0" w:line="162" w:lineRule="exact"/>
              <w:rPr>
                <w:sz w:val="20"/>
                <w:szCs w:val="20"/>
                <w:color w:val="auto"/>
              </w:rPr>
            </w:pPr>
            <w:r>
              <w:rPr>
                <w:rFonts w:ascii="Arial" w:cs="Arial" w:eastAsia="Arial" w:hAnsi="Arial"/>
                <w:sz w:val="15"/>
                <w:szCs w:val="15"/>
                <w:color w:val="auto"/>
              </w:rPr>
              <w:t>Non-interest expense -</w:t>
            </w:r>
          </w:p>
        </w:tc>
        <w:tc>
          <w:tcPr>
            <w:tcW w:w="2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1"/>
        </w:trPr>
        <w:tc>
          <w:tcPr>
            <w:tcW w:w="2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agreement</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7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other</w:t>
            </w:r>
          </w:p>
        </w:tc>
        <w:tc>
          <w:tcPr>
            <w:tcW w:w="2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Interest rate cap agreements</w:t>
            </w:r>
          </w:p>
        </w:tc>
        <w:tc>
          <w:tcPr>
            <w:tcW w:w="3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Interest expense</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w:t>
            </w:r>
          </w:p>
        </w:tc>
        <w:tc>
          <w:tcPr>
            <w:tcW w:w="0" w:type="dxa"/>
            <w:vAlign w:val="bottom"/>
          </w:tcPr>
          <w:p>
            <w:pPr>
              <w:spacing w:after="0"/>
              <w:rPr>
                <w:sz w:val="1"/>
                <w:szCs w:val="1"/>
                <w:color w:val="auto"/>
              </w:rPr>
            </w:pPr>
          </w:p>
        </w:tc>
      </w:tr>
      <w:tr>
        <w:trPr>
          <w:trHeight w:val="219"/>
        </w:trPr>
        <w:tc>
          <w:tcPr>
            <w:tcW w:w="25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w:t>
            </w:r>
          </w:p>
        </w:tc>
        <w:tc>
          <w:tcPr>
            <w:tcW w:w="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982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(5,246)</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gridSpan w:val="3"/>
          </w:tcPr>
          <w:p>
            <w:pPr>
              <w:spacing w:after="0"/>
              <w:rPr>
                <w:sz w:val="20"/>
                <w:szCs w:val="20"/>
                <w:color w:val="auto"/>
              </w:rPr>
            </w:pPr>
            <w:r>
              <w:rPr>
                <w:rFonts w:ascii="Arial" w:cs="Arial" w:eastAsia="Arial" w:hAnsi="Arial"/>
                <w:sz w:val="17"/>
                <w:szCs w:val="17"/>
                <w:color w:val="auto"/>
              </w:rPr>
              <w:t>7.  Goodwill and Other Intangibles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04"/>
        </w:trPr>
        <w:tc>
          <w:tcPr>
            <w:tcW w:w="5000" w:type="dxa"/>
            <w:vAlign w:val="bottom"/>
            <w:gridSpan w:val="3"/>
          </w:tcPr>
          <w:p>
            <w:pPr>
              <w:spacing w:after="0"/>
              <w:rPr>
                <w:sz w:val="20"/>
                <w:szCs w:val="20"/>
                <w:color w:val="auto"/>
              </w:rPr>
            </w:pPr>
            <w:r>
              <w:rPr>
                <w:rFonts w:ascii="Arial" w:cs="Arial" w:eastAsia="Arial" w:hAnsi="Arial"/>
                <w:sz w:val="17"/>
                <w:szCs w:val="17"/>
                <w:color w:val="auto"/>
                <w:w w:val="95"/>
              </w:rPr>
              <w:t>The following table summarizes intangible assets, net of amortization:</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3"/>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ind w:left="780"/>
              <w:spacing w:after="0"/>
              <w:rPr>
                <w:sz w:val="20"/>
                <w:szCs w:val="20"/>
                <w:color w:val="auto"/>
              </w:rPr>
            </w:pPr>
            <w:r>
              <w:rPr>
                <w:rFonts w:ascii="Arial" w:cs="Arial" w:eastAsia="Arial" w:hAnsi="Arial"/>
                <w:sz w:val="17"/>
                <w:szCs w:val="17"/>
                <w:color w:val="auto"/>
              </w:rPr>
              <w:t>June 30, 2023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7"/>
                <w:szCs w:val="17"/>
                <w:color w:val="auto"/>
              </w:rPr>
              <w:t>December 31, 2022</w:t>
            </w:r>
          </w:p>
        </w:tc>
      </w:tr>
      <w:tr>
        <w:trPr>
          <w:trHeight w:val="175"/>
        </w:trPr>
        <w:tc>
          <w:tcPr>
            <w:tcW w:w="3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194"/>
              <w:spacing w:after="0" w:line="175" w:lineRule="exact"/>
              <w:rPr>
                <w:sz w:val="20"/>
                <w:szCs w:val="20"/>
                <w:color w:val="auto"/>
              </w:rPr>
            </w:pPr>
            <w:r>
              <w:rPr>
                <w:rFonts w:ascii="Arial" w:cs="Arial" w:eastAsia="Arial" w:hAnsi="Arial"/>
                <w:sz w:val="17"/>
                <w:szCs w:val="17"/>
                <w:color w:val="auto"/>
                <w:w w:val="88"/>
              </w:rPr>
              <w:t>Gross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194"/>
              <w:spacing w:after="0" w:line="175" w:lineRule="exact"/>
              <w:rPr>
                <w:sz w:val="20"/>
                <w:szCs w:val="20"/>
                <w:color w:val="auto"/>
              </w:rPr>
            </w:pPr>
            <w:r>
              <w:rPr>
                <w:rFonts w:ascii="Arial" w:cs="Arial" w:eastAsia="Arial" w:hAnsi="Arial"/>
                <w:sz w:val="17"/>
                <w:szCs w:val="17"/>
                <w:color w:val="auto"/>
                <w:w w:val="88"/>
              </w:rPr>
              <w:t>Gross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68"/>
        </w:trPr>
        <w:tc>
          <w:tcPr>
            <w:tcW w:w="3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94"/>
              <w:spacing w:after="0" w:line="167" w:lineRule="exact"/>
              <w:rPr>
                <w:sz w:val="20"/>
                <w:szCs w:val="20"/>
                <w:color w:val="auto"/>
              </w:rPr>
            </w:pPr>
            <w:r>
              <w:rPr>
                <w:rFonts w:ascii="Arial" w:cs="Arial" w:eastAsia="Arial" w:hAnsi="Arial"/>
                <w:sz w:val="17"/>
                <w:szCs w:val="17"/>
                <w:color w:val="auto"/>
                <w:w w:val="93"/>
              </w:rPr>
              <w:t>Carrying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ind w:left="80"/>
              <w:spacing w:after="0" w:line="167" w:lineRule="exact"/>
              <w:rPr>
                <w:sz w:val="20"/>
                <w:szCs w:val="20"/>
                <w:color w:val="auto"/>
              </w:rPr>
            </w:pPr>
            <w:r>
              <w:rPr>
                <w:rFonts w:ascii="Arial" w:cs="Arial" w:eastAsia="Arial" w:hAnsi="Arial"/>
                <w:sz w:val="17"/>
                <w:szCs w:val="17"/>
                <w:color w:val="auto"/>
              </w:rPr>
              <w:t>Accumulated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ind w:right="174"/>
              <w:spacing w:after="0" w:line="167" w:lineRule="exact"/>
              <w:rPr>
                <w:sz w:val="20"/>
                <w:szCs w:val="20"/>
                <w:color w:val="auto"/>
              </w:rPr>
            </w:pPr>
            <w:r>
              <w:rPr>
                <w:rFonts w:ascii="Arial" w:cs="Arial" w:eastAsia="Arial" w:hAnsi="Arial"/>
                <w:sz w:val="17"/>
                <w:szCs w:val="17"/>
                <w:color w:val="auto"/>
                <w:w w:val="96"/>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74"/>
              <w:spacing w:after="0" w:line="167" w:lineRule="exact"/>
              <w:rPr>
                <w:sz w:val="20"/>
                <w:szCs w:val="20"/>
                <w:color w:val="auto"/>
              </w:rPr>
            </w:pPr>
            <w:r>
              <w:rPr>
                <w:rFonts w:ascii="Arial" w:cs="Arial" w:eastAsia="Arial" w:hAnsi="Arial"/>
                <w:sz w:val="17"/>
                <w:szCs w:val="17"/>
                <w:color w:val="auto"/>
                <w:w w:val="93"/>
              </w:rPr>
              <w:t>Accumulated</w:t>
            </w:r>
          </w:p>
        </w:tc>
      </w:tr>
      <w:tr>
        <w:trPr>
          <w:trHeight w:val="218"/>
        </w:trPr>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color w:val="auto"/>
                <w:w w:val="95"/>
              </w:rPr>
              <w:t>Amount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Amortization</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w w:val="98"/>
              </w:rPr>
              <w:t>Amount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7"/>
              </w:rPr>
              <w:t>Amortization</w:t>
            </w:r>
          </w:p>
        </w:tc>
      </w:tr>
      <w:tr>
        <w:trPr>
          <w:trHeight w:val="211"/>
        </w:trPr>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4"/>
          </w:tcPr>
          <w:p>
            <w:pPr>
              <w:ind w:left="860"/>
              <w:spacing w:after="0"/>
              <w:rPr>
                <w:sz w:val="20"/>
                <w:szCs w:val="20"/>
                <w:color w:val="auto"/>
              </w:rPr>
            </w:pPr>
            <w:r>
              <w:rPr>
                <w:rFonts w:ascii="Arial" w:cs="Arial" w:eastAsia="Arial" w:hAnsi="Arial"/>
                <w:sz w:val="17"/>
                <w:szCs w:val="17"/>
                <w:color w:val="auto"/>
              </w:rPr>
              <w:t>(In thousands)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72"/>
        </w:trPr>
        <w:tc>
          <w:tcPr>
            <w:tcW w:w="5000" w:type="dxa"/>
            <w:vAlign w:val="bottom"/>
            <w:gridSpan w:val="3"/>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9"/>
        </w:trPr>
        <w:tc>
          <w:tcPr>
            <w:tcW w:w="5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Amortized intangible assets - core deposits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7"/>
                <w:szCs w:val="17"/>
                <w:color w:val="auto"/>
              </w:rPr>
              <w:t>9,638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9,365</w:t>
            </w:r>
          </w:p>
        </w:tc>
      </w:tr>
      <w:tr>
        <w:trPr>
          <w:trHeight w:val="20"/>
        </w:trPr>
        <w:tc>
          <w:tcPr>
            <w:tcW w:w="5000" w:type="dxa"/>
            <w:vAlign w:val="bottom"/>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1"/>
        </w:trPr>
        <w:tc>
          <w:tcPr>
            <w:tcW w:w="5000" w:type="dxa"/>
            <w:vAlign w:val="bottom"/>
            <w:gridSpan w:val="3"/>
          </w:tcPr>
          <w:p>
            <w:pPr>
              <w:ind w:left="20"/>
              <w:spacing w:after="0" w:line="191" w:lineRule="exact"/>
              <w:rPr>
                <w:sz w:val="20"/>
                <w:szCs w:val="20"/>
                <w:color w:val="auto"/>
              </w:rPr>
            </w:pPr>
            <w:r>
              <w:rPr>
                <w:rFonts w:ascii="Arial" w:cs="Arial" w:eastAsia="Arial" w:hAnsi="Arial"/>
                <w:sz w:val="17"/>
                <w:szCs w:val="17"/>
                <w:color w:val="auto"/>
              </w:rPr>
              <w:t>Unamortized intangible assets - goodwill</w:t>
            </w:r>
          </w:p>
        </w:tc>
        <w:tc>
          <w:tcPr>
            <w:tcW w:w="280" w:type="dxa"/>
            <w:vAlign w:val="bottom"/>
            <w:tcBorders>
              <w:bottom w:val="single" w:sz="8" w:color="auto"/>
            </w:tcBorders>
          </w:tcPr>
          <w:p>
            <w:pPr>
              <w:jc w:val="right"/>
              <w:ind w:right="94"/>
              <w:spacing w:after="0" w:line="191" w:lineRule="exact"/>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28,300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4"/>
              <w:spacing w:after="0" w:line="191" w:lineRule="exact"/>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28,300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5000" w:type="dxa"/>
            <w:vAlign w:val="bottom"/>
            <w:gridSpan w:val="3"/>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54"/>
        </w:trPr>
        <w:tc>
          <w:tcPr>
            <w:tcW w:w="6480" w:type="dxa"/>
            <w:vAlign w:val="bottom"/>
            <w:gridSpan w:val="5"/>
          </w:tcPr>
          <w:p>
            <w:pPr>
              <w:spacing w:after="0"/>
              <w:rPr>
                <w:sz w:val="20"/>
                <w:szCs w:val="20"/>
                <w:color w:val="auto"/>
              </w:rPr>
            </w:pPr>
            <w:r>
              <w:rPr>
                <w:rFonts w:ascii="Arial" w:cs="Arial" w:eastAsia="Arial" w:hAnsi="Arial"/>
                <w:sz w:val="17"/>
                <w:szCs w:val="17"/>
                <w:color w:val="auto"/>
                <w:w w:val="98"/>
              </w:rPr>
              <w:t>A summary of estimated core deposits intangible amortization at June 30, 2023 follows: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25"/>
        </w:trPr>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94"/>
              <w:spacing w:after="0"/>
              <w:rPr>
                <w:sz w:val="20"/>
                <w:szCs w:val="20"/>
                <w:color w:val="auto"/>
              </w:rPr>
            </w:pPr>
            <w:r>
              <w:rPr>
                <w:rFonts w:ascii="Arial" w:cs="Arial" w:eastAsia="Arial" w:hAnsi="Arial"/>
                <w:sz w:val="17"/>
                <w:szCs w:val="17"/>
                <w:color w:val="auto"/>
                <w:w w:val="90"/>
              </w:rPr>
              <w:t>(In thousands)</w:t>
            </w:r>
          </w:p>
        </w:tc>
      </w:tr>
      <w:tr>
        <w:trPr>
          <w:trHeight w:val="259"/>
        </w:trPr>
        <w:tc>
          <w:tcPr>
            <w:tcW w:w="5000" w:type="dxa"/>
            <w:vAlign w:val="bottom"/>
            <w:gridSpan w:val="3"/>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9"/>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Six months ending December 31, 2023</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r>
      <w:tr>
        <w:trPr>
          <w:trHeight w:val="225"/>
        </w:trPr>
        <w:tc>
          <w:tcPr>
            <w:tcW w:w="2480" w:type="dxa"/>
            <w:vAlign w:val="bottom"/>
            <w:gridSpan w:val="2"/>
          </w:tcPr>
          <w:p>
            <w:pPr>
              <w:ind w:left="20"/>
              <w:spacing w:after="0"/>
              <w:rPr>
                <w:sz w:val="20"/>
                <w:szCs w:val="20"/>
                <w:color w:val="auto"/>
              </w:rPr>
            </w:pPr>
            <w:r>
              <w:rPr>
                <w:rFonts w:ascii="Arial" w:cs="Arial" w:eastAsia="Arial" w:hAnsi="Arial"/>
                <w:sz w:val="17"/>
                <w:szCs w:val="17"/>
                <w:color w:val="auto"/>
              </w:rPr>
              <w:t>2024</w:t>
            </w: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516</w:t>
            </w:r>
          </w:p>
        </w:tc>
      </w:tr>
      <w:tr>
        <w:trPr>
          <w:trHeight w:val="226"/>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w:t>
            </w:r>
          </w:p>
        </w:tc>
      </w:tr>
      <w:tr>
        <w:trPr>
          <w:trHeight w:val="218"/>
        </w:trPr>
        <w:tc>
          <w:tcPr>
            <w:tcW w:w="2480" w:type="dxa"/>
            <w:vAlign w:val="bottom"/>
            <w:gridSpan w:val="2"/>
          </w:tcPr>
          <w:p>
            <w:pPr>
              <w:ind w:left="20"/>
              <w:spacing w:after="0"/>
              <w:rPr>
                <w:sz w:val="20"/>
                <w:szCs w:val="20"/>
                <w:color w:val="auto"/>
              </w:rPr>
            </w:pPr>
            <w:r>
              <w:rPr>
                <w:rFonts w:ascii="Arial" w:cs="Arial" w:eastAsia="Arial" w:hAnsi="Arial"/>
                <w:sz w:val="17"/>
                <w:szCs w:val="17"/>
                <w:color w:val="auto"/>
              </w:rPr>
              <w:t>2026</w:t>
            </w:r>
          </w:p>
        </w:tc>
        <w:tc>
          <w:tcPr>
            <w:tcW w:w="2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460</w:t>
            </w:r>
          </w:p>
        </w:tc>
      </w:tr>
      <w:tr>
        <w:trPr>
          <w:trHeight w:val="23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w:t>
            </w:r>
          </w:p>
        </w:tc>
      </w:tr>
      <w:tr>
        <w:trPr>
          <w:trHeight w:val="218"/>
        </w:trPr>
        <w:tc>
          <w:tcPr>
            <w:tcW w:w="500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2028 and thereafter</w:t>
            </w:r>
          </w:p>
        </w:tc>
        <w:tc>
          <w:tcPr>
            <w:tcW w:w="28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w:t>
            </w:r>
          </w:p>
        </w:tc>
      </w:tr>
      <w:tr>
        <w:trPr>
          <w:trHeight w:val="233"/>
        </w:trPr>
        <w:tc>
          <w:tcPr>
            <w:tcW w:w="50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2,278</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00" w:hanging="297"/>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Share Based Compensation</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maintain share based payment plans that include a non-employee director stock purchase plan and a long-term incentive plan that permits the issuance of share based compensation, including stock options and non-vested share awards. The long-term incentive plan, which is shareholder approved, permits the grant of additional share based awards for up to 0.6 million shares of common stock as of June 30, 2023. The non-employee director stock purchase plan permits the issuance of additional share based payments for up to 0.1 million shares of common stock as of June 30, 2023. Share based awards and payments are measured at fair value at the date of grant and are expensed over the requisite service period. Common shares issued upon exercise of stock options come from currently authorized but unissued shares.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restricted stock and performance stock units (“PSU”) granted pursuant to our long-term incentive plan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560" w:type="dxa"/>
            <w:vAlign w:val="bottom"/>
            <w:gridSpan w:val="4"/>
          </w:tcPr>
          <w:p>
            <w:pPr>
              <w:jc w:val="center"/>
              <w:ind w:left="394"/>
              <w:spacing w:after="0"/>
              <w:rPr>
                <w:sz w:val="20"/>
                <w:szCs w:val="20"/>
                <w:color w:val="auto"/>
              </w:rPr>
            </w:pPr>
            <w:r>
              <w:rPr>
                <w:rFonts w:ascii="Arial" w:cs="Arial" w:eastAsia="Arial" w:hAnsi="Arial"/>
                <w:sz w:val="17"/>
                <w:szCs w:val="17"/>
                <w:color w:val="auto"/>
                <w:w w:val="90"/>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4"/>
          </w:tcPr>
          <w:p>
            <w:pPr>
              <w:jc w:val="center"/>
              <w:spacing w:after="0"/>
              <w:rPr>
                <w:sz w:val="20"/>
                <w:szCs w:val="20"/>
                <w:color w:val="auto"/>
              </w:rPr>
            </w:pPr>
            <w:r>
              <w:rPr>
                <w:rFonts w:ascii="Arial" w:cs="Arial" w:eastAsia="Arial" w:hAnsi="Arial"/>
                <w:sz w:val="17"/>
                <w:szCs w:val="17"/>
                <w:color w:val="auto"/>
                <w:w w:val="92"/>
              </w:rPr>
              <w:t>Six Months Ended</w:t>
            </w:r>
          </w:p>
        </w:tc>
      </w:tr>
      <w:tr>
        <w:trPr>
          <w:trHeight w:val="218"/>
        </w:trPr>
        <w:tc>
          <w:tcPr>
            <w:tcW w:w="50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7"/>
                <w:szCs w:val="17"/>
                <w:color w:val="auto"/>
                <w:w w:val="88"/>
              </w:rPr>
              <w:t>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Borders>
              <w:bottom w:val="single" w:sz="8" w:color="auto"/>
            </w:tcBorders>
            <w:gridSpan w:val="3"/>
          </w:tcPr>
          <w:p>
            <w:pPr>
              <w:jc w:val="center"/>
              <w:ind w:left="994"/>
              <w:spacing w:after="0"/>
              <w:rPr>
                <w:sz w:val="20"/>
                <w:szCs w:val="20"/>
                <w:color w:val="auto"/>
              </w:rPr>
            </w:pPr>
            <w:r>
              <w:rPr>
                <w:rFonts w:ascii="Arial" w:cs="Arial" w:eastAsia="Arial" w:hAnsi="Arial"/>
                <w:sz w:val="17"/>
                <w:szCs w:val="17"/>
                <w:color w:val="auto"/>
                <w:w w:val="88"/>
              </w:rPr>
              <w:t>June 30,</w:t>
            </w:r>
          </w:p>
        </w:tc>
        <w:tc>
          <w:tcPr>
            <w:tcW w:w="1080" w:type="dxa"/>
            <w:vAlign w:val="bottom"/>
            <w:tcBorders>
              <w:bottom w:val="single" w:sz="8" w:color="auto"/>
            </w:tcBorders>
          </w:tcPr>
          <w:p>
            <w:pPr>
              <w:spacing w:after="0"/>
              <w:rPr>
                <w:sz w:val="18"/>
                <w:szCs w:val="18"/>
                <w:color w:val="auto"/>
              </w:rPr>
            </w:pPr>
          </w:p>
        </w:tc>
      </w:tr>
      <w:tr>
        <w:trPr>
          <w:trHeight w:val="212"/>
        </w:trPr>
        <w:tc>
          <w:tcPr>
            <w:tcW w:w="5980" w:type="dxa"/>
            <w:vAlign w:val="bottom"/>
            <w:gridSpan w:val="2"/>
          </w:tcPr>
          <w:p>
            <w:pPr>
              <w:jc w:val="right"/>
              <w:spacing w:after="0"/>
              <w:rPr>
                <w:sz w:val="20"/>
                <w:szCs w:val="20"/>
                <w:color w:val="auto"/>
              </w:rPr>
            </w:pPr>
            <w:r>
              <w:rPr>
                <w:rFonts w:ascii="Arial" w:cs="Arial" w:eastAsia="Arial" w:hAnsi="Arial"/>
                <w:sz w:val="17"/>
                <w:szCs w:val="17"/>
                <w:color w:val="auto"/>
              </w:rPr>
              <w:t>2023</w:t>
            </w:r>
          </w:p>
        </w:tc>
        <w:tc>
          <w:tcPr>
            <w:tcW w:w="1620" w:type="dxa"/>
            <w:vAlign w:val="bottom"/>
            <w:gridSpan w:val="3"/>
          </w:tcPr>
          <w:p>
            <w:pPr>
              <w:jc w:val="right"/>
              <w:ind w:right="80"/>
              <w:spacing w:after="0"/>
              <w:rPr>
                <w:sz w:val="20"/>
                <w:szCs w:val="20"/>
                <w:color w:val="auto"/>
              </w:rPr>
            </w:pPr>
            <w:r>
              <w:rPr>
                <w:rFonts w:ascii="Arial" w:cs="Arial" w:eastAsia="Arial" w:hAnsi="Arial"/>
                <w:sz w:val="17"/>
                <w:szCs w:val="17"/>
                <w:color w:val="auto"/>
              </w:rPr>
              <w:t>2022</w:t>
            </w:r>
          </w:p>
        </w:tc>
        <w:tc>
          <w:tcPr>
            <w:tcW w:w="480" w:type="dxa"/>
            <w:vAlign w:val="bottom"/>
          </w:tcPr>
          <w:p>
            <w:pPr>
              <w:spacing w:after="0"/>
              <w:rPr>
                <w:sz w:val="18"/>
                <w:szCs w:val="18"/>
                <w:color w:val="auto"/>
              </w:rPr>
            </w:pPr>
          </w:p>
        </w:tc>
        <w:tc>
          <w:tcPr>
            <w:tcW w:w="1600" w:type="dxa"/>
            <w:vAlign w:val="bottom"/>
            <w:gridSpan w:val="2"/>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right"/>
              <w:ind w:right="474"/>
              <w:spacing w:after="0"/>
              <w:rPr>
                <w:sz w:val="20"/>
                <w:szCs w:val="20"/>
                <w:color w:val="auto"/>
              </w:rPr>
            </w:pPr>
            <w:r>
              <w:rPr>
                <w:rFonts w:ascii="Arial" w:cs="Arial" w:eastAsia="Arial" w:hAnsi="Arial"/>
                <w:sz w:val="17"/>
                <w:szCs w:val="17"/>
                <w:color w:val="auto"/>
              </w:rPr>
              <w:t>2022</w:t>
            </w:r>
          </w:p>
        </w:tc>
      </w:tr>
      <w:tr>
        <w:trPr>
          <w:trHeight w:val="252"/>
        </w:trPr>
        <w:tc>
          <w:tcPr>
            <w:tcW w:w="504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39"/>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Restricted stock</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13,500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84,846</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58,787</w:t>
            </w:r>
          </w:p>
        </w:tc>
      </w:tr>
      <w:tr>
        <w:trPr>
          <w:trHeight w:val="20"/>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1"/>
        </w:trPr>
        <w:tc>
          <w:tcPr>
            <w:tcW w:w="5980" w:type="dxa"/>
            <w:vAlign w:val="bottom"/>
            <w:gridSpan w:val="2"/>
          </w:tcPr>
          <w:p>
            <w:pPr>
              <w:ind w:left="20"/>
              <w:spacing w:after="0" w:line="191" w:lineRule="exact"/>
              <w:rPr>
                <w:sz w:val="20"/>
                <w:szCs w:val="20"/>
                <w:color w:val="auto"/>
              </w:rPr>
            </w:pPr>
            <w:r>
              <w:rPr>
                <w:rFonts w:ascii="Arial" w:cs="Arial" w:eastAsia="Arial" w:hAnsi="Arial"/>
                <w:sz w:val="17"/>
                <w:szCs w:val="17"/>
                <w:color w:val="auto"/>
              </w:rPr>
              <w:t>PSU</w:t>
            </w:r>
          </w:p>
        </w:tc>
        <w:tc>
          <w:tcPr>
            <w:tcW w:w="1620" w:type="dxa"/>
            <w:vAlign w:val="bottom"/>
            <w:gridSpan w:val="3"/>
          </w:tcPr>
          <w:p>
            <w:pPr>
              <w:jc w:val="right"/>
              <w:ind w:right="1100"/>
              <w:spacing w:after="0" w:line="191" w:lineRule="exact"/>
              <w:rPr>
                <w:sz w:val="20"/>
                <w:szCs w:val="20"/>
                <w:color w:val="auto"/>
              </w:rPr>
            </w:pPr>
            <w:r>
              <w:rPr>
                <w:rFonts w:ascii="Arial" w:cs="Arial" w:eastAsia="Arial" w:hAnsi="Arial"/>
                <w:sz w:val="17"/>
                <w:szCs w:val="17"/>
                <w:color w:val="auto"/>
              </w:rPr>
              <w:t>—</w:t>
            </w:r>
          </w:p>
        </w:tc>
        <w:tc>
          <w:tcPr>
            <w:tcW w:w="480" w:type="dxa"/>
            <w:vAlign w:val="bottom"/>
          </w:tcPr>
          <w:p>
            <w:pPr>
              <w:jc w:val="right"/>
              <w:spacing w:after="0" w:line="191" w:lineRule="exact"/>
              <w:rPr>
                <w:sz w:val="20"/>
                <w:szCs w:val="20"/>
                <w:color w:val="auto"/>
              </w:rPr>
            </w:pPr>
            <w:r>
              <w:rPr>
                <w:rFonts w:ascii="Arial" w:cs="Arial" w:eastAsia="Arial" w:hAnsi="Arial"/>
                <w:sz w:val="17"/>
                <w:szCs w:val="17"/>
                <w:color w:val="auto"/>
              </w:rPr>
              <w:t>—</w:t>
            </w:r>
          </w:p>
        </w:tc>
        <w:tc>
          <w:tcPr>
            <w:tcW w:w="160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18,790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Arial" w:cs="Arial" w:eastAsia="Arial" w:hAnsi="Arial"/>
                <w:sz w:val="17"/>
                <w:szCs w:val="17"/>
                <w:color w:val="auto"/>
              </w:rPr>
              <w:t>19,748</w:t>
            </w:r>
          </w:p>
        </w:tc>
      </w:tr>
      <w:tr>
        <w:trPr>
          <w:trHeight w:val="20"/>
        </w:trPr>
        <w:tc>
          <w:tcPr>
            <w:tcW w:w="50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shares of restricted stock and PSUs shown in the above table cliff vest after a period of three years. The performance criteria of the PSUs is split evenly between a comparison of (i) our total shareholder return and (ii) our return on average assets each over the three year period starting on the grant date to these same criteria over that period to an index of our banking peers.</w:t>
      </w:r>
    </w:p>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directors may elect to receive all or a portion of their cash retainer fees in the form of common stock (either on a current basis or on a deferred basis) pursuant to the non-employee director stock purchase plan referenced above. Shares equal in value to that portion of each director’s fees that he or she has elected to receive in stock on a current basis are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issued each quarter and vest immediately. Shares issued on a deferred basis are credited at the rate of 90% of the current fair value of our common stock and vest immediately. During the six month periods ended June 30, 2023 and 2022 we issued 0.009 million and 0.008 million shares, respectively and expensed their value during those same periods.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Total compensation expense recognized for grants pursuant to our long-term incentive plan was $0.4 million and $0.9 million during the three and six month periods ended June 30, 2023, respectively, and was $0.4 million and $0.9 million during the same periods in 2022, respectively. The corresponding tax benefit relating to this expense was $0.1 million and $0.2 million for the three and six month periods ended June 30, 2023, respectively and $0.1 million and $0.2 million for the same periods in 2022. Total expense recognized for non-employee director share based payments was $0.09 million and $0.18 million during the three and six month periods ended June 30, 2023, respectively, and was $0.09 million and $0.19 million during the same periods in 2022, respectively. The corresponding tax benefit relating to this expense was $0.02 million and $0.04 million for the three and six month periods ended June 30, 2023, respectively and $0.02 million and $0.04 million during the same periods in 2022.</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2023, the total expected compensation cost related to non-vested restricted stock and PSUs not yet recognized was $3.5 million. The weighted-average period over which this amount will be recognized is 2.1 years.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 summary of outstanding stock option grants and related transactions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Weighted-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center"/>
              <w:ind w:right="174"/>
              <w:spacing w:after="0"/>
              <w:rPr>
                <w:sz w:val="20"/>
                <w:szCs w:val="20"/>
                <w:color w:val="auto"/>
              </w:rPr>
            </w:pPr>
            <w:r>
              <w:rPr>
                <w:rFonts w:ascii="Arial" w:cs="Arial" w:eastAsia="Arial" w:hAnsi="Arial"/>
                <w:sz w:val="17"/>
                <w:szCs w:val="17"/>
                <w:color w:val="auto"/>
                <w:w w:val="91"/>
              </w:rPr>
              <w:t>Average</w:t>
            </w:r>
          </w:p>
        </w:tc>
        <w:tc>
          <w:tcPr>
            <w:tcW w:w="100" w:type="dxa"/>
            <w:vAlign w:val="bottom"/>
          </w:tcPr>
          <w:p>
            <w:pPr>
              <w:spacing w:after="0"/>
              <w:rPr>
                <w:sz w:val="14"/>
                <w:szCs w:val="14"/>
                <w:color w:val="auto"/>
              </w:rPr>
            </w:pPr>
          </w:p>
        </w:tc>
        <w:tc>
          <w:tcPr>
            <w:tcW w:w="1480" w:type="dxa"/>
            <w:vAlign w:val="bottom"/>
          </w:tcPr>
          <w:p>
            <w:pPr>
              <w:jc w:val="center"/>
              <w:spacing w:after="0" w:line="167" w:lineRule="exact"/>
              <w:rPr>
                <w:sz w:val="20"/>
                <w:szCs w:val="20"/>
                <w:color w:val="auto"/>
              </w:rPr>
            </w:pPr>
            <w:r>
              <w:rPr>
                <w:rFonts w:ascii="Arial" w:cs="Arial" w:eastAsia="Arial" w:hAnsi="Arial"/>
                <w:sz w:val="17"/>
                <w:szCs w:val="17"/>
                <w:color w:val="auto"/>
                <w:w w:val="88"/>
              </w:rPr>
              <w:t>Average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center"/>
              <w:ind w:right="74"/>
              <w:spacing w:after="0"/>
              <w:rPr>
                <w:sz w:val="20"/>
                <w:szCs w:val="20"/>
                <w:color w:val="auto"/>
              </w:rPr>
            </w:pPr>
            <w:r>
              <w:rPr>
                <w:rFonts w:ascii="Arial" w:cs="Arial" w:eastAsia="Arial" w:hAnsi="Arial"/>
                <w:sz w:val="17"/>
                <w:szCs w:val="17"/>
                <w:color w:val="auto"/>
                <w:w w:val="90"/>
              </w:rPr>
              <w:t>Aggregated</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line="180" w:lineRule="exact"/>
              <w:rPr>
                <w:sz w:val="20"/>
                <w:szCs w:val="20"/>
                <w:color w:val="auto"/>
              </w:rPr>
            </w:pPr>
            <w:r>
              <w:rPr>
                <w:rFonts w:ascii="Arial" w:cs="Arial" w:eastAsia="Arial" w:hAnsi="Arial"/>
                <w:sz w:val="17"/>
                <w:szCs w:val="17"/>
                <w:color w:val="auto"/>
                <w:w w:val="93"/>
              </w:rPr>
              <w:t>Remaining</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right"/>
              <w:ind w:right="274"/>
              <w:spacing w:after="0" w:line="167" w:lineRule="exact"/>
              <w:rPr>
                <w:sz w:val="20"/>
                <w:szCs w:val="20"/>
                <w:color w:val="auto"/>
              </w:rPr>
            </w:pPr>
            <w:r>
              <w:rPr>
                <w:rFonts w:ascii="Arial" w:cs="Arial" w:eastAsia="Arial" w:hAnsi="Arial"/>
                <w:sz w:val="17"/>
                <w:szCs w:val="17"/>
                <w:color w:val="auto"/>
                <w:w w:val="95"/>
              </w:rPr>
              <w:t>Number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center"/>
              <w:ind w:right="174"/>
              <w:spacing w:after="0" w:line="167" w:lineRule="exact"/>
              <w:rPr>
                <w:sz w:val="20"/>
                <w:szCs w:val="20"/>
                <w:color w:val="auto"/>
              </w:rPr>
            </w:pPr>
            <w:r>
              <w:rPr>
                <w:rFonts w:ascii="Arial" w:cs="Arial" w:eastAsia="Arial" w:hAnsi="Arial"/>
                <w:sz w:val="17"/>
                <w:szCs w:val="17"/>
                <w:color w:val="auto"/>
                <w:w w:val="88"/>
              </w:rPr>
              <w:t>Exercise</w:t>
            </w:r>
          </w:p>
        </w:tc>
        <w:tc>
          <w:tcPr>
            <w:tcW w:w="100" w:type="dxa"/>
            <w:vAlign w:val="bottom"/>
          </w:tcPr>
          <w:p>
            <w:pPr>
              <w:spacing w:after="0"/>
              <w:rPr>
                <w:sz w:val="14"/>
                <w:szCs w:val="14"/>
                <w:color w:val="auto"/>
              </w:rPr>
            </w:pPr>
          </w:p>
        </w:tc>
        <w:tc>
          <w:tcPr>
            <w:tcW w:w="1480" w:type="dxa"/>
            <w:vAlign w:val="bottom"/>
          </w:tcPr>
          <w:p>
            <w:pPr>
              <w:jc w:val="center"/>
              <w:spacing w:after="0" w:line="167" w:lineRule="exact"/>
              <w:rPr>
                <w:sz w:val="20"/>
                <w:szCs w:val="20"/>
                <w:color w:val="auto"/>
              </w:rPr>
            </w:pPr>
            <w:r>
              <w:rPr>
                <w:rFonts w:ascii="Arial" w:cs="Arial" w:eastAsia="Arial" w:hAnsi="Arial"/>
                <w:sz w:val="17"/>
                <w:szCs w:val="17"/>
                <w:color w:val="auto"/>
                <w:w w:val="91"/>
              </w:rPr>
              <w:t>Contractual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7" w:lineRule="exact"/>
              <w:rPr>
                <w:sz w:val="20"/>
                <w:szCs w:val="20"/>
                <w:color w:val="auto"/>
              </w:rPr>
            </w:pPr>
            <w:r>
              <w:rPr>
                <w:rFonts w:ascii="Arial" w:cs="Arial" w:eastAsia="Arial" w:hAnsi="Arial"/>
                <w:sz w:val="17"/>
                <w:szCs w:val="17"/>
                <w:color w:val="auto"/>
                <w:w w:val="98"/>
              </w:rPr>
              <w:t>Intrinsic</w:t>
            </w:r>
          </w:p>
        </w:tc>
        <w:tc>
          <w:tcPr>
            <w:tcW w:w="0" w:type="dxa"/>
            <w:vAlign w:val="bottom"/>
          </w:tcPr>
          <w:p>
            <w:pPr>
              <w:spacing w:after="0"/>
              <w:rPr>
                <w:sz w:val="1"/>
                <w:szCs w:val="1"/>
                <w:color w:val="auto"/>
              </w:rPr>
            </w:pPr>
          </w:p>
        </w:tc>
      </w:tr>
      <w:tr>
        <w:trPr>
          <w:trHeight w:val="218"/>
        </w:trPr>
        <w:tc>
          <w:tcPr>
            <w:tcW w:w="50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Shares</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w w:val="87"/>
              </w:rPr>
              <w:t>Price</w:t>
            </w: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Term (Years)</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87"/>
              </w:rPr>
              <w:t>Value</w:t>
            </w:r>
          </w:p>
        </w:tc>
        <w:tc>
          <w:tcPr>
            <w:tcW w:w="0" w:type="dxa"/>
            <w:vAlign w:val="bottom"/>
          </w:tcPr>
          <w:p>
            <w:pPr>
              <w:spacing w:after="0"/>
              <w:rPr>
                <w:sz w:val="1"/>
                <w:szCs w:val="1"/>
                <w:color w:val="auto"/>
              </w:rPr>
            </w:pPr>
          </w:p>
        </w:tc>
      </w:tr>
      <w:tr>
        <w:trPr>
          <w:trHeight w:val="219"/>
        </w:trPr>
        <w:tc>
          <w:tcPr>
            <w:tcW w:w="5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94"/>
              <w:spacing w:after="0"/>
              <w:rPr>
                <w:sz w:val="20"/>
                <w:szCs w:val="20"/>
                <w:color w:val="auto"/>
              </w:rPr>
            </w:pPr>
            <w:r>
              <w:rPr>
                <w:rFonts w:ascii="Arial" w:cs="Arial" w:eastAsia="Arial" w:hAnsi="Arial"/>
                <w:sz w:val="17"/>
                <w:szCs w:val="17"/>
                <w:color w:val="auto"/>
                <w:w w:val="90"/>
              </w:rPr>
              <w:t>(In thousands)</w:t>
            </w:r>
          </w:p>
        </w:tc>
        <w:tc>
          <w:tcPr>
            <w:tcW w:w="0" w:type="dxa"/>
            <w:vAlign w:val="bottom"/>
          </w:tcPr>
          <w:p>
            <w:pPr>
              <w:spacing w:after="0"/>
              <w:rPr>
                <w:sz w:val="1"/>
                <w:szCs w:val="1"/>
                <w:color w:val="auto"/>
              </w:rPr>
            </w:pPr>
          </w:p>
        </w:tc>
      </w:tr>
      <w:tr>
        <w:trPr>
          <w:trHeight w:val="22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January 1, 2023</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40,307</w:t>
            </w:r>
          </w:p>
        </w:tc>
        <w:tc>
          <w:tcPr>
            <w:tcW w:w="3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4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Exercised</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340" w:type="dxa"/>
            <w:vAlign w:val="bottom"/>
            <w:gridSpan w:val="2"/>
          </w:tcPr>
          <w:p>
            <w:pPr>
              <w:ind w:left="180"/>
              <w:spacing w:after="0"/>
              <w:rPr>
                <w:sz w:val="20"/>
                <w:szCs w:val="20"/>
                <w:color w:val="auto"/>
              </w:rPr>
            </w:pPr>
            <w:r>
              <w:rPr>
                <w:rFonts w:ascii="Arial" w:cs="Arial" w:eastAsia="Arial" w:hAnsi="Arial"/>
                <w:sz w:val="17"/>
                <w:szCs w:val="17"/>
                <w:color w:val="auto"/>
              </w:rPr>
              <w:t>Forfeited</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Expired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Outstanding at June 30, 2023</w:t>
            </w:r>
          </w:p>
        </w:tc>
        <w:tc>
          <w:tcPr>
            <w:tcW w:w="1140" w:type="dxa"/>
            <w:vAlign w:val="bottom"/>
          </w:tcPr>
          <w:p>
            <w:pPr>
              <w:jc w:val="right"/>
              <w:spacing w:after="0"/>
              <w:rPr>
                <w:sz w:val="20"/>
                <w:szCs w:val="20"/>
                <w:color w:val="auto"/>
              </w:rPr>
            </w:pPr>
            <w:r>
              <w:rPr>
                <w:rFonts w:ascii="Arial" w:cs="Arial" w:eastAsia="Arial" w:hAnsi="Arial"/>
                <w:sz w:val="17"/>
                <w:szCs w:val="17"/>
                <w:color w:val="auto"/>
              </w:rPr>
              <w:t>17,307</w:t>
            </w:r>
          </w:p>
        </w:tc>
        <w:tc>
          <w:tcPr>
            <w:tcW w:w="38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10.83</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2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40" w:type="dxa"/>
            <w:vAlign w:val="bottom"/>
            <w:gridSpan w:val="2"/>
          </w:tcPr>
          <w:p>
            <w:pPr>
              <w:ind w:left="20"/>
              <w:spacing w:after="0"/>
              <w:rPr>
                <w:sz w:val="20"/>
                <w:szCs w:val="20"/>
                <w:color w:val="auto"/>
              </w:rPr>
            </w:pPr>
            <w:r>
              <w:rPr>
                <w:rFonts w:ascii="Arial" w:cs="Arial" w:eastAsia="Arial" w:hAnsi="Arial"/>
                <w:sz w:val="17"/>
                <w:szCs w:val="17"/>
                <w:color w:val="auto"/>
              </w:rPr>
              <w:t>Vested and expected to vest at June 30, 2023</w:t>
            </w:r>
          </w:p>
        </w:tc>
        <w:tc>
          <w:tcPr>
            <w:tcW w:w="1140" w:type="dxa"/>
            <w:vAlign w:val="bottom"/>
          </w:tcPr>
          <w:p>
            <w:pPr>
              <w:jc w:val="right"/>
              <w:spacing w:after="0"/>
              <w:rPr>
                <w:sz w:val="20"/>
                <w:szCs w:val="20"/>
                <w:color w:val="auto"/>
              </w:rPr>
            </w:pPr>
            <w:r>
              <w:rPr>
                <w:rFonts w:ascii="Arial" w:cs="Arial" w:eastAsia="Arial" w:hAnsi="Arial"/>
                <w:sz w:val="17"/>
                <w:szCs w:val="17"/>
                <w:color w:val="auto"/>
              </w:rPr>
              <w:t>17,307</w:t>
            </w:r>
          </w:p>
        </w:tc>
        <w:tc>
          <w:tcPr>
            <w:tcW w:w="38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10.83</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2.3</w:t>
            </w:r>
          </w:p>
        </w:tc>
        <w:tc>
          <w:tcPr>
            <w:tcW w:w="2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 at June 30, 2023</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340" w:type="dxa"/>
            <w:vAlign w:val="bottom"/>
            <w:gridSpan w:val="2"/>
          </w:tcPr>
          <w:p>
            <w:pPr>
              <w:spacing w:after="0"/>
              <w:rPr>
                <w:sz w:val="20"/>
                <w:szCs w:val="20"/>
                <w:color w:val="auto"/>
              </w:rPr>
            </w:pPr>
            <w:r>
              <w:rPr>
                <w:rFonts w:ascii="Arial" w:cs="Arial" w:eastAsia="Arial" w:hAnsi="Arial"/>
                <w:sz w:val="17"/>
                <w:szCs w:val="17"/>
                <w:color w:val="auto"/>
                <w:w w:val="91"/>
              </w:rPr>
              <w:t>A summary of outstanding non-vested stock and related transactions follows: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74"/>
              <w:spacing w:after="0"/>
              <w:rPr>
                <w:sz w:val="20"/>
                <w:szCs w:val="20"/>
                <w:color w:val="auto"/>
              </w:rPr>
            </w:pPr>
            <w:r>
              <w:rPr>
                <w:rFonts w:ascii="Arial" w:cs="Arial" w:eastAsia="Arial" w:hAnsi="Arial"/>
                <w:sz w:val="17"/>
                <w:szCs w:val="17"/>
                <w:color w:val="auto"/>
                <w:w w:val="92"/>
              </w:rPr>
              <w:t>Weighted-</w:t>
            </w: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7"/>
                <w:szCs w:val="17"/>
                <w:color w:val="auto"/>
                <w:w w:val="92"/>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74"/>
              <w:spacing w:after="0" w:line="167" w:lineRule="exact"/>
              <w:rPr>
                <w:sz w:val="20"/>
                <w:szCs w:val="20"/>
                <w:color w:val="auto"/>
              </w:rPr>
            </w:pPr>
            <w:r>
              <w:rPr>
                <w:rFonts w:ascii="Arial" w:cs="Arial" w:eastAsia="Arial" w:hAnsi="Arial"/>
                <w:sz w:val="17"/>
                <w:szCs w:val="17"/>
                <w:color w:val="auto"/>
                <w:w w:val="88"/>
              </w:rPr>
              <w:t>Average</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4"/>
              <w:spacing w:after="0" w:line="180" w:lineRule="exact"/>
              <w:rPr>
                <w:sz w:val="20"/>
                <w:szCs w:val="20"/>
                <w:color w:val="auto"/>
              </w:rPr>
            </w:pPr>
            <w:r>
              <w:rPr>
                <w:rFonts w:ascii="Arial" w:cs="Arial" w:eastAsia="Arial" w:hAnsi="Arial"/>
                <w:sz w:val="17"/>
                <w:szCs w:val="17"/>
                <w:color w:val="auto"/>
                <w:w w:val="91"/>
              </w:rPr>
              <w:t>Grant Date</w:t>
            </w:r>
          </w:p>
        </w:tc>
        <w:tc>
          <w:tcPr>
            <w:tcW w:w="0" w:type="dxa"/>
            <w:vAlign w:val="bottom"/>
          </w:tcPr>
          <w:p>
            <w:pPr>
              <w:spacing w:after="0"/>
              <w:rPr>
                <w:sz w:val="1"/>
                <w:szCs w:val="1"/>
                <w:color w:val="auto"/>
              </w:rPr>
            </w:pPr>
          </w:p>
        </w:tc>
      </w:tr>
      <w:tr>
        <w:trPr>
          <w:trHeight w:val="218"/>
        </w:trPr>
        <w:tc>
          <w:tcPr>
            <w:tcW w:w="50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7"/>
              </w:rPr>
              <w:t>of Shares</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2"/>
              </w:rPr>
              <w:t>Fair Value</w:t>
            </w:r>
          </w:p>
        </w:tc>
        <w:tc>
          <w:tcPr>
            <w:tcW w:w="0" w:type="dxa"/>
            <w:vAlign w:val="bottom"/>
          </w:tcPr>
          <w:p>
            <w:pPr>
              <w:spacing w:after="0"/>
              <w:rPr>
                <w:sz w:val="1"/>
                <w:szCs w:val="1"/>
                <w:color w:val="auto"/>
              </w:rPr>
            </w:pPr>
          </w:p>
        </w:tc>
      </w:tr>
      <w:tr>
        <w:trPr>
          <w:trHeight w:val="213"/>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January 1, 2023</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246,136</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22.82</w:t>
            </w:r>
          </w:p>
        </w:tc>
        <w:tc>
          <w:tcPr>
            <w:tcW w:w="0" w:type="dxa"/>
            <w:vAlign w:val="bottom"/>
          </w:tcPr>
          <w:p>
            <w:pPr>
              <w:spacing w:after="0"/>
              <w:rPr>
                <w:sz w:val="1"/>
                <w:szCs w:val="1"/>
                <w:color w:val="auto"/>
              </w:rPr>
            </w:pPr>
          </w:p>
        </w:tc>
      </w:tr>
      <w:tr>
        <w:trPr>
          <w:trHeight w:val="225"/>
        </w:trPr>
        <w:tc>
          <w:tcPr>
            <w:tcW w:w="5340" w:type="dxa"/>
            <w:vAlign w:val="bottom"/>
            <w:gridSpan w:val="2"/>
          </w:tcPr>
          <w:p>
            <w:pPr>
              <w:ind w:left="180"/>
              <w:spacing w:after="0"/>
              <w:rPr>
                <w:sz w:val="20"/>
                <w:szCs w:val="20"/>
                <w:color w:val="auto"/>
              </w:rPr>
            </w:pPr>
            <w:r>
              <w:rPr>
                <w:rFonts w:ascii="Arial" w:cs="Arial" w:eastAsia="Arial" w:hAnsi="Arial"/>
                <w:sz w:val="17"/>
                <w:szCs w:val="17"/>
                <w:color w:val="auto"/>
              </w:rPr>
              <w:t>Granted</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103,636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22.84</w:t>
            </w:r>
          </w:p>
        </w:tc>
        <w:tc>
          <w:tcPr>
            <w:tcW w:w="0" w:type="dxa"/>
            <w:vAlign w:val="bottom"/>
          </w:tcPr>
          <w:p>
            <w:pPr>
              <w:spacing w:after="0"/>
              <w:rPr>
                <w:sz w:val="1"/>
                <w:szCs w:val="1"/>
                <w:color w:val="auto"/>
              </w:rPr>
            </w:pPr>
          </w:p>
        </w:tc>
      </w:tr>
      <w:tr>
        <w:trPr>
          <w:trHeight w:val="226"/>
        </w:trPr>
        <w:tc>
          <w:tcPr>
            <w:tcW w:w="5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Vested</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(56,661)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w:t>
            </w:r>
          </w:p>
        </w:tc>
        <w:tc>
          <w:tcPr>
            <w:tcW w:w="0" w:type="dxa"/>
            <w:vAlign w:val="bottom"/>
          </w:tcPr>
          <w:p>
            <w:pPr>
              <w:spacing w:after="0"/>
              <w:rPr>
                <w:sz w:val="1"/>
                <w:szCs w:val="1"/>
                <w:color w:val="auto"/>
              </w:rPr>
            </w:pPr>
          </w:p>
        </w:tc>
      </w:tr>
      <w:tr>
        <w:trPr>
          <w:trHeight w:val="218"/>
        </w:trPr>
        <w:tc>
          <w:tcPr>
            <w:tcW w:w="5340" w:type="dxa"/>
            <w:vAlign w:val="bottom"/>
            <w:gridSpan w:val="2"/>
          </w:tcPr>
          <w:p>
            <w:pPr>
              <w:ind w:left="180"/>
              <w:spacing w:after="0"/>
              <w:rPr>
                <w:sz w:val="20"/>
                <w:szCs w:val="20"/>
                <w:color w:val="auto"/>
              </w:rPr>
            </w:pPr>
            <w:r>
              <w:rPr>
                <w:rFonts w:ascii="Arial" w:cs="Arial" w:eastAsia="Arial" w:hAnsi="Arial"/>
                <w:sz w:val="17"/>
                <w:szCs w:val="17"/>
                <w:color w:val="auto"/>
              </w:rPr>
              <w:t>Forfeited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23.21</w:t>
            </w:r>
          </w:p>
        </w:tc>
        <w:tc>
          <w:tcPr>
            <w:tcW w:w="0" w:type="dxa"/>
            <w:vAlign w:val="bottom"/>
          </w:tcPr>
          <w:p>
            <w:pPr>
              <w:spacing w:after="0"/>
              <w:rPr>
                <w:sz w:val="1"/>
                <w:szCs w:val="1"/>
                <w:color w:val="auto"/>
              </w:rPr>
            </w:pPr>
          </w:p>
        </w:tc>
      </w:tr>
      <w:tr>
        <w:trPr>
          <w:trHeight w:val="24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June 30, 2023</w:t>
            </w: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281,394</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694"/>
              <w:spacing w:after="0"/>
              <w:rPr>
                <w:sz w:val="20"/>
                <w:szCs w:val="20"/>
                <w:color w:val="auto"/>
              </w:rPr>
            </w:pPr>
            <w:r>
              <w:rPr>
                <w:rFonts w:ascii="Arial" w:cs="Arial" w:eastAsia="Arial" w:hAnsi="Arial"/>
                <w:sz w:val="17"/>
                <w:szCs w:val="17"/>
                <w:color w:val="auto"/>
              </w:rPr>
              <w:t>41</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Certain information regarding options exercised during the periods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620" w:type="dxa"/>
            <w:vAlign w:val="bottom"/>
            <w:gridSpan w:val="4"/>
          </w:tcPr>
          <w:p>
            <w:pPr>
              <w:jc w:val="center"/>
              <w:ind w:left="354"/>
              <w:spacing w:after="0"/>
              <w:rPr>
                <w:sz w:val="20"/>
                <w:szCs w:val="20"/>
                <w:color w:val="auto"/>
              </w:rPr>
            </w:pPr>
            <w:r>
              <w:rPr>
                <w:rFonts w:ascii="Arial" w:cs="Arial" w:eastAsia="Arial" w:hAnsi="Arial"/>
                <w:sz w:val="17"/>
                <w:szCs w:val="17"/>
                <w:color w:val="auto"/>
                <w:w w:val="91"/>
              </w:rPr>
              <w:t>Three Months Ended</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gridSpan w:val="4"/>
          </w:tcPr>
          <w:p>
            <w:pPr>
              <w:jc w:val="center"/>
              <w:ind w:left="374"/>
              <w:spacing w:after="0"/>
              <w:rPr>
                <w:sz w:val="20"/>
                <w:szCs w:val="20"/>
                <w:color w:val="auto"/>
              </w:rPr>
            </w:pPr>
            <w:r>
              <w:rPr>
                <w:rFonts w:ascii="Arial" w:cs="Arial" w:eastAsia="Arial" w:hAnsi="Arial"/>
                <w:sz w:val="17"/>
                <w:szCs w:val="17"/>
                <w:color w:val="auto"/>
                <w:w w:val="92"/>
              </w:rPr>
              <w:t>Six Months Ended</w:t>
            </w:r>
          </w:p>
        </w:tc>
        <w:tc>
          <w:tcPr>
            <w:tcW w:w="440" w:type="dxa"/>
            <w:vAlign w:val="bottom"/>
          </w:tcPr>
          <w:p>
            <w:pPr>
              <w:spacing w:after="0"/>
              <w:rPr>
                <w:sz w:val="16"/>
                <w:szCs w:val="16"/>
                <w:color w:val="auto"/>
              </w:rPr>
            </w:pPr>
          </w:p>
        </w:tc>
      </w:tr>
      <w:tr>
        <w:trPr>
          <w:trHeight w:val="218"/>
        </w:trPr>
        <w:tc>
          <w:tcPr>
            <w:tcW w:w="50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color w:val="auto"/>
              </w:rPr>
              <w:t>June 30,</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7"/>
                <w:szCs w:val="17"/>
                <w:color w:val="auto"/>
                <w:w w:val="85"/>
              </w:rPr>
              <w:t>June 30,</w:t>
            </w:r>
          </w:p>
        </w:tc>
        <w:tc>
          <w:tcPr>
            <w:tcW w:w="440" w:type="dxa"/>
            <w:vAlign w:val="bottom"/>
            <w:tcBorders>
              <w:bottom w:val="single" w:sz="8" w:color="auto"/>
            </w:tcBorders>
          </w:tcPr>
          <w:p>
            <w:pPr>
              <w:spacing w:after="0"/>
              <w:rPr>
                <w:sz w:val="18"/>
                <w:szCs w:val="18"/>
                <w:color w:val="auto"/>
              </w:rPr>
            </w:pPr>
          </w:p>
        </w:tc>
      </w:tr>
      <w:tr>
        <w:trPr>
          <w:trHeight w:val="219"/>
        </w:trPr>
        <w:tc>
          <w:tcPr>
            <w:tcW w:w="50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2023</w:t>
            </w:r>
          </w:p>
        </w:tc>
        <w:tc>
          <w:tcPr>
            <w:tcW w:w="500" w:type="dxa"/>
            <w:vAlign w:val="bottom"/>
          </w:tcPr>
          <w:p>
            <w:pPr>
              <w:spacing w:after="0"/>
              <w:rPr>
                <w:sz w:val="19"/>
                <w:szCs w:val="19"/>
                <w:color w:val="auto"/>
              </w:rPr>
            </w:pPr>
          </w:p>
        </w:tc>
        <w:tc>
          <w:tcPr>
            <w:tcW w:w="1140" w:type="dxa"/>
            <w:vAlign w:val="bottom"/>
            <w:gridSpan w:val="2"/>
          </w:tcPr>
          <w:p>
            <w:pPr>
              <w:jc w:val="right"/>
              <w:ind w:right="34"/>
              <w:spacing w:after="0"/>
              <w:rPr>
                <w:sz w:val="20"/>
                <w:szCs w:val="20"/>
                <w:color w:val="auto"/>
              </w:rPr>
            </w:pPr>
            <w:r>
              <w:rPr>
                <w:rFonts w:ascii="Arial" w:cs="Arial" w:eastAsia="Arial" w:hAnsi="Arial"/>
                <w:sz w:val="17"/>
                <w:szCs w:val="17"/>
                <w:color w:val="auto"/>
              </w:rPr>
              <w:t>2022</w:t>
            </w:r>
          </w:p>
        </w:tc>
        <w:tc>
          <w:tcPr>
            <w:tcW w:w="4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2023</w:t>
            </w:r>
          </w:p>
        </w:tc>
        <w:tc>
          <w:tcPr>
            <w:tcW w:w="520" w:type="dxa"/>
            <w:vAlign w:val="bottom"/>
          </w:tcPr>
          <w:p>
            <w:pPr>
              <w:spacing w:after="0"/>
              <w:rPr>
                <w:sz w:val="19"/>
                <w:szCs w:val="19"/>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2022</w:t>
            </w:r>
          </w:p>
        </w:tc>
        <w:tc>
          <w:tcPr>
            <w:tcW w:w="440" w:type="dxa"/>
            <w:vAlign w:val="bottom"/>
          </w:tcPr>
          <w:p>
            <w:pPr>
              <w:spacing w:after="0"/>
              <w:rPr>
                <w:sz w:val="19"/>
                <w:szCs w:val="19"/>
                <w:color w:val="auto"/>
              </w:rPr>
            </w:pPr>
          </w:p>
        </w:tc>
      </w:tr>
      <w:tr>
        <w:trPr>
          <w:trHeight w:val="218"/>
        </w:trPr>
        <w:tc>
          <w:tcPr>
            <w:tcW w:w="50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3"/>
          </w:tcPr>
          <w:p>
            <w:pPr>
              <w:jc w:val="center"/>
              <w:ind w:right="454"/>
              <w:spacing w:after="0"/>
              <w:rPr>
                <w:sz w:val="20"/>
                <w:szCs w:val="20"/>
                <w:color w:val="auto"/>
              </w:rPr>
            </w:pPr>
            <w:r>
              <w:rPr>
                <w:rFonts w:ascii="Arial" w:cs="Arial" w:eastAsia="Arial" w:hAnsi="Arial"/>
                <w:sz w:val="17"/>
                <w:szCs w:val="17"/>
                <w:color w:val="auto"/>
                <w:w w:val="90"/>
              </w:rPr>
              <w:t>(In thousands)</w:t>
            </w: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3"/>
          </w:tcPr>
          <w:p>
            <w:pPr>
              <w:jc w:val="center"/>
              <w:ind w:right="434"/>
              <w:spacing w:after="0"/>
              <w:rPr>
                <w:sz w:val="20"/>
                <w:szCs w:val="20"/>
                <w:color w:val="auto"/>
              </w:rPr>
            </w:pPr>
            <w:r>
              <w:rPr>
                <w:rFonts w:ascii="Arial" w:cs="Arial" w:eastAsia="Arial" w:hAnsi="Arial"/>
                <w:sz w:val="17"/>
                <w:szCs w:val="17"/>
                <w:color w:val="auto"/>
                <w:w w:val="91"/>
              </w:rPr>
              <w:t>(In thousands)</w:t>
            </w:r>
          </w:p>
        </w:tc>
        <w:tc>
          <w:tcPr>
            <w:tcW w:w="440" w:type="dxa"/>
            <w:vAlign w:val="bottom"/>
            <w:tcBorders>
              <w:top w:val="single" w:sz="8" w:color="auto"/>
            </w:tcBorders>
          </w:tcPr>
          <w:p>
            <w:pPr>
              <w:spacing w:after="0"/>
              <w:rPr>
                <w:sz w:val="18"/>
                <w:szCs w:val="18"/>
                <w:color w:val="auto"/>
              </w:rPr>
            </w:pPr>
          </w:p>
        </w:tc>
      </w:tr>
      <w:tr>
        <w:trPr>
          <w:trHeight w:val="24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Intrinsic value</w:t>
            </w: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w:t>
            </w: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04"/>
        </w:trPr>
        <w:tc>
          <w:tcPr>
            <w:tcW w:w="5040" w:type="dxa"/>
            <w:vAlign w:val="bottom"/>
          </w:tcPr>
          <w:p>
            <w:pPr>
              <w:ind w:left="20"/>
              <w:spacing w:after="0"/>
              <w:rPr>
                <w:sz w:val="20"/>
                <w:szCs w:val="20"/>
                <w:color w:val="auto"/>
              </w:rPr>
            </w:pPr>
            <w:r>
              <w:rPr>
                <w:rFonts w:ascii="Arial" w:cs="Arial" w:eastAsia="Arial" w:hAnsi="Arial"/>
                <w:sz w:val="17"/>
                <w:szCs w:val="17"/>
                <w:color w:val="auto"/>
              </w:rPr>
              <w:t>Cash proceeds received</w:t>
            </w:r>
          </w:p>
        </w:tc>
        <w:tc>
          <w:tcPr>
            <w:tcW w:w="980" w:type="dxa"/>
            <w:vAlign w:val="bottom"/>
          </w:tcPr>
          <w:p>
            <w:pPr>
              <w:jc w:val="right"/>
              <w:ind w:right="774"/>
              <w:spacing w:after="0"/>
              <w:rPr>
                <w:sz w:val="20"/>
                <w:szCs w:val="20"/>
                <w:color w:val="auto"/>
              </w:rPr>
            </w:pPr>
            <w:r>
              <w:rPr>
                <w:rFonts w:ascii="Arial" w:cs="Arial" w:eastAsia="Arial" w:hAnsi="Arial"/>
                <w:sz w:val="17"/>
                <w:szCs w:val="17"/>
                <w:color w:val="auto"/>
              </w:rPr>
              <w:t>$</w:t>
            </w:r>
          </w:p>
        </w:tc>
        <w:tc>
          <w:tcPr>
            <w:tcW w:w="500" w:type="dxa"/>
            <w:vAlign w:val="bottom"/>
          </w:tcPr>
          <w:p>
            <w:pPr>
              <w:ind w:left="260"/>
              <w:spacing w:after="0"/>
              <w:rPr>
                <w:sz w:val="20"/>
                <w:szCs w:val="20"/>
                <w:color w:val="auto"/>
              </w:rPr>
            </w:pPr>
            <w:r>
              <w:rPr>
                <w:rFonts w:ascii="Arial" w:cs="Arial" w:eastAsia="Arial" w:hAnsi="Arial"/>
                <w:sz w:val="17"/>
                <w:szCs w:val="17"/>
                <w:color w:val="auto"/>
              </w:rPr>
              <w:t>48</w:t>
            </w:r>
          </w:p>
        </w:tc>
        <w:tc>
          <w:tcPr>
            <w:tcW w:w="1140" w:type="dxa"/>
            <w:vAlign w:val="bottom"/>
            <w:gridSpan w:val="2"/>
          </w:tcPr>
          <w:p>
            <w:pPr>
              <w:jc w:val="right"/>
              <w:ind w:right="854"/>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22</w:t>
            </w:r>
          </w:p>
        </w:tc>
        <w:tc>
          <w:tcPr>
            <w:tcW w:w="1060" w:type="dxa"/>
            <w:vAlign w:val="bottom"/>
            <w:gridSpan w:val="2"/>
          </w:tcPr>
          <w:p>
            <w:pPr>
              <w:jc w:val="right"/>
              <w:ind w:right="77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148</w:t>
            </w:r>
          </w:p>
        </w:tc>
        <w:tc>
          <w:tcPr>
            <w:tcW w:w="1120" w:type="dxa"/>
            <w:vAlign w:val="bottom"/>
            <w:gridSpan w:val="2"/>
          </w:tcPr>
          <w:p>
            <w:pPr>
              <w:jc w:val="right"/>
              <w:ind w:right="854"/>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benefit realized</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16</w:t>
            </w:r>
          </w:p>
        </w:tc>
        <w:tc>
          <w:tcPr>
            <w:tcW w:w="1140" w:type="dxa"/>
            <w:vAlign w:val="bottom"/>
            <w:gridSpan w:val="2"/>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60" w:type="dxa"/>
            <w:vAlign w:val="bottom"/>
            <w:gridSpan w:val="2"/>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120" w:type="dxa"/>
            <w:vAlign w:val="bottom"/>
            <w:gridSpan w:val="2"/>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9.</w:t>
      </w:r>
      <w:r>
        <w:rPr>
          <w:sz w:val="20"/>
          <w:szCs w:val="20"/>
          <w:color w:val="auto"/>
        </w:rPr>
        <w:tab/>
      </w:r>
      <w:r>
        <w:rPr>
          <w:rFonts w:ascii="Arial" w:cs="Arial" w:eastAsia="Arial" w:hAnsi="Arial"/>
          <w:sz w:val="15"/>
          <w:szCs w:val="15"/>
          <w:u w:val="single" w:color="auto"/>
          <w:color w:val="auto"/>
        </w:rPr>
        <w:t>Income Tax</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Income tax expense was $3.4 million and $2.9 million during the three month periods ended June 30, 2023 and 2022, respectively and $6.3 million and $7.0 million during the six months ended June 30, 2023 and 2022, respectively. Our actual federal income tax expense is different than the amount computed by applying our statutory income tax rate to our income before income tax primarily due to tax-exempt interest income and tax-exempt income from the increase in the cash surrender value on life insurance. In addition, the three and six month periods ending June 30, 2023 include reductions of $0.01 million and $0.04 million, respectively, of income tax expense related to the impact of the excess value of stock awards that vested and stock options that were exercised as compared to the initial fair values that were expensed. These amounts during the same periods in 2022 were $0.02 million and $0.08 million, respectively.</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2023, June 30, 2022 and December 31, 2022 that the realization of substantially all of our deferred tax assets continues to be more likely than not.</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both June 30, 2023 and December 31, 2022, we had approximately $0.2 million, respectively, of gross unrecognized tax benefits. We do not expect the total amount of unrecognized tax benefits to significantly increase or decrease during the remainder of 2023.</w:t>
      </w:r>
    </w:p>
    <w:p>
      <w:pPr>
        <w:spacing w:after="0" w:line="126" w:lineRule="exact"/>
        <w:rPr>
          <w:sz w:val="20"/>
          <w:szCs w:val="20"/>
          <w:color w:val="auto"/>
        </w:rPr>
      </w:pPr>
    </w:p>
    <w:p>
      <w:pPr>
        <w:ind w:left="380" w:hanging="377"/>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Regulatory Matters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Capital guidelines adopted by federal and state regulatory agencies and restrictions imposed by law limit the amount of cash dividends our Bank can pay to us. Under these guidelines, the amount of dividends that may be paid in any calendar year is limited to the Bank’s current year net profits, combined with the retained net profits of the preceding two years. Further, the Bank cannot pay a dividend at any time that it has negative undivided profits. As of June 30, 2023, the Bank had positive undivided profits of $155.2 million. It is not our intent to have dividends paid in amounts that would reduce the capital of our Bank to levels below those which we consider prudent or that would not be in accordance with guidelines of regulatory authorities.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are also subject to various regulatory capital requirements. The prompt corrective action regulations establish quantitative measures to ensure capital adequacy and require minimum amounts and ratios of total, Tier 1, and common equity Tier 1 capital to risk-weighted assets and Tier 1 capital to average assets. Failure to meet minimum capital requirements can result in certain mandatory, and possibly discretionary, actions by regulators that could have a material effect on our interim condensed consolidated financial statements. In addition, capital adequacy rules include a common equity Tier 1 capital conservation buffer of 2.5% of risk-weighted assets that applies to all supervised financial institutions. To avoid limits on capital distributions and certain discretionary bonus payments we must meet the minimum ratio for adequately capitalized institutions plus the buffer. Under capital adequacy guidelines, we must meet specific capital requirements that involve quantitative measures as well as qualitative judgments by the regulators. The most recent regulatory filings as of June 30, 2023 and December 31, 2022, categorized our Bank as well capitalized. Management is not aware of any conditions or events that would have changed the most recent Federal Deposit Insurance Corporation (“FDIC”) categorization.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actual capital amounts and ratios follow (1):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center"/>
              <w:ind w:left="594"/>
              <w:spacing w:after="0"/>
              <w:rPr>
                <w:sz w:val="20"/>
                <w:szCs w:val="20"/>
                <w:color w:val="auto"/>
              </w:rPr>
            </w:pPr>
            <w:r>
              <w:rPr>
                <w:rFonts w:ascii="Arial" w:cs="Arial" w:eastAsia="Arial" w:hAnsi="Arial"/>
                <w:sz w:val="17"/>
                <w:szCs w:val="17"/>
                <w:color w:val="auto"/>
              </w:rPr>
              <w:t>Minimum for</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center"/>
              <w:ind w:left="594"/>
              <w:spacing w:after="0"/>
              <w:rPr>
                <w:sz w:val="20"/>
                <w:szCs w:val="20"/>
                <w:color w:val="auto"/>
              </w:rPr>
            </w:pPr>
            <w:r>
              <w:rPr>
                <w:rFonts w:ascii="Arial" w:cs="Arial" w:eastAsia="Arial" w:hAnsi="Arial"/>
                <w:sz w:val="17"/>
                <w:szCs w:val="17"/>
                <w:color w:val="auto"/>
              </w:rPr>
              <w:t>Minimum for</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vMerge w:val="restart"/>
          </w:tcPr>
          <w:p>
            <w:pPr>
              <w:jc w:val="right"/>
              <w:ind w:right="54"/>
              <w:spacing w:after="0"/>
              <w:rPr>
                <w:sz w:val="20"/>
                <w:szCs w:val="20"/>
                <w:color w:val="auto"/>
              </w:rPr>
            </w:pPr>
            <w:r>
              <w:rPr>
                <w:rFonts w:ascii="Arial" w:cs="Arial" w:eastAsia="Arial" w:hAnsi="Arial"/>
                <w:sz w:val="17"/>
                <w:szCs w:val="17"/>
                <w:color w:val="auto"/>
              </w:rPr>
              <w:t>Actual</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2"/>
          </w:tcPr>
          <w:p>
            <w:pPr>
              <w:jc w:val="center"/>
              <w:ind w:right="154"/>
              <w:spacing w:after="0" w:line="167" w:lineRule="exact"/>
              <w:rPr>
                <w:sz w:val="20"/>
                <w:szCs w:val="20"/>
                <w:color w:val="auto"/>
              </w:rPr>
            </w:pPr>
            <w:r>
              <w:rPr>
                <w:rFonts w:ascii="Arial" w:cs="Arial" w:eastAsia="Arial" w:hAnsi="Arial"/>
                <w:sz w:val="17"/>
                <w:szCs w:val="17"/>
                <w:color w:val="auto"/>
                <w:w w:val="93"/>
              </w:rPr>
              <w:t>Adequately Capitalized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2"/>
          </w:tcPr>
          <w:p>
            <w:pPr>
              <w:jc w:val="center"/>
              <w:ind w:right="134"/>
              <w:spacing w:after="0" w:line="167" w:lineRule="exact"/>
              <w:rPr>
                <w:sz w:val="20"/>
                <w:szCs w:val="20"/>
                <w:color w:val="auto"/>
              </w:rPr>
            </w:pPr>
            <w:r>
              <w:rPr>
                <w:rFonts w:ascii="Arial" w:cs="Arial" w:eastAsia="Arial" w:hAnsi="Arial"/>
                <w:sz w:val="17"/>
                <w:szCs w:val="17"/>
                <w:color w:val="auto"/>
                <w:w w:val="94"/>
              </w:rPr>
              <w:t>Well-Capitalized</w:t>
            </w:r>
          </w:p>
        </w:tc>
        <w:tc>
          <w:tcPr>
            <w:tcW w:w="0" w:type="dxa"/>
            <w:vAlign w:val="bottom"/>
          </w:tcPr>
          <w:p>
            <w:pPr>
              <w:spacing w:after="0"/>
              <w:rPr>
                <w:sz w:val="1"/>
                <w:szCs w:val="1"/>
                <w:color w:val="auto"/>
              </w:rPr>
            </w:pPr>
          </w:p>
        </w:tc>
      </w:tr>
      <w:tr>
        <w:trPr>
          <w:trHeight w:val="224"/>
        </w:trPr>
        <w:tc>
          <w:tcPr>
            <w:tcW w:w="2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left="594"/>
              <w:spacing w:after="0"/>
              <w:rPr>
                <w:sz w:val="20"/>
                <w:szCs w:val="20"/>
                <w:color w:val="auto"/>
              </w:rPr>
            </w:pPr>
            <w:r>
              <w:rPr>
                <w:rFonts w:ascii="Arial" w:cs="Arial" w:eastAsia="Arial" w:hAnsi="Arial"/>
                <w:sz w:val="17"/>
                <w:szCs w:val="17"/>
                <w:color w:val="auto"/>
                <w:w w:val="95"/>
              </w:rPr>
              <w:t>Institutions</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rPr>
              <w:t>Institutions</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color w:val="auto"/>
              </w:rPr>
              <w:t>Amount</w:t>
            </w: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Ratio</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874"/>
              <w:spacing w:after="0"/>
              <w:rPr>
                <w:sz w:val="20"/>
                <w:szCs w:val="20"/>
                <w:color w:val="auto"/>
              </w:rPr>
            </w:pPr>
            <w:r>
              <w:rPr>
                <w:rFonts w:ascii="Arial" w:cs="Arial" w:eastAsia="Arial" w:hAnsi="Arial"/>
                <w:sz w:val="17"/>
                <w:szCs w:val="17"/>
                <w:color w:val="auto"/>
              </w:rPr>
              <w:t>Amount</w:t>
            </w: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Ratio</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Amount</w:t>
            </w:r>
          </w:p>
        </w:tc>
        <w:tc>
          <w:tcPr>
            <w:tcW w:w="9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w w:val="95"/>
              </w:rPr>
              <w:t>Ratio</w:t>
            </w:r>
          </w:p>
        </w:tc>
        <w:tc>
          <w:tcPr>
            <w:tcW w:w="0" w:type="dxa"/>
            <w:vAlign w:val="bottom"/>
          </w:tcPr>
          <w:p>
            <w:pPr>
              <w:spacing w:after="0"/>
              <w:rPr>
                <w:sz w:val="1"/>
                <w:szCs w:val="1"/>
                <w:color w:val="auto"/>
              </w:rPr>
            </w:pPr>
          </w:p>
        </w:tc>
      </w:tr>
      <w:tr>
        <w:trPr>
          <w:trHeight w:val="211"/>
        </w:trPr>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2"/>
          </w:tcPr>
          <w:p>
            <w:pPr>
              <w:jc w:val="center"/>
              <w:ind w:right="154"/>
              <w:spacing w:after="0"/>
              <w:rPr>
                <w:sz w:val="20"/>
                <w:szCs w:val="20"/>
                <w:color w:val="auto"/>
              </w:rPr>
            </w:pPr>
            <w:r>
              <w:rPr>
                <w:rFonts w:ascii="Arial" w:cs="Arial" w:eastAsia="Arial" w:hAnsi="Arial"/>
                <w:sz w:val="17"/>
                <w:szCs w:val="17"/>
                <w:color w:val="auto"/>
                <w:w w:val="93"/>
              </w:rPr>
              <w:t>(Dollars 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tcPr>
          <w:p>
            <w:pPr>
              <w:ind w:left="20"/>
              <w:spacing w:after="0"/>
              <w:rPr>
                <w:sz w:val="20"/>
                <w:szCs w:val="20"/>
                <w:color w:val="auto"/>
              </w:rPr>
            </w:pPr>
            <w:r>
              <w:rPr>
                <w:rFonts w:ascii="Arial" w:cs="Arial" w:eastAsia="Arial" w:hAnsi="Arial"/>
                <w:sz w:val="17"/>
                <w:szCs w:val="17"/>
                <w:color w:val="auto"/>
              </w:rPr>
              <w:t>June 30, 2023</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580" w:type="dxa"/>
            <w:vAlign w:val="bottom"/>
          </w:tcPr>
          <w:p>
            <w:pPr>
              <w:ind w:left="20"/>
              <w:spacing w:after="0"/>
              <w:rPr>
                <w:sz w:val="20"/>
                <w:szCs w:val="20"/>
                <w:color w:val="auto"/>
              </w:rPr>
            </w:pPr>
            <w:r>
              <w:rPr>
                <w:rFonts w:ascii="Arial" w:cs="Arial" w:eastAsia="Arial" w:hAnsi="Arial"/>
                <w:sz w:val="17"/>
                <w:szCs w:val="17"/>
                <w:color w:val="auto"/>
                <w:w w:val="94"/>
              </w:rPr>
              <w:t>Total capital to risk-weighted assets</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550,804</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13.66 %</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322,554</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0"/>
              </w:rPr>
              <w:t>8.00 %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5"/>
        </w:trPr>
        <w:tc>
          <w:tcPr>
            <w:tcW w:w="2580" w:type="dxa"/>
            <w:vAlign w:val="bottom"/>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54"/>
              <w:spacing w:after="0"/>
              <w:rPr>
                <w:sz w:val="20"/>
                <w:szCs w:val="20"/>
                <w:color w:val="auto"/>
              </w:rPr>
            </w:pPr>
            <w:r>
              <w:rPr>
                <w:rFonts w:ascii="Arial" w:cs="Arial" w:eastAsia="Arial" w:hAnsi="Arial"/>
                <w:sz w:val="17"/>
                <w:szCs w:val="17"/>
                <w:color w:val="auto"/>
              </w:rPr>
              <w:t>497,759</w:t>
            </w: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12.36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ind w:right="574"/>
              <w:spacing w:after="0"/>
              <w:rPr>
                <w:sz w:val="20"/>
                <w:szCs w:val="20"/>
                <w:color w:val="auto"/>
              </w:rPr>
            </w:pPr>
            <w:r>
              <w:rPr>
                <w:rFonts w:ascii="Arial" w:cs="Arial" w:eastAsia="Arial" w:hAnsi="Arial"/>
                <w:sz w:val="17"/>
                <w:szCs w:val="17"/>
                <w:color w:val="auto"/>
              </w:rPr>
              <w:t>322,172</w:t>
            </w:r>
          </w:p>
        </w:tc>
        <w:tc>
          <w:tcPr>
            <w:tcW w:w="920" w:type="dxa"/>
            <w:vAlign w:val="bottom"/>
          </w:tcPr>
          <w:p>
            <w:pPr>
              <w:ind w:left="420"/>
              <w:spacing w:after="0"/>
              <w:rPr>
                <w:sz w:val="20"/>
                <w:szCs w:val="20"/>
                <w:color w:val="auto"/>
              </w:rPr>
            </w:pPr>
            <w:r>
              <w:rPr>
                <w:rFonts w:ascii="Arial" w:cs="Arial" w:eastAsia="Arial" w:hAnsi="Arial"/>
                <w:sz w:val="17"/>
                <w:szCs w:val="17"/>
                <w:color w:val="auto"/>
              </w:rPr>
              <w:t>8.00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tcPr>
          <w:p>
            <w:pPr>
              <w:ind w:left="440"/>
              <w:spacing w:after="0"/>
              <w:rPr>
                <w:sz w:val="20"/>
                <w:szCs w:val="20"/>
                <w:color w:val="auto"/>
              </w:rPr>
            </w:pPr>
            <w:r>
              <w:rPr>
                <w:rFonts w:ascii="Arial" w:cs="Arial" w:eastAsia="Arial" w:hAnsi="Arial"/>
                <w:sz w:val="17"/>
                <w:szCs w:val="17"/>
                <w:color w:val="auto"/>
              </w:rPr>
              <w:t>402,715</w:t>
            </w:r>
          </w:p>
        </w:tc>
        <w:tc>
          <w:tcPr>
            <w:tcW w:w="920" w:type="dxa"/>
            <w:vAlign w:val="bottom"/>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580" w:type="dxa"/>
            <w:vAlign w:val="bottom"/>
          </w:tcPr>
          <w:p>
            <w:pPr>
              <w:ind w:left="20"/>
              <w:spacing w:after="0"/>
              <w:rPr>
                <w:sz w:val="20"/>
                <w:szCs w:val="20"/>
                <w:color w:val="auto"/>
              </w:rPr>
            </w:pPr>
            <w:r>
              <w:rPr>
                <w:rFonts w:ascii="Arial" w:cs="Arial" w:eastAsia="Arial" w:hAnsi="Arial"/>
                <w:sz w:val="17"/>
                <w:szCs w:val="17"/>
                <w:color w:val="auto"/>
                <w:w w:val="92"/>
              </w:rPr>
              <w:t>Tier 1 capital to risk-weighted assets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460,342</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11.42 %</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241,916</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0"/>
              </w:rPr>
              <w:t>6.00 %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5"/>
        </w:trPr>
        <w:tc>
          <w:tcPr>
            <w:tcW w:w="2580" w:type="dxa"/>
            <w:vAlign w:val="bottom"/>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tcPr>
          <w:p>
            <w:pPr>
              <w:spacing w:after="0"/>
              <w:rPr>
                <w:sz w:val="19"/>
                <w:szCs w:val="19"/>
                <w:color w:val="auto"/>
              </w:rPr>
            </w:pPr>
          </w:p>
        </w:tc>
        <w:tc>
          <w:tcPr>
            <w:tcW w:w="1540" w:type="dxa"/>
            <w:vAlign w:val="bottom"/>
          </w:tcPr>
          <w:p>
            <w:pPr>
              <w:jc w:val="right"/>
              <w:ind w:right="454"/>
              <w:spacing w:after="0"/>
              <w:rPr>
                <w:sz w:val="20"/>
                <w:szCs w:val="20"/>
                <w:color w:val="auto"/>
              </w:rPr>
            </w:pPr>
            <w:r>
              <w:rPr>
                <w:rFonts w:ascii="Arial" w:cs="Arial" w:eastAsia="Arial" w:hAnsi="Arial"/>
                <w:sz w:val="17"/>
                <w:szCs w:val="17"/>
                <w:color w:val="auto"/>
              </w:rPr>
              <w:t>447,355</w:t>
            </w: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11.11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ind w:right="574"/>
              <w:spacing w:after="0"/>
              <w:rPr>
                <w:sz w:val="20"/>
                <w:szCs w:val="20"/>
                <w:color w:val="auto"/>
              </w:rPr>
            </w:pPr>
            <w:r>
              <w:rPr>
                <w:rFonts w:ascii="Arial" w:cs="Arial" w:eastAsia="Arial" w:hAnsi="Arial"/>
                <w:sz w:val="17"/>
                <w:szCs w:val="17"/>
                <w:color w:val="auto"/>
              </w:rPr>
              <w:t>241,629</w:t>
            </w:r>
          </w:p>
        </w:tc>
        <w:tc>
          <w:tcPr>
            <w:tcW w:w="920" w:type="dxa"/>
            <w:vAlign w:val="bottom"/>
          </w:tcPr>
          <w:p>
            <w:pPr>
              <w:ind w:left="420"/>
              <w:spacing w:after="0"/>
              <w:rPr>
                <w:sz w:val="20"/>
                <w:szCs w:val="20"/>
                <w:color w:val="auto"/>
              </w:rPr>
            </w:pPr>
            <w:r>
              <w:rPr>
                <w:rFonts w:ascii="Arial" w:cs="Arial" w:eastAsia="Arial" w:hAnsi="Arial"/>
                <w:sz w:val="17"/>
                <w:szCs w:val="17"/>
                <w:color w:val="auto"/>
              </w:rPr>
              <w:t>6.00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tcPr>
          <w:p>
            <w:pPr>
              <w:ind w:left="440"/>
              <w:spacing w:after="0"/>
              <w:rPr>
                <w:sz w:val="20"/>
                <w:szCs w:val="20"/>
                <w:color w:val="auto"/>
              </w:rPr>
            </w:pPr>
            <w:r>
              <w:rPr>
                <w:rFonts w:ascii="Arial" w:cs="Arial" w:eastAsia="Arial" w:hAnsi="Arial"/>
                <w:sz w:val="17"/>
                <w:szCs w:val="17"/>
                <w:color w:val="auto"/>
              </w:rPr>
              <w:t>322,172</w:t>
            </w:r>
          </w:p>
        </w:tc>
        <w:tc>
          <w:tcPr>
            <w:tcW w:w="920" w:type="dxa"/>
            <w:vAlign w:val="bottom"/>
          </w:tcPr>
          <w:p>
            <w:pPr>
              <w:jc w:val="right"/>
              <w:spacing w:after="0"/>
              <w:rPr>
                <w:sz w:val="20"/>
                <w:szCs w:val="20"/>
                <w:color w:val="auto"/>
              </w:rPr>
            </w:pPr>
            <w:r>
              <w:rPr>
                <w:rFonts w:ascii="Arial" w:cs="Arial" w:eastAsia="Arial" w:hAnsi="Arial"/>
                <w:sz w:val="17"/>
                <w:szCs w:val="17"/>
                <w:color w:val="auto"/>
              </w:rPr>
              <w:t>8.00 %</w:t>
            </w:r>
          </w:p>
        </w:tc>
        <w:tc>
          <w:tcPr>
            <w:tcW w:w="0" w:type="dxa"/>
            <w:vAlign w:val="bottom"/>
          </w:tcPr>
          <w:p>
            <w:pPr>
              <w:spacing w:after="0"/>
              <w:rPr>
                <w:sz w:val="1"/>
                <w:szCs w:val="1"/>
                <w:color w:val="auto"/>
              </w:rPr>
            </w:pPr>
          </w:p>
        </w:tc>
      </w:tr>
      <w:tr>
        <w:trPr>
          <w:trHeight w:val="162"/>
        </w:trPr>
        <w:tc>
          <w:tcPr>
            <w:tcW w:w="2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80" w:type="dxa"/>
            <w:vAlign w:val="bottom"/>
          </w:tcPr>
          <w:p>
            <w:pPr>
              <w:ind w:left="20"/>
              <w:spacing w:after="0" w:line="168" w:lineRule="exact"/>
              <w:rPr>
                <w:sz w:val="20"/>
                <w:szCs w:val="20"/>
                <w:color w:val="auto"/>
              </w:rPr>
            </w:pPr>
            <w:r>
              <w:rPr>
                <w:rFonts w:ascii="Arial" w:cs="Arial" w:eastAsia="Arial" w:hAnsi="Arial"/>
                <w:sz w:val="17"/>
                <w:szCs w:val="17"/>
                <w:color w:val="auto"/>
              </w:rPr>
              <w:t>Common equity tier 1 capital to</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580" w:type="dxa"/>
            <w:vAlign w:val="bottom"/>
          </w:tcPr>
          <w:p>
            <w:pPr>
              <w:ind w:left="180"/>
              <w:spacing w:after="0"/>
              <w:rPr>
                <w:sz w:val="20"/>
                <w:szCs w:val="20"/>
                <w:color w:val="auto"/>
              </w:rPr>
            </w:pPr>
            <w:r>
              <w:rPr>
                <w:rFonts w:ascii="Arial" w:cs="Arial" w:eastAsia="Arial" w:hAnsi="Arial"/>
                <w:sz w:val="17"/>
                <w:szCs w:val="17"/>
                <w:color w:val="auto"/>
              </w:rPr>
              <w:t>risk-weighted assets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421,872</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10.46 %</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181,437</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0"/>
              </w:rPr>
              <w:t>4.50 %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8"/>
        </w:trPr>
        <w:tc>
          <w:tcPr>
            <w:tcW w:w="2580" w:type="dxa"/>
            <w:vAlign w:val="bottom"/>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tcPr>
          <w:p>
            <w:pPr>
              <w:spacing w:after="0"/>
              <w:rPr>
                <w:sz w:val="18"/>
                <w:szCs w:val="18"/>
                <w:color w:val="auto"/>
              </w:rPr>
            </w:pPr>
          </w:p>
        </w:tc>
        <w:tc>
          <w:tcPr>
            <w:tcW w:w="1540" w:type="dxa"/>
            <w:vAlign w:val="bottom"/>
          </w:tcPr>
          <w:p>
            <w:pPr>
              <w:jc w:val="right"/>
              <w:ind w:right="454"/>
              <w:spacing w:after="0"/>
              <w:rPr>
                <w:sz w:val="20"/>
                <w:szCs w:val="20"/>
                <w:color w:val="auto"/>
              </w:rPr>
            </w:pPr>
            <w:r>
              <w:rPr>
                <w:rFonts w:ascii="Arial" w:cs="Arial" w:eastAsia="Arial" w:hAnsi="Arial"/>
                <w:sz w:val="17"/>
                <w:szCs w:val="17"/>
                <w:color w:val="auto"/>
              </w:rPr>
              <w:t>447,355</w:t>
            </w: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11.11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ind w:right="574"/>
              <w:spacing w:after="0"/>
              <w:rPr>
                <w:sz w:val="20"/>
                <w:szCs w:val="20"/>
                <w:color w:val="auto"/>
              </w:rPr>
            </w:pPr>
            <w:r>
              <w:rPr>
                <w:rFonts w:ascii="Arial" w:cs="Arial" w:eastAsia="Arial" w:hAnsi="Arial"/>
                <w:sz w:val="17"/>
                <w:szCs w:val="17"/>
                <w:color w:val="auto"/>
              </w:rPr>
              <w:t>181,222</w:t>
            </w:r>
          </w:p>
        </w:tc>
        <w:tc>
          <w:tcPr>
            <w:tcW w:w="920" w:type="dxa"/>
            <w:vAlign w:val="bottom"/>
          </w:tcPr>
          <w:p>
            <w:pPr>
              <w:ind w:left="420"/>
              <w:spacing w:after="0"/>
              <w:rPr>
                <w:sz w:val="20"/>
                <w:szCs w:val="20"/>
                <w:color w:val="auto"/>
              </w:rPr>
            </w:pPr>
            <w:r>
              <w:rPr>
                <w:rFonts w:ascii="Arial" w:cs="Arial" w:eastAsia="Arial" w:hAnsi="Arial"/>
                <w:sz w:val="17"/>
                <w:szCs w:val="17"/>
                <w:color w:val="auto"/>
              </w:rPr>
              <w:t>4.50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tcPr>
          <w:p>
            <w:pPr>
              <w:ind w:left="440"/>
              <w:spacing w:after="0"/>
              <w:rPr>
                <w:sz w:val="20"/>
                <w:szCs w:val="20"/>
                <w:color w:val="auto"/>
              </w:rPr>
            </w:pPr>
            <w:r>
              <w:rPr>
                <w:rFonts w:ascii="Arial" w:cs="Arial" w:eastAsia="Arial" w:hAnsi="Arial"/>
                <w:sz w:val="17"/>
                <w:szCs w:val="17"/>
                <w:color w:val="auto"/>
              </w:rPr>
              <w:t>261,765</w:t>
            </w:r>
          </w:p>
        </w:tc>
        <w:tc>
          <w:tcPr>
            <w:tcW w:w="920" w:type="dxa"/>
            <w:vAlign w:val="bottom"/>
          </w:tcPr>
          <w:p>
            <w:pPr>
              <w:jc w:val="right"/>
              <w:spacing w:after="0"/>
              <w:rPr>
                <w:sz w:val="20"/>
                <w:szCs w:val="20"/>
                <w:color w:val="auto"/>
              </w:rPr>
            </w:pPr>
            <w:r>
              <w:rPr>
                <w:rFonts w:ascii="Arial" w:cs="Arial" w:eastAsia="Arial" w:hAnsi="Arial"/>
                <w:sz w:val="17"/>
                <w:szCs w:val="17"/>
                <w:color w:val="auto"/>
              </w:rPr>
              <w:t>6.50 %</w:t>
            </w:r>
          </w:p>
        </w:tc>
        <w:tc>
          <w:tcPr>
            <w:tcW w:w="0" w:type="dxa"/>
            <w:vAlign w:val="bottom"/>
          </w:tcPr>
          <w:p>
            <w:pPr>
              <w:spacing w:after="0"/>
              <w:rPr>
                <w:sz w:val="1"/>
                <w:szCs w:val="1"/>
                <w:color w:val="auto"/>
              </w:rPr>
            </w:pPr>
          </w:p>
        </w:tc>
      </w:tr>
      <w:tr>
        <w:trPr>
          <w:trHeight w:val="155"/>
        </w:trPr>
        <w:tc>
          <w:tcPr>
            <w:tcW w:w="2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580" w:type="dxa"/>
            <w:vAlign w:val="bottom"/>
          </w:tcPr>
          <w:p>
            <w:pPr>
              <w:ind w:left="20"/>
              <w:spacing w:after="0"/>
              <w:rPr>
                <w:sz w:val="20"/>
                <w:szCs w:val="20"/>
                <w:color w:val="auto"/>
              </w:rPr>
            </w:pPr>
            <w:r>
              <w:rPr>
                <w:rFonts w:ascii="Arial" w:cs="Arial" w:eastAsia="Arial" w:hAnsi="Arial"/>
                <w:sz w:val="17"/>
                <w:szCs w:val="17"/>
                <w:color w:val="auto"/>
              </w:rPr>
              <w:t>Tier 1 capital to average assets</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460,342</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8.97 %</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205,284</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0"/>
              </w:rPr>
              <w:t>4.00 %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ind w:left="800"/>
              <w:spacing w:after="0"/>
              <w:rPr>
                <w:sz w:val="20"/>
                <w:szCs w:val="20"/>
                <w:color w:val="auto"/>
              </w:rPr>
            </w:pPr>
            <w:r>
              <w:rPr>
                <w:rFonts w:ascii="Arial" w:cs="Arial" w:eastAsia="Arial" w:hAnsi="Arial"/>
                <w:sz w:val="17"/>
                <w:szCs w:val="17"/>
                <w:color w:val="auto"/>
              </w:rPr>
              <w:t>NA</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8"/>
        </w:trPr>
        <w:tc>
          <w:tcPr>
            <w:tcW w:w="2580" w:type="dxa"/>
            <w:vAlign w:val="bottom"/>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tcPr>
          <w:p>
            <w:pPr>
              <w:spacing w:after="0"/>
              <w:rPr>
                <w:sz w:val="18"/>
                <w:szCs w:val="18"/>
                <w:color w:val="auto"/>
              </w:rPr>
            </w:pPr>
          </w:p>
        </w:tc>
        <w:tc>
          <w:tcPr>
            <w:tcW w:w="1540" w:type="dxa"/>
            <w:vAlign w:val="bottom"/>
          </w:tcPr>
          <w:p>
            <w:pPr>
              <w:jc w:val="right"/>
              <w:ind w:right="454"/>
              <w:spacing w:after="0"/>
              <w:rPr>
                <w:sz w:val="20"/>
                <w:szCs w:val="20"/>
                <w:color w:val="auto"/>
              </w:rPr>
            </w:pPr>
            <w:r>
              <w:rPr>
                <w:rFonts w:ascii="Arial" w:cs="Arial" w:eastAsia="Arial" w:hAnsi="Arial"/>
                <w:sz w:val="17"/>
                <w:szCs w:val="17"/>
                <w:color w:val="auto"/>
              </w:rPr>
              <w:t>447,355</w:t>
            </w:r>
          </w:p>
        </w:tc>
        <w:tc>
          <w:tcPr>
            <w:tcW w:w="1040" w:type="dxa"/>
            <w:vAlign w:val="bottom"/>
          </w:tcPr>
          <w:p>
            <w:pPr>
              <w:jc w:val="right"/>
              <w:ind w:right="114"/>
              <w:spacing w:after="0"/>
              <w:rPr>
                <w:sz w:val="20"/>
                <w:szCs w:val="20"/>
                <w:color w:val="auto"/>
              </w:rPr>
            </w:pPr>
            <w:r>
              <w:rPr>
                <w:rFonts w:ascii="Arial" w:cs="Arial" w:eastAsia="Arial" w:hAnsi="Arial"/>
                <w:sz w:val="17"/>
                <w:szCs w:val="17"/>
                <w:color w:val="auto"/>
              </w:rPr>
              <w:t>8.72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ind w:right="574"/>
              <w:spacing w:after="0"/>
              <w:rPr>
                <w:sz w:val="20"/>
                <w:szCs w:val="20"/>
                <w:color w:val="auto"/>
              </w:rPr>
            </w:pPr>
            <w:r>
              <w:rPr>
                <w:rFonts w:ascii="Arial" w:cs="Arial" w:eastAsia="Arial" w:hAnsi="Arial"/>
                <w:sz w:val="17"/>
                <w:szCs w:val="17"/>
                <w:color w:val="auto"/>
              </w:rPr>
              <w:t>205,226</w:t>
            </w:r>
          </w:p>
        </w:tc>
        <w:tc>
          <w:tcPr>
            <w:tcW w:w="920" w:type="dxa"/>
            <w:vAlign w:val="bottom"/>
          </w:tcPr>
          <w:p>
            <w:pPr>
              <w:ind w:left="420"/>
              <w:spacing w:after="0"/>
              <w:rPr>
                <w:sz w:val="20"/>
                <w:szCs w:val="20"/>
                <w:color w:val="auto"/>
              </w:rPr>
            </w:pPr>
            <w:r>
              <w:rPr>
                <w:rFonts w:ascii="Arial" w:cs="Arial" w:eastAsia="Arial" w:hAnsi="Arial"/>
                <w:sz w:val="17"/>
                <w:szCs w:val="17"/>
                <w:color w:val="auto"/>
              </w:rPr>
              <w:t>4.00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tcPr>
          <w:p>
            <w:pPr>
              <w:ind w:left="440"/>
              <w:spacing w:after="0"/>
              <w:rPr>
                <w:sz w:val="20"/>
                <w:szCs w:val="20"/>
                <w:color w:val="auto"/>
              </w:rPr>
            </w:pPr>
            <w:r>
              <w:rPr>
                <w:rFonts w:ascii="Arial" w:cs="Arial" w:eastAsia="Arial" w:hAnsi="Arial"/>
                <w:sz w:val="17"/>
                <w:szCs w:val="17"/>
                <w:color w:val="auto"/>
              </w:rPr>
              <w:t>256,533</w:t>
            </w:r>
          </w:p>
        </w:tc>
        <w:tc>
          <w:tcPr>
            <w:tcW w:w="920" w:type="dxa"/>
            <w:vAlign w:val="bottom"/>
          </w:tcPr>
          <w:p>
            <w:pPr>
              <w:jc w:val="right"/>
              <w:spacing w:after="0"/>
              <w:rPr>
                <w:sz w:val="20"/>
                <w:szCs w:val="20"/>
                <w:color w:val="auto"/>
              </w:rPr>
            </w:pPr>
            <w:r>
              <w:rPr>
                <w:rFonts w:ascii="Arial" w:cs="Arial" w:eastAsia="Arial" w:hAnsi="Arial"/>
                <w:sz w:val="17"/>
                <w:szCs w:val="17"/>
                <w:color w:val="auto"/>
              </w:rPr>
              <w:t>5.00 %</w:t>
            </w:r>
          </w:p>
        </w:tc>
        <w:tc>
          <w:tcPr>
            <w:tcW w:w="0" w:type="dxa"/>
            <w:vAlign w:val="bottom"/>
          </w:tcPr>
          <w:p>
            <w:pPr>
              <w:spacing w:after="0"/>
              <w:rPr>
                <w:sz w:val="1"/>
                <w:szCs w:val="1"/>
                <w:color w:val="auto"/>
              </w:rPr>
            </w:pPr>
          </w:p>
        </w:tc>
      </w:tr>
      <w:tr>
        <w:trPr>
          <w:trHeight w:val="155"/>
        </w:trPr>
        <w:tc>
          <w:tcPr>
            <w:tcW w:w="25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580" w:type="dxa"/>
            <w:vAlign w:val="bottom"/>
          </w:tcPr>
          <w:p>
            <w:pPr>
              <w:ind w:left="20"/>
              <w:spacing w:after="0"/>
              <w:rPr>
                <w:sz w:val="20"/>
                <w:szCs w:val="20"/>
                <w:color w:val="auto"/>
              </w:rPr>
            </w:pPr>
            <w:r>
              <w:rPr>
                <w:rFonts w:ascii="Arial" w:cs="Arial" w:eastAsia="Arial" w:hAnsi="Arial"/>
                <w:sz w:val="17"/>
                <w:szCs w:val="17"/>
                <w:color w:val="auto"/>
              </w:rPr>
              <w:t>December 31, 2022</w:t>
            </w: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Total capital to risk-weighted assets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580" w:type="dxa"/>
            <w:vAlign w:val="bottom"/>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454"/>
              <w:spacing w:after="0"/>
              <w:rPr>
                <w:sz w:val="20"/>
                <w:szCs w:val="20"/>
                <w:color w:val="auto"/>
              </w:rPr>
            </w:pPr>
            <w:r>
              <w:rPr>
                <w:rFonts w:ascii="Arial" w:cs="Arial" w:eastAsia="Arial" w:hAnsi="Arial"/>
                <w:sz w:val="17"/>
                <w:szCs w:val="17"/>
                <w:color w:val="auto"/>
              </w:rPr>
              <w:t>536,549</w:t>
            </w:r>
          </w:p>
        </w:tc>
        <w:tc>
          <w:tcPr>
            <w:tcW w:w="1040" w:type="dxa"/>
            <w:vAlign w:val="bottom"/>
          </w:tcPr>
          <w:p>
            <w:pPr>
              <w:jc w:val="right"/>
              <w:spacing w:after="0"/>
              <w:rPr>
                <w:sz w:val="20"/>
                <w:szCs w:val="20"/>
                <w:color w:val="auto"/>
              </w:rPr>
            </w:pPr>
            <w:r>
              <w:rPr>
                <w:rFonts w:ascii="Arial" w:cs="Arial" w:eastAsia="Arial" w:hAnsi="Arial"/>
                <w:sz w:val="17"/>
                <w:szCs w:val="17"/>
                <w:color w:val="auto"/>
              </w:rPr>
              <w:t>13.62 %</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tcPr>
          <w:p>
            <w:pPr>
              <w:jc w:val="right"/>
              <w:ind w:right="574"/>
              <w:spacing w:after="0"/>
              <w:rPr>
                <w:sz w:val="20"/>
                <w:szCs w:val="20"/>
                <w:color w:val="auto"/>
              </w:rPr>
            </w:pPr>
            <w:r>
              <w:rPr>
                <w:rFonts w:ascii="Arial" w:cs="Arial" w:eastAsia="Arial" w:hAnsi="Arial"/>
                <w:sz w:val="17"/>
                <w:szCs w:val="17"/>
                <w:color w:val="auto"/>
              </w:rPr>
              <w:t>315,059</w:t>
            </w:r>
          </w:p>
        </w:tc>
        <w:tc>
          <w:tcPr>
            <w:tcW w:w="920" w:type="dxa"/>
            <w:vAlign w:val="bottom"/>
          </w:tcPr>
          <w:p>
            <w:pPr>
              <w:ind w:left="420"/>
              <w:spacing w:after="0"/>
              <w:rPr>
                <w:sz w:val="20"/>
                <w:szCs w:val="20"/>
                <w:color w:val="auto"/>
              </w:rPr>
            </w:pPr>
            <w:r>
              <w:rPr>
                <w:rFonts w:ascii="Arial" w:cs="Arial" w:eastAsia="Arial" w:hAnsi="Arial"/>
                <w:sz w:val="17"/>
                <w:szCs w:val="17"/>
                <w:color w:val="auto"/>
                <w:w w:val="90"/>
              </w:rPr>
              <w:t>8.00 %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ind w:left="800"/>
              <w:spacing w:after="0"/>
              <w:rPr>
                <w:sz w:val="20"/>
                <w:szCs w:val="20"/>
                <w:color w:val="auto"/>
              </w:rPr>
            </w:pPr>
            <w:r>
              <w:rPr>
                <w:rFonts w:ascii="Arial" w:cs="Arial" w:eastAsia="Arial" w:hAnsi="Arial"/>
                <w:sz w:val="17"/>
                <w:szCs w:val="17"/>
                <w:color w:val="auto"/>
              </w:rPr>
              <w:t>NA</w:t>
            </w:r>
          </w:p>
        </w:tc>
        <w:tc>
          <w:tcPr>
            <w:tcW w:w="92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480,886</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314,733</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8.00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393,416</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Tier 1 capital to risk-weighted assets</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580" w:type="dxa"/>
            <w:vAlign w:val="bottom"/>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454"/>
              <w:spacing w:after="0"/>
              <w:rPr>
                <w:sz w:val="20"/>
                <w:szCs w:val="20"/>
                <w:color w:val="auto"/>
              </w:rPr>
            </w:pPr>
            <w:r>
              <w:rPr>
                <w:rFonts w:ascii="Arial" w:cs="Arial" w:eastAsia="Arial" w:hAnsi="Arial"/>
                <w:sz w:val="17"/>
                <w:szCs w:val="17"/>
                <w:color w:val="auto"/>
              </w:rPr>
              <w:t>447,299</w:t>
            </w:r>
          </w:p>
        </w:tc>
        <w:tc>
          <w:tcPr>
            <w:tcW w:w="1040" w:type="dxa"/>
            <w:vAlign w:val="bottom"/>
          </w:tcPr>
          <w:p>
            <w:pPr>
              <w:jc w:val="right"/>
              <w:spacing w:after="0"/>
              <w:rPr>
                <w:sz w:val="20"/>
                <w:szCs w:val="20"/>
                <w:color w:val="auto"/>
              </w:rPr>
            </w:pPr>
            <w:r>
              <w:rPr>
                <w:rFonts w:ascii="Arial" w:cs="Arial" w:eastAsia="Arial" w:hAnsi="Arial"/>
                <w:sz w:val="17"/>
                <w:szCs w:val="17"/>
                <w:color w:val="auto"/>
              </w:rPr>
              <w:t>11.36 %</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tcPr>
          <w:p>
            <w:pPr>
              <w:jc w:val="right"/>
              <w:ind w:right="574"/>
              <w:spacing w:after="0"/>
              <w:rPr>
                <w:sz w:val="20"/>
                <w:szCs w:val="20"/>
                <w:color w:val="auto"/>
              </w:rPr>
            </w:pPr>
            <w:r>
              <w:rPr>
                <w:rFonts w:ascii="Arial" w:cs="Arial" w:eastAsia="Arial" w:hAnsi="Arial"/>
                <w:sz w:val="17"/>
                <w:szCs w:val="17"/>
                <w:color w:val="auto"/>
              </w:rPr>
              <w:t>236,294</w:t>
            </w:r>
          </w:p>
        </w:tc>
        <w:tc>
          <w:tcPr>
            <w:tcW w:w="920" w:type="dxa"/>
            <w:vAlign w:val="bottom"/>
          </w:tcPr>
          <w:p>
            <w:pPr>
              <w:ind w:left="420"/>
              <w:spacing w:after="0"/>
              <w:rPr>
                <w:sz w:val="20"/>
                <w:szCs w:val="20"/>
                <w:color w:val="auto"/>
              </w:rPr>
            </w:pPr>
            <w:r>
              <w:rPr>
                <w:rFonts w:ascii="Arial" w:cs="Arial" w:eastAsia="Arial" w:hAnsi="Arial"/>
                <w:sz w:val="17"/>
                <w:szCs w:val="17"/>
                <w:color w:val="auto"/>
                <w:w w:val="90"/>
              </w:rPr>
              <w:t>6.00 %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ind w:left="800"/>
              <w:spacing w:after="0"/>
              <w:rPr>
                <w:sz w:val="20"/>
                <w:szCs w:val="20"/>
                <w:color w:val="auto"/>
              </w:rPr>
            </w:pPr>
            <w:r>
              <w:rPr>
                <w:rFonts w:ascii="Arial" w:cs="Arial" w:eastAsia="Arial" w:hAnsi="Arial"/>
                <w:sz w:val="17"/>
                <w:szCs w:val="17"/>
                <w:color w:val="auto"/>
              </w:rPr>
              <w:t>NA</w:t>
            </w:r>
          </w:p>
        </w:tc>
        <w:tc>
          <w:tcPr>
            <w:tcW w:w="92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431,685</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236,049</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6.00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314,733</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8.00 %</w:t>
            </w: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580" w:type="dxa"/>
            <w:vAlign w:val="bottom"/>
            <w:shd w:val="clear" w:color="auto" w:fill="CCEEFF"/>
          </w:tcPr>
          <w:p>
            <w:pPr>
              <w:ind w:left="20"/>
              <w:spacing w:after="0" w:line="181" w:lineRule="exact"/>
              <w:rPr>
                <w:sz w:val="20"/>
                <w:szCs w:val="20"/>
                <w:color w:val="auto"/>
              </w:rPr>
            </w:pPr>
            <w:r>
              <w:rPr>
                <w:rFonts w:ascii="Arial" w:cs="Arial" w:eastAsia="Arial" w:hAnsi="Arial"/>
                <w:sz w:val="17"/>
                <w:szCs w:val="17"/>
                <w:color w:val="auto"/>
              </w:rPr>
              <w:t>Common equity tier 1 capital to</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risk-weighted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80" w:type="dxa"/>
            <w:vAlign w:val="bottom"/>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454"/>
              <w:spacing w:after="0"/>
              <w:rPr>
                <w:sz w:val="20"/>
                <w:szCs w:val="20"/>
                <w:color w:val="auto"/>
              </w:rPr>
            </w:pPr>
            <w:r>
              <w:rPr>
                <w:rFonts w:ascii="Arial" w:cs="Arial" w:eastAsia="Arial" w:hAnsi="Arial"/>
                <w:sz w:val="17"/>
                <w:szCs w:val="17"/>
                <w:color w:val="auto"/>
              </w:rPr>
              <w:t>408,863</w:t>
            </w:r>
          </w:p>
        </w:tc>
        <w:tc>
          <w:tcPr>
            <w:tcW w:w="1040" w:type="dxa"/>
            <w:vAlign w:val="bottom"/>
          </w:tcPr>
          <w:p>
            <w:pPr>
              <w:jc w:val="right"/>
              <w:spacing w:after="0"/>
              <w:rPr>
                <w:sz w:val="20"/>
                <w:szCs w:val="20"/>
                <w:color w:val="auto"/>
              </w:rPr>
            </w:pPr>
            <w:r>
              <w:rPr>
                <w:rFonts w:ascii="Arial" w:cs="Arial" w:eastAsia="Arial" w:hAnsi="Arial"/>
                <w:sz w:val="17"/>
                <w:szCs w:val="17"/>
                <w:color w:val="auto"/>
              </w:rPr>
              <w:t>10.38 %</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tcPr>
          <w:p>
            <w:pPr>
              <w:jc w:val="right"/>
              <w:ind w:right="574"/>
              <w:spacing w:after="0"/>
              <w:rPr>
                <w:sz w:val="20"/>
                <w:szCs w:val="20"/>
                <w:color w:val="auto"/>
              </w:rPr>
            </w:pPr>
            <w:r>
              <w:rPr>
                <w:rFonts w:ascii="Arial" w:cs="Arial" w:eastAsia="Arial" w:hAnsi="Arial"/>
                <w:sz w:val="17"/>
                <w:szCs w:val="17"/>
                <w:color w:val="auto"/>
              </w:rPr>
              <w:t>177,221</w:t>
            </w:r>
          </w:p>
        </w:tc>
        <w:tc>
          <w:tcPr>
            <w:tcW w:w="920" w:type="dxa"/>
            <w:vAlign w:val="bottom"/>
          </w:tcPr>
          <w:p>
            <w:pPr>
              <w:ind w:left="420"/>
              <w:spacing w:after="0"/>
              <w:rPr>
                <w:sz w:val="20"/>
                <w:szCs w:val="20"/>
                <w:color w:val="auto"/>
              </w:rPr>
            </w:pPr>
            <w:r>
              <w:rPr>
                <w:rFonts w:ascii="Arial" w:cs="Arial" w:eastAsia="Arial" w:hAnsi="Arial"/>
                <w:sz w:val="17"/>
                <w:szCs w:val="17"/>
                <w:color w:val="auto"/>
                <w:w w:val="90"/>
              </w:rPr>
              <w:t>4.50 %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ind w:left="800"/>
              <w:spacing w:after="0"/>
              <w:rPr>
                <w:sz w:val="20"/>
                <w:szCs w:val="20"/>
                <w:color w:val="auto"/>
              </w:rPr>
            </w:pPr>
            <w:r>
              <w:rPr>
                <w:rFonts w:ascii="Arial" w:cs="Arial" w:eastAsia="Arial" w:hAnsi="Arial"/>
                <w:sz w:val="17"/>
                <w:szCs w:val="17"/>
                <w:color w:val="auto"/>
              </w:rPr>
              <w:t>NA</w:t>
            </w:r>
          </w:p>
        </w:tc>
        <w:tc>
          <w:tcPr>
            <w:tcW w:w="92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33"/>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431,685</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10.97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177,037</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4.50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255,720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6.50 %</w:t>
            </w: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Tier 1 capital to average assets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580" w:type="dxa"/>
            <w:vAlign w:val="bottom"/>
          </w:tcPr>
          <w:p>
            <w:pPr>
              <w:ind w:left="180"/>
              <w:spacing w:after="0"/>
              <w:rPr>
                <w:sz w:val="20"/>
                <w:szCs w:val="20"/>
                <w:color w:val="auto"/>
              </w:rPr>
            </w:pPr>
            <w:r>
              <w:rPr>
                <w:rFonts w:ascii="Arial" w:cs="Arial" w:eastAsia="Arial" w:hAnsi="Arial"/>
                <w:sz w:val="17"/>
                <w:szCs w:val="17"/>
                <w:color w:val="auto"/>
              </w:rPr>
              <w:t>Consolidated</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454"/>
              <w:spacing w:after="0"/>
              <w:rPr>
                <w:sz w:val="20"/>
                <w:szCs w:val="20"/>
                <w:color w:val="auto"/>
              </w:rPr>
            </w:pPr>
            <w:r>
              <w:rPr>
                <w:rFonts w:ascii="Arial" w:cs="Arial" w:eastAsia="Arial" w:hAnsi="Arial"/>
                <w:sz w:val="17"/>
                <w:szCs w:val="17"/>
                <w:color w:val="auto"/>
              </w:rPr>
              <w:t>447,299</w:t>
            </w:r>
          </w:p>
        </w:tc>
        <w:tc>
          <w:tcPr>
            <w:tcW w:w="1040" w:type="dxa"/>
            <w:vAlign w:val="bottom"/>
          </w:tcPr>
          <w:p>
            <w:pPr>
              <w:jc w:val="right"/>
              <w:spacing w:after="0"/>
              <w:rPr>
                <w:sz w:val="20"/>
                <w:szCs w:val="20"/>
                <w:color w:val="auto"/>
              </w:rPr>
            </w:pPr>
            <w:r>
              <w:rPr>
                <w:rFonts w:ascii="Arial" w:cs="Arial" w:eastAsia="Arial" w:hAnsi="Arial"/>
                <w:sz w:val="17"/>
                <w:szCs w:val="17"/>
                <w:color w:val="auto"/>
              </w:rPr>
              <w:t>8.86 %</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tcPr>
          <w:p>
            <w:pPr>
              <w:jc w:val="right"/>
              <w:ind w:right="574"/>
              <w:spacing w:after="0"/>
              <w:rPr>
                <w:sz w:val="20"/>
                <w:szCs w:val="20"/>
                <w:color w:val="auto"/>
              </w:rPr>
            </w:pPr>
            <w:r>
              <w:rPr>
                <w:rFonts w:ascii="Arial" w:cs="Arial" w:eastAsia="Arial" w:hAnsi="Arial"/>
                <w:sz w:val="17"/>
                <w:szCs w:val="17"/>
                <w:color w:val="auto"/>
              </w:rPr>
              <w:t>201,875</w:t>
            </w:r>
          </w:p>
        </w:tc>
        <w:tc>
          <w:tcPr>
            <w:tcW w:w="920" w:type="dxa"/>
            <w:vAlign w:val="bottom"/>
          </w:tcPr>
          <w:p>
            <w:pPr>
              <w:ind w:left="420"/>
              <w:spacing w:after="0"/>
              <w:rPr>
                <w:sz w:val="20"/>
                <w:szCs w:val="20"/>
                <w:color w:val="auto"/>
              </w:rPr>
            </w:pPr>
            <w:r>
              <w:rPr>
                <w:rFonts w:ascii="Arial" w:cs="Arial" w:eastAsia="Arial" w:hAnsi="Arial"/>
                <w:sz w:val="17"/>
                <w:szCs w:val="17"/>
                <w:color w:val="auto"/>
                <w:w w:val="90"/>
              </w:rPr>
              <w:t>4.00 %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ind w:left="800"/>
              <w:spacing w:after="0"/>
              <w:rPr>
                <w:sz w:val="20"/>
                <w:szCs w:val="20"/>
                <w:color w:val="auto"/>
              </w:rPr>
            </w:pPr>
            <w:r>
              <w:rPr>
                <w:rFonts w:ascii="Arial" w:cs="Arial" w:eastAsia="Arial" w:hAnsi="Arial"/>
                <w:sz w:val="17"/>
                <w:szCs w:val="17"/>
                <w:color w:val="auto"/>
              </w:rPr>
              <w:t>NA</w:t>
            </w:r>
          </w:p>
        </w:tc>
        <w:tc>
          <w:tcPr>
            <w:tcW w:w="92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0"/>
        </w:trPr>
        <w:tc>
          <w:tcPr>
            <w:tcW w:w="2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Independent Bank</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rPr>
              <w:t>431,685</w:t>
            </w: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574"/>
              <w:spacing w:after="0"/>
              <w:rPr>
                <w:sz w:val="20"/>
                <w:szCs w:val="20"/>
                <w:color w:val="auto"/>
              </w:rPr>
            </w:pPr>
            <w:r>
              <w:rPr>
                <w:rFonts w:ascii="Arial" w:cs="Arial" w:eastAsia="Arial" w:hAnsi="Arial"/>
                <w:sz w:val="17"/>
                <w:szCs w:val="17"/>
                <w:color w:val="auto"/>
              </w:rPr>
              <w:t>201,820</w:t>
            </w:r>
          </w:p>
        </w:tc>
        <w:tc>
          <w:tcPr>
            <w:tcW w:w="9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4.00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252,275</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5.00 %</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w:t>
      </w:r>
    </w:p>
    <w:p>
      <w:pPr>
        <w:spacing w:after="0" w:line="62" w:lineRule="exact"/>
        <w:rPr>
          <w:sz w:val="20"/>
          <w:szCs w:val="20"/>
          <w:color w:val="auto"/>
        </w:rPr>
      </w:pPr>
    </w:p>
    <w:p>
      <w:pPr>
        <w:ind w:right="3280" w:firstLine="20"/>
        <w:spacing w:after="0" w:line="406" w:lineRule="auto"/>
        <w:tabs>
          <w:tab w:leader="none" w:pos="5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These ratios do not reflect a capital conservation buffer of 2.50% at June 30, 2023 and December 31, 2022. NA - Not applicable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40" w:type="dxa"/>
            <w:vAlign w:val="bottom"/>
          </w:tcPr>
          <w:p>
            <w:pPr>
              <w:spacing w:after="0"/>
              <w:rPr>
                <w:sz w:val="20"/>
                <w:szCs w:val="20"/>
                <w:color w:val="auto"/>
              </w:rPr>
            </w:pPr>
            <w:r>
              <w:rPr>
                <w:rFonts w:ascii="Arial" w:cs="Arial" w:eastAsia="Arial" w:hAnsi="Arial"/>
                <w:sz w:val="17"/>
                <w:szCs w:val="17"/>
                <w:color w:val="auto"/>
              </w:rPr>
              <w:t>The components of our regulatory capital are as follows: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7"/>
                <w:szCs w:val="17"/>
                <w:color w:val="auto"/>
              </w:rPr>
              <w:t>Consolidated</w:t>
            </w: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7"/>
                <w:szCs w:val="17"/>
                <w:color w:val="auto"/>
              </w:rPr>
              <w:t>Independent Bank</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74"/>
              <w:spacing w:after="0" w:line="162" w:lineRule="exact"/>
              <w:rPr>
                <w:sz w:val="20"/>
                <w:szCs w:val="20"/>
                <w:color w:val="auto"/>
              </w:rPr>
            </w:pPr>
            <w:r>
              <w:rPr>
                <w:rFonts w:ascii="Arial" w:cs="Arial" w:eastAsia="Arial" w:hAnsi="Arial"/>
                <w:sz w:val="17"/>
                <w:szCs w:val="17"/>
                <w:color w:val="auto"/>
              </w:rPr>
              <w:t>June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174"/>
              <w:spacing w:after="0" w:line="162" w:lineRule="exact"/>
              <w:rPr>
                <w:sz w:val="20"/>
                <w:szCs w:val="20"/>
                <w:color w:val="auto"/>
              </w:rPr>
            </w:pPr>
            <w:r>
              <w:rPr>
                <w:rFonts w:ascii="Arial" w:cs="Arial" w:eastAsia="Arial" w:hAnsi="Arial"/>
                <w:sz w:val="17"/>
                <w:szCs w:val="17"/>
                <w:color w:val="auto"/>
                <w:w w:val="95"/>
              </w:rPr>
              <w:t>December 31,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jc w:val="right"/>
              <w:ind w:right="374"/>
              <w:spacing w:after="0" w:line="162" w:lineRule="exact"/>
              <w:rPr>
                <w:sz w:val="20"/>
                <w:szCs w:val="20"/>
                <w:color w:val="auto"/>
              </w:rPr>
            </w:pPr>
            <w:r>
              <w:rPr>
                <w:rFonts w:ascii="Arial" w:cs="Arial" w:eastAsia="Arial" w:hAnsi="Arial"/>
                <w:sz w:val="17"/>
                <w:szCs w:val="17"/>
                <w:color w:val="auto"/>
                <w:w w:val="85"/>
              </w:rPr>
              <w:t>June 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174"/>
              <w:spacing w:after="0" w:line="162" w:lineRule="exact"/>
              <w:rPr>
                <w:sz w:val="20"/>
                <w:szCs w:val="20"/>
                <w:color w:val="auto"/>
              </w:rPr>
            </w:pPr>
            <w:r>
              <w:rPr>
                <w:rFonts w:ascii="Arial" w:cs="Arial" w:eastAsia="Arial" w:hAnsi="Arial"/>
                <w:sz w:val="17"/>
                <w:szCs w:val="17"/>
                <w:color w:val="auto"/>
                <w:w w:val="95"/>
              </w:rPr>
              <w:t>December 31,</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18"/>
        </w:trPr>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(In thousands)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shareholders' equity</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375,162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347,596</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400,645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370,418</w:t>
            </w: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Add (deduct)</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040" w:type="dxa"/>
            <w:vAlign w:val="bottom"/>
            <w:shd w:val="clear" w:color="auto" w:fill="CCEEFF"/>
          </w:tcPr>
          <w:p>
            <w:pPr>
              <w:ind w:left="320"/>
              <w:spacing w:after="0" w:line="182" w:lineRule="exact"/>
              <w:rPr>
                <w:sz w:val="20"/>
                <w:szCs w:val="20"/>
                <w:color w:val="auto"/>
              </w:rPr>
            </w:pPr>
            <w:r>
              <w:rPr>
                <w:rFonts w:ascii="Arial" w:cs="Arial" w:eastAsia="Arial" w:hAnsi="Arial"/>
                <w:sz w:val="17"/>
                <w:szCs w:val="17"/>
                <w:color w:val="auto"/>
                <w:w w:val="99"/>
              </w:rPr>
              <w:t>Accumulated other comprehensive (income) loss for regulatory</w:t>
            </w: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86,966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74,712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86,966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purposes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040" w:type="dxa"/>
            <w:vAlign w:val="bottom"/>
          </w:tcPr>
          <w:p>
            <w:pPr>
              <w:ind w:left="320"/>
              <w:spacing w:after="0"/>
              <w:rPr>
                <w:sz w:val="20"/>
                <w:szCs w:val="20"/>
                <w:color w:val="auto"/>
              </w:rPr>
            </w:pPr>
            <w:r>
              <w:rPr>
                <w:rFonts w:ascii="Arial" w:cs="Arial" w:eastAsia="Arial" w:hAnsi="Arial"/>
                <w:sz w:val="17"/>
                <w:szCs w:val="17"/>
                <w:color w:val="auto"/>
              </w:rPr>
              <w:t>Goodwill and other intangibles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(30,578)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(30,851)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(30,578)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(30,851)</w:t>
            </w:r>
          </w:p>
        </w:tc>
        <w:tc>
          <w:tcPr>
            <w:tcW w:w="0" w:type="dxa"/>
            <w:vAlign w:val="bottom"/>
          </w:tcPr>
          <w:p>
            <w:pPr>
              <w:spacing w:after="0"/>
              <w:rPr>
                <w:sz w:val="1"/>
                <w:szCs w:val="1"/>
                <w:color w:val="auto"/>
              </w:rPr>
            </w:pPr>
          </w:p>
        </w:tc>
      </w:tr>
      <w:tr>
        <w:trPr>
          <w:trHeight w:val="259"/>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CECL (1)</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5,152</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2,576</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5,152</w:t>
            </w:r>
          </w:p>
        </w:tc>
        <w:tc>
          <w:tcPr>
            <w:tcW w:w="0" w:type="dxa"/>
            <w:vAlign w:val="bottom"/>
          </w:tcPr>
          <w:p>
            <w:pPr>
              <w:spacing w:after="0"/>
              <w:rPr>
                <w:sz w:val="1"/>
                <w:szCs w:val="1"/>
                <w:color w:val="auto"/>
              </w:rPr>
            </w:pPr>
          </w:p>
        </w:tc>
      </w:tr>
      <w:tr>
        <w:trPr>
          <w:trHeight w:val="211"/>
        </w:trPr>
        <w:tc>
          <w:tcPr>
            <w:tcW w:w="5040" w:type="dxa"/>
            <w:vAlign w:val="bottom"/>
          </w:tcPr>
          <w:p>
            <w:pPr>
              <w:ind w:left="480"/>
              <w:spacing w:after="0"/>
              <w:rPr>
                <w:sz w:val="20"/>
                <w:szCs w:val="20"/>
                <w:color w:val="auto"/>
              </w:rPr>
            </w:pPr>
            <w:r>
              <w:rPr>
                <w:rFonts w:ascii="Arial" w:cs="Arial" w:eastAsia="Arial" w:hAnsi="Arial"/>
                <w:sz w:val="17"/>
                <w:szCs w:val="17"/>
                <w:color w:val="auto"/>
              </w:rPr>
              <w:t>Common equity tier 1 capital</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421,872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408,863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447,355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431,685</w:t>
            </w:r>
          </w:p>
        </w:tc>
        <w:tc>
          <w:tcPr>
            <w:tcW w:w="0" w:type="dxa"/>
            <w:vAlign w:val="bottom"/>
          </w:tcPr>
          <w:p>
            <w:pPr>
              <w:spacing w:after="0"/>
              <w:rPr>
                <w:sz w:val="1"/>
                <w:szCs w:val="1"/>
                <w:color w:val="auto"/>
              </w:rPr>
            </w:pPr>
          </w:p>
        </w:tc>
      </w:tr>
      <w:tr>
        <w:trPr>
          <w:trHeight w:val="245"/>
        </w:trPr>
        <w:tc>
          <w:tcPr>
            <w:tcW w:w="5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Qualifying trust preferred securities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38,436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040" w:type="dxa"/>
            <w:vAlign w:val="bottom"/>
          </w:tcPr>
          <w:p>
            <w:pPr>
              <w:ind w:left="480"/>
              <w:spacing w:after="0"/>
              <w:rPr>
                <w:sz w:val="20"/>
                <w:szCs w:val="20"/>
                <w:color w:val="auto"/>
              </w:rPr>
            </w:pPr>
            <w:r>
              <w:rPr>
                <w:rFonts w:ascii="Arial" w:cs="Arial" w:eastAsia="Arial" w:hAnsi="Arial"/>
                <w:sz w:val="17"/>
                <w:szCs w:val="17"/>
                <w:color w:val="auto"/>
              </w:rPr>
              <w:t>Tier 1 capital</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460,342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447,299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447,355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431,685</w:t>
            </w:r>
          </w:p>
        </w:tc>
        <w:tc>
          <w:tcPr>
            <w:tcW w:w="0" w:type="dxa"/>
            <w:vAlign w:val="bottom"/>
          </w:tcPr>
          <w:p>
            <w:pPr>
              <w:spacing w:after="0"/>
              <w:rPr>
                <w:sz w:val="1"/>
                <w:szCs w:val="1"/>
                <w:color w:val="auto"/>
              </w:rPr>
            </w:pPr>
          </w:p>
        </w:tc>
      </w:tr>
      <w:tr>
        <w:trPr>
          <w:trHeight w:val="259"/>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Subordinated debt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5040" w:type="dxa"/>
            <w:vAlign w:val="bottom"/>
          </w:tcPr>
          <w:p>
            <w:pPr>
              <w:ind w:left="320"/>
              <w:spacing w:after="0" w:line="168" w:lineRule="exact"/>
              <w:rPr>
                <w:sz w:val="20"/>
                <w:szCs w:val="20"/>
                <w:color w:val="auto"/>
              </w:rPr>
            </w:pPr>
            <w:r>
              <w:rPr>
                <w:rFonts w:ascii="Arial" w:cs="Arial" w:eastAsia="Arial" w:hAnsi="Arial"/>
                <w:sz w:val="17"/>
                <w:szCs w:val="17"/>
                <w:color w:val="auto"/>
                <w:w w:val="99"/>
              </w:rPr>
              <w:t>Allowance for credit losses and allowance for unfunded lending</w:t>
            </w: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50,462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49,250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50,404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49,201</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commitments limited to 1.25% of total risk-weighted assets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 risk-based capital</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550,804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536,549</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497,759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480,886</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600" w:hanging="580"/>
        <w:spacing w:after="0"/>
        <w:tabs>
          <w:tab w:leader="none" w:pos="6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We elected the three year CECL transition method for regulatory purposes.</w:t>
      </w:r>
    </w:p>
    <w:p>
      <w:pPr>
        <w:spacing w:after="0" w:line="281" w:lineRule="exact"/>
        <w:rPr>
          <w:rFonts w:ascii="Arial" w:cs="Arial" w:eastAsia="Arial" w:hAnsi="Arial"/>
          <w:sz w:val="17"/>
          <w:szCs w:val="17"/>
          <w:color w:val="auto"/>
        </w:rPr>
      </w:pPr>
    </w:p>
    <w:p>
      <w:pPr>
        <w:ind w:left="380" w:hanging="377"/>
        <w:spacing w:after="0"/>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Fair Value Disclosures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FASB ASC topic 820 also establishes a fair value hierarchy which requires an entity to maximize the use of observable inputs and minimize the use of unobservable inputs when measuring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standard describes three levels of inputs that may be used to measure fair value:</w:t>
      </w:r>
    </w:p>
    <w:p>
      <w:pPr>
        <w:spacing w:after="0" w:line="178"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color w:val="auto"/>
        </w:rPr>
        <w:t>Level 1: Valuation is based upon quoted prices for identical instruments traded in active markets. Level 1 instruments include securities traded on active exchange markets, such as the New York Stock Exchange, as well as U.S. Treasury securities that are traded by dealers or brokers in active over-the-counter markets.</w:t>
      </w:r>
    </w:p>
    <w:p>
      <w:pPr>
        <w:spacing w:after="0" w:line="149"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color w:val="auto"/>
        </w:rPr>
        <w:t>Level 2: Valuation is based upon quoted prices for similar instruments in active markets, quoted prices for identical or similar instruments in markets that are not active, and model-based valuation techniques for which all significant assumptions are observable in the market. Level 2 instruments include securities traded in less active dealer or broker markets.</w:t>
      </w:r>
    </w:p>
    <w:p>
      <w:pPr>
        <w:spacing w:after="0" w:line="136" w:lineRule="exact"/>
        <w:rPr>
          <w:sz w:val="20"/>
          <w:szCs w:val="20"/>
          <w:color w:val="auto"/>
        </w:rPr>
      </w:pPr>
    </w:p>
    <w:p>
      <w:pPr>
        <w:jc w:val="both"/>
        <w:ind w:left="620"/>
        <w:spacing w:after="0" w:line="266" w:lineRule="auto"/>
        <w:rPr>
          <w:sz w:val="20"/>
          <w:szCs w:val="20"/>
          <w:color w:val="auto"/>
        </w:rPr>
      </w:pPr>
      <w:r>
        <w:rPr>
          <w:rFonts w:ascii="Arial" w:cs="Arial" w:eastAsia="Arial" w:hAnsi="Arial"/>
          <w:sz w:val="17"/>
          <w:szCs w:val="17"/>
          <w:color w:val="auto"/>
        </w:rPr>
        <w:t>Level 3: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use of option pricing models, discounted cash flow models and similar techniques.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We used the following methods and significant assumptions to estimate fair value: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u w:val="single" w:color="auto"/>
          <w:color w:val="auto"/>
        </w:rPr>
        <w:t>Securities</w:t>
      </w:r>
      <w:r>
        <w:rPr>
          <w:rFonts w:ascii="Arial" w:cs="Arial" w:eastAsia="Arial" w:hAnsi="Arial"/>
          <w:sz w:val="17"/>
          <w:szCs w:val="17"/>
          <w:color w:val="auto"/>
        </w:rPr>
        <w:t>: Where quoted market prices are available in an active market, securities are classified as Level 1 of the valuation hierarchy. We currently do not have any Level 1 securities. If quoted market prices are not available for the specific security, then fair values are estimated by (1) using quoted market prices of securities with similar characteristics, (2) matrix pricing, which is a mathematical technique used widely in the industry to value debt securities without relying exclusively on quoted prices for specific securities but rather by relying on the securities’ relationship to other benchmark quoted prices, or (3) a discounted cash flow analysis whose significant fair value inputs can generally be verified and do</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not typically involve judgment by management. These securities are classified as Level 2 of the valuation hierarchy and primarily include agency securities, private label mortgage-backed securities, other asset backed securities, obligations of states and political subdivisions, trust preferred securities, corporate securities and foreign government securities.</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Loans held for sale</w:t>
      </w:r>
      <w:r>
        <w:rPr>
          <w:rFonts w:ascii="Arial" w:cs="Arial" w:eastAsia="Arial" w:hAnsi="Arial"/>
          <w:sz w:val="17"/>
          <w:szCs w:val="17"/>
          <w:color w:val="auto"/>
        </w:rPr>
        <w:t>: The fair value of mortgage loans held for sale, carried at fair value is based on agency cash window loan pricing for comparable assets (recurring Level 2).</w:t>
      </w:r>
    </w:p>
    <w:p>
      <w:pPr>
        <w:spacing w:after="0" w:line="126" w:lineRule="exact"/>
        <w:rPr>
          <w:sz w:val="20"/>
          <w:szCs w:val="20"/>
          <w:color w:val="auto"/>
        </w:rPr>
      </w:pPr>
    </w:p>
    <w:p>
      <w:pPr>
        <w:jc w:val="both"/>
        <w:spacing w:after="0" w:line="302" w:lineRule="auto"/>
        <w:rPr>
          <w:sz w:val="20"/>
          <w:szCs w:val="20"/>
          <w:color w:val="auto"/>
        </w:rPr>
      </w:pPr>
      <w:r>
        <w:rPr>
          <w:rFonts w:ascii="Arial" w:cs="Arial" w:eastAsia="Arial" w:hAnsi="Arial"/>
          <w:sz w:val="15"/>
          <w:szCs w:val="15"/>
          <w:u w:val="single" w:color="auto"/>
          <w:color w:val="auto"/>
        </w:rPr>
        <w:t>Collateral dependent loans with specific loss allocations based on collateral value</w:t>
      </w:r>
      <w:r>
        <w:rPr>
          <w:rFonts w:ascii="Arial" w:cs="Arial" w:eastAsia="Arial" w:hAnsi="Arial"/>
          <w:sz w:val="15"/>
          <w:szCs w:val="15"/>
          <w:color w:val="auto"/>
        </w:rPr>
        <w:t>: From time to time, certain collateral dependent loans will have an ACL established. When the fair value of the collateral is based on an appraised value or when an appraised value is not available we record the collateral dependent loan as nonrecurring Level 3.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thus will typically result in a Level 3 classification of the inputs for determining fair value.</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u w:val="single" w:color="auto"/>
          <w:color w:val="auto"/>
        </w:rPr>
        <w:t>Other real estate</w:t>
      </w:r>
      <w:r>
        <w:rPr>
          <w:rFonts w:ascii="Arial" w:cs="Arial" w:eastAsia="Arial" w:hAnsi="Arial"/>
          <w:sz w:val="17"/>
          <w:szCs w:val="17"/>
          <w:color w:val="auto"/>
          <w:highlight w:val="white"/>
        </w:rPr>
        <w:t>: At the time of acquisition, other real estate is recorded at fair value, less estimated costs to sell, which becomes the property’s new basis.</w:t>
      </w:r>
      <w:r>
        <w:rPr>
          <w:rFonts w:ascii="Arial" w:cs="Arial" w:eastAsia="Arial" w:hAnsi="Arial"/>
          <w:sz w:val="17"/>
          <w:szCs w:val="17"/>
          <w:color w:val="auto"/>
        </w:rPr>
        <w:t xml:space="preserve"> Subsequent write-downs to reflect declines in value since the time of acquisition may occur from time to time and are recorded in net gains on other real estate and repossessed assets, which is part of non-interest expense - other in the Condensed Consolidated Statements of Operations. The fair value of the property used at and subsequent to the time of acquisition is typically determined by a third party appraisal of the property. These appraisals may utilize a single valuation approach or a combination of approaches including comparable sales and the income approach. Adjustments are routinely made in the appraisal process by the independent appraisers to adjust for differences between the comparable sales and income data available. Such adjustments can be significant and typically result in a Level 3 classification of the inputs for determining fair value.</w:t>
      </w:r>
    </w:p>
    <w:p>
      <w:pPr>
        <w:spacing w:after="0" w:line="15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Appraisals for both collateral-dependent loans and other real estate are performed by certified general appraisers (for commercial properties) or certified residential appraisers (for residential properties) whose qualifications and licenses have been reviewed and verified by us. Once received, an independent third party, or a member of our Collateral Evaluation Department (for commercial properties), or a member of our Special Assets Group (for residential properties) reviews the assumptions and approaches utilized in the appraisal as well as the overall resulting fair value in comparison with independent data sources such as recent market data or industry-wide statistics. We compare the actual selling price of collateral that has been sold to the most recent appraised value of our properties to determine what additional adjustment, if any, should be made to the appraisal value to arrive at fair value. For commercial and residential properties we typically discount an appraisal to account for various factors that the appraisal excludes in its assumptions. These additional discounts generally do not result in material adjustments to the appraised value.</w:t>
      </w:r>
    </w:p>
    <w:p>
      <w:pPr>
        <w:spacing w:after="0" w:line="14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u w:val="single" w:color="auto"/>
          <w:color w:val="auto"/>
        </w:rPr>
        <w:t>Capitalized mortgage loan servicing rights</w:t>
      </w:r>
      <w:r>
        <w:rPr>
          <w:rFonts w:ascii="Arial" w:cs="Arial" w:eastAsia="Arial" w:hAnsi="Arial"/>
          <w:sz w:val="15"/>
          <w:szCs w:val="15"/>
          <w:color w:val="auto"/>
          <w:highlight w:val="white"/>
        </w:rPr>
        <w:t>: The fair value of capitalized mortgage loan servicing rights is based on a valuation model used by an independent third</w:t>
      </w:r>
      <w:r>
        <w:rPr>
          <w:rFonts w:ascii="Arial" w:cs="Arial" w:eastAsia="Arial" w:hAnsi="Arial"/>
          <w:sz w:val="15"/>
          <w:szCs w:val="15"/>
          <w:color w:val="auto"/>
        </w:rPr>
        <w:t xml:space="preserve"> party that calculates the present value of estimated net servicing income. The valuation model incorporates assumptions that market participants would use in estimating future net servicing income. Certain model assumptions are generally unobservable and are based upon the best information available including data relating to our own servicing portfolio, reviews of mortgage servicing assumption and valuation surveys and input from various mortgage servicers and, therefore, are recorded as Level 3. Management evaluates the third party valuation for reasonableness each quarter as part of our financial reporting control processes.</w:t>
      </w:r>
    </w:p>
    <w:p>
      <w:pPr>
        <w:spacing w:after="0" w:line="1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u w:val="single" w:color="auto"/>
          <w:color w:val="auto"/>
        </w:rPr>
        <w:t>Derivatives</w:t>
      </w:r>
      <w:r>
        <w:rPr>
          <w:rFonts w:ascii="Arial" w:cs="Arial" w:eastAsia="Arial" w:hAnsi="Arial"/>
          <w:sz w:val="17"/>
          <w:szCs w:val="17"/>
          <w:color w:val="auto"/>
          <w:highlight w:val="white"/>
        </w:rPr>
        <w:t>: The fair value of rate-lock mortgage loan commitments is based on agency cash window loan pricing for comparable assets and the fair value of</w:t>
      </w:r>
      <w:r>
        <w:rPr>
          <w:rFonts w:ascii="Arial" w:cs="Arial" w:eastAsia="Arial" w:hAnsi="Arial"/>
          <w:sz w:val="17"/>
          <w:szCs w:val="17"/>
          <w:color w:val="auto"/>
        </w:rPr>
        <w:t xml:space="preserve"> mandatory commitments to sell mortgage loans is based on mortgage backed security pricing for comparable assets (recurring Level 2). The fair value of interest rate swap, interest rate cap and swaption agreements are derived from proprietary models which utilize current market data. The significant fair value inputs can generally be observed in the market place and do not typically involve judgment by management (recurring Level 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measured at fair value, including financial assets for which we have elected the fair value option,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0"/>
              </w:rPr>
              <w:t>Fair Value Measurements Using</w:t>
            </w: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54"/>
              <w:spacing w:after="0" w:line="162" w:lineRule="exact"/>
              <w:rPr>
                <w:sz w:val="20"/>
                <w:szCs w:val="20"/>
                <w:color w:val="auto"/>
              </w:rPr>
            </w:pPr>
            <w:r>
              <w:rPr>
                <w:rFonts w:ascii="Arial" w:cs="Arial" w:eastAsia="Arial" w:hAnsi="Arial"/>
                <w:sz w:val="17"/>
                <w:szCs w:val="17"/>
                <w:color w:val="auto"/>
                <w:w w:val="89"/>
              </w:rPr>
              <w:t>Quoted</w:t>
            </w: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54"/>
              <w:spacing w:after="0" w:line="180" w:lineRule="exact"/>
              <w:rPr>
                <w:sz w:val="20"/>
                <w:szCs w:val="20"/>
                <w:color w:val="auto"/>
              </w:rPr>
            </w:pPr>
            <w:r>
              <w:rPr>
                <w:rFonts w:ascii="Arial" w:cs="Arial" w:eastAsia="Arial" w:hAnsi="Arial"/>
                <w:sz w:val="17"/>
                <w:szCs w:val="17"/>
                <w:color w:val="auto"/>
                <w:w w:val="88"/>
              </w:rPr>
              <w:t>Prices</w:t>
            </w:r>
          </w:p>
        </w:tc>
        <w:tc>
          <w:tcPr>
            <w:tcW w:w="6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54"/>
              <w:spacing w:after="0" w:line="167" w:lineRule="exact"/>
              <w:rPr>
                <w:sz w:val="20"/>
                <w:szCs w:val="20"/>
                <w:color w:val="auto"/>
              </w:rPr>
            </w:pPr>
            <w:r>
              <w:rPr>
                <w:rFonts w:ascii="Arial" w:cs="Arial" w:eastAsia="Arial" w:hAnsi="Arial"/>
                <w:sz w:val="17"/>
                <w:szCs w:val="17"/>
                <w:color w:val="auto"/>
                <w:w w:val="96"/>
              </w:rPr>
              <w:t>in Active</w:t>
            </w:r>
          </w:p>
        </w:tc>
        <w:tc>
          <w:tcPr>
            <w:tcW w:w="680" w:type="dxa"/>
            <w:vAlign w:val="bottom"/>
          </w:tcPr>
          <w:p>
            <w:pPr>
              <w:spacing w:after="0"/>
              <w:rPr>
                <w:sz w:val="14"/>
                <w:szCs w:val="14"/>
                <w:color w:val="auto"/>
              </w:rPr>
            </w:pPr>
          </w:p>
        </w:tc>
        <w:tc>
          <w:tcPr>
            <w:tcW w:w="1260" w:type="dxa"/>
            <w:vAlign w:val="bottom"/>
            <w:vMerge w:val="restart"/>
          </w:tcPr>
          <w:p>
            <w:pPr>
              <w:jc w:val="center"/>
              <w:ind w:right="154"/>
              <w:spacing w:after="0"/>
              <w:rPr>
                <w:sz w:val="20"/>
                <w:szCs w:val="20"/>
                <w:color w:val="auto"/>
              </w:rPr>
            </w:pPr>
            <w:r>
              <w:rPr>
                <w:rFonts w:ascii="Arial" w:cs="Arial" w:eastAsia="Arial" w:hAnsi="Arial"/>
                <w:sz w:val="17"/>
                <w:szCs w:val="17"/>
                <w:color w:val="auto"/>
                <w:w w:val="94"/>
              </w:rPr>
              <w:t>Significant</w:t>
            </w:r>
          </w:p>
        </w:tc>
        <w:tc>
          <w:tcPr>
            <w:tcW w:w="400" w:type="dxa"/>
            <w:vAlign w:val="bottom"/>
          </w:tcPr>
          <w:p>
            <w:pPr>
              <w:spacing w:after="0"/>
              <w:rPr>
                <w:sz w:val="14"/>
                <w:szCs w:val="14"/>
                <w:color w:val="auto"/>
              </w:rPr>
            </w:pPr>
          </w:p>
        </w:tc>
        <w:tc>
          <w:tcPr>
            <w:tcW w:w="1180" w:type="dxa"/>
            <w:vAlign w:val="bottom"/>
            <w:vMerge w:val="restart"/>
          </w:tcPr>
          <w:p>
            <w:pPr>
              <w:jc w:val="center"/>
              <w:ind w:right="214"/>
              <w:spacing w:after="0"/>
              <w:rPr>
                <w:sz w:val="20"/>
                <w:szCs w:val="20"/>
                <w:color w:val="auto"/>
              </w:rPr>
            </w:pPr>
            <w:r>
              <w:rPr>
                <w:rFonts w:ascii="Arial" w:cs="Arial" w:eastAsia="Arial" w:hAnsi="Arial"/>
                <w:sz w:val="17"/>
                <w:szCs w:val="17"/>
                <w:color w:val="auto"/>
                <w:w w:val="96"/>
              </w:rPr>
              <w:t>Significant</w:t>
            </w: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jc w:val="center"/>
              <w:ind w:left="254"/>
              <w:spacing w:after="0" w:line="167" w:lineRule="exact"/>
              <w:rPr>
                <w:sz w:val="20"/>
                <w:szCs w:val="20"/>
                <w:color w:val="auto"/>
              </w:rPr>
            </w:pPr>
            <w:r>
              <w:rPr>
                <w:rFonts w:ascii="Arial" w:cs="Arial" w:eastAsia="Arial" w:hAnsi="Arial"/>
                <w:sz w:val="17"/>
                <w:szCs w:val="17"/>
                <w:color w:val="auto"/>
                <w:w w:val="95"/>
              </w:rPr>
              <w:t>Markets</w:t>
            </w:r>
          </w:p>
        </w:tc>
        <w:tc>
          <w:tcPr>
            <w:tcW w:w="6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20" w:type="dxa"/>
            <w:vAlign w:val="bottom"/>
          </w:tcPr>
          <w:p>
            <w:pPr>
              <w:jc w:val="center"/>
              <w:ind w:left="234"/>
              <w:spacing w:after="0" w:line="180" w:lineRule="exact"/>
              <w:rPr>
                <w:sz w:val="20"/>
                <w:szCs w:val="20"/>
                <w:color w:val="auto"/>
              </w:rPr>
            </w:pPr>
            <w:r>
              <w:rPr>
                <w:rFonts w:ascii="Arial" w:cs="Arial" w:eastAsia="Arial" w:hAnsi="Arial"/>
                <w:sz w:val="17"/>
                <w:szCs w:val="17"/>
                <w:color w:val="auto"/>
              </w:rPr>
              <w:t>for</w:t>
            </w:r>
          </w:p>
        </w:tc>
        <w:tc>
          <w:tcPr>
            <w:tcW w:w="680" w:type="dxa"/>
            <w:vAlign w:val="bottom"/>
          </w:tcPr>
          <w:p>
            <w:pPr>
              <w:spacing w:after="0"/>
              <w:rPr>
                <w:sz w:val="15"/>
                <w:szCs w:val="15"/>
                <w:color w:val="auto"/>
              </w:rPr>
            </w:pPr>
          </w:p>
        </w:tc>
        <w:tc>
          <w:tcPr>
            <w:tcW w:w="1260" w:type="dxa"/>
            <w:vAlign w:val="bottom"/>
          </w:tcPr>
          <w:p>
            <w:pPr>
              <w:jc w:val="center"/>
              <w:ind w:right="154"/>
              <w:spacing w:after="0" w:line="180" w:lineRule="exact"/>
              <w:rPr>
                <w:sz w:val="20"/>
                <w:szCs w:val="20"/>
                <w:color w:val="auto"/>
              </w:rPr>
            </w:pPr>
            <w:r>
              <w:rPr>
                <w:rFonts w:ascii="Arial" w:cs="Arial" w:eastAsia="Arial" w:hAnsi="Arial"/>
                <w:sz w:val="17"/>
                <w:szCs w:val="17"/>
                <w:color w:val="auto"/>
                <w:w w:val="89"/>
              </w:rPr>
              <w:t>Other</w:t>
            </w:r>
          </w:p>
        </w:tc>
        <w:tc>
          <w:tcPr>
            <w:tcW w:w="400" w:type="dxa"/>
            <w:vAlign w:val="bottom"/>
          </w:tcPr>
          <w:p>
            <w:pPr>
              <w:spacing w:after="0"/>
              <w:rPr>
                <w:sz w:val="15"/>
                <w:szCs w:val="15"/>
                <w:color w:val="auto"/>
              </w:rPr>
            </w:pPr>
          </w:p>
        </w:tc>
        <w:tc>
          <w:tcPr>
            <w:tcW w:w="1180" w:type="dxa"/>
            <w:vAlign w:val="bottom"/>
          </w:tcPr>
          <w:p>
            <w:pPr>
              <w:jc w:val="center"/>
              <w:ind w:right="234"/>
              <w:spacing w:after="0" w:line="180" w:lineRule="exact"/>
              <w:rPr>
                <w:sz w:val="20"/>
                <w:szCs w:val="20"/>
                <w:color w:val="auto"/>
              </w:rPr>
            </w:pPr>
            <w:r>
              <w:rPr>
                <w:rFonts w:ascii="Arial" w:cs="Arial" w:eastAsia="Arial" w:hAnsi="Arial"/>
                <w:sz w:val="17"/>
                <w:szCs w:val="17"/>
                <w:color w:val="auto"/>
                <w:w w:val="94"/>
              </w:rPr>
              <w:t>Un-</w:t>
            </w: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74"/>
              <w:spacing w:after="0" w:line="167" w:lineRule="exact"/>
              <w:rPr>
                <w:sz w:val="20"/>
                <w:szCs w:val="20"/>
                <w:color w:val="auto"/>
              </w:rPr>
            </w:pPr>
            <w:r>
              <w:rPr>
                <w:rFonts w:ascii="Arial" w:cs="Arial" w:eastAsia="Arial" w:hAnsi="Arial"/>
                <w:sz w:val="17"/>
                <w:szCs w:val="17"/>
                <w:color w:val="auto"/>
                <w:w w:val="90"/>
              </w:rPr>
              <w:t>Fair Value</w:t>
            </w:r>
          </w:p>
        </w:tc>
        <w:tc>
          <w:tcPr>
            <w:tcW w:w="1120" w:type="dxa"/>
            <w:vAlign w:val="bottom"/>
          </w:tcPr>
          <w:p>
            <w:pPr>
              <w:jc w:val="center"/>
              <w:ind w:left="234"/>
              <w:spacing w:after="0" w:line="167" w:lineRule="exact"/>
              <w:rPr>
                <w:sz w:val="20"/>
                <w:szCs w:val="20"/>
                <w:color w:val="auto"/>
              </w:rPr>
            </w:pPr>
            <w:r>
              <w:rPr>
                <w:rFonts w:ascii="Arial" w:cs="Arial" w:eastAsia="Arial" w:hAnsi="Arial"/>
                <w:sz w:val="17"/>
                <w:szCs w:val="17"/>
                <w:color w:val="auto"/>
                <w:w w:val="94"/>
              </w:rPr>
              <w:t>Identical</w:t>
            </w:r>
          </w:p>
        </w:tc>
        <w:tc>
          <w:tcPr>
            <w:tcW w:w="680" w:type="dxa"/>
            <w:vAlign w:val="bottom"/>
          </w:tcPr>
          <w:p>
            <w:pPr>
              <w:spacing w:after="0"/>
              <w:rPr>
                <w:sz w:val="14"/>
                <w:szCs w:val="14"/>
                <w:color w:val="auto"/>
              </w:rPr>
            </w:pPr>
          </w:p>
        </w:tc>
        <w:tc>
          <w:tcPr>
            <w:tcW w:w="1260" w:type="dxa"/>
            <w:vAlign w:val="bottom"/>
          </w:tcPr>
          <w:p>
            <w:pPr>
              <w:jc w:val="center"/>
              <w:ind w:right="154"/>
              <w:spacing w:after="0" w:line="167" w:lineRule="exact"/>
              <w:rPr>
                <w:sz w:val="20"/>
                <w:szCs w:val="20"/>
                <w:color w:val="auto"/>
              </w:rPr>
            </w:pPr>
            <w:r>
              <w:rPr>
                <w:rFonts w:ascii="Arial" w:cs="Arial" w:eastAsia="Arial" w:hAnsi="Arial"/>
                <w:sz w:val="17"/>
                <w:szCs w:val="17"/>
                <w:color w:val="auto"/>
                <w:w w:val="89"/>
              </w:rPr>
              <w:t>Observable</w:t>
            </w:r>
          </w:p>
        </w:tc>
        <w:tc>
          <w:tcPr>
            <w:tcW w:w="400" w:type="dxa"/>
            <w:vAlign w:val="bottom"/>
          </w:tcPr>
          <w:p>
            <w:pPr>
              <w:spacing w:after="0"/>
              <w:rPr>
                <w:sz w:val="14"/>
                <w:szCs w:val="14"/>
                <w:color w:val="auto"/>
              </w:rPr>
            </w:pPr>
          </w:p>
        </w:tc>
        <w:tc>
          <w:tcPr>
            <w:tcW w:w="1180" w:type="dxa"/>
            <w:vAlign w:val="bottom"/>
          </w:tcPr>
          <w:p>
            <w:pPr>
              <w:jc w:val="center"/>
              <w:ind w:right="234"/>
              <w:spacing w:after="0" w:line="167" w:lineRule="exact"/>
              <w:rPr>
                <w:sz w:val="20"/>
                <w:szCs w:val="20"/>
                <w:color w:val="auto"/>
              </w:rPr>
            </w:pPr>
            <w:r>
              <w:rPr>
                <w:rFonts w:ascii="Arial" w:cs="Arial" w:eastAsia="Arial" w:hAnsi="Arial"/>
                <w:sz w:val="17"/>
                <w:szCs w:val="17"/>
                <w:color w:val="auto"/>
                <w:w w:val="88"/>
              </w:rPr>
              <w:t>observable</w:t>
            </w: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254"/>
              <w:spacing w:after="0" w:line="167" w:lineRule="exact"/>
              <w:rPr>
                <w:sz w:val="20"/>
                <w:szCs w:val="20"/>
                <w:color w:val="auto"/>
              </w:rPr>
            </w:pPr>
            <w:r>
              <w:rPr>
                <w:rFonts w:ascii="Arial" w:cs="Arial" w:eastAsia="Arial" w:hAnsi="Arial"/>
                <w:sz w:val="17"/>
                <w:szCs w:val="17"/>
                <w:color w:val="auto"/>
                <w:w w:val="89"/>
              </w:rPr>
              <w:t>Measure-</w:t>
            </w:r>
          </w:p>
        </w:tc>
        <w:tc>
          <w:tcPr>
            <w:tcW w:w="1120" w:type="dxa"/>
            <w:vAlign w:val="bottom"/>
          </w:tcPr>
          <w:p>
            <w:pPr>
              <w:jc w:val="center"/>
              <w:ind w:left="254"/>
              <w:spacing w:after="0" w:line="167" w:lineRule="exact"/>
              <w:rPr>
                <w:sz w:val="20"/>
                <w:szCs w:val="20"/>
                <w:color w:val="auto"/>
              </w:rPr>
            </w:pPr>
            <w:r>
              <w:rPr>
                <w:rFonts w:ascii="Arial" w:cs="Arial" w:eastAsia="Arial" w:hAnsi="Arial"/>
                <w:sz w:val="17"/>
                <w:szCs w:val="17"/>
                <w:color w:val="auto"/>
                <w:w w:val="90"/>
              </w:rPr>
              <w:t>Assets</w:t>
            </w:r>
          </w:p>
        </w:tc>
        <w:tc>
          <w:tcPr>
            <w:tcW w:w="680" w:type="dxa"/>
            <w:vAlign w:val="bottom"/>
          </w:tcPr>
          <w:p>
            <w:pPr>
              <w:spacing w:after="0"/>
              <w:rPr>
                <w:sz w:val="14"/>
                <w:szCs w:val="14"/>
                <w:color w:val="auto"/>
              </w:rPr>
            </w:pPr>
          </w:p>
        </w:tc>
        <w:tc>
          <w:tcPr>
            <w:tcW w:w="1260" w:type="dxa"/>
            <w:vAlign w:val="bottom"/>
          </w:tcPr>
          <w:p>
            <w:pPr>
              <w:jc w:val="center"/>
              <w:ind w:right="154"/>
              <w:spacing w:after="0" w:line="167" w:lineRule="exact"/>
              <w:rPr>
                <w:sz w:val="20"/>
                <w:szCs w:val="20"/>
                <w:color w:val="auto"/>
              </w:rPr>
            </w:pPr>
            <w:r>
              <w:rPr>
                <w:rFonts w:ascii="Arial" w:cs="Arial" w:eastAsia="Arial" w:hAnsi="Arial"/>
                <w:sz w:val="17"/>
                <w:szCs w:val="17"/>
                <w:color w:val="auto"/>
                <w:w w:val="90"/>
              </w:rPr>
              <w:t>Inputs</w:t>
            </w:r>
          </w:p>
        </w:tc>
        <w:tc>
          <w:tcPr>
            <w:tcW w:w="400" w:type="dxa"/>
            <w:vAlign w:val="bottom"/>
          </w:tcPr>
          <w:p>
            <w:pPr>
              <w:spacing w:after="0"/>
              <w:rPr>
                <w:sz w:val="14"/>
                <w:szCs w:val="14"/>
                <w:color w:val="auto"/>
              </w:rPr>
            </w:pPr>
          </w:p>
        </w:tc>
        <w:tc>
          <w:tcPr>
            <w:tcW w:w="1180" w:type="dxa"/>
            <w:vAlign w:val="bottom"/>
          </w:tcPr>
          <w:p>
            <w:pPr>
              <w:jc w:val="center"/>
              <w:ind w:right="234"/>
              <w:spacing w:after="0" w:line="167" w:lineRule="exact"/>
              <w:rPr>
                <w:sz w:val="20"/>
                <w:szCs w:val="20"/>
                <w:color w:val="auto"/>
              </w:rPr>
            </w:pPr>
            <w:r>
              <w:rPr>
                <w:rFonts w:ascii="Arial" w:cs="Arial" w:eastAsia="Arial" w:hAnsi="Arial"/>
                <w:sz w:val="17"/>
                <w:szCs w:val="17"/>
                <w:color w:val="auto"/>
                <w:w w:val="90"/>
              </w:rPr>
              <w:t>Inputs</w:t>
            </w:r>
          </w:p>
        </w:tc>
        <w:tc>
          <w:tcPr>
            <w:tcW w:w="0" w:type="dxa"/>
            <w:vAlign w:val="bottom"/>
          </w:tcPr>
          <w:p>
            <w:pPr>
              <w:spacing w:after="0"/>
              <w:rPr>
                <w:sz w:val="1"/>
                <w:szCs w:val="1"/>
                <w:color w:val="auto"/>
              </w:rPr>
            </w:pPr>
          </w:p>
        </w:tc>
      </w:tr>
      <w:tr>
        <w:trPr>
          <w:trHeight w:val="224"/>
        </w:trPr>
        <w:tc>
          <w:tcPr>
            <w:tcW w:w="5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274"/>
              <w:spacing w:after="0"/>
              <w:rPr>
                <w:sz w:val="20"/>
                <w:szCs w:val="20"/>
                <w:color w:val="auto"/>
              </w:rPr>
            </w:pPr>
            <w:r>
              <w:rPr>
                <w:rFonts w:ascii="Arial" w:cs="Arial" w:eastAsia="Arial" w:hAnsi="Arial"/>
                <w:sz w:val="17"/>
                <w:szCs w:val="17"/>
                <w:color w:val="auto"/>
                <w:w w:val="90"/>
              </w:rPr>
              <w:t>ments</w:t>
            </w:r>
          </w:p>
        </w:tc>
        <w:tc>
          <w:tcPr>
            <w:tcW w:w="1120" w:type="dxa"/>
            <w:vAlign w:val="bottom"/>
            <w:tcBorders>
              <w:bottom w:val="single" w:sz="8" w:color="auto"/>
            </w:tcBorders>
          </w:tcPr>
          <w:p>
            <w:pPr>
              <w:jc w:val="center"/>
              <w:ind w:left="254"/>
              <w:spacing w:after="0"/>
              <w:rPr>
                <w:sz w:val="20"/>
                <w:szCs w:val="20"/>
                <w:color w:val="auto"/>
              </w:rPr>
            </w:pPr>
            <w:r>
              <w:rPr>
                <w:rFonts w:ascii="Arial" w:cs="Arial" w:eastAsia="Arial" w:hAnsi="Arial"/>
                <w:sz w:val="17"/>
                <w:szCs w:val="17"/>
                <w:color w:val="auto"/>
                <w:w w:val="93"/>
              </w:rPr>
              <w:t>(Level 1)</w:t>
            </w:r>
          </w:p>
        </w:tc>
        <w:tc>
          <w:tcPr>
            <w:tcW w:w="6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color w:val="auto"/>
                <w:w w:val="93"/>
              </w:rPr>
              <w:t>(Level 2)</w:t>
            </w: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14"/>
              <w:spacing w:after="0"/>
              <w:rPr>
                <w:sz w:val="20"/>
                <w:szCs w:val="20"/>
                <w:color w:val="auto"/>
              </w:rPr>
            </w:pPr>
            <w:r>
              <w:rPr>
                <w:rFonts w:ascii="Arial" w:cs="Arial" w:eastAsia="Arial" w:hAnsi="Arial"/>
                <w:sz w:val="17"/>
                <w:szCs w:val="17"/>
                <w:color w:val="auto"/>
                <w:w w:val="96"/>
              </w:rPr>
              <w:t>(Level 3)</w:t>
            </w:r>
          </w:p>
        </w:tc>
        <w:tc>
          <w:tcPr>
            <w:tcW w:w="0" w:type="dxa"/>
            <w:vAlign w:val="bottom"/>
          </w:tcPr>
          <w:p>
            <w:pPr>
              <w:spacing w:after="0"/>
              <w:rPr>
                <w:sz w:val="1"/>
                <w:szCs w:val="1"/>
                <w:color w:val="auto"/>
              </w:rPr>
            </w:pPr>
          </w:p>
        </w:tc>
      </w:tr>
      <w:tr>
        <w:trPr>
          <w:trHeight w:val="218"/>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60" w:type="dxa"/>
            <w:vAlign w:val="bottom"/>
            <w:gridSpan w:val="3"/>
          </w:tcPr>
          <w:p>
            <w:pPr>
              <w:jc w:val="right"/>
              <w:ind w:right="954"/>
              <w:spacing w:after="0"/>
              <w:rPr>
                <w:sz w:val="20"/>
                <w:szCs w:val="20"/>
                <w:color w:val="auto"/>
              </w:rPr>
            </w:pPr>
            <w:r>
              <w:rPr>
                <w:rFonts w:ascii="Arial" w:cs="Arial" w:eastAsia="Arial" w:hAnsi="Arial"/>
                <w:sz w:val="17"/>
                <w:szCs w:val="17"/>
                <w:color w:val="auto"/>
              </w:rPr>
              <w:t>(In thousands)</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June 30, 2023:</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Arial" w:cs="Arial" w:eastAsia="Arial" w:hAnsi="Arial"/>
                <w:sz w:val="17"/>
                <w:szCs w:val="17"/>
                <w:color w:val="auto"/>
              </w:rPr>
              <w:t>Measured at Fair Value on a Recurring Basis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020" w:type="dxa"/>
            <w:vAlign w:val="bottom"/>
          </w:tcPr>
          <w:p>
            <w:pPr>
              <w:ind w:left="180"/>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020" w:type="dxa"/>
            <w:vAlign w:val="bottom"/>
          </w:tcPr>
          <w:p>
            <w:pPr>
              <w:ind w:left="320"/>
              <w:spacing w:after="0"/>
              <w:rPr>
                <w:sz w:val="20"/>
                <w:szCs w:val="20"/>
                <w:color w:val="auto"/>
              </w:rPr>
            </w:pPr>
            <w:r>
              <w:rPr>
                <w:rFonts w:ascii="Arial" w:cs="Arial" w:eastAsia="Arial" w:hAnsi="Arial"/>
                <w:sz w:val="17"/>
                <w:szCs w:val="17"/>
                <w:color w:val="auto"/>
              </w:rPr>
              <w:t>Securities available for sale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10,977</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10,977</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020" w:type="dxa"/>
            <w:vAlign w:val="bottom"/>
          </w:tcPr>
          <w:p>
            <w:pPr>
              <w:ind w:left="480"/>
              <w:spacing w:after="0"/>
              <w:rPr>
                <w:sz w:val="20"/>
                <w:szCs w:val="20"/>
                <w:color w:val="auto"/>
              </w:rPr>
            </w:pPr>
            <w:r>
              <w:rPr>
                <w:rFonts w:ascii="Arial" w:cs="Arial" w:eastAsia="Arial" w:hAnsi="Arial"/>
                <w:sz w:val="17"/>
                <w:szCs w:val="17"/>
                <w:color w:val="auto"/>
              </w:rPr>
              <w:t>U.S. agency residential mortgage-backed</w:t>
            </w:r>
          </w:p>
        </w:tc>
        <w:tc>
          <w:tcPr>
            <w:tcW w:w="240" w:type="dxa"/>
            <w:vAlign w:val="bottom"/>
          </w:tcPr>
          <w:p>
            <w:pPr>
              <w:spacing w:after="0"/>
              <w:rPr>
                <w:sz w:val="18"/>
                <w:szCs w:val="18"/>
                <w:color w:val="auto"/>
              </w:rPr>
            </w:pPr>
          </w:p>
        </w:tc>
        <w:tc>
          <w:tcPr>
            <w:tcW w:w="1340" w:type="dxa"/>
            <w:vAlign w:val="bottom"/>
          </w:tcPr>
          <w:p>
            <w:pPr>
              <w:jc w:val="right"/>
              <w:ind w:right="94"/>
              <w:spacing w:after="0"/>
              <w:rPr>
                <w:sz w:val="20"/>
                <w:szCs w:val="20"/>
                <w:color w:val="auto"/>
              </w:rPr>
            </w:pPr>
            <w:r>
              <w:rPr>
                <w:rFonts w:ascii="Arial" w:cs="Arial" w:eastAsia="Arial" w:hAnsi="Arial"/>
                <w:sz w:val="17"/>
                <w:szCs w:val="17"/>
                <w:color w:val="auto"/>
              </w:rPr>
              <w:t>85,403</w:t>
            </w:r>
          </w:p>
        </w:tc>
        <w:tc>
          <w:tcPr>
            <w:tcW w:w="112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85,403</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U.S. agency commercial mortgage-backed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12,911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12,911</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480"/>
              <w:spacing w:after="0"/>
              <w:rPr>
                <w:sz w:val="20"/>
                <w:szCs w:val="20"/>
                <w:color w:val="auto"/>
              </w:rPr>
            </w:pPr>
            <w:r>
              <w:rPr>
                <w:rFonts w:ascii="Arial" w:cs="Arial" w:eastAsia="Arial" w:hAnsi="Arial"/>
                <w:sz w:val="17"/>
                <w:szCs w:val="17"/>
                <w:color w:val="auto"/>
              </w:rPr>
              <w:t>Private label mortgage-backed</w:t>
            </w:r>
          </w:p>
        </w:tc>
        <w:tc>
          <w:tcPr>
            <w:tcW w:w="240" w:type="dxa"/>
            <w:vAlign w:val="bottom"/>
          </w:tcPr>
          <w:p>
            <w:pPr>
              <w:spacing w:after="0"/>
              <w:rPr>
                <w:sz w:val="19"/>
                <w:szCs w:val="19"/>
                <w:color w:val="auto"/>
              </w:rPr>
            </w:pPr>
          </w:p>
        </w:tc>
        <w:tc>
          <w:tcPr>
            <w:tcW w:w="1340" w:type="dxa"/>
            <w:vAlign w:val="bottom"/>
          </w:tcPr>
          <w:p>
            <w:pPr>
              <w:jc w:val="right"/>
              <w:ind w:right="94"/>
              <w:spacing w:after="0"/>
              <w:rPr>
                <w:sz w:val="20"/>
                <w:szCs w:val="20"/>
                <w:color w:val="auto"/>
              </w:rPr>
            </w:pPr>
            <w:r>
              <w:rPr>
                <w:rFonts w:ascii="Arial" w:cs="Arial" w:eastAsia="Arial" w:hAnsi="Arial"/>
                <w:sz w:val="17"/>
                <w:szCs w:val="17"/>
                <w:color w:val="auto"/>
              </w:rPr>
              <w:t>90,221</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90,221</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asset backed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155,028</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155,028</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020" w:type="dxa"/>
            <w:vAlign w:val="bottom"/>
          </w:tcPr>
          <w:p>
            <w:pPr>
              <w:ind w:left="480"/>
              <w:spacing w:after="0"/>
              <w:rPr>
                <w:sz w:val="20"/>
                <w:szCs w:val="20"/>
                <w:color w:val="auto"/>
              </w:rPr>
            </w:pPr>
            <w:r>
              <w:rPr>
                <w:rFonts w:ascii="Arial" w:cs="Arial" w:eastAsia="Arial" w:hAnsi="Arial"/>
                <w:sz w:val="17"/>
                <w:szCs w:val="17"/>
                <w:color w:val="auto"/>
              </w:rPr>
              <w:t>Obligations of states and political subdivisions</w:t>
            </w:r>
          </w:p>
        </w:tc>
        <w:tc>
          <w:tcPr>
            <w:tcW w:w="240" w:type="dxa"/>
            <w:vAlign w:val="bottom"/>
          </w:tcPr>
          <w:p>
            <w:pPr>
              <w:spacing w:after="0"/>
              <w:rPr>
                <w:sz w:val="18"/>
                <w:szCs w:val="18"/>
                <w:color w:val="auto"/>
              </w:rPr>
            </w:pPr>
          </w:p>
        </w:tc>
        <w:tc>
          <w:tcPr>
            <w:tcW w:w="1340" w:type="dxa"/>
            <w:vAlign w:val="bottom"/>
          </w:tcPr>
          <w:p>
            <w:pPr>
              <w:jc w:val="right"/>
              <w:ind w:right="94"/>
              <w:spacing w:after="0"/>
              <w:rPr>
                <w:sz w:val="20"/>
                <w:szCs w:val="20"/>
                <w:color w:val="auto"/>
              </w:rPr>
            </w:pPr>
            <w:r>
              <w:rPr>
                <w:rFonts w:ascii="Arial" w:cs="Arial" w:eastAsia="Arial" w:hAnsi="Arial"/>
                <w:sz w:val="17"/>
                <w:szCs w:val="17"/>
                <w:color w:val="auto"/>
              </w:rPr>
              <w:t>301,329</w:t>
            </w:r>
          </w:p>
        </w:tc>
        <w:tc>
          <w:tcPr>
            <w:tcW w:w="112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301,329</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Corporate</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74,988</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74,988</w:t>
            </w: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020" w:type="dxa"/>
            <w:vAlign w:val="bottom"/>
          </w:tcPr>
          <w:p>
            <w:pPr>
              <w:ind w:left="480"/>
              <w:spacing w:after="0"/>
              <w:rPr>
                <w:sz w:val="20"/>
                <w:szCs w:val="20"/>
                <w:color w:val="auto"/>
              </w:rPr>
            </w:pPr>
            <w:r>
              <w:rPr>
                <w:rFonts w:ascii="Arial" w:cs="Arial" w:eastAsia="Arial" w:hAnsi="Arial"/>
                <w:sz w:val="17"/>
                <w:szCs w:val="17"/>
                <w:color w:val="auto"/>
              </w:rPr>
              <w:t>Trust preferred</w:t>
            </w:r>
          </w:p>
        </w:tc>
        <w:tc>
          <w:tcPr>
            <w:tcW w:w="240" w:type="dxa"/>
            <w:vAlign w:val="bottom"/>
          </w:tcPr>
          <w:p>
            <w:pPr>
              <w:spacing w:after="0"/>
              <w:rPr>
                <w:sz w:val="18"/>
                <w:szCs w:val="18"/>
                <w:color w:val="auto"/>
              </w:rPr>
            </w:pPr>
          </w:p>
        </w:tc>
        <w:tc>
          <w:tcPr>
            <w:tcW w:w="1340" w:type="dxa"/>
            <w:vAlign w:val="bottom"/>
          </w:tcPr>
          <w:p>
            <w:pPr>
              <w:jc w:val="right"/>
              <w:ind w:right="94"/>
              <w:spacing w:after="0"/>
              <w:rPr>
                <w:sz w:val="20"/>
                <w:szCs w:val="20"/>
                <w:color w:val="auto"/>
              </w:rPr>
            </w:pPr>
            <w:r>
              <w:rPr>
                <w:rFonts w:ascii="Arial" w:cs="Arial" w:eastAsia="Arial" w:hAnsi="Arial"/>
                <w:sz w:val="17"/>
                <w:szCs w:val="17"/>
                <w:color w:val="auto"/>
              </w:rPr>
              <w:t>920</w:t>
            </w:r>
          </w:p>
        </w:tc>
        <w:tc>
          <w:tcPr>
            <w:tcW w:w="112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920</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Loans held for sale, carried at fair value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20,270</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20,270</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320"/>
              <w:spacing w:after="0"/>
              <w:rPr>
                <w:sz w:val="20"/>
                <w:szCs w:val="20"/>
                <w:color w:val="auto"/>
              </w:rPr>
            </w:pPr>
            <w:r>
              <w:rPr>
                <w:rFonts w:ascii="Arial" w:cs="Arial" w:eastAsia="Arial" w:hAnsi="Arial"/>
                <w:sz w:val="17"/>
                <w:szCs w:val="17"/>
                <w:color w:val="auto"/>
              </w:rPr>
              <w:t>Capitalized mortgage loan servicing rights</w:t>
            </w:r>
          </w:p>
        </w:tc>
        <w:tc>
          <w:tcPr>
            <w:tcW w:w="240" w:type="dxa"/>
            <w:vAlign w:val="bottom"/>
          </w:tcPr>
          <w:p>
            <w:pPr>
              <w:spacing w:after="0"/>
              <w:rPr>
                <w:sz w:val="19"/>
                <w:szCs w:val="19"/>
                <w:color w:val="auto"/>
              </w:rPr>
            </w:pPr>
          </w:p>
        </w:tc>
        <w:tc>
          <w:tcPr>
            <w:tcW w:w="1340" w:type="dxa"/>
            <w:vAlign w:val="bottom"/>
          </w:tcPr>
          <w:p>
            <w:pPr>
              <w:jc w:val="right"/>
              <w:ind w:right="94"/>
              <w:spacing w:after="0"/>
              <w:rPr>
                <w:sz w:val="20"/>
                <w:szCs w:val="20"/>
                <w:color w:val="auto"/>
              </w:rPr>
            </w:pPr>
            <w:r>
              <w:rPr>
                <w:rFonts w:ascii="Arial" w:cs="Arial" w:eastAsia="Arial" w:hAnsi="Arial"/>
                <w:sz w:val="17"/>
                <w:szCs w:val="17"/>
                <w:color w:val="auto"/>
              </w:rPr>
              <w:t>44,427</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44,427</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Derivatives (1)</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39,717</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39,717</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020" w:type="dxa"/>
            <w:vAlign w:val="bottom"/>
          </w:tcPr>
          <w:p>
            <w:pPr>
              <w:ind w:left="18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Derivatives (2)</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17,854</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17,854</w:t>
            </w: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2"/>
        </w:trPr>
        <w:tc>
          <w:tcPr>
            <w:tcW w:w="5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Measured at Fair Value on a Non-recurring Basis:</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180"/>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Collateral dependent loans (3)</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480"/>
              <w:spacing w:after="0"/>
              <w:rPr>
                <w:sz w:val="20"/>
                <w:szCs w:val="20"/>
                <w:color w:val="auto"/>
              </w:rPr>
            </w:pPr>
            <w:r>
              <w:rPr>
                <w:rFonts w:ascii="Arial" w:cs="Arial" w:eastAsia="Arial" w:hAnsi="Arial"/>
                <w:sz w:val="17"/>
                <w:szCs w:val="17"/>
                <w:color w:val="auto"/>
              </w:rPr>
              <w:t>Commercial</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Commercial and industrial</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1,830</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w:t>
            </w:r>
          </w:p>
        </w:tc>
        <w:tc>
          <w:tcPr>
            <w:tcW w:w="0" w:type="dxa"/>
            <w:vAlign w:val="bottom"/>
          </w:tcPr>
          <w:p>
            <w:pPr>
              <w:spacing w:after="0"/>
              <w:rPr>
                <w:sz w:val="1"/>
                <w:szCs w:val="1"/>
                <w:color w:val="auto"/>
              </w:rPr>
            </w:pPr>
          </w:p>
        </w:tc>
      </w:tr>
      <w:tr>
        <w:trPr>
          <w:trHeight w:val="218"/>
        </w:trPr>
        <w:tc>
          <w:tcPr>
            <w:tcW w:w="5020" w:type="dxa"/>
            <w:vAlign w:val="bottom"/>
          </w:tcPr>
          <w:p>
            <w:pPr>
              <w:ind w:left="640"/>
              <w:spacing w:after="0"/>
              <w:rPr>
                <w:sz w:val="20"/>
                <w:szCs w:val="20"/>
                <w:color w:val="auto"/>
              </w:rPr>
            </w:pPr>
            <w:r>
              <w:rPr>
                <w:rFonts w:ascii="Arial" w:cs="Arial" w:eastAsia="Arial" w:hAnsi="Arial"/>
                <w:sz w:val="17"/>
                <w:szCs w:val="17"/>
                <w:color w:val="auto"/>
              </w:rPr>
              <w:t>Commercial real estate</w:t>
            </w:r>
          </w:p>
        </w:tc>
        <w:tc>
          <w:tcPr>
            <w:tcW w:w="240" w:type="dxa"/>
            <w:vAlign w:val="bottom"/>
          </w:tcPr>
          <w:p>
            <w:pPr>
              <w:spacing w:after="0"/>
              <w:rPr>
                <w:sz w:val="18"/>
                <w:szCs w:val="18"/>
                <w:color w:val="auto"/>
              </w:rPr>
            </w:pPr>
          </w:p>
        </w:tc>
        <w:tc>
          <w:tcPr>
            <w:tcW w:w="1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Mortgage</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640"/>
              <w:spacing w:after="0"/>
              <w:rPr>
                <w:sz w:val="20"/>
                <w:szCs w:val="20"/>
                <w:color w:val="auto"/>
              </w:rPr>
            </w:pPr>
            <w:r>
              <w:rPr>
                <w:rFonts w:ascii="Arial" w:cs="Arial" w:eastAsia="Arial" w:hAnsi="Arial"/>
                <w:sz w:val="17"/>
                <w:szCs w:val="17"/>
                <w:color w:val="auto"/>
              </w:rPr>
              <w:t>1-4 family owner occupied - non-jumbo</w:t>
            </w:r>
          </w:p>
        </w:tc>
        <w:tc>
          <w:tcPr>
            <w:tcW w:w="240" w:type="dxa"/>
            <w:vAlign w:val="bottom"/>
          </w:tcPr>
          <w:p>
            <w:pPr>
              <w:spacing w:after="0"/>
              <w:rPr>
                <w:sz w:val="18"/>
                <w:szCs w:val="18"/>
                <w:color w:val="auto"/>
              </w:rPr>
            </w:pPr>
          </w:p>
        </w:tc>
        <w:tc>
          <w:tcPr>
            <w:tcW w:w="1340" w:type="dxa"/>
            <w:vAlign w:val="bottom"/>
          </w:tcPr>
          <w:p>
            <w:pPr>
              <w:jc w:val="right"/>
              <w:ind w:right="94"/>
              <w:spacing w:after="0"/>
              <w:rPr>
                <w:sz w:val="20"/>
                <w:szCs w:val="20"/>
                <w:color w:val="auto"/>
              </w:rPr>
            </w:pPr>
            <w:r>
              <w:rPr>
                <w:rFonts w:ascii="Arial" w:cs="Arial" w:eastAsia="Arial" w:hAnsi="Arial"/>
                <w:sz w:val="17"/>
                <w:szCs w:val="17"/>
                <w:color w:val="auto"/>
              </w:rPr>
              <w:t>601</w:t>
            </w:r>
          </w:p>
        </w:tc>
        <w:tc>
          <w:tcPr>
            <w:tcW w:w="112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601</w:t>
            </w: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1-4 family non-owner occupied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5020" w:type="dxa"/>
            <w:vAlign w:val="bottom"/>
          </w:tcPr>
          <w:p>
            <w:pPr>
              <w:ind w:left="640"/>
              <w:spacing w:after="0"/>
              <w:rPr>
                <w:sz w:val="20"/>
                <w:szCs w:val="20"/>
                <w:color w:val="auto"/>
              </w:rPr>
            </w:pPr>
            <w:r>
              <w:rPr>
                <w:rFonts w:ascii="Arial" w:cs="Arial" w:eastAsia="Arial" w:hAnsi="Arial"/>
                <w:sz w:val="17"/>
                <w:szCs w:val="17"/>
                <w:color w:val="auto"/>
              </w:rPr>
              <w:t>1-4 family - 2nd lien</w:t>
            </w:r>
          </w:p>
        </w:tc>
        <w:tc>
          <w:tcPr>
            <w:tcW w:w="240" w:type="dxa"/>
            <w:vAlign w:val="bottom"/>
          </w:tcPr>
          <w:p>
            <w:pPr>
              <w:spacing w:after="0"/>
              <w:rPr>
                <w:sz w:val="19"/>
                <w:szCs w:val="19"/>
                <w:color w:val="auto"/>
              </w:rPr>
            </w:pPr>
          </w:p>
        </w:tc>
        <w:tc>
          <w:tcPr>
            <w:tcW w:w="1340" w:type="dxa"/>
            <w:vAlign w:val="bottom"/>
          </w:tcPr>
          <w:p>
            <w:pPr>
              <w:jc w:val="right"/>
              <w:ind w:right="94"/>
              <w:spacing w:after="0"/>
              <w:rPr>
                <w:sz w:val="20"/>
                <w:szCs w:val="20"/>
                <w:color w:val="auto"/>
              </w:rPr>
            </w:pPr>
            <w:r>
              <w:rPr>
                <w:rFonts w:ascii="Arial" w:cs="Arial" w:eastAsia="Arial" w:hAnsi="Arial"/>
                <w:sz w:val="17"/>
                <w:szCs w:val="17"/>
                <w:color w:val="auto"/>
              </w:rPr>
              <w:t>36</w:t>
            </w:r>
          </w:p>
        </w:tc>
        <w:tc>
          <w:tcPr>
            <w:tcW w:w="1120" w:type="dxa"/>
            <w:vAlign w:val="bottom"/>
          </w:tcPr>
          <w:p>
            <w:pPr>
              <w:spacing w:after="0"/>
              <w:rPr>
                <w:sz w:val="19"/>
                <w:szCs w:val="19"/>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Resort lending</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65</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218"/>
        </w:trPr>
        <w:tc>
          <w:tcPr>
            <w:tcW w:w="5020" w:type="dxa"/>
            <w:vAlign w:val="bottom"/>
          </w:tcPr>
          <w:p>
            <w:pPr>
              <w:ind w:left="480"/>
              <w:spacing w:after="0"/>
              <w:rPr>
                <w:sz w:val="20"/>
                <w:szCs w:val="20"/>
                <w:color w:val="auto"/>
              </w:rPr>
            </w:pPr>
            <w:r>
              <w:rPr>
                <w:rFonts w:ascii="Arial" w:cs="Arial" w:eastAsia="Arial" w:hAnsi="Arial"/>
                <w:sz w:val="17"/>
                <w:szCs w:val="17"/>
                <w:color w:val="auto"/>
              </w:rPr>
              <w:t>Installment</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Boat lending</w:t>
            </w: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144</w:t>
            </w:r>
          </w:p>
        </w:tc>
        <w:tc>
          <w:tcPr>
            <w:tcW w:w="1120" w:type="dxa"/>
            <w:vAlign w:val="bottom"/>
            <w:shd w:val="clear" w:color="auto" w:fill="CCEEFF"/>
          </w:tcPr>
          <w:p>
            <w:pPr>
              <w:spacing w:after="0"/>
              <w:rPr>
                <w:sz w:val="20"/>
                <w:szCs w:val="20"/>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18"/>
        </w:trPr>
        <w:tc>
          <w:tcPr>
            <w:tcW w:w="5020" w:type="dxa"/>
            <w:vAlign w:val="bottom"/>
          </w:tcPr>
          <w:p>
            <w:pPr>
              <w:ind w:left="640"/>
              <w:spacing w:after="0"/>
              <w:rPr>
                <w:sz w:val="20"/>
                <w:szCs w:val="20"/>
                <w:color w:val="auto"/>
              </w:rPr>
            </w:pPr>
            <w:r>
              <w:rPr>
                <w:rFonts w:ascii="Arial" w:cs="Arial" w:eastAsia="Arial" w:hAnsi="Arial"/>
                <w:sz w:val="17"/>
                <w:szCs w:val="17"/>
                <w:color w:val="auto"/>
              </w:rPr>
              <w:t>Recreational vehicle lending</w:t>
            </w:r>
          </w:p>
        </w:tc>
        <w:tc>
          <w:tcPr>
            <w:tcW w:w="240" w:type="dxa"/>
            <w:vAlign w:val="bottom"/>
          </w:tcPr>
          <w:p>
            <w:pPr>
              <w:spacing w:after="0"/>
              <w:rPr>
                <w:sz w:val="18"/>
                <w:szCs w:val="18"/>
                <w:color w:val="auto"/>
              </w:rPr>
            </w:pPr>
          </w:p>
        </w:tc>
        <w:tc>
          <w:tcPr>
            <w:tcW w:w="1340" w:type="dxa"/>
            <w:vAlign w:val="bottom"/>
          </w:tcPr>
          <w:p>
            <w:pPr>
              <w:jc w:val="right"/>
              <w:ind w:right="94"/>
              <w:spacing w:after="0"/>
              <w:rPr>
                <w:sz w:val="20"/>
                <w:szCs w:val="20"/>
                <w:color w:val="auto"/>
              </w:rPr>
            </w:pPr>
            <w:r>
              <w:rPr>
                <w:rFonts w:ascii="Arial" w:cs="Arial" w:eastAsia="Arial" w:hAnsi="Arial"/>
                <w:sz w:val="17"/>
                <w:szCs w:val="17"/>
                <w:color w:val="auto"/>
              </w:rPr>
              <w:t>88</w:t>
            </w:r>
          </w:p>
        </w:tc>
        <w:tc>
          <w:tcPr>
            <w:tcW w:w="112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21</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5"/>
        </w:trPr>
        <w:tc>
          <w:tcPr>
            <w:tcW w:w="5020" w:type="dxa"/>
            <w:vAlign w:val="bottom"/>
          </w:tcPr>
          <w:p>
            <w:pPr>
              <w:ind w:left="320"/>
              <w:spacing w:after="0"/>
              <w:rPr>
                <w:sz w:val="20"/>
                <w:szCs w:val="20"/>
                <w:color w:val="auto"/>
              </w:rPr>
            </w:pPr>
            <w:r>
              <w:rPr>
                <w:rFonts w:ascii="Arial" w:cs="Arial" w:eastAsia="Arial" w:hAnsi="Arial"/>
                <w:sz w:val="17"/>
                <w:szCs w:val="17"/>
                <w:color w:val="auto"/>
              </w:rPr>
              <w:t>Other real estate</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1-4 family non-owner occupied (4)</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58</w:t>
            </w:r>
          </w:p>
        </w:tc>
        <w:tc>
          <w:tcPr>
            <w:tcW w:w="112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17" w:lineRule="exact"/>
        <w:rPr>
          <w:sz w:val="20"/>
          <w:szCs w:val="20"/>
          <w:color w:val="auto"/>
        </w:rPr>
      </w:pPr>
    </w:p>
    <w:p>
      <w:pPr>
        <w:ind w:left="320" w:hanging="317"/>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in accrued income and other assets</w:t>
      </w:r>
    </w:p>
    <w:p>
      <w:pPr>
        <w:spacing w:after="0" w:line="1" w:lineRule="exact"/>
        <w:rPr>
          <w:rFonts w:ascii="Arial" w:cs="Arial" w:eastAsia="Arial" w:hAnsi="Arial"/>
          <w:sz w:val="14"/>
          <w:szCs w:val="14"/>
          <w:color w:val="auto"/>
        </w:rPr>
      </w:pPr>
    </w:p>
    <w:p>
      <w:pPr>
        <w:ind w:left="320" w:hanging="317"/>
        <w:spacing w:after="0" w:line="238" w:lineRule="auto"/>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Included in accrued expenses and other liabilities</w:t>
      </w:r>
    </w:p>
    <w:p>
      <w:pPr>
        <w:ind w:left="320" w:hanging="317"/>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Only includes individually evaluated loans with specific loss allocations based on collateral value.</w:t>
      </w:r>
    </w:p>
    <w:p>
      <w:pPr>
        <w:spacing w:after="0" w:line="1" w:lineRule="exact"/>
        <w:rPr>
          <w:rFonts w:ascii="Arial" w:cs="Arial" w:eastAsia="Arial" w:hAnsi="Arial"/>
          <w:sz w:val="14"/>
          <w:szCs w:val="14"/>
          <w:color w:val="auto"/>
        </w:rPr>
      </w:pPr>
    </w:p>
    <w:p>
      <w:pPr>
        <w:ind w:left="320" w:hanging="317"/>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Only includes other real estate with subsequent write downs to fair value.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ind w:right="100"/>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(Unaudited)</w:t>
      </w:r>
    </w:p>
    <w:p>
      <w:pPr>
        <w:spacing w:after="0" w:line="296" w:lineRule="exact"/>
        <w:rPr>
          <w:sz w:val="20"/>
          <w:szCs w:val="20"/>
          <w:color w:val="auto"/>
        </w:rPr>
      </w:pPr>
    </w:p>
    <w:tbl>
      <w:tblPr>
        <w:tblLayout w:type="fixed"/>
        <w:tblInd w:w="620" w:type="dxa"/>
        <w:tblCellMar>
          <w:top w:w="0" w:type="dxa"/>
          <w:left w:w="0" w:type="dxa"/>
          <w:bottom w:w="0" w:type="dxa"/>
          <w:right w:w="0" w:type="dxa"/>
        </w:tblCellMar>
      </w:tblPr>
      <w:tr>
        <w:trPr>
          <w:trHeight w:val="218"/>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7"/>
                <w:szCs w:val="17"/>
                <w:color w:val="auto"/>
                <w:w w:val="90"/>
              </w:rPr>
              <w:t>Fair Value Measurements Using</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center"/>
              <w:ind w:right="514"/>
              <w:spacing w:after="0" w:line="175" w:lineRule="exact"/>
              <w:rPr>
                <w:sz w:val="20"/>
                <w:szCs w:val="20"/>
                <w:color w:val="auto"/>
              </w:rPr>
            </w:pPr>
            <w:r>
              <w:rPr>
                <w:rFonts w:ascii="Arial" w:cs="Arial" w:eastAsia="Arial" w:hAnsi="Arial"/>
                <w:sz w:val="17"/>
                <w:szCs w:val="17"/>
                <w:color w:val="auto"/>
                <w:w w:val="89"/>
              </w:rPr>
              <w:t>Quoted</w:t>
            </w: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center"/>
              <w:ind w:right="514"/>
              <w:spacing w:after="0" w:line="167" w:lineRule="exact"/>
              <w:rPr>
                <w:sz w:val="20"/>
                <w:szCs w:val="20"/>
                <w:color w:val="auto"/>
              </w:rPr>
            </w:pPr>
            <w:r>
              <w:rPr>
                <w:rFonts w:ascii="Arial" w:cs="Arial" w:eastAsia="Arial" w:hAnsi="Arial"/>
                <w:sz w:val="17"/>
                <w:szCs w:val="17"/>
                <w:color w:val="auto"/>
                <w:w w:val="88"/>
              </w:rPr>
              <w:t>Prices</w:t>
            </w:r>
          </w:p>
        </w:tc>
        <w:tc>
          <w:tcPr>
            <w:tcW w:w="1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center"/>
              <w:ind w:right="514"/>
              <w:spacing w:after="0" w:line="167" w:lineRule="exact"/>
              <w:rPr>
                <w:sz w:val="20"/>
                <w:szCs w:val="20"/>
                <w:color w:val="auto"/>
              </w:rPr>
            </w:pPr>
            <w:r>
              <w:rPr>
                <w:rFonts w:ascii="Arial" w:cs="Arial" w:eastAsia="Arial" w:hAnsi="Arial"/>
                <w:sz w:val="17"/>
                <w:szCs w:val="17"/>
                <w:color w:val="auto"/>
                <w:w w:val="96"/>
              </w:rPr>
              <w:t>in Active</w:t>
            </w:r>
          </w:p>
        </w:tc>
        <w:tc>
          <w:tcPr>
            <w:tcW w:w="1260" w:type="dxa"/>
            <w:vAlign w:val="bottom"/>
            <w:vMerge w:val="restart"/>
          </w:tcPr>
          <w:p>
            <w:pPr>
              <w:jc w:val="center"/>
              <w:ind w:right="174"/>
              <w:spacing w:after="0"/>
              <w:rPr>
                <w:sz w:val="20"/>
                <w:szCs w:val="20"/>
                <w:color w:val="auto"/>
              </w:rPr>
            </w:pPr>
            <w:r>
              <w:rPr>
                <w:rFonts w:ascii="Arial" w:cs="Arial" w:eastAsia="Arial" w:hAnsi="Arial"/>
                <w:sz w:val="17"/>
                <w:szCs w:val="17"/>
                <w:color w:val="auto"/>
                <w:w w:val="96"/>
              </w:rPr>
              <w:t>Significant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Significa</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jc w:val="center"/>
              <w:ind w:right="534"/>
              <w:spacing w:after="0" w:line="180" w:lineRule="exact"/>
              <w:rPr>
                <w:sz w:val="20"/>
                <w:szCs w:val="20"/>
                <w:color w:val="auto"/>
              </w:rPr>
            </w:pPr>
            <w:r>
              <w:rPr>
                <w:rFonts w:ascii="Arial" w:cs="Arial" w:eastAsia="Arial" w:hAnsi="Arial"/>
                <w:sz w:val="17"/>
                <w:szCs w:val="17"/>
                <w:color w:val="auto"/>
                <w:w w:val="92"/>
              </w:rPr>
              <w:t>Markets</w:t>
            </w:r>
          </w:p>
        </w:tc>
        <w:tc>
          <w:tcPr>
            <w:tcW w:w="12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restart"/>
          </w:tcPr>
          <w:p>
            <w:pPr>
              <w:jc w:val="center"/>
              <w:ind w:right="254"/>
              <w:spacing w:after="0"/>
              <w:rPr>
                <w:sz w:val="20"/>
                <w:szCs w:val="20"/>
                <w:color w:val="auto"/>
              </w:rPr>
            </w:pPr>
            <w:r>
              <w:rPr>
                <w:rFonts w:ascii="Arial" w:cs="Arial" w:eastAsia="Arial" w:hAnsi="Arial"/>
                <w:sz w:val="17"/>
                <w:szCs w:val="17"/>
                <w:color w:val="auto"/>
                <w:w w:val="90"/>
              </w:rPr>
              <w:t>Fair Value</w:t>
            </w:r>
          </w:p>
        </w:tc>
        <w:tc>
          <w:tcPr>
            <w:tcW w:w="280" w:type="dxa"/>
            <w:vAlign w:val="bottom"/>
          </w:tcPr>
          <w:p>
            <w:pPr>
              <w:spacing w:after="0"/>
              <w:rPr>
                <w:sz w:val="14"/>
                <w:szCs w:val="14"/>
                <w:color w:val="auto"/>
              </w:rPr>
            </w:pPr>
          </w:p>
        </w:tc>
        <w:tc>
          <w:tcPr>
            <w:tcW w:w="1540" w:type="dxa"/>
            <w:vAlign w:val="bottom"/>
          </w:tcPr>
          <w:p>
            <w:pPr>
              <w:jc w:val="center"/>
              <w:ind w:right="534"/>
              <w:spacing w:after="0" w:line="167" w:lineRule="exact"/>
              <w:rPr>
                <w:sz w:val="20"/>
                <w:szCs w:val="20"/>
                <w:color w:val="auto"/>
              </w:rPr>
            </w:pPr>
            <w:r>
              <w:rPr>
                <w:rFonts w:ascii="Arial" w:cs="Arial" w:eastAsia="Arial" w:hAnsi="Arial"/>
                <w:sz w:val="17"/>
                <w:szCs w:val="17"/>
                <w:color w:val="auto"/>
              </w:rPr>
              <w:t>for</w:t>
            </w:r>
          </w:p>
        </w:tc>
        <w:tc>
          <w:tcPr>
            <w:tcW w:w="1260" w:type="dxa"/>
            <w:vAlign w:val="bottom"/>
          </w:tcPr>
          <w:p>
            <w:pPr>
              <w:jc w:val="center"/>
              <w:ind w:right="154"/>
              <w:spacing w:after="0" w:line="167" w:lineRule="exact"/>
              <w:rPr>
                <w:sz w:val="20"/>
                <w:szCs w:val="20"/>
                <w:color w:val="auto"/>
              </w:rPr>
            </w:pPr>
            <w:r>
              <w:rPr>
                <w:rFonts w:ascii="Arial" w:cs="Arial" w:eastAsia="Arial" w:hAnsi="Arial"/>
                <w:sz w:val="17"/>
                <w:szCs w:val="17"/>
                <w:color w:val="auto"/>
                <w:w w:val="89"/>
              </w:rPr>
              <w:t>Other</w:t>
            </w:r>
          </w:p>
        </w:tc>
        <w:tc>
          <w:tcPr>
            <w:tcW w:w="1060" w:type="dxa"/>
            <w:vAlign w:val="bottom"/>
          </w:tcPr>
          <w:p>
            <w:pPr>
              <w:jc w:val="right"/>
              <w:ind w:right="14"/>
              <w:spacing w:after="0" w:line="167" w:lineRule="exact"/>
              <w:rPr>
                <w:sz w:val="20"/>
                <w:szCs w:val="20"/>
                <w:color w:val="auto"/>
              </w:rPr>
            </w:pPr>
            <w:r>
              <w:rPr>
                <w:rFonts w:ascii="Arial" w:cs="Arial" w:eastAsia="Arial" w:hAnsi="Arial"/>
                <w:sz w:val="17"/>
                <w:szCs w:val="17"/>
                <w:color w:val="auto"/>
              </w:rPr>
              <w:t>Un-</w:t>
            </w:r>
          </w:p>
        </w:tc>
        <w:tc>
          <w:tcPr>
            <w:tcW w:w="0" w:type="dxa"/>
            <w:vAlign w:val="bottom"/>
          </w:tcPr>
          <w:p>
            <w:pPr>
              <w:spacing w:after="0"/>
              <w:rPr>
                <w:sz w:val="1"/>
                <w:szCs w:val="1"/>
                <w:color w:val="auto"/>
              </w:rPr>
            </w:pPr>
          </w:p>
        </w:tc>
      </w:tr>
      <w:tr>
        <w:trPr>
          <w:trHeight w:val="168"/>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tcPr>
          <w:p>
            <w:pPr>
              <w:jc w:val="center"/>
              <w:ind w:right="534"/>
              <w:spacing w:after="0" w:line="167" w:lineRule="exact"/>
              <w:rPr>
                <w:sz w:val="20"/>
                <w:szCs w:val="20"/>
                <w:color w:val="auto"/>
              </w:rPr>
            </w:pPr>
            <w:r>
              <w:rPr>
                <w:rFonts w:ascii="Arial" w:cs="Arial" w:eastAsia="Arial" w:hAnsi="Arial"/>
                <w:sz w:val="17"/>
                <w:szCs w:val="17"/>
                <w:color w:val="auto"/>
                <w:w w:val="94"/>
              </w:rPr>
              <w:t>Identical</w:t>
            </w:r>
          </w:p>
        </w:tc>
        <w:tc>
          <w:tcPr>
            <w:tcW w:w="1260" w:type="dxa"/>
            <w:vAlign w:val="bottom"/>
          </w:tcPr>
          <w:p>
            <w:pPr>
              <w:jc w:val="center"/>
              <w:ind w:right="154"/>
              <w:spacing w:after="0" w:line="167" w:lineRule="exact"/>
              <w:rPr>
                <w:sz w:val="20"/>
                <w:szCs w:val="20"/>
                <w:color w:val="auto"/>
              </w:rPr>
            </w:pPr>
            <w:r>
              <w:rPr>
                <w:rFonts w:ascii="Arial" w:cs="Arial" w:eastAsia="Arial" w:hAnsi="Arial"/>
                <w:sz w:val="17"/>
                <w:szCs w:val="17"/>
                <w:color w:val="auto"/>
                <w:w w:val="89"/>
              </w:rPr>
              <w:t>Observable</w:t>
            </w:r>
          </w:p>
        </w:tc>
        <w:tc>
          <w:tcPr>
            <w:tcW w:w="1060" w:type="dxa"/>
            <w:vAlign w:val="bottom"/>
          </w:tcPr>
          <w:p>
            <w:pPr>
              <w:jc w:val="right"/>
              <w:spacing w:after="0" w:line="167" w:lineRule="exact"/>
              <w:rPr>
                <w:sz w:val="20"/>
                <w:szCs w:val="20"/>
                <w:color w:val="auto"/>
              </w:rPr>
            </w:pPr>
            <w:r>
              <w:rPr>
                <w:rFonts w:ascii="Arial" w:cs="Arial" w:eastAsia="Arial" w:hAnsi="Arial"/>
                <w:sz w:val="17"/>
                <w:szCs w:val="17"/>
                <w:color w:val="auto"/>
              </w:rPr>
              <w:t>observab</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center"/>
              <w:ind w:right="234"/>
              <w:spacing w:after="0" w:line="180" w:lineRule="exact"/>
              <w:rPr>
                <w:sz w:val="20"/>
                <w:szCs w:val="20"/>
                <w:color w:val="auto"/>
              </w:rPr>
            </w:pPr>
            <w:r>
              <w:rPr>
                <w:rFonts w:ascii="Arial" w:cs="Arial" w:eastAsia="Arial" w:hAnsi="Arial"/>
                <w:sz w:val="17"/>
                <w:szCs w:val="17"/>
                <w:color w:val="auto"/>
                <w:w w:val="89"/>
              </w:rPr>
              <w:t>Measure-</w:t>
            </w:r>
          </w:p>
        </w:tc>
        <w:tc>
          <w:tcPr>
            <w:tcW w:w="280" w:type="dxa"/>
            <w:vAlign w:val="bottom"/>
          </w:tcPr>
          <w:p>
            <w:pPr>
              <w:spacing w:after="0"/>
              <w:rPr>
                <w:sz w:val="15"/>
                <w:szCs w:val="15"/>
                <w:color w:val="auto"/>
              </w:rPr>
            </w:pPr>
          </w:p>
        </w:tc>
        <w:tc>
          <w:tcPr>
            <w:tcW w:w="1540" w:type="dxa"/>
            <w:vAlign w:val="bottom"/>
          </w:tcPr>
          <w:p>
            <w:pPr>
              <w:jc w:val="center"/>
              <w:ind w:right="514"/>
              <w:spacing w:after="0" w:line="180" w:lineRule="exact"/>
              <w:rPr>
                <w:sz w:val="20"/>
                <w:szCs w:val="20"/>
                <w:color w:val="auto"/>
              </w:rPr>
            </w:pPr>
            <w:r>
              <w:rPr>
                <w:rFonts w:ascii="Arial" w:cs="Arial" w:eastAsia="Arial" w:hAnsi="Arial"/>
                <w:sz w:val="17"/>
                <w:szCs w:val="17"/>
                <w:color w:val="auto"/>
                <w:w w:val="90"/>
              </w:rPr>
              <w:t>Assets</w:t>
            </w:r>
          </w:p>
        </w:tc>
        <w:tc>
          <w:tcPr>
            <w:tcW w:w="1260" w:type="dxa"/>
            <w:vAlign w:val="bottom"/>
          </w:tcPr>
          <w:p>
            <w:pPr>
              <w:jc w:val="center"/>
              <w:ind w:right="154"/>
              <w:spacing w:after="0" w:line="180" w:lineRule="exact"/>
              <w:rPr>
                <w:sz w:val="20"/>
                <w:szCs w:val="20"/>
                <w:color w:val="auto"/>
              </w:rPr>
            </w:pPr>
            <w:r>
              <w:rPr>
                <w:rFonts w:ascii="Arial" w:cs="Arial" w:eastAsia="Arial" w:hAnsi="Arial"/>
                <w:sz w:val="17"/>
                <w:szCs w:val="17"/>
                <w:color w:val="auto"/>
                <w:w w:val="90"/>
              </w:rPr>
              <w:t>Inputs</w:t>
            </w:r>
          </w:p>
        </w:tc>
        <w:tc>
          <w:tcPr>
            <w:tcW w:w="1060" w:type="dxa"/>
            <w:vAlign w:val="bottom"/>
          </w:tcPr>
          <w:p>
            <w:pPr>
              <w:jc w:val="right"/>
              <w:spacing w:after="0" w:line="180" w:lineRule="exact"/>
              <w:rPr>
                <w:sz w:val="20"/>
                <w:szCs w:val="20"/>
                <w:color w:val="auto"/>
              </w:rPr>
            </w:pPr>
            <w:r>
              <w:rPr>
                <w:rFonts w:ascii="Arial" w:cs="Arial" w:eastAsia="Arial" w:hAnsi="Arial"/>
                <w:sz w:val="17"/>
                <w:szCs w:val="17"/>
                <w:color w:val="auto"/>
              </w:rPr>
              <w:t>Inputs</w:t>
            </w:r>
          </w:p>
        </w:tc>
        <w:tc>
          <w:tcPr>
            <w:tcW w:w="0" w:type="dxa"/>
            <w:vAlign w:val="bottom"/>
          </w:tcPr>
          <w:p>
            <w:pPr>
              <w:spacing w:after="0"/>
              <w:rPr>
                <w:sz w:val="1"/>
                <w:szCs w:val="1"/>
                <w:color w:val="auto"/>
              </w:rPr>
            </w:pPr>
          </w:p>
        </w:tc>
      </w:tr>
      <w:tr>
        <w:trPr>
          <w:trHeight w:val="218"/>
        </w:trPr>
        <w:tc>
          <w:tcPr>
            <w:tcW w:w="5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54"/>
              <w:spacing w:after="0"/>
              <w:rPr>
                <w:sz w:val="20"/>
                <w:szCs w:val="20"/>
                <w:color w:val="auto"/>
              </w:rPr>
            </w:pPr>
            <w:r>
              <w:rPr>
                <w:rFonts w:ascii="Arial" w:cs="Arial" w:eastAsia="Arial" w:hAnsi="Arial"/>
                <w:sz w:val="17"/>
                <w:szCs w:val="17"/>
                <w:color w:val="auto"/>
                <w:w w:val="90"/>
              </w:rPr>
              <w:t>ments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514"/>
              <w:spacing w:after="0"/>
              <w:rPr>
                <w:sz w:val="20"/>
                <w:szCs w:val="20"/>
                <w:color w:val="auto"/>
              </w:rPr>
            </w:pPr>
            <w:r>
              <w:rPr>
                <w:rFonts w:ascii="Arial" w:cs="Arial" w:eastAsia="Arial" w:hAnsi="Arial"/>
                <w:sz w:val="17"/>
                <w:szCs w:val="17"/>
                <w:color w:val="auto"/>
                <w:w w:val="93"/>
              </w:rPr>
              <w:t>(Level 1)</w:t>
            </w:r>
          </w:p>
        </w:tc>
        <w:tc>
          <w:tcPr>
            <w:tcW w:w="126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w w:val="96"/>
              </w:rPr>
              <w:t>(Level 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(Level 3</w:t>
            </w:r>
          </w:p>
        </w:tc>
        <w:tc>
          <w:tcPr>
            <w:tcW w:w="0" w:type="dxa"/>
            <w:vAlign w:val="bottom"/>
          </w:tcPr>
          <w:p>
            <w:pPr>
              <w:spacing w:after="0"/>
              <w:rPr>
                <w:sz w:val="1"/>
                <w:szCs w:val="1"/>
                <w:color w:val="auto"/>
              </w:rPr>
            </w:pPr>
          </w:p>
        </w:tc>
      </w:tr>
      <w:tr>
        <w:trPr>
          <w:trHeight w:val="211"/>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2"/>
          </w:tcPr>
          <w:p>
            <w:pPr>
              <w:jc w:val="right"/>
              <w:ind w:right="954"/>
              <w:spacing w:after="0"/>
              <w:rPr>
                <w:sz w:val="20"/>
                <w:szCs w:val="20"/>
                <w:color w:val="auto"/>
              </w:rPr>
            </w:pPr>
            <w:r>
              <w:rPr>
                <w:rFonts w:ascii="Arial" w:cs="Arial" w:eastAsia="Arial" w:hAnsi="Arial"/>
                <w:sz w:val="17"/>
                <w:szCs w:val="17"/>
                <w:color w:val="auto"/>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December 31, 2022:</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20"/>
              <w:spacing w:after="0"/>
              <w:rPr>
                <w:sz w:val="20"/>
                <w:szCs w:val="20"/>
                <w:color w:val="auto"/>
              </w:rPr>
            </w:pPr>
            <w:r>
              <w:rPr>
                <w:rFonts w:ascii="Arial" w:cs="Arial" w:eastAsia="Arial" w:hAnsi="Arial"/>
                <w:sz w:val="17"/>
                <w:szCs w:val="17"/>
                <w:color w:val="auto"/>
              </w:rPr>
              <w:t>Measured at Fair Value on a Recurring Basis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tcPr>
          <w:p>
            <w:pPr>
              <w:ind w:left="180"/>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tcPr>
          <w:p>
            <w:pPr>
              <w:ind w:left="320"/>
              <w:spacing w:after="0"/>
              <w:rPr>
                <w:sz w:val="20"/>
                <w:szCs w:val="20"/>
                <w:color w:val="auto"/>
              </w:rPr>
            </w:pPr>
            <w:r>
              <w:rPr>
                <w:rFonts w:ascii="Arial" w:cs="Arial" w:eastAsia="Arial" w:hAnsi="Arial"/>
                <w:sz w:val="17"/>
                <w:szCs w:val="17"/>
                <w:color w:val="auto"/>
              </w:rPr>
              <w:t>Securities available for sale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U.S. agency</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12,101</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  $</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12,101</w:t>
            </w:r>
          </w:p>
        </w:tc>
        <w:tc>
          <w:tcPr>
            <w:tcW w:w="106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020" w:type="dxa"/>
            <w:vAlign w:val="bottom"/>
          </w:tcPr>
          <w:p>
            <w:pPr>
              <w:ind w:left="480"/>
              <w:spacing w:after="0"/>
              <w:rPr>
                <w:sz w:val="20"/>
                <w:szCs w:val="20"/>
                <w:color w:val="auto"/>
              </w:rPr>
            </w:pPr>
            <w:r>
              <w:rPr>
                <w:rFonts w:ascii="Arial" w:cs="Arial" w:eastAsia="Arial" w:hAnsi="Arial"/>
                <w:sz w:val="17"/>
                <w:szCs w:val="17"/>
                <w:color w:val="auto"/>
              </w:rPr>
              <w:t>U.S. agency residential mortgage-backed</w:t>
            </w:r>
          </w:p>
        </w:tc>
        <w:tc>
          <w:tcPr>
            <w:tcW w:w="24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90,458</w:t>
            </w:r>
          </w:p>
        </w:tc>
        <w:tc>
          <w:tcPr>
            <w:tcW w:w="28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90,458</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U.S. agency commercial mortgage-backed</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13,453</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13,453</w:t>
            </w: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480"/>
              <w:spacing w:after="0"/>
              <w:rPr>
                <w:sz w:val="20"/>
                <w:szCs w:val="20"/>
                <w:color w:val="auto"/>
              </w:rPr>
            </w:pPr>
            <w:r>
              <w:rPr>
                <w:rFonts w:ascii="Arial" w:cs="Arial" w:eastAsia="Arial" w:hAnsi="Arial"/>
                <w:sz w:val="17"/>
                <w:szCs w:val="17"/>
                <w:color w:val="auto"/>
              </w:rPr>
              <w:t>Private label mortgage-backed</w:t>
            </w:r>
          </w:p>
        </w:tc>
        <w:tc>
          <w:tcPr>
            <w:tcW w:w="24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93,845</w:t>
            </w:r>
          </w:p>
        </w:tc>
        <w:tc>
          <w:tcPr>
            <w:tcW w:w="28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93,845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asset backed</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194,725</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194,725</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480"/>
              <w:spacing w:after="0"/>
              <w:rPr>
                <w:sz w:val="20"/>
                <w:szCs w:val="20"/>
                <w:color w:val="auto"/>
              </w:rPr>
            </w:pPr>
            <w:r>
              <w:rPr>
                <w:rFonts w:ascii="Arial" w:cs="Arial" w:eastAsia="Arial" w:hAnsi="Arial"/>
                <w:sz w:val="17"/>
                <w:szCs w:val="17"/>
                <w:color w:val="auto"/>
              </w:rPr>
              <w:t>Obligations of states and political subdivisions</w:t>
            </w:r>
          </w:p>
        </w:tc>
        <w:tc>
          <w:tcPr>
            <w:tcW w:w="24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295,677</w:t>
            </w:r>
          </w:p>
        </w:tc>
        <w:tc>
          <w:tcPr>
            <w:tcW w:w="280" w:type="dxa"/>
            <w:vAlign w:val="bottom"/>
          </w:tcPr>
          <w:p>
            <w:pPr>
              <w:spacing w:after="0"/>
              <w:rPr>
                <w:sz w:val="19"/>
                <w:szCs w:val="19"/>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295,677</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Corporate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78,157</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78,157</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480"/>
              <w:spacing w:after="0"/>
              <w:rPr>
                <w:sz w:val="20"/>
                <w:szCs w:val="20"/>
                <w:color w:val="auto"/>
              </w:rPr>
            </w:pPr>
            <w:r>
              <w:rPr>
                <w:rFonts w:ascii="Arial" w:cs="Arial" w:eastAsia="Arial" w:hAnsi="Arial"/>
                <w:sz w:val="17"/>
                <w:szCs w:val="17"/>
                <w:color w:val="auto"/>
              </w:rPr>
              <w:t>Trust preferred</w:t>
            </w:r>
          </w:p>
        </w:tc>
        <w:tc>
          <w:tcPr>
            <w:tcW w:w="24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931</w:t>
            </w:r>
          </w:p>
        </w:tc>
        <w:tc>
          <w:tcPr>
            <w:tcW w:w="28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931</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Loans held for sale, carried at fair value</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26,518</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26,518</w:t>
            </w: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320"/>
              <w:spacing w:after="0"/>
              <w:rPr>
                <w:sz w:val="20"/>
                <w:szCs w:val="20"/>
                <w:color w:val="auto"/>
              </w:rPr>
            </w:pPr>
            <w:r>
              <w:rPr>
                <w:rFonts w:ascii="Arial" w:cs="Arial" w:eastAsia="Arial" w:hAnsi="Arial"/>
                <w:sz w:val="17"/>
                <w:szCs w:val="17"/>
                <w:color w:val="auto"/>
              </w:rPr>
              <w:t>Capitalized mortgage loan servicing rights</w:t>
            </w:r>
          </w:p>
        </w:tc>
        <w:tc>
          <w:tcPr>
            <w:tcW w:w="24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42,489</w:t>
            </w:r>
          </w:p>
        </w:tc>
        <w:tc>
          <w:tcPr>
            <w:tcW w:w="28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Derivatives (1)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39,747</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39,747</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18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Derivatives (2)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19,127</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19,127</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Measured at Fair Value on a Non-recurring Basis:</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180"/>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Loans held for sale, carried at the lower of cost or fair value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20,367</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20,367</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320"/>
              <w:spacing w:after="0"/>
              <w:rPr>
                <w:sz w:val="20"/>
                <w:szCs w:val="20"/>
                <w:color w:val="auto"/>
              </w:rPr>
            </w:pPr>
            <w:r>
              <w:rPr>
                <w:rFonts w:ascii="Arial" w:cs="Arial" w:eastAsia="Arial" w:hAnsi="Arial"/>
                <w:sz w:val="17"/>
                <w:szCs w:val="17"/>
                <w:color w:val="auto"/>
              </w:rPr>
              <w:t>Collateral dependent loans (3)</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Commercial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640"/>
              <w:spacing w:after="0"/>
              <w:rPr>
                <w:sz w:val="20"/>
                <w:szCs w:val="20"/>
                <w:color w:val="auto"/>
              </w:rPr>
            </w:pPr>
            <w:r>
              <w:rPr>
                <w:rFonts w:ascii="Arial" w:cs="Arial" w:eastAsia="Arial" w:hAnsi="Arial"/>
                <w:sz w:val="17"/>
                <w:szCs w:val="17"/>
                <w:color w:val="auto"/>
              </w:rPr>
              <w:t>Commercial and industrial</w:t>
            </w:r>
          </w:p>
        </w:tc>
        <w:tc>
          <w:tcPr>
            <w:tcW w:w="24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138</w:t>
            </w:r>
          </w:p>
        </w:tc>
        <w:tc>
          <w:tcPr>
            <w:tcW w:w="28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Commercial real estate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1,068</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480"/>
              <w:spacing w:after="0"/>
              <w:rPr>
                <w:sz w:val="20"/>
                <w:szCs w:val="20"/>
                <w:color w:val="auto"/>
              </w:rPr>
            </w:pPr>
            <w:r>
              <w:rPr>
                <w:rFonts w:ascii="Arial" w:cs="Arial" w:eastAsia="Arial" w:hAnsi="Arial"/>
                <w:sz w:val="17"/>
                <w:szCs w:val="17"/>
                <w:color w:val="auto"/>
              </w:rPr>
              <w:t>Mortgage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1-4 family owner occupied - non-jumbo</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415</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640"/>
              <w:spacing w:after="0"/>
              <w:rPr>
                <w:sz w:val="20"/>
                <w:szCs w:val="20"/>
                <w:color w:val="auto"/>
              </w:rPr>
            </w:pPr>
            <w:r>
              <w:rPr>
                <w:rFonts w:ascii="Arial" w:cs="Arial" w:eastAsia="Arial" w:hAnsi="Arial"/>
                <w:sz w:val="17"/>
                <w:szCs w:val="17"/>
                <w:color w:val="auto"/>
              </w:rPr>
              <w:t>1-4 family non-owner occupied</w:t>
            </w:r>
          </w:p>
        </w:tc>
        <w:tc>
          <w:tcPr>
            <w:tcW w:w="24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52</w:t>
            </w:r>
          </w:p>
        </w:tc>
        <w:tc>
          <w:tcPr>
            <w:tcW w:w="28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1-4 family - 2nd lien</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165</w:t>
            </w: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640"/>
              <w:spacing w:after="0"/>
              <w:rPr>
                <w:sz w:val="20"/>
                <w:szCs w:val="20"/>
                <w:color w:val="auto"/>
              </w:rPr>
            </w:pPr>
            <w:r>
              <w:rPr>
                <w:rFonts w:ascii="Arial" w:cs="Arial" w:eastAsia="Arial" w:hAnsi="Arial"/>
                <w:sz w:val="17"/>
                <w:szCs w:val="17"/>
                <w:color w:val="auto"/>
              </w:rPr>
              <w:t>Resort lending</w:t>
            </w:r>
          </w:p>
        </w:tc>
        <w:tc>
          <w:tcPr>
            <w:tcW w:w="24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25</w:t>
            </w:r>
          </w:p>
        </w:tc>
        <w:tc>
          <w:tcPr>
            <w:tcW w:w="28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Installment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20" w:type="dxa"/>
            <w:vAlign w:val="bottom"/>
          </w:tcPr>
          <w:p>
            <w:pPr>
              <w:ind w:left="640"/>
              <w:spacing w:after="0"/>
              <w:rPr>
                <w:sz w:val="20"/>
                <w:szCs w:val="20"/>
                <w:color w:val="auto"/>
              </w:rPr>
            </w:pPr>
            <w:r>
              <w:rPr>
                <w:rFonts w:ascii="Arial" w:cs="Arial" w:eastAsia="Arial" w:hAnsi="Arial"/>
                <w:sz w:val="17"/>
                <w:szCs w:val="17"/>
                <w:color w:val="auto"/>
              </w:rPr>
              <w:t>Boat lending</w:t>
            </w:r>
          </w:p>
        </w:tc>
        <w:tc>
          <w:tcPr>
            <w:tcW w:w="240" w:type="dxa"/>
            <w:vAlign w:val="bottom"/>
          </w:tcPr>
          <w:p>
            <w:pPr>
              <w:spacing w:after="0"/>
              <w:rPr>
                <w:sz w:val="19"/>
                <w:szCs w:val="19"/>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196</w:t>
            </w:r>
          </w:p>
        </w:tc>
        <w:tc>
          <w:tcPr>
            <w:tcW w:w="280" w:type="dxa"/>
            <w:vAlign w:val="bottom"/>
          </w:tcPr>
          <w:p>
            <w:pPr>
              <w:spacing w:after="0"/>
              <w:rPr>
                <w:sz w:val="19"/>
                <w:szCs w:val="19"/>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Recreational vehicle lending</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19</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20" w:type="dxa"/>
            <w:vAlign w:val="bottom"/>
          </w:tcPr>
          <w:p>
            <w:pPr>
              <w:ind w:left="64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8"/>
                <w:szCs w:val="18"/>
                <w:color w:val="auto"/>
              </w:rPr>
            </w:pP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87</w:t>
            </w:r>
          </w:p>
        </w:tc>
        <w:tc>
          <w:tcPr>
            <w:tcW w:w="280" w:type="dxa"/>
            <w:vAlign w:val="bottom"/>
          </w:tcPr>
          <w:p>
            <w:pPr>
              <w:spacing w:after="0"/>
              <w:rPr>
                <w:sz w:val="18"/>
                <w:szCs w:val="18"/>
                <w:color w:val="auto"/>
              </w:rPr>
            </w:pPr>
          </w:p>
        </w:tc>
        <w:tc>
          <w:tcPr>
            <w:tcW w:w="154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22" w:lineRule="exact"/>
        <w:rPr>
          <w:sz w:val="20"/>
          <w:szCs w:val="20"/>
          <w:color w:val="auto"/>
        </w:rPr>
      </w:pPr>
    </w:p>
    <w:p>
      <w:pPr>
        <w:ind w:left="320" w:hanging="317"/>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Included in accrued income and other assets</w:t>
      </w:r>
    </w:p>
    <w:p>
      <w:pPr>
        <w:spacing w:after="0" w:line="10" w:lineRule="exact"/>
        <w:rPr>
          <w:rFonts w:ascii="Arial" w:cs="Arial" w:eastAsia="Arial" w:hAnsi="Arial"/>
          <w:sz w:val="17"/>
          <w:szCs w:val="17"/>
          <w:color w:val="auto"/>
        </w:rPr>
      </w:pPr>
    </w:p>
    <w:p>
      <w:pPr>
        <w:ind w:left="320" w:hanging="317"/>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Included in accrued expenses and other liabilities</w:t>
      </w:r>
    </w:p>
    <w:p>
      <w:pPr>
        <w:spacing w:after="0" w:line="10" w:lineRule="exact"/>
        <w:rPr>
          <w:rFonts w:ascii="Arial" w:cs="Arial" w:eastAsia="Arial" w:hAnsi="Arial"/>
          <w:sz w:val="17"/>
          <w:szCs w:val="17"/>
          <w:color w:val="auto"/>
        </w:rPr>
      </w:pPr>
    </w:p>
    <w:p>
      <w:pPr>
        <w:ind w:left="320" w:hanging="317"/>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Only includes impaired loans with specific loss allocations based on collateral value.</w:t>
      </w:r>
    </w:p>
    <w:p>
      <w:pPr>
        <w:spacing w:after="0" w:line="200" w:lineRule="exact"/>
        <w:rPr>
          <w:sz w:val="20"/>
          <w:szCs w:val="20"/>
          <w:color w:val="auto"/>
        </w:rPr>
      </w:pPr>
    </w:p>
    <w:p>
      <w:pPr>
        <w:spacing w:after="0" w:line="36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Changes in fair values for financial assets which we have elected the fair value option for the periods presented were as follows:</w:t>
      </w:r>
    </w:p>
    <w:p>
      <w:pPr>
        <w:spacing w:after="0" w:line="216" w:lineRule="exact"/>
        <w:rPr>
          <w:sz w:val="20"/>
          <w:szCs w:val="20"/>
          <w:color w:val="auto"/>
        </w:rPr>
      </w:pPr>
    </w:p>
    <w:p>
      <w:pPr>
        <w:jc w:val="center"/>
        <w:ind w:left="6560"/>
        <w:spacing w:after="0"/>
        <w:rPr>
          <w:sz w:val="20"/>
          <w:szCs w:val="20"/>
          <w:color w:val="auto"/>
        </w:rPr>
      </w:pPr>
      <w:r>
        <w:rPr>
          <w:rFonts w:ascii="Arial" w:cs="Arial" w:eastAsia="Arial" w:hAnsi="Arial"/>
          <w:sz w:val="17"/>
          <w:szCs w:val="17"/>
          <w:color w:val="auto"/>
        </w:rPr>
        <w:t>Changes in Fair Values for the Six</w:t>
      </w:r>
    </w:p>
    <w:p>
      <w:pPr>
        <w:jc w:val="center"/>
        <w:ind w:left="6560"/>
        <w:spacing w:after="0" w:line="205" w:lineRule="auto"/>
        <w:rPr>
          <w:sz w:val="20"/>
          <w:szCs w:val="20"/>
          <w:color w:val="auto"/>
        </w:rPr>
      </w:pPr>
      <w:r>
        <w:rPr>
          <w:rFonts w:ascii="Arial" w:cs="Arial" w:eastAsia="Arial" w:hAnsi="Arial"/>
          <w:sz w:val="17"/>
          <w:szCs w:val="17"/>
          <w:color w:val="auto"/>
        </w:rPr>
        <w:t>Month Periods Ended June 30 for</w:t>
      </w:r>
    </w:p>
    <w:p>
      <w:pPr>
        <w:jc w:val="center"/>
        <w:ind w:left="6560"/>
        <w:spacing w:after="0" w:line="222" w:lineRule="auto"/>
        <w:rPr>
          <w:sz w:val="20"/>
          <w:szCs w:val="20"/>
          <w:color w:val="auto"/>
        </w:rPr>
      </w:pPr>
      <w:r>
        <w:rPr>
          <w:rFonts w:ascii="Arial" w:cs="Arial" w:eastAsia="Arial" w:hAnsi="Arial"/>
          <w:sz w:val="17"/>
          <w:szCs w:val="17"/>
          <w:color w:val="auto"/>
        </w:rPr>
        <w:t>items Measured at Fair Value Pursuant</w:t>
      </w:r>
    </w:p>
    <w:p>
      <w:pPr>
        <w:ind w:left="7680"/>
        <w:spacing w:after="0"/>
        <w:rPr>
          <w:sz w:val="20"/>
          <w:szCs w:val="20"/>
          <w:color w:val="auto"/>
        </w:rPr>
      </w:pPr>
      <w:r>
        <w:rPr>
          <w:rFonts w:ascii="Arial" w:cs="Arial" w:eastAsia="Arial" w:hAnsi="Arial"/>
          <w:sz w:val="17"/>
          <w:szCs w:val="17"/>
          <w:color w:val="auto"/>
        </w:rPr>
        <w:t>to Election of the Fair Value Option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center"/>
              <w:ind w:right="154"/>
              <w:spacing w:after="0" w:line="176" w:lineRule="exact"/>
              <w:rPr>
                <w:sz w:val="20"/>
                <w:szCs w:val="20"/>
                <w:color w:val="auto"/>
              </w:rPr>
            </w:pPr>
            <w:r>
              <w:rPr>
                <w:rFonts w:ascii="Arial" w:cs="Arial" w:eastAsia="Arial" w:hAnsi="Arial"/>
                <w:sz w:val="17"/>
                <w:szCs w:val="17"/>
                <w:color w:val="auto"/>
                <w:w w:val="95"/>
              </w:rPr>
              <w:t>Total</w:t>
            </w:r>
          </w:p>
        </w:tc>
        <w:tc>
          <w:tcPr>
            <w:tcW w:w="0" w:type="dxa"/>
            <w:vAlign w:val="bottom"/>
          </w:tcPr>
          <w:p>
            <w:pPr>
              <w:spacing w:after="0"/>
              <w:rPr>
                <w:sz w:val="1"/>
                <w:szCs w:val="1"/>
                <w:color w:val="auto"/>
              </w:rPr>
            </w:pPr>
          </w:p>
        </w:tc>
      </w:tr>
      <w:tr>
        <w:trPr>
          <w:trHeight w:val="168"/>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jc w:val="center"/>
              <w:ind w:right="154"/>
              <w:spacing w:after="0" w:line="167" w:lineRule="exact"/>
              <w:rPr>
                <w:sz w:val="20"/>
                <w:szCs w:val="20"/>
                <w:color w:val="auto"/>
              </w:rPr>
            </w:pPr>
            <w:r>
              <w:rPr>
                <w:rFonts w:ascii="Arial" w:cs="Arial" w:eastAsia="Arial" w:hAnsi="Arial"/>
                <w:sz w:val="17"/>
                <w:szCs w:val="17"/>
                <w:color w:val="auto"/>
                <w:w w:val="87"/>
              </w:rPr>
              <w:t>Change</w:t>
            </w:r>
          </w:p>
        </w:tc>
        <w:tc>
          <w:tcPr>
            <w:tcW w:w="0" w:type="dxa"/>
            <w:vAlign w:val="bottom"/>
          </w:tcPr>
          <w:p>
            <w:pPr>
              <w:spacing w:after="0"/>
              <w:rPr>
                <w:sz w:val="1"/>
                <w:szCs w:val="1"/>
                <w:color w:val="auto"/>
              </w:rPr>
            </w:pPr>
          </w:p>
        </w:tc>
      </w:tr>
      <w:tr>
        <w:trPr>
          <w:trHeight w:val="168"/>
        </w:trPr>
        <w:tc>
          <w:tcPr>
            <w:tcW w:w="6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40" w:type="dxa"/>
            <w:vAlign w:val="bottom"/>
          </w:tcPr>
          <w:p>
            <w:pPr>
              <w:jc w:val="center"/>
              <w:ind w:right="134"/>
              <w:spacing w:after="0" w:line="167" w:lineRule="exact"/>
              <w:rPr>
                <w:sz w:val="20"/>
                <w:szCs w:val="20"/>
                <w:color w:val="auto"/>
              </w:rPr>
            </w:pPr>
            <w:r>
              <w:rPr>
                <w:rFonts w:ascii="Arial" w:cs="Arial" w:eastAsia="Arial" w:hAnsi="Arial"/>
                <w:sz w:val="17"/>
                <w:szCs w:val="17"/>
                <w:color w:val="auto"/>
                <w:w w:val="97"/>
              </w:rPr>
              <w:t>in Fair</w:t>
            </w:r>
          </w:p>
        </w:tc>
        <w:tc>
          <w:tcPr>
            <w:tcW w:w="0" w:type="dxa"/>
            <w:vAlign w:val="bottom"/>
          </w:tcPr>
          <w:p>
            <w:pPr>
              <w:spacing w:after="0"/>
              <w:rPr>
                <w:sz w:val="1"/>
                <w:szCs w:val="1"/>
                <w:color w:val="auto"/>
              </w:rPr>
            </w:pPr>
          </w:p>
        </w:tc>
      </w:tr>
      <w:tr>
        <w:trPr>
          <w:trHeight w:val="180"/>
        </w:trPr>
        <w:tc>
          <w:tcPr>
            <w:tcW w:w="6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restart"/>
          </w:tcPr>
          <w:p>
            <w:pPr>
              <w:jc w:val="center"/>
              <w:ind w:right="154"/>
              <w:spacing w:after="0"/>
              <w:rPr>
                <w:sz w:val="20"/>
                <w:szCs w:val="20"/>
                <w:color w:val="auto"/>
              </w:rPr>
            </w:pPr>
            <w:r>
              <w:rPr>
                <w:rFonts w:ascii="Arial" w:cs="Arial" w:eastAsia="Arial" w:hAnsi="Arial"/>
                <w:sz w:val="17"/>
                <w:szCs w:val="17"/>
                <w:color w:val="auto"/>
                <w:w w:val="89"/>
              </w:rPr>
              <w:t>Net Gains</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tcPr>
          <w:p>
            <w:pPr>
              <w:jc w:val="center"/>
              <w:ind w:right="134"/>
              <w:spacing w:after="0" w:line="180" w:lineRule="exact"/>
              <w:rPr>
                <w:sz w:val="20"/>
                <w:szCs w:val="20"/>
                <w:color w:val="auto"/>
              </w:rPr>
            </w:pPr>
            <w:r>
              <w:rPr>
                <w:rFonts w:ascii="Arial" w:cs="Arial" w:eastAsia="Arial" w:hAnsi="Arial"/>
                <w:sz w:val="17"/>
                <w:szCs w:val="17"/>
                <w:color w:val="auto"/>
                <w:w w:val="88"/>
              </w:rPr>
              <w:t>Values</w:t>
            </w:r>
          </w:p>
        </w:tc>
        <w:tc>
          <w:tcPr>
            <w:tcW w:w="0" w:type="dxa"/>
            <w:vAlign w:val="bottom"/>
          </w:tcPr>
          <w:p>
            <w:pPr>
              <w:spacing w:after="0"/>
              <w:rPr>
                <w:sz w:val="1"/>
                <w:szCs w:val="1"/>
                <w:color w:val="auto"/>
              </w:rPr>
            </w:pPr>
          </w:p>
        </w:tc>
      </w:tr>
      <w:tr>
        <w:trPr>
          <w:trHeight w:val="103"/>
        </w:trPr>
        <w:tc>
          <w:tcPr>
            <w:tcW w:w="6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40" w:type="dxa"/>
            <w:vAlign w:val="bottom"/>
            <w:vMerge w:val="restart"/>
          </w:tcPr>
          <w:p>
            <w:pPr>
              <w:jc w:val="center"/>
              <w:ind w:right="154"/>
              <w:spacing w:after="0" w:line="167" w:lineRule="exact"/>
              <w:rPr>
                <w:sz w:val="20"/>
                <w:szCs w:val="20"/>
                <w:color w:val="auto"/>
              </w:rPr>
            </w:pPr>
            <w:r>
              <w:rPr>
                <w:rFonts w:ascii="Arial" w:cs="Arial" w:eastAsia="Arial" w:hAnsi="Arial"/>
                <w:sz w:val="17"/>
                <w:szCs w:val="17"/>
                <w:color w:val="auto"/>
                <w:w w:val="93"/>
              </w:rPr>
              <w:t>Included</w:t>
            </w:r>
          </w:p>
        </w:tc>
        <w:tc>
          <w:tcPr>
            <w:tcW w:w="0" w:type="dxa"/>
            <w:vAlign w:val="bottom"/>
          </w:tcPr>
          <w:p>
            <w:pPr>
              <w:spacing w:after="0"/>
              <w:rPr>
                <w:sz w:val="1"/>
                <w:szCs w:val="1"/>
                <w:color w:val="auto"/>
              </w:rPr>
            </w:pPr>
          </w:p>
        </w:tc>
      </w:tr>
      <w:tr>
        <w:trPr>
          <w:trHeight w:val="64"/>
        </w:trPr>
        <w:tc>
          <w:tcPr>
            <w:tcW w:w="6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restart"/>
          </w:tcPr>
          <w:p>
            <w:pPr>
              <w:jc w:val="center"/>
              <w:ind w:right="154"/>
              <w:spacing w:after="0"/>
              <w:rPr>
                <w:sz w:val="20"/>
                <w:szCs w:val="20"/>
                <w:color w:val="auto"/>
              </w:rPr>
            </w:pPr>
            <w:r>
              <w:rPr>
                <w:rFonts w:ascii="Arial" w:cs="Arial" w:eastAsia="Arial" w:hAnsi="Arial"/>
                <w:sz w:val="17"/>
                <w:szCs w:val="17"/>
                <w:color w:val="auto"/>
                <w:w w:val="85"/>
              </w:rPr>
              <w:t>on Assets</w:t>
            </w:r>
          </w:p>
        </w:tc>
        <w:tc>
          <w:tcPr>
            <w:tcW w:w="2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65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center"/>
              <w:ind w:right="434"/>
              <w:spacing w:after="0" w:line="147" w:lineRule="exact"/>
              <w:rPr>
                <w:sz w:val="20"/>
                <w:szCs w:val="20"/>
                <w:color w:val="auto"/>
              </w:rPr>
            </w:pPr>
            <w:r>
              <w:rPr>
                <w:rFonts w:ascii="Arial" w:cs="Arial" w:eastAsia="Arial" w:hAnsi="Arial"/>
                <w:sz w:val="17"/>
                <w:szCs w:val="17"/>
                <w:color w:val="auto"/>
                <w:w w:val="91"/>
              </w:rPr>
              <w:t>Mortgage</w:t>
            </w:r>
          </w:p>
        </w:tc>
        <w:tc>
          <w:tcPr>
            <w:tcW w:w="1240" w:type="dxa"/>
            <w:vAlign w:val="bottom"/>
          </w:tcPr>
          <w:p>
            <w:pPr>
              <w:jc w:val="center"/>
              <w:ind w:right="134"/>
              <w:spacing w:after="0" w:line="147" w:lineRule="exact"/>
              <w:rPr>
                <w:sz w:val="20"/>
                <w:szCs w:val="20"/>
                <w:color w:val="auto"/>
              </w:rPr>
            </w:pPr>
            <w:r>
              <w:rPr>
                <w:rFonts w:ascii="Arial" w:cs="Arial" w:eastAsia="Arial" w:hAnsi="Arial"/>
                <w:sz w:val="17"/>
                <w:szCs w:val="17"/>
                <w:color w:val="auto"/>
                <w:w w:val="93"/>
              </w:rPr>
              <w:t>in Current</w:t>
            </w:r>
          </w:p>
        </w:tc>
        <w:tc>
          <w:tcPr>
            <w:tcW w:w="0" w:type="dxa"/>
            <w:vAlign w:val="bottom"/>
          </w:tcPr>
          <w:p>
            <w:pPr>
              <w:spacing w:after="0"/>
              <w:rPr>
                <w:sz w:val="1"/>
                <w:szCs w:val="1"/>
                <w:color w:val="auto"/>
              </w:rPr>
            </w:pPr>
          </w:p>
        </w:tc>
      </w:tr>
      <w:tr>
        <w:trPr>
          <w:trHeight w:val="174"/>
        </w:trPr>
        <w:tc>
          <w:tcPr>
            <w:tcW w:w="6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154"/>
              <w:spacing w:after="0" w:line="174" w:lineRule="exact"/>
              <w:rPr>
                <w:sz w:val="20"/>
                <w:szCs w:val="20"/>
                <w:color w:val="auto"/>
              </w:rPr>
            </w:pPr>
            <w:r>
              <w:rPr>
                <w:rFonts w:ascii="Arial" w:cs="Arial" w:eastAsia="Arial" w:hAnsi="Arial"/>
                <w:sz w:val="17"/>
                <w:szCs w:val="17"/>
                <w:color w:val="auto"/>
                <w:w w:val="94"/>
              </w:rPr>
              <w:t>Mortgage</w:t>
            </w:r>
          </w:p>
        </w:tc>
        <w:tc>
          <w:tcPr>
            <w:tcW w:w="280" w:type="dxa"/>
            <w:vAlign w:val="bottom"/>
          </w:tcPr>
          <w:p>
            <w:pPr>
              <w:spacing w:after="0"/>
              <w:rPr>
                <w:sz w:val="15"/>
                <w:szCs w:val="15"/>
                <w:color w:val="auto"/>
              </w:rPr>
            </w:pPr>
          </w:p>
        </w:tc>
        <w:tc>
          <w:tcPr>
            <w:tcW w:w="1660" w:type="dxa"/>
            <w:vAlign w:val="bottom"/>
          </w:tcPr>
          <w:p>
            <w:pPr>
              <w:jc w:val="center"/>
              <w:ind w:right="434"/>
              <w:spacing w:after="0" w:line="174" w:lineRule="exact"/>
              <w:rPr>
                <w:sz w:val="20"/>
                <w:szCs w:val="20"/>
                <w:color w:val="auto"/>
              </w:rPr>
            </w:pPr>
            <w:r>
              <w:rPr>
                <w:rFonts w:ascii="Arial" w:cs="Arial" w:eastAsia="Arial" w:hAnsi="Arial"/>
                <w:sz w:val="17"/>
                <w:szCs w:val="17"/>
                <w:color w:val="auto"/>
                <w:w w:val="89"/>
              </w:rPr>
              <w:t>Loan</w:t>
            </w:r>
          </w:p>
        </w:tc>
        <w:tc>
          <w:tcPr>
            <w:tcW w:w="1240" w:type="dxa"/>
            <w:vAlign w:val="bottom"/>
          </w:tcPr>
          <w:p>
            <w:pPr>
              <w:jc w:val="center"/>
              <w:ind w:right="154"/>
              <w:spacing w:after="0" w:line="174" w:lineRule="exact"/>
              <w:rPr>
                <w:sz w:val="20"/>
                <w:szCs w:val="20"/>
                <w:color w:val="auto"/>
              </w:rPr>
            </w:pPr>
            <w:r>
              <w:rPr>
                <w:rFonts w:ascii="Arial" w:cs="Arial" w:eastAsia="Arial" w:hAnsi="Arial"/>
                <w:sz w:val="17"/>
                <w:szCs w:val="17"/>
                <w:color w:val="auto"/>
                <w:w w:val="89"/>
              </w:rPr>
              <w:t>Period</w:t>
            </w:r>
          </w:p>
        </w:tc>
        <w:tc>
          <w:tcPr>
            <w:tcW w:w="0" w:type="dxa"/>
            <w:vAlign w:val="bottom"/>
          </w:tcPr>
          <w:p>
            <w:pPr>
              <w:spacing w:after="0"/>
              <w:rPr>
                <w:sz w:val="1"/>
                <w:szCs w:val="1"/>
                <w:color w:val="auto"/>
              </w:rPr>
            </w:pPr>
          </w:p>
        </w:tc>
      </w:tr>
      <w:tr>
        <w:trPr>
          <w:trHeight w:val="218"/>
        </w:trPr>
        <w:tc>
          <w:tcPr>
            <w:tcW w:w="6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color w:val="auto"/>
                <w:w w:val="90"/>
              </w:rPr>
              <w:t>Loans</w:t>
            </w: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414"/>
              <w:spacing w:after="0"/>
              <w:rPr>
                <w:sz w:val="20"/>
                <w:szCs w:val="20"/>
                <w:color w:val="auto"/>
              </w:rPr>
            </w:pPr>
            <w:r>
              <w:rPr>
                <w:rFonts w:ascii="Arial" w:cs="Arial" w:eastAsia="Arial" w:hAnsi="Arial"/>
                <w:sz w:val="17"/>
                <w:szCs w:val="17"/>
                <w:color w:val="auto"/>
                <w:w w:val="93"/>
              </w:rPr>
              <w:t>Servicing, net</w:t>
            </w: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color w:val="auto"/>
                <w:w w:val="89"/>
              </w:rPr>
              <w:t>Earnings</w:t>
            </w:r>
          </w:p>
        </w:tc>
        <w:tc>
          <w:tcPr>
            <w:tcW w:w="0" w:type="dxa"/>
            <w:vAlign w:val="bottom"/>
          </w:tcPr>
          <w:p>
            <w:pPr>
              <w:spacing w:after="0"/>
              <w:rPr>
                <w:sz w:val="1"/>
                <w:szCs w:val="1"/>
                <w:color w:val="auto"/>
              </w:rPr>
            </w:pPr>
          </w:p>
        </w:tc>
      </w:tr>
      <w:tr>
        <w:trPr>
          <w:trHeight w:val="211"/>
        </w:trPr>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ind w:right="434"/>
              <w:spacing w:after="0"/>
              <w:rPr>
                <w:sz w:val="20"/>
                <w:szCs w:val="20"/>
                <w:color w:val="auto"/>
              </w:rPr>
            </w:pPr>
            <w:r>
              <w:rPr>
                <w:rFonts w:ascii="Arial" w:cs="Arial" w:eastAsia="Arial" w:hAnsi="Arial"/>
                <w:sz w:val="17"/>
                <w:szCs w:val="17"/>
                <w:color w:val="auto"/>
                <w:w w:val="90"/>
              </w:rPr>
              <w:t>(In thousands)</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80" w:type="dxa"/>
            <w:vAlign w:val="bottom"/>
          </w:tcPr>
          <w:p>
            <w:pPr>
              <w:ind w:left="20"/>
              <w:spacing w:after="0"/>
              <w:rPr>
                <w:sz w:val="20"/>
                <w:szCs w:val="20"/>
                <w:color w:val="auto"/>
              </w:rPr>
            </w:pPr>
            <w:r>
              <w:rPr>
                <w:rFonts w:ascii="Arial" w:cs="Arial" w:eastAsia="Arial" w:hAnsi="Arial"/>
                <w:sz w:val="17"/>
                <w:szCs w:val="17"/>
                <w:color w:val="auto"/>
              </w:rPr>
              <w:t>2023</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Loans held for sale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  $</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w:t>
            </w:r>
          </w:p>
        </w:tc>
        <w:tc>
          <w:tcPr>
            <w:tcW w:w="0" w:type="dxa"/>
            <w:vAlign w:val="bottom"/>
          </w:tcPr>
          <w:p>
            <w:pPr>
              <w:spacing w:after="0"/>
              <w:rPr>
                <w:sz w:val="1"/>
                <w:szCs w:val="1"/>
                <w:color w:val="auto"/>
              </w:rPr>
            </w:pPr>
          </w:p>
        </w:tc>
      </w:tr>
      <w:tr>
        <w:trPr>
          <w:trHeight w:val="218"/>
        </w:trPr>
        <w:tc>
          <w:tcPr>
            <w:tcW w:w="6580" w:type="dxa"/>
            <w:vAlign w:val="bottom"/>
          </w:tcPr>
          <w:p>
            <w:pPr>
              <w:ind w:left="180"/>
              <w:spacing w:after="0"/>
              <w:rPr>
                <w:sz w:val="20"/>
                <w:szCs w:val="20"/>
                <w:color w:val="auto"/>
              </w:rPr>
            </w:pPr>
            <w:r>
              <w:rPr>
                <w:rFonts w:ascii="Arial" w:cs="Arial" w:eastAsia="Arial" w:hAnsi="Arial"/>
                <w:sz w:val="17"/>
                <w:szCs w:val="17"/>
                <w:color w:val="auto"/>
              </w:rPr>
              <w:t>Capitalized mortgage loan servicing rights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right"/>
              <w:ind w:right="274"/>
              <w:spacing w:after="0"/>
              <w:rPr>
                <w:sz w:val="20"/>
                <w:szCs w:val="20"/>
                <w:color w:val="auto"/>
              </w:rPr>
            </w:pPr>
            <w:r>
              <w:rPr>
                <w:rFonts w:ascii="Arial" w:cs="Arial" w:eastAsia="Arial" w:hAnsi="Arial"/>
                <w:sz w:val="17"/>
                <w:szCs w:val="17"/>
                <w:color w:val="auto"/>
              </w:rPr>
              <w:t>(15)</w:t>
            </w:r>
          </w:p>
        </w:tc>
        <w:tc>
          <w:tcPr>
            <w:tcW w:w="1240" w:type="dxa"/>
            <w:vAlign w:val="bottom"/>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59"/>
        </w:trPr>
        <w:tc>
          <w:tcPr>
            <w:tcW w:w="6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580" w:type="dxa"/>
            <w:vAlign w:val="bottom"/>
          </w:tcPr>
          <w:p>
            <w:pPr>
              <w:ind w:left="2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Loans held for sale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(1,806)</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(1,806)</w:t>
            </w:r>
          </w:p>
        </w:tc>
        <w:tc>
          <w:tcPr>
            <w:tcW w:w="0" w:type="dxa"/>
            <w:vAlign w:val="bottom"/>
          </w:tcPr>
          <w:p>
            <w:pPr>
              <w:spacing w:after="0"/>
              <w:rPr>
                <w:sz w:val="1"/>
                <w:szCs w:val="1"/>
                <w:color w:val="auto"/>
              </w:rPr>
            </w:pPr>
          </w:p>
        </w:tc>
      </w:tr>
      <w:tr>
        <w:trPr>
          <w:trHeight w:val="218"/>
        </w:trPr>
        <w:tc>
          <w:tcPr>
            <w:tcW w:w="6580" w:type="dxa"/>
            <w:vAlign w:val="bottom"/>
          </w:tcPr>
          <w:p>
            <w:pPr>
              <w:ind w:left="180"/>
              <w:spacing w:after="0"/>
              <w:rPr>
                <w:sz w:val="20"/>
                <w:szCs w:val="20"/>
                <w:color w:val="auto"/>
              </w:rPr>
            </w:pPr>
            <w:r>
              <w:rPr>
                <w:rFonts w:ascii="Arial" w:cs="Arial" w:eastAsia="Arial" w:hAnsi="Arial"/>
                <w:sz w:val="17"/>
                <w:szCs w:val="17"/>
                <w:color w:val="auto"/>
              </w:rPr>
              <w:t>Capitalized mortgage loan servicing rights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660" w:type="dxa"/>
            <w:vAlign w:val="bottom"/>
          </w:tcPr>
          <w:p>
            <w:pPr>
              <w:jc w:val="right"/>
              <w:ind w:right="314"/>
              <w:spacing w:after="0"/>
              <w:rPr>
                <w:sz w:val="20"/>
                <w:szCs w:val="20"/>
                <w:color w:val="auto"/>
              </w:rPr>
            </w:pPr>
            <w:r>
              <w:rPr>
                <w:rFonts w:ascii="Arial" w:cs="Arial" w:eastAsia="Arial" w:hAnsi="Arial"/>
                <w:sz w:val="17"/>
                <w:szCs w:val="17"/>
                <w:color w:val="auto"/>
              </w:rPr>
              <w:t>9,596</w:t>
            </w:r>
          </w:p>
        </w:tc>
        <w:tc>
          <w:tcPr>
            <w:tcW w:w="1240" w:type="dxa"/>
            <w:vAlign w:val="bottom"/>
          </w:tcPr>
          <w:p>
            <w:pPr>
              <w:jc w:val="right"/>
              <w:spacing w:after="0"/>
              <w:rPr>
                <w:sz w:val="20"/>
                <w:szCs w:val="20"/>
                <w:color w:val="auto"/>
              </w:rPr>
            </w:pPr>
            <w:r>
              <w:rPr>
                <w:rFonts w:ascii="Arial" w:cs="Arial" w:eastAsia="Arial" w:hAnsi="Arial"/>
                <w:sz w:val="17"/>
                <w:szCs w:val="17"/>
                <w:color w:val="auto"/>
              </w:rPr>
              <w:t>9,596</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those items measured at fair value pursuant to our election of the fair value option, interest income is recorded within the Condensed Consolidated Statements of Operations based on the contractual amount of interest income earned on these financial assets and dividend income is recorded based on cash dividends received.</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following represent impairment charges recognized during the three and six month periods ended June 30, 2023 and 2022 relating to assets measured at fair value on a non-recurring basis:</w:t>
      </w:r>
    </w:p>
    <w:p>
      <w:pPr>
        <w:spacing w:after="0" w:line="1" w:lineRule="exact"/>
        <w:rPr>
          <w:sz w:val="20"/>
          <w:szCs w:val="20"/>
          <w:color w:val="auto"/>
        </w:rPr>
      </w:pPr>
    </w:p>
    <w:p>
      <w:pPr>
        <w:jc w:val="both"/>
        <w:ind w:left="620" w:hanging="307"/>
        <w:spacing w:after="0" w:line="250"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Loans that are individually evaluated using the fair value of collateral for collateral dependent loans had a carrying amount of $2.8 million, which is net of a valuation allowance of $2.4 million at June 30, 2023, and had a carrying amount of $2.2 million, which is net of a valuation allowance of $2.1 million at December 31, 2022. The provision for credit losses included in our results of operations relating to collateral dependent loans was a net expense of $1.7 million and $0.1 million for the three month periods ending June 30, 2023 and 2022, respectively, and a net expense of $2.0 million and $0.2 million for the six month periods ending June 30, 2023 and 2022, respectively.</w:t>
      </w:r>
    </w:p>
    <w:p>
      <w:pPr>
        <w:spacing w:after="0" w:line="3" w:lineRule="exact"/>
        <w:rPr>
          <w:rFonts w:ascii="Arial" w:cs="Arial" w:eastAsia="Arial" w:hAnsi="Arial"/>
          <w:sz w:val="17"/>
          <w:szCs w:val="17"/>
          <w:color w:val="auto"/>
        </w:rPr>
      </w:pPr>
    </w:p>
    <w:p>
      <w:pPr>
        <w:jc w:val="both"/>
        <w:ind w:left="620" w:hanging="307"/>
        <w:spacing w:after="0" w:line="254" w:lineRule="auto"/>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231F20"/>
        </w:rPr>
        <w:t xml:space="preserve">Other real estate, which is measured using the fair value of the property, had a carrying amount of </w:t>
      </w:r>
      <w:r>
        <w:rPr>
          <w:rFonts w:ascii="Arial" w:cs="Arial" w:eastAsia="Arial" w:hAnsi="Arial"/>
          <w:sz w:val="16"/>
          <w:szCs w:val="16"/>
          <w:color w:val="000000"/>
        </w:rPr>
        <w:t>$0.1 million</w:t>
      </w:r>
      <w:r>
        <w:rPr>
          <w:rFonts w:ascii="Arial" w:cs="Arial" w:eastAsia="Arial" w:hAnsi="Arial"/>
          <w:sz w:val="16"/>
          <w:szCs w:val="16"/>
          <w:color w:val="231F20"/>
        </w:rPr>
        <w:t xml:space="preserve"> which is net of a valuation allowance of $0.1 million at June 30, 2023, and a carrying amount of zero which is net of a valuation allowance of zero, at December 31, 2022. </w:t>
      </w:r>
      <w:r>
        <w:rPr>
          <w:rFonts w:ascii="Arial" w:cs="Arial" w:eastAsia="Arial" w:hAnsi="Arial"/>
          <w:sz w:val="16"/>
          <w:szCs w:val="16"/>
          <w:color w:val="000000"/>
        </w:rPr>
        <w:t>Charges included in our</w:t>
      </w:r>
      <w:r>
        <w:rPr>
          <w:rFonts w:ascii="Arial" w:cs="Arial" w:eastAsia="Arial" w:hAnsi="Arial"/>
          <w:sz w:val="16"/>
          <w:szCs w:val="16"/>
          <w:color w:val="231F20"/>
        </w:rPr>
        <w:t xml:space="preserve"> </w:t>
      </w:r>
      <w:r>
        <w:rPr>
          <w:rFonts w:ascii="Arial" w:cs="Arial" w:eastAsia="Arial" w:hAnsi="Arial"/>
          <w:sz w:val="16"/>
          <w:szCs w:val="16"/>
          <w:color w:val="000000"/>
        </w:rPr>
        <w:t>results of operations relating to other real estate measured at fair value were $0.1 million and zero during the three month periods ended June 30, 2023 and 2022, respectively and were $0.1 million and zero during the six month periods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for all assets measured at fair value on a recurring basis using significant unobservable inputs (Level 3)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7"/>
          </w:tcPr>
          <w:p>
            <w:pPr>
              <w:ind w:left="80"/>
              <w:spacing w:after="0"/>
              <w:rPr>
                <w:sz w:val="20"/>
                <w:szCs w:val="20"/>
                <w:color w:val="auto"/>
              </w:rPr>
            </w:pPr>
            <w:r>
              <w:rPr>
                <w:rFonts w:ascii="Arial" w:cs="Arial" w:eastAsia="Arial" w:hAnsi="Arial"/>
                <w:sz w:val="17"/>
                <w:szCs w:val="17"/>
                <w:color w:val="auto"/>
                <w:w w:val="94"/>
              </w:rPr>
              <w:t>Capitalized Mortgage Loan Servicing Rights</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2500" w:type="dxa"/>
            <w:vAlign w:val="bottom"/>
            <w:gridSpan w:val="4"/>
          </w:tcPr>
          <w:p>
            <w:pPr>
              <w:jc w:val="center"/>
              <w:ind w:left="474"/>
              <w:spacing w:after="0" w:line="162" w:lineRule="exact"/>
              <w:rPr>
                <w:sz w:val="20"/>
                <w:szCs w:val="20"/>
                <w:color w:val="auto"/>
              </w:rPr>
            </w:pPr>
            <w:r>
              <w:rPr>
                <w:rFonts w:ascii="Arial" w:cs="Arial" w:eastAsia="Arial" w:hAnsi="Arial"/>
                <w:sz w:val="17"/>
                <w:szCs w:val="17"/>
                <w:color w:val="auto"/>
                <w:w w:val="91"/>
              </w:rPr>
              <w:t>Three Months Ended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jc w:val="center"/>
              <w:ind w:right="234"/>
              <w:spacing w:after="0" w:line="162" w:lineRule="exact"/>
              <w:rPr>
                <w:sz w:val="20"/>
                <w:szCs w:val="20"/>
                <w:color w:val="auto"/>
              </w:rPr>
            </w:pPr>
            <w:r>
              <w:rPr>
                <w:rFonts w:ascii="Arial" w:cs="Arial" w:eastAsia="Arial" w:hAnsi="Arial"/>
                <w:sz w:val="17"/>
                <w:szCs w:val="17"/>
                <w:color w:val="auto"/>
                <w:w w:val="92"/>
              </w:rPr>
              <w:t>Six Months Ended</w:t>
            </w: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7"/>
                <w:szCs w:val="17"/>
                <w:color w:val="auto"/>
                <w:w w:val="88"/>
              </w:rPr>
              <w:t>June 30,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center"/>
              <w:ind w:left="554"/>
              <w:spacing w:after="0"/>
              <w:rPr>
                <w:sz w:val="20"/>
                <w:szCs w:val="20"/>
                <w:color w:val="auto"/>
              </w:rPr>
            </w:pPr>
            <w:r>
              <w:rPr>
                <w:rFonts w:ascii="Arial" w:cs="Arial" w:eastAsia="Arial" w:hAnsi="Arial"/>
                <w:sz w:val="17"/>
                <w:szCs w:val="17"/>
                <w:color w:val="auto"/>
                <w:w w:val="85"/>
              </w:rPr>
              <w:t>June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2022</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80" w:type="dxa"/>
            <w:vAlign w:val="bottom"/>
            <w:gridSpan w:val="3"/>
          </w:tcPr>
          <w:p>
            <w:pPr>
              <w:jc w:val="center"/>
              <w:ind w:right="360"/>
              <w:spacing w:after="0"/>
              <w:rPr>
                <w:sz w:val="20"/>
                <w:szCs w:val="20"/>
                <w:color w:val="auto"/>
              </w:rPr>
            </w:pPr>
            <w:r>
              <w:rPr>
                <w:rFonts w:ascii="Arial" w:cs="Arial" w:eastAsia="Arial" w:hAnsi="Arial"/>
                <w:sz w:val="17"/>
                <w:szCs w:val="17"/>
                <w:color w:val="auto"/>
                <w:w w:val="90"/>
              </w:rPr>
              <w:t>(In thousands)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center"/>
              <w:ind w:left="554"/>
              <w:spacing w:after="0"/>
              <w:rPr>
                <w:sz w:val="20"/>
                <w:szCs w:val="20"/>
                <w:color w:val="auto"/>
              </w:rPr>
            </w:pPr>
            <w:r>
              <w:rPr>
                <w:rFonts w:ascii="Arial" w:cs="Arial" w:eastAsia="Arial" w:hAnsi="Arial"/>
                <w:sz w:val="17"/>
                <w:szCs w:val="17"/>
                <w:color w:val="auto"/>
                <w:w w:val="91"/>
              </w:rPr>
              <w:t>(In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41,923</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35,933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42,489</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26,232</w:t>
            </w:r>
          </w:p>
        </w:tc>
        <w:tc>
          <w:tcPr>
            <w:tcW w:w="0" w:type="dxa"/>
            <w:vAlign w:val="bottom"/>
          </w:tcPr>
          <w:p>
            <w:pPr>
              <w:spacing w:after="0"/>
              <w:rPr>
                <w:sz w:val="1"/>
                <w:szCs w:val="1"/>
                <w:color w:val="auto"/>
              </w:rPr>
            </w:pPr>
          </w:p>
        </w:tc>
      </w:tr>
      <w:tr>
        <w:trPr>
          <w:trHeight w:val="218"/>
        </w:trPr>
        <w:tc>
          <w:tcPr>
            <w:tcW w:w="5040" w:type="dxa"/>
            <w:vAlign w:val="bottom"/>
          </w:tcPr>
          <w:p>
            <w:pPr>
              <w:ind w:left="180"/>
              <w:spacing w:after="0"/>
              <w:rPr>
                <w:sz w:val="20"/>
                <w:szCs w:val="20"/>
                <w:color w:val="auto"/>
              </w:rPr>
            </w:pPr>
            <w:r>
              <w:rPr>
                <w:rFonts w:ascii="Arial" w:cs="Arial" w:eastAsia="Arial" w:hAnsi="Arial"/>
                <w:sz w:val="17"/>
                <w:szCs w:val="17"/>
                <w:color w:val="auto"/>
              </w:rPr>
              <w:t>Total gains (losses) realized and unrealized:</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Included in results of operations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9,596</w:t>
            </w:r>
          </w:p>
        </w:tc>
        <w:tc>
          <w:tcPr>
            <w:tcW w:w="0" w:type="dxa"/>
            <w:vAlign w:val="bottom"/>
          </w:tcPr>
          <w:p>
            <w:pPr>
              <w:spacing w:after="0"/>
              <w:rPr>
                <w:sz w:val="1"/>
                <w:szCs w:val="1"/>
                <w:color w:val="auto"/>
              </w:rPr>
            </w:pPr>
          </w:p>
        </w:tc>
      </w:tr>
      <w:tr>
        <w:trPr>
          <w:trHeight w:val="225"/>
        </w:trPr>
        <w:tc>
          <w:tcPr>
            <w:tcW w:w="5040" w:type="dxa"/>
            <w:vAlign w:val="bottom"/>
          </w:tcPr>
          <w:p>
            <w:pPr>
              <w:ind w:left="320"/>
              <w:spacing w:after="0"/>
              <w:rPr>
                <w:sz w:val="20"/>
                <w:szCs w:val="20"/>
                <w:color w:val="auto"/>
              </w:rPr>
            </w:pPr>
            <w:r>
              <w:rPr>
                <w:rFonts w:ascii="Arial" w:cs="Arial" w:eastAsia="Arial" w:hAnsi="Arial"/>
                <w:sz w:val="17"/>
                <w:szCs w:val="17"/>
                <w:color w:val="auto"/>
              </w:rPr>
              <w:t>Included in other comprehensive loss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Purchases, issuances, settlements, maturities and calls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3,649</w:t>
            </w:r>
          </w:p>
        </w:tc>
        <w:tc>
          <w:tcPr>
            <w:tcW w:w="0" w:type="dxa"/>
            <w:vAlign w:val="bottom"/>
          </w:tcPr>
          <w:p>
            <w:pPr>
              <w:spacing w:after="0"/>
              <w:rPr>
                <w:sz w:val="1"/>
                <w:szCs w:val="1"/>
                <w:color w:val="auto"/>
              </w:rPr>
            </w:pPr>
          </w:p>
        </w:tc>
      </w:tr>
      <w:tr>
        <w:trPr>
          <w:trHeight w:val="218"/>
        </w:trPr>
        <w:tc>
          <w:tcPr>
            <w:tcW w:w="5040" w:type="dxa"/>
            <w:vAlign w:val="bottom"/>
          </w:tcPr>
          <w:p>
            <w:pPr>
              <w:ind w:left="180"/>
              <w:spacing w:after="0"/>
              <w:rPr>
                <w:sz w:val="20"/>
                <w:szCs w:val="20"/>
                <w:color w:val="auto"/>
              </w:rPr>
            </w:pPr>
            <w:r>
              <w:rPr>
                <w:rFonts w:ascii="Arial" w:cs="Arial" w:eastAsia="Arial" w:hAnsi="Arial"/>
                <w:sz w:val="17"/>
                <w:szCs w:val="17"/>
                <w:color w:val="auto"/>
              </w:rPr>
              <w:t>Transfers in and/or out of Level 3</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6"/>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44,427</w:t>
            </w:r>
          </w:p>
        </w:tc>
        <w:tc>
          <w:tcPr>
            <w:tcW w:w="1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39,477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44,427</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39,477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Amount of total gains (losses) for the period included in earnings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shd w:val="clear" w:color="auto" w:fill="CCEEFF"/>
          </w:tcPr>
          <w:p>
            <w:pPr>
              <w:ind w:left="180"/>
              <w:spacing w:after="0" w:line="167" w:lineRule="exact"/>
              <w:rPr>
                <w:sz w:val="20"/>
                <w:szCs w:val="20"/>
                <w:color w:val="auto"/>
              </w:rPr>
            </w:pPr>
            <w:r>
              <w:rPr>
                <w:rFonts w:ascii="Arial" w:cs="Arial" w:eastAsia="Arial" w:hAnsi="Arial"/>
                <w:sz w:val="17"/>
                <w:szCs w:val="17"/>
                <w:color w:val="auto"/>
                <w:w w:val="90"/>
              </w:rPr>
              <w:t>attributable to the change in unrealized gains (losses) relating to assets</w:t>
            </w:r>
          </w:p>
        </w:tc>
        <w:tc>
          <w:tcPr>
            <w:tcW w:w="920" w:type="dxa"/>
            <w:vAlign w:val="bottom"/>
            <w:vMerge w:val="restart"/>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1020" w:type="dxa"/>
            <w:vAlign w:val="bottom"/>
            <w:gridSpan w:val="2"/>
            <w:vMerge w:val="restart"/>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2,038</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9,596</w:t>
            </w:r>
          </w:p>
        </w:tc>
        <w:tc>
          <w:tcPr>
            <w:tcW w:w="0" w:type="dxa"/>
            <w:vAlign w:val="bottom"/>
          </w:tcPr>
          <w:p>
            <w:pPr>
              <w:spacing w:after="0"/>
              <w:rPr>
                <w:sz w:val="1"/>
                <w:szCs w:val="1"/>
                <w:color w:val="auto"/>
              </w:rPr>
            </w:pPr>
          </w:p>
        </w:tc>
      </w:tr>
      <w:tr>
        <w:trPr>
          <w:trHeight w:val="226"/>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and liabilities still held at June 30</w:t>
            </w:r>
          </w:p>
        </w:tc>
        <w:tc>
          <w:tcPr>
            <w:tcW w:w="92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fair value of our capitalized mortgage loan servicing rights has been determined based on a valuation model used by an independent third party as discussed above. The significant unobservable inputs used in the fair value measurement of the capitalized mortgage loan servicing rights are discount rate, cost to service, ancillary income, float rate and prepayment rate. Significant changes in all five of these assumptions in isolation would result in significant changes to the value of our capitalized mortgage loan servicing rights. Quantitative information about our Level 3 fair value measurements measured on a recurring basis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4"/>
              <w:spacing w:after="0"/>
              <w:rPr>
                <w:sz w:val="20"/>
                <w:szCs w:val="20"/>
                <w:color w:val="auto"/>
              </w:rPr>
            </w:pPr>
            <w:r>
              <w:rPr>
                <w:rFonts w:ascii="Arial" w:cs="Arial" w:eastAsia="Arial" w:hAnsi="Arial"/>
                <w:sz w:val="17"/>
                <w:szCs w:val="17"/>
                <w:color w:val="auto"/>
                <w:w w:val="89"/>
              </w:rPr>
              <w:t>Asset</w:t>
            </w:r>
          </w:p>
        </w:tc>
        <w:tc>
          <w:tcPr>
            <w:tcW w:w="100" w:type="dxa"/>
            <w:vAlign w:val="bottom"/>
          </w:tcPr>
          <w:p>
            <w:pPr>
              <w:spacing w:after="0"/>
              <w:rPr>
                <w:sz w:val="16"/>
                <w:szCs w:val="16"/>
                <w:color w:val="auto"/>
              </w:rPr>
            </w:pPr>
          </w:p>
        </w:tc>
        <w:tc>
          <w:tcPr>
            <w:tcW w:w="2080" w:type="dxa"/>
            <w:vAlign w:val="bottom"/>
            <w:vMerge w:val="restart"/>
          </w:tcPr>
          <w:p>
            <w:pPr>
              <w:jc w:val="center"/>
              <w:spacing w:after="0"/>
              <w:rPr>
                <w:sz w:val="20"/>
                <w:szCs w:val="20"/>
                <w:color w:val="auto"/>
              </w:rPr>
            </w:pPr>
            <w:r>
              <w:rPr>
                <w:rFonts w:ascii="Arial" w:cs="Arial" w:eastAsia="Arial" w:hAnsi="Arial"/>
                <w:sz w:val="17"/>
                <w:szCs w:val="17"/>
                <w:color w:val="auto"/>
                <w:w w:val="93"/>
              </w:rPr>
              <w:t>Valuation</w:t>
            </w:r>
          </w:p>
        </w:tc>
        <w:tc>
          <w:tcPr>
            <w:tcW w:w="80" w:type="dxa"/>
            <w:vAlign w:val="bottom"/>
          </w:tcPr>
          <w:p>
            <w:pPr>
              <w:spacing w:after="0"/>
              <w:rPr>
                <w:sz w:val="16"/>
                <w:szCs w:val="16"/>
                <w:color w:val="auto"/>
              </w:rPr>
            </w:pPr>
          </w:p>
        </w:tc>
        <w:tc>
          <w:tcPr>
            <w:tcW w:w="1820" w:type="dxa"/>
            <w:vAlign w:val="bottom"/>
            <w:vMerge w:val="restart"/>
          </w:tcPr>
          <w:p>
            <w:pPr>
              <w:ind w:left="440"/>
              <w:spacing w:after="0"/>
              <w:rPr>
                <w:sz w:val="20"/>
                <w:szCs w:val="20"/>
                <w:color w:val="auto"/>
              </w:rPr>
            </w:pPr>
            <w:r>
              <w:rPr>
                <w:rFonts w:ascii="Arial" w:cs="Arial" w:eastAsia="Arial" w:hAnsi="Arial"/>
                <w:sz w:val="17"/>
                <w:szCs w:val="17"/>
                <w:color w:val="auto"/>
              </w:rPr>
              <w:t>Unobservable</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restart"/>
          </w:tcPr>
          <w:p>
            <w:pPr>
              <w:jc w:val="right"/>
              <w:ind w:right="374"/>
              <w:spacing w:after="0"/>
              <w:rPr>
                <w:sz w:val="20"/>
                <w:szCs w:val="20"/>
                <w:color w:val="auto"/>
              </w:rPr>
            </w:pPr>
            <w:r>
              <w:rPr>
                <w:rFonts w:ascii="Arial" w:cs="Arial" w:eastAsia="Arial" w:hAnsi="Arial"/>
                <w:sz w:val="17"/>
                <w:szCs w:val="17"/>
                <w:color w:val="auto"/>
              </w:rPr>
              <w:t>Weighted</w:t>
            </w: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center"/>
              <w:ind w:right="74"/>
              <w:spacing w:after="0" w:line="180" w:lineRule="exact"/>
              <w:rPr>
                <w:sz w:val="20"/>
                <w:szCs w:val="20"/>
                <w:color w:val="auto"/>
              </w:rPr>
            </w:pPr>
            <w:r>
              <w:rPr>
                <w:rFonts w:ascii="Arial" w:cs="Arial" w:eastAsia="Arial" w:hAnsi="Arial"/>
                <w:sz w:val="17"/>
                <w:szCs w:val="17"/>
                <w:color w:val="auto"/>
                <w:w w:val="95"/>
              </w:rPr>
              <w:t>Fair</w:t>
            </w:r>
          </w:p>
        </w:tc>
        <w:tc>
          <w:tcPr>
            <w:tcW w:w="10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1"/>
              </w:rPr>
              <w:t>Value</w:t>
            </w:r>
          </w:p>
        </w:tc>
        <w:tc>
          <w:tcPr>
            <w:tcW w:w="10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Technique</w:t>
            </w:r>
          </w:p>
        </w:tc>
        <w:tc>
          <w:tcPr>
            <w:tcW w:w="80" w:type="dxa"/>
            <w:vAlign w:val="bottom"/>
          </w:tcPr>
          <w:p>
            <w:pPr>
              <w:spacing w:after="0"/>
              <w:rPr>
                <w:sz w:val="18"/>
                <w:szCs w:val="18"/>
                <w:color w:val="auto"/>
              </w:rPr>
            </w:pPr>
          </w:p>
        </w:tc>
        <w:tc>
          <w:tcPr>
            <w:tcW w:w="182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Inputs</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color w:val="auto"/>
              </w:rPr>
              <w:t>Range</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Average</w:t>
            </w:r>
          </w:p>
        </w:tc>
        <w:tc>
          <w:tcPr>
            <w:tcW w:w="0" w:type="dxa"/>
            <w:vAlign w:val="bottom"/>
          </w:tcPr>
          <w:p>
            <w:pPr>
              <w:spacing w:after="0"/>
              <w:rPr>
                <w:sz w:val="1"/>
                <w:szCs w:val="1"/>
                <w:color w:val="auto"/>
              </w:rPr>
            </w:pPr>
          </w:p>
        </w:tc>
      </w:tr>
      <w:tr>
        <w:trPr>
          <w:trHeight w:val="211"/>
        </w:trPr>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4"/>
              <w:spacing w:after="0"/>
              <w:rPr>
                <w:sz w:val="20"/>
                <w:szCs w:val="20"/>
                <w:color w:val="auto"/>
              </w:rPr>
            </w:pPr>
            <w:r>
              <w:rPr>
                <w:rFonts w:ascii="Arial" w:cs="Arial" w:eastAsia="Arial" w:hAnsi="Arial"/>
                <w:sz w:val="17"/>
                <w:szCs w:val="17"/>
                <w:color w:val="auto"/>
                <w:w w:val="91"/>
              </w:rPr>
              <w:t>(In thousands)</w:t>
            </w: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00" w:type="dxa"/>
            <w:vAlign w:val="bottom"/>
          </w:tcPr>
          <w:p>
            <w:pPr>
              <w:ind w:left="20"/>
              <w:spacing w:after="0"/>
              <w:rPr>
                <w:sz w:val="20"/>
                <w:szCs w:val="20"/>
                <w:color w:val="auto"/>
              </w:rPr>
            </w:pPr>
            <w:r>
              <w:rPr>
                <w:rFonts w:ascii="Arial" w:cs="Arial" w:eastAsia="Arial" w:hAnsi="Arial"/>
                <w:sz w:val="17"/>
                <w:szCs w:val="17"/>
                <w:color w:val="auto"/>
              </w:rPr>
              <w:t>June 30, 2023</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ind w:left="180"/>
              <w:spacing w:after="0" w:line="176" w:lineRule="exact"/>
              <w:rPr>
                <w:sz w:val="20"/>
                <w:szCs w:val="20"/>
                <w:color w:val="auto"/>
              </w:rPr>
            </w:pPr>
            <w:r>
              <w:rPr>
                <w:rFonts w:ascii="Arial" w:cs="Arial" w:eastAsia="Arial" w:hAnsi="Arial"/>
                <w:sz w:val="17"/>
                <w:szCs w:val="17"/>
                <w:color w:val="auto"/>
                <w:w w:val="96"/>
              </w:rPr>
              <w:t>Capitalized mortgage loan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44,427</w:t>
            </w: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jc w:val="center"/>
              <w:spacing w:after="0" w:line="176" w:lineRule="exact"/>
              <w:rPr>
                <w:sz w:val="20"/>
                <w:szCs w:val="20"/>
                <w:color w:val="auto"/>
              </w:rPr>
            </w:pPr>
            <w:r>
              <w:rPr>
                <w:rFonts w:ascii="Arial" w:cs="Arial" w:eastAsia="Arial" w:hAnsi="Arial"/>
                <w:sz w:val="17"/>
                <w:szCs w:val="17"/>
                <w:color w:val="auto"/>
                <w:w w:val="90"/>
              </w:rPr>
              <w:t>Present value of net servicing</w:t>
            </w:r>
          </w:p>
        </w:tc>
        <w:tc>
          <w:tcPr>
            <w:tcW w:w="8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0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10.00% to 13.49%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10.17 %</w:t>
            </w: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servicing rights</w:t>
            </w: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revenue</w:t>
            </w:r>
          </w:p>
        </w:tc>
        <w:tc>
          <w:tcPr>
            <w:tcW w:w="8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7"/>
                <w:szCs w:val="17"/>
                <w:color w:val="auto"/>
              </w:rPr>
              <w:t>Cost to service</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$69 to $817</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4"/>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6"/>
        </w:trPr>
        <w:tc>
          <w:tcPr>
            <w:tcW w:w="2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Ancillary income</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to 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8"/>
        </w:trPr>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7"/>
                <w:szCs w:val="17"/>
                <w:color w:val="auto"/>
              </w:rPr>
              <w:t>Float rate</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4.22 %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4.22 %</w:t>
            </w:r>
          </w:p>
        </w:tc>
        <w:tc>
          <w:tcPr>
            <w:tcW w:w="0" w:type="dxa"/>
            <w:vAlign w:val="bottom"/>
          </w:tcPr>
          <w:p>
            <w:pPr>
              <w:spacing w:after="0"/>
              <w:rPr>
                <w:sz w:val="1"/>
                <w:szCs w:val="1"/>
                <w:color w:val="auto"/>
              </w:rPr>
            </w:pPr>
          </w:p>
        </w:tc>
      </w:tr>
      <w:tr>
        <w:trPr>
          <w:trHeight w:val="233"/>
        </w:trPr>
        <w:tc>
          <w:tcPr>
            <w:tcW w:w="2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Prepayment rate</w:t>
            </w:r>
          </w:p>
        </w:tc>
        <w:tc>
          <w:tcPr>
            <w:tcW w:w="1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 to 32.82%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8.12 %</w:t>
            </w:r>
          </w:p>
        </w:tc>
        <w:tc>
          <w:tcPr>
            <w:tcW w:w="0" w:type="dxa"/>
            <w:vAlign w:val="bottom"/>
          </w:tcPr>
          <w:p>
            <w:pPr>
              <w:spacing w:after="0"/>
              <w:rPr>
                <w:sz w:val="1"/>
                <w:szCs w:val="1"/>
                <w:color w:val="auto"/>
              </w:rPr>
            </w:pPr>
          </w:p>
        </w:tc>
      </w:tr>
      <w:tr>
        <w:trPr>
          <w:trHeight w:val="218"/>
        </w:trPr>
        <w:tc>
          <w:tcPr>
            <w:tcW w:w="2100" w:type="dxa"/>
            <w:vAlign w:val="bottom"/>
          </w:tcPr>
          <w:p>
            <w:pPr>
              <w:ind w:left="20"/>
              <w:spacing w:after="0"/>
              <w:rPr>
                <w:sz w:val="20"/>
                <w:szCs w:val="20"/>
                <w:color w:val="auto"/>
              </w:rPr>
            </w:pPr>
            <w:r>
              <w:rPr>
                <w:rFonts w:ascii="Arial" w:cs="Arial" w:eastAsia="Arial" w:hAnsi="Arial"/>
                <w:sz w:val="17"/>
                <w:szCs w:val="17"/>
                <w:color w:val="auto"/>
              </w:rPr>
              <w:t>December 31, 2022</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100" w:type="dxa"/>
            <w:vAlign w:val="bottom"/>
            <w:shd w:val="clear" w:color="auto" w:fill="CCEEFF"/>
          </w:tcPr>
          <w:p>
            <w:pPr>
              <w:ind w:left="180"/>
              <w:spacing w:after="0" w:line="169" w:lineRule="exact"/>
              <w:rPr>
                <w:sz w:val="20"/>
                <w:szCs w:val="20"/>
                <w:color w:val="auto"/>
              </w:rPr>
            </w:pPr>
            <w:r>
              <w:rPr>
                <w:rFonts w:ascii="Arial" w:cs="Arial" w:eastAsia="Arial" w:hAnsi="Arial"/>
                <w:sz w:val="17"/>
                <w:szCs w:val="17"/>
                <w:color w:val="auto"/>
                <w:w w:val="96"/>
              </w:rPr>
              <w:t>Capitalized mortgage loan</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42,489</w:t>
            </w: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jc w:val="center"/>
              <w:spacing w:after="0" w:line="169" w:lineRule="exact"/>
              <w:rPr>
                <w:sz w:val="20"/>
                <w:szCs w:val="20"/>
                <w:color w:val="auto"/>
              </w:rPr>
            </w:pPr>
            <w:r>
              <w:rPr>
                <w:rFonts w:ascii="Arial" w:cs="Arial" w:eastAsia="Arial" w:hAnsi="Arial"/>
                <w:sz w:val="17"/>
                <w:szCs w:val="17"/>
                <w:color w:val="auto"/>
                <w:w w:val="90"/>
              </w:rPr>
              <w:t>Present value of net servicing</w:t>
            </w:r>
          </w:p>
        </w:tc>
        <w:tc>
          <w:tcPr>
            <w:tcW w:w="8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00" w:type="dxa"/>
            <w:vAlign w:val="bottom"/>
            <w:shd w:val="clear" w:color="auto" w:fill="CCEEFF"/>
          </w:tcPr>
          <w:p>
            <w:pPr>
              <w:spacing w:after="0"/>
              <w:rPr>
                <w:sz w:val="14"/>
                <w:szCs w:val="14"/>
                <w:color w:val="auto"/>
              </w:rPr>
            </w:pPr>
          </w:p>
        </w:tc>
        <w:tc>
          <w:tcPr>
            <w:tcW w:w="1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10.00% to 13.23%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10.12 %</w:t>
            </w: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servicing rights</w:t>
            </w:r>
          </w:p>
        </w:tc>
        <w:tc>
          <w:tcPr>
            <w:tcW w:w="160" w:type="dxa"/>
            <w:vAlign w:val="bottom"/>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revenue</w:t>
            </w:r>
          </w:p>
        </w:tc>
        <w:tc>
          <w:tcPr>
            <w:tcW w:w="8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tcPr>
          <w:p>
            <w:pPr>
              <w:ind w:left="20"/>
              <w:spacing w:after="0"/>
              <w:rPr>
                <w:sz w:val="20"/>
                <w:szCs w:val="20"/>
                <w:color w:val="auto"/>
              </w:rPr>
            </w:pPr>
            <w:r>
              <w:rPr>
                <w:rFonts w:ascii="Arial" w:cs="Arial" w:eastAsia="Arial" w:hAnsi="Arial"/>
                <w:sz w:val="17"/>
                <w:szCs w:val="17"/>
                <w:color w:val="auto"/>
              </w:rPr>
              <w:t>Cost to service</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$66 to $150</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14"/>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26"/>
        </w:trPr>
        <w:tc>
          <w:tcPr>
            <w:tcW w:w="2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Ancillary income</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 to 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8"/>
        </w:trPr>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Arial" w:cs="Arial" w:eastAsia="Arial" w:hAnsi="Arial"/>
                <w:sz w:val="17"/>
                <w:szCs w:val="17"/>
                <w:color w:val="auto"/>
              </w:rPr>
              <w:t>Float rate</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4.03 %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4.03 %</w:t>
            </w:r>
          </w:p>
        </w:tc>
        <w:tc>
          <w:tcPr>
            <w:tcW w:w="0" w:type="dxa"/>
            <w:vAlign w:val="bottom"/>
          </w:tcPr>
          <w:p>
            <w:pPr>
              <w:spacing w:after="0"/>
              <w:rPr>
                <w:sz w:val="1"/>
                <w:szCs w:val="1"/>
                <w:color w:val="auto"/>
              </w:rPr>
            </w:pPr>
          </w:p>
        </w:tc>
      </w:tr>
      <w:tr>
        <w:trPr>
          <w:trHeight w:val="233"/>
        </w:trPr>
        <w:tc>
          <w:tcPr>
            <w:tcW w:w="2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Prepayment rate</w:t>
            </w:r>
          </w:p>
        </w:tc>
        <w:tc>
          <w:tcPr>
            <w:tcW w:w="1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 to 30.40%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w:t>
            </w:r>
          </w:p>
        </w:tc>
        <w:tc>
          <w:tcPr>
            <w:tcW w:w="0" w:type="dxa"/>
            <w:vAlign w:val="bottom"/>
          </w:tcPr>
          <w:p>
            <w:pPr>
              <w:spacing w:after="0"/>
              <w:rPr>
                <w:sz w:val="1"/>
                <w:szCs w:val="1"/>
                <w:color w:val="auto"/>
              </w:rPr>
            </w:pPr>
          </w:p>
        </w:tc>
      </w:tr>
      <w:tr>
        <w:trPr>
          <w:trHeight w:val="849"/>
        </w:trPr>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8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Quantitative information about Level 3 fair value measurements measured on a non-recurring basis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94"/>
              <w:spacing w:after="0"/>
              <w:rPr>
                <w:sz w:val="20"/>
                <w:szCs w:val="20"/>
                <w:color w:val="auto"/>
              </w:rPr>
            </w:pPr>
            <w:r>
              <w:rPr>
                <w:rFonts w:ascii="Arial" w:cs="Arial" w:eastAsia="Arial" w:hAnsi="Arial"/>
                <w:sz w:val="17"/>
                <w:szCs w:val="17"/>
                <w:color w:val="auto"/>
                <w:w w:val="89"/>
              </w:rPr>
              <w:t>Asset</w:t>
            </w: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6"/>
        </w:trPr>
        <w:tc>
          <w:tcPr>
            <w:tcW w:w="2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74"/>
              <w:spacing w:after="0"/>
              <w:rPr>
                <w:sz w:val="20"/>
                <w:szCs w:val="20"/>
                <w:color w:val="auto"/>
              </w:rPr>
            </w:pPr>
            <w:r>
              <w:rPr>
                <w:rFonts w:ascii="Arial" w:cs="Arial" w:eastAsia="Arial" w:hAnsi="Arial"/>
                <w:sz w:val="17"/>
                <w:szCs w:val="17"/>
                <w:color w:val="auto"/>
                <w:w w:val="95"/>
              </w:rPr>
              <w:t>Fair</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w w:val="93"/>
              </w:rPr>
              <w:t>Valuation</w:t>
            </w:r>
          </w:p>
        </w:tc>
        <w:tc>
          <w:tcPr>
            <w:tcW w:w="10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w w:val="89"/>
              </w:rPr>
              <w:t>Unobservable</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234"/>
              <w:spacing w:after="0"/>
              <w:rPr>
                <w:sz w:val="20"/>
                <w:szCs w:val="20"/>
                <w:color w:val="auto"/>
              </w:rPr>
            </w:pPr>
            <w:r>
              <w:rPr>
                <w:rFonts w:ascii="Arial" w:cs="Arial" w:eastAsia="Arial" w:hAnsi="Arial"/>
                <w:sz w:val="17"/>
                <w:szCs w:val="17"/>
                <w:color w:val="auto"/>
              </w:rPr>
              <w:t>Weighted</w:t>
            </w:r>
          </w:p>
        </w:tc>
      </w:tr>
      <w:tr>
        <w:trPr>
          <w:trHeight w:val="217"/>
        </w:trPr>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4"/>
              <w:spacing w:after="0"/>
              <w:rPr>
                <w:sz w:val="20"/>
                <w:szCs w:val="20"/>
                <w:color w:val="auto"/>
              </w:rPr>
            </w:pPr>
            <w:r>
              <w:rPr>
                <w:rFonts w:ascii="Arial" w:cs="Arial" w:eastAsia="Arial" w:hAnsi="Arial"/>
                <w:sz w:val="17"/>
                <w:szCs w:val="17"/>
                <w:color w:val="auto"/>
                <w:w w:val="87"/>
              </w:rPr>
              <w:t>Value</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w w:val="88"/>
              </w:rPr>
              <w:t>Technique</w:t>
            </w: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w w:val="90"/>
              </w:rPr>
              <w:t>Inputs</w:t>
            </w:r>
          </w:p>
        </w:tc>
        <w:tc>
          <w:tcPr>
            <w:tcW w:w="100" w:type="dxa"/>
            <w:vAlign w:val="bottom"/>
          </w:tcPr>
          <w:p>
            <w:pPr>
              <w:spacing w:after="0"/>
              <w:rPr>
                <w:sz w:val="18"/>
                <w:szCs w:val="18"/>
                <w:color w:val="auto"/>
              </w:rPr>
            </w:pPr>
          </w:p>
        </w:tc>
        <w:tc>
          <w:tcPr>
            <w:tcW w:w="1760" w:type="dxa"/>
            <w:vAlign w:val="bottom"/>
          </w:tcPr>
          <w:p>
            <w:pPr>
              <w:jc w:val="right"/>
              <w:ind w:right="574"/>
              <w:spacing w:after="0"/>
              <w:rPr>
                <w:sz w:val="20"/>
                <w:szCs w:val="20"/>
                <w:color w:val="auto"/>
              </w:rPr>
            </w:pPr>
            <w:r>
              <w:rPr>
                <w:rFonts w:ascii="Arial" w:cs="Arial" w:eastAsia="Arial" w:hAnsi="Arial"/>
                <w:sz w:val="17"/>
                <w:szCs w:val="17"/>
                <w:color w:val="auto"/>
              </w:rPr>
              <w:t>Range</w:t>
            </w:r>
          </w:p>
        </w:tc>
        <w:tc>
          <w:tcPr>
            <w:tcW w:w="100" w:type="dxa"/>
            <w:vAlign w:val="bottom"/>
          </w:tcPr>
          <w:p>
            <w:pPr>
              <w:spacing w:after="0"/>
              <w:rPr>
                <w:sz w:val="18"/>
                <w:szCs w:val="18"/>
                <w:color w:val="auto"/>
              </w:rPr>
            </w:pPr>
          </w:p>
        </w:tc>
        <w:tc>
          <w:tcPr>
            <w:tcW w:w="1280" w:type="dxa"/>
            <w:vAlign w:val="bottom"/>
          </w:tcPr>
          <w:p>
            <w:pPr>
              <w:jc w:val="right"/>
              <w:ind w:right="274"/>
              <w:spacing w:after="0"/>
              <w:rPr>
                <w:sz w:val="20"/>
                <w:szCs w:val="20"/>
                <w:color w:val="auto"/>
              </w:rPr>
            </w:pPr>
            <w:r>
              <w:rPr>
                <w:rFonts w:ascii="Arial" w:cs="Arial" w:eastAsia="Arial" w:hAnsi="Arial"/>
                <w:sz w:val="17"/>
                <w:szCs w:val="17"/>
                <w:color w:val="auto"/>
              </w:rPr>
              <w:t>Average</w:t>
            </w:r>
          </w:p>
        </w:tc>
      </w:tr>
      <w:tr>
        <w:trPr>
          <w:trHeight w:val="27"/>
        </w:trPr>
        <w:tc>
          <w:tcPr>
            <w:tcW w:w="2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2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4"/>
              <w:spacing w:after="0"/>
              <w:rPr>
                <w:sz w:val="20"/>
                <w:szCs w:val="20"/>
                <w:color w:val="auto"/>
              </w:rPr>
            </w:pPr>
            <w:r>
              <w:rPr>
                <w:rFonts w:ascii="Arial" w:cs="Arial" w:eastAsia="Arial" w:hAnsi="Arial"/>
                <w:sz w:val="17"/>
                <w:szCs w:val="17"/>
                <w:color w:val="auto"/>
                <w:w w:val="90"/>
              </w:rPr>
              <w:t>(In thousands)</w:t>
            </w: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5"/>
        </w:trPr>
        <w:tc>
          <w:tcPr>
            <w:tcW w:w="2320" w:type="dxa"/>
            <w:vAlign w:val="bottom"/>
            <w:gridSpan w:val="2"/>
          </w:tcPr>
          <w:p>
            <w:pPr>
              <w:ind w:left="20"/>
              <w:spacing w:after="0"/>
              <w:rPr>
                <w:sz w:val="20"/>
                <w:szCs w:val="20"/>
                <w:color w:val="auto"/>
              </w:rPr>
            </w:pPr>
            <w:r>
              <w:rPr>
                <w:rFonts w:ascii="Arial" w:cs="Arial" w:eastAsia="Arial" w:hAnsi="Arial"/>
                <w:sz w:val="17"/>
                <w:szCs w:val="17"/>
                <w:color w:val="auto"/>
              </w:rPr>
              <w:t>June 30, 2023</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2"/>
        </w:trPr>
        <w:tc>
          <w:tcPr>
            <w:tcW w:w="2320" w:type="dxa"/>
            <w:vAlign w:val="bottom"/>
            <w:gridSpan w:val="2"/>
          </w:tcPr>
          <w:p>
            <w:pPr>
              <w:jc w:val="right"/>
              <w:ind w:right="320"/>
              <w:spacing w:after="0"/>
              <w:rPr>
                <w:sz w:val="20"/>
                <w:szCs w:val="20"/>
                <w:color w:val="auto"/>
              </w:rPr>
            </w:pPr>
            <w:r>
              <w:rPr>
                <w:rFonts w:ascii="Arial" w:cs="Arial" w:eastAsia="Arial" w:hAnsi="Arial"/>
                <w:sz w:val="17"/>
                <w:szCs w:val="17"/>
                <w:color w:val="auto"/>
                <w:w w:val="97"/>
              </w:rPr>
              <w:t>Collateral dependent loans</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7"/>
        </w:trPr>
        <w:tc>
          <w:tcPr>
            <w:tcW w:w="2320" w:type="dxa"/>
            <w:vAlign w:val="bottom"/>
            <w:gridSpan w:val="2"/>
            <w:shd w:val="clear" w:color="auto" w:fill="CCEEFF"/>
          </w:tcPr>
          <w:p>
            <w:pPr>
              <w:jc w:val="center"/>
              <w:ind w:right="720"/>
              <w:spacing w:after="0"/>
              <w:rPr>
                <w:sz w:val="20"/>
                <w:szCs w:val="20"/>
                <w:color w:val="auto"/>
              </w:rPr>
            </w:pPr>
            <w:r>
              <w:rPr>
                <w:rFonts w:ascii="Arial" w:cs="Arial" w:eastAsia="Arial" w:hAnsi="Arial"/>
                <w:sz w:val="17"/>
                <w:szCs w:val="17"/>
                <w:color w:val="auto"/>
                <w:w w:val="93"/>
              </w:rPr>
              <w:t>Commercial(1)</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Discounting financial</w:t>
            </w:r>
          </w:p>
        </w:tc>
        <w:tc>
          <w:tcPr>
            <w:tcW w:w="100" w:type="dxa"/>
            <w:vAlign w:val="bottom"/>
            <w:shd w:val="clear" w:color="auto" w:fill="CCEEFF"/>
          </w:tcPr>
          <w:p>
            <w:pPr>
              <w:spacing w:after="0"/>
              <w:rPr>
                <w:sz w:val="19"/>
                <w:szCs w:val="19"/>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Discount rates used</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06"/>
        </w:trPr>
        <w:tc>
          <w:tcPr>
            <w:tcW w:w="2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statement and machinery</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6"/>
        </w:trPr>
        <w:tc>
          <w:tcPr>
            <w:tcW w:w="2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and equipment appraised</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4"/>
        </w:trPr>
        <w:tc>
          <w:tcPr>
            <w:tcW w:w="23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values</w:t>
            </w:r>
          </w:p>
        </w:tc>
        <w:tc>
          <w:tcPr>
            <w:tcW w:w="10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 to 100.0%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65.6 %</w:t>
            </w:r>
          </w:p>
        </w:tc>
      </w:tr>
      <w:tr>
        <w:trPr>
          <w:trHeight w:val="207"/>
        </w:trPr>
        <w:tc>
          <w:tcPr>
            <w:tcW w:w="2320" w:type="dxa"/>
            <w:vAlign w:val="bottom"/>
            <w:gridSpan w:val="2"/>
          </w:tcPr>
          <w:p>
            <w:pPr>
              <w:jc w:val="center"/>
              <w:ind w:right="720"/>
              <w:spacing w:after="0"/>
              <w:rPr>
                <w:sz w:val="20"/>
                <w:szCs w:val="20"/>
                <w:color w:val="auto"/>
              </w:rPr>
            </w:pPr>
            <w:r>
              <w:rPr>
                <w:rFonts w:ascii="Arial" w:cs="Arial" w:eastAsia="Arial" w:hAnsi="Arial"/>
                <w:sz w:val="17"/>
                <w:szCs w:val="17"/>
                <w:color w:val="auto"/>
                <w:w w:val="91"/>
              </w:rPr>
              <w:t>Mortgage and</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ind w:left="20"/>
              <w:spacing w:after="0"/>
              <w:rPr>
                <w:sz w:val="20"/>
                <w:szCs w:val="20"/>
                <w:color w:val="auto"/>
              </w:rPr>
            </w:pPr>
            <w:r>
              <w:rPr>
                <w:rFonts w:ascii="Arial" w:cs="Arial" w:eastAsia="Arial" w:hAnsi="Arial"/>
                <w:sz w:val="17"/>
                <w:szCs w:val="17"/>
                <w:color w:val="auto"/>
                <w:w w:val="97"/>
              </w:rPr>
              <w:t>Sales comparison approach</w:t>
            </w:r>
          </w:p>
        </w:tc>
        <w:tc>
          <w:tcPr>
            <w:tcW w:w="100" w:type="dxa"/>
            <w:vAlign w:val="bottom"/>
          </w:tcPr>
          <w:p>
            <w:pPr>
              <w:spacing w:after="0"/>
              <w:rPr>
                <w:sz w:val="17"/>
                <w:szCs w:val="17"/>
                <w:color w:val="auto"/>
              </w:rPr>
            </w:pPr>
          </w:p>
        </w:tc>
        <w:tc>
          <w:tcPr>
            <w:tcW w:w="2100" w:type="dxa"/>
            <w:vAlign w:val="bottom"/>
          </w:tcPr>
          <w:p>
            <w:pPr>
              <w:ind w:left="20"/>
              <w:spacing w:after="0"/>
              <w:rPr>
                <w:sz w:val="20"/>
                <w:szCs w:val="20"/>
                <w:color w:val="auto"/>
              </w:rPr>
            </w:pPr>
            <w:r>
              <w:rPr>
                <w:rFonts w:ascii="Arial" w:cs="Arial" w:eastAsia="Arial" w:hAnsi="Arial"/>
                <w:sz w:val="17"/>
                <w:szCs w:val="17"/>
                <w:color w:val="auto"/>
              </w:rPr>
              <w:t>Adjustment for differences</w:t>
            </w: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7"/>
        </w:trPr>
        <w:tc>
          <w:tcPr>
            <w:tcW w:w="2320" w:type="dxa"/>
            <w:vAlign w:val="bottom"/>
            <w:gridSpan w:val="2"/>
          </w:tcPr>
          <w:p>
            <w:pPr>
              <w:jc w:val="right"/>
              <w:ind w:right="860"/>
              <w:spacing w:after="0"/>
              <w:rPr>
                <w:sz w:val="20"/>
                <w:szCs w:val="20"/>
                <w:color w:val="auto"/>
              </w:rPr>
            </w:pPr>
            <w:r>
              <w:rPr>
                <w:rFonts w:ascii="Arial" w:cs="Arial" w:eastAsia="Arial" w:hAnsi="Arial"/>
                <w:sz w:val="17"/>
                <w:szCs w:val="17"/>
                <w:color w:val="auto"/>
              </w:rPr>
              <w:t>Installment(2)</w:t>
            </w:r>
          </w:p>
        </w:tc>
        <w:tc>
          <w:tcPr>
            <w:tcW w:w="1280" w:type="dxa"/>
            <w:vAlign w:val="bottom"/>
          </w:tcPr>
          <w:p>
            <w:pPr>
              <w:jc w:val="right"/>
              <w:spacing w:after="0"/>
              <w:rPr>
                <w:sz w:val="20"/>
                <w:szCs w:val="20"/>
                <w:color w:val="auto"/>
              </w:rPr>
            </w:pPr>
            <w:r>
              <w:rPr>
                <w:rFonts w:ascii="Arial" w:cs="Arial" w:eastAsia="Arial" w:hAnsi="Arial"/>
                <w:sz w:val="17"/>
                <w:szCs w:val="17"/>
                <w:color w:val="auto"/>
              </w:rPr>
              <w:t>955</w:t>
            </w: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w w:val="88"/>
              </w:rPr>
              <w:t>between comparable sales</w:t>
            </w:r>
          </w:p>
        </w:tc>
        <w:tc>
          <w:tcPr>
            <w:tcW w:w="10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(73.3) to 65.2</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13.6</w:t>
            </w:r>
          </w:p>
        </w:tc>
      </w:tr>
      <w:tr>
        <w:trPr>
          <w:trHeight w:val="259"/>
        </w:trPr>
        <w:tc>
          <w:tcPr>
            <w:tcW w:w="2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8"/>
        </w:trPr>
        <w:tc>
          <w:tcPr>
            <w:tcW w:w="2320" w:type="dxa"/>
            <w:vAlign w:val="bottom"/>
            <w:gridSpan w:val="2"/>
          </w:tcPr>
          <w:p>
            <w:pPr>
              <w:ind w:left="20"/>
              <w:spacing w:after="0"/>
              <w:rPr>
                <w:sz w:val="20"/>
                <w:szCs w:val="20"/>
                <w:color w:val="auto"/>
              </w:rPr>
            </w:pPr>
            <w:r>
              <w:rPr>
                <w:rFonts w:ascii="Arial" w:cs="Arial" w:eastAsia="Arial" w:hAnsi="Arial"/>
                <w:sz w:val="17"/>
                <w:szCs w:val="17"/>
                <w:color w:val="auto"/>
              </w:rPr>
              <w:t>December 31, 2022</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5"/>
        </w:trPr>
        <w:tc>
          <w:tcPr>
            <w:tcW w:w="2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97"/>
              </w:rPr>
              <w:t>Collateral dependent loans</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0"/>
        </w:trPr>
        <w:tc>
          <w:tcPr>
            <w:tcW w:w="2320" w:type="dxa"/>
            <w:vAlign w:val="bottom"/>
            <w:gridSpan w:val="2"/>
          </w:tcPr>
          <w:p>
            <w:pPr>
              <w:ind w:left="280"/>
              <w:spacing w:after="0"/>
              <w:rPr>
                <w:sz w:val="20"/>
                <w:szCs w:val="20"/>
                <w:color w:val="auto"/>
              </w:rPr>
            </w:pPr>
            <w:r>
              <w:rPr>
                <w:rFonts w:ascii="Arial" w:cs="Arial" w:eastAsia="Arial" w:hAnsi="Arial"/>
                <w:sz w:val="17"/>
                <w:szCs w:val="17"/>
                <w:color w:val="auto"/>
              </w:rPr>
              <w:t>Commercial</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ind w:left="20"/>
              <w:spacing w:after="0"/>
              <w:rPr>
                <w:sz w:val="20"/>
                <w:szCs w:val="20"/>
                <w:color w:val="auto"/>
              </w:rPr>
            </w:pPr>
            <w:r>
              <w:rPr>
                <w:rFonts w:ascii="Arial" w:cs="Arial" w:eastAsia="Arial" w:hAnsi="Arial"/>
                <w:sz w:val="17"/>
                <w:szCs w:val="17"/>
                <w:color w:val="auto"/>
                <w:w w:val="97"/>
              </w:rPr>
              <w:t>Sales comparison approach</w:t>
            </w:r>
          </w:p>
        </w:tc>
        <w:tc>
          <w:tcPr>
            <w:tcW w:w="100" w:type="dxa"/>
            <w:vAlign w:val="bottom"/>
          </w:tcPr>
          <w:p>
            <w:pPr>
              <w:spacing w:after="0"/>
              <w:rPr>
                <w:sz w:val="19"/>
                <w:szCs w:val="19"/>
                <w:color w:val="auto"/>
              </w:rPr>
            </w:pPr>
          </w:p>
        </w:tc>
        <w:tc>
          <w:tcPr>
            <w:tcW w:w="2100" w:type="dxa"/>
            <w:vAlign w:val="bottom"/>
          </w:tcPr>
          <w:p>
            <w:pPr>
              <w:ind w:left="20"/>
              <w:spacing w:after="0"/>
              <w:rPr>
                <w:sz w:val="20"/>
                <w:szCs w:val="20"/>
                <w:color w:val="auto"/>
              </w:rPr>
            </w:pPr>
            <w:r>
              <w:rPr>
                <w:rFonts w:ascii="Arial" w:cs="Arial" w:eastAsia="Arial" w:hAnsi="Arial"/>
                <w:sz w:val="17"/>
                <w:szCs w:val="17"/>
                <w:color w:val="auto"/>
              </w:rPr>
              <w:t>Adjustment for differences</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7"/>
        </w:trPr>
        <w:tc>
          <w:tcPr>
            <w:tcW w:w="23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1,206</w:t>
            </w: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7"/>
                <w:szCs w:val="17"/>
                <w:color w:val="auto"/>
                <w:w w:val="88"/>
              </w:rPr>
              <w:t>between comparable sales</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(41.7)% to 20.0%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(0.4)%</w:t>
            </w:r>
          </w:p>
        </w:tc>
      </w:tr>
      <w:tr>
        <w:trPr>
          <w:trHeight w:val="27"/>
        </w:trPr>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7"/>
        </w:trPr>
        <w:tc>
          <w:tcPr>
            <w:tcW w:w="2320" w:type="dxa"/>
            <w:vAlign w:val="bottom"/>
            <w:gridSpan w:val="2"/>
            <w:shd w:val="clear" w:color="auto" w:fill="CCEEFF"/>
          </w:tcPr>
          <w:p>
            <w:pPr>
              <w:jc w:val="center"/>
              <w:ind w:right="720"/>
              <w:spacing w:after="0"/>
              <w:rPr>
                <w:sz w:val="20"/>
                <w:szCs w:val="20"/>
                <w:color w:val="auto"/>
              </w:rPr>
            </w:pPr>
            <w:r>
              <w:rPr>
                <w:rFonts w:ascii="Arial" w:cs="Arial" w:eastAsia="Arial" w:hAnsi="Arial"/>
                <w:sz w:val="17"/>
                <w:szCs w:val="17"/>
                <w:color w:val="auto"/>
                <w:w w:val="91"/>
              </w:rPr>
              <w:t>Mortgage and</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Sales comparison approach</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 for differences</w:t>
            </w:r>
          </w:p>
        </w:tc>
        <w:tc>
          <w:tcPr>
            <w:tcW w:w="1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232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Installment(2)</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between comparable sales</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 to 65.2</w:t>
            </w:r>
          </w:p>
        </w:tc>
        <w:tc>
          <w:tcPr>
            <w:tcW w:w="138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(5.3)</w:t>
            </w:r>
          </w:p>
        </w:tc>
      </w:tr>
      <w:tr>
        <w:trPr>
          <w:trHeight w:val="27"/>
        </w:trPr>
        <w:tc>
          <w:tcPr>
            <w:tcW w:w="2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97" w:lineRule="exact"/>
        <w:rPr>
          <w:sz w:val="20"/>
          <w:szCs w:val="20"/>
          <w:color w:val="auto"/>
        </w:rPr>
      </w:pPr>
    </w:p>
    <w:p>
      <w:pPr>
        <w:jc w:val="both"/>
        <w:ind w:left="600" w:right="20" w:hanging="580"/>
        <w:spacing w:after="0" w:line="266" w:lineRule="auto"/>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amount primarily relates to one collateral dependent relationship credit. Collateral securing this relationship primarily included accounts receivable, inventory and machinery and equipment at June 30, 2023. Valuation techniques at June 30, 2023 included discounting financial statement values for accounts receivable and inventory and appraised values for machinery and equipment.</w:t>
      </w:r>
    </w:p>
    <w:p>
      <w:pPr>
        <w:spacing w:after="0" w:line="20" w:lineRule="exact"/>
        <w:rPr>
          <w:rFonts w:ascii="Arial" w:cs="Arial" w:eastAsia="Arial" w:hAnsi="Arial"/>
          <w:sz w:val="17"/>
          <w:szCs w:val="17"/>
          <w:color w:val="auto"/>
        </w:rPr>
      </w:pPr>
    </w:p>
    <w:p>
      <w:pPr>
        <w:jc w:val="both"/>
        <w:ind w:left="600" w:right="20" w:hanging="580"/>
        <w:spacing w:after="0" w:line="266" w:lineRule="auto"/>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addition to the valuation techniques and unobservable inputs discussed above, at June 30, 2023 and December 31, 2022 certain collateral dependent installment loans totaling approximately $0.25 million and $0.30 million, respectively, are secured by collateral other than real estate. For the majority of these loans, we apply internal discount rates to industry valuation guides.</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following table reflects the difference between the aggregate fair value and the aggregate remaining contractual principal balance outstanding for loans held for sale for which the fair value option has been elected for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314"/>
              <w:spacing w:after="0"/>
              <w:rPr>
                <w:sz w:val="20"/>
                <w:szCs w:val="20"/>
                <w:color w:val="auto"/>
              </w:rPr>
            </w:pPr>
            <w:r>
              <w:rPr>
                <w:rFonts w:ascii="Arial" w:cs="Arial" w:eastAsia="Arial" w:hAnsi="Arial"/>
                <w:sz w:val="17"/>
                <w:szCs w:val="17"/>
                <w:color w:val="auto"/>
              </w:rPr>
              <w:t>Aggregate</w:t>
            </w:r>
          </w:p>
        </w:tc>
        <w:tc>
          <w:tcPr>
            <w:tcW w:w="260" w:type="dxa"/>
            <w:vAlign w:val="bottom"/>
          </w:tcPr>
          <w:p>
            <w:pPr>
              <w:spacing w:after="0"/>
              <w:rPr>
                <w:sz w:val="16"/>
                <w:szCs w:val="16"/>
                <w:color w:val="auto"/>
              </w:rPr>
            </w:pPr>
          </w:p>
        </w:tc>
        <w:tc>
          <w:tcPr>
            <w:tcW w:w="1360" w:type="dxa"/>
            <w:vAlign w:val="bottom"/>
            <w:vMerge w:val="restart"/>
          </w:tcPr>
          <w:p>
            <w:pPr>
              <w:jc w:val="right"/>
              <w:ind w:right="334"/>
              <w:spacing w:after="0"/>
              <w:rPr>
                <w:sz w:val="20"/>
                <w:szCs w:val="20"/>
                <w:color w:val="auto"/>
              </w:rPr>
            </w:pPr>
            <w:r>
              <w:rPr>
                <w:rFonts w:ascii="Arial" w:cs="Arial" w:eastAsia="Arial" w:hAnsi="Arial"/>
                <w:sz w:val="17"/>
                <w:szCs w:val="17"/>
                <w:color w:val="auto"/>
              </w:rPr>
              <w:t>Difference</w:t>
            </w:r>
          </w:p>
        </w:tc>
        <w:tc>
          <w:tcPr>
            <w:tcW w:w="280" w:type="dxa"/>
            <w:vAlign w:val="bottom"/>
          </w:tcPr>
          <w:p>
            <w:pPr>
              <w:spacing w:after="0"/>
              <w:rPr>
                <w:sz w:val="16"/>
                <w:szCs w:val="16"/>
                <w:color w:val="auto"/>
              </w:rPr>
            </w:pPr>
          </w:p>
        </w:tc>
        <w:tc>
          <w:tcPr>
            <w:tcW w:w="1260" w:type="dxa"/>
            <w:vAlign w:val="bottom"/>
          </w:tcPr>
          <w:p>
            <w:pPr>
              <w:jc w:val="right"/>
              <w:ind w:right="254"/>
              <w:spacing w:after="0"/>
              <w:rPr>
                <w:sz w:val="20"/>
                <w:szCs w:val="20"/>
                <w:color w:val="auto"/>
              </w:rPr>
            </w:pPr>
            <w:r>
              <w:rPr>
                <w:rFonts w:ascii="Arial" w:cs="Arial" w:eastAsia="Arial" w:hAnsi="Arial"/>
                <w:sz w:val="17"/>
                <w:szCs w:val="17"/>
                <w:color w:val="auto"/>
              </w:rPr>
              <w:t>Contractual</w:t>
            </w:r>
          </w:p>
        </w:tc>
        <w:tc>
          <w:tcPr>
            <w:tcW w:w="0" w:type="dxa"/>
            <w:vAlign w:val="bottom"/>
          </w:tcPr>
          <w:p>
            <w:pPr>
              <w:spacing w:after="0"/>
              <w:rPr>
                <w:sz w:val="1"/>
                <w:szCs w:val="1"/>
                <w:color w:val="auto"/>
              </w:rPr>
            </w:pPr>
          </w:p>
        </w:tc>
      </w:tr>
      <w:tr>
        <w:trPr>
          <w:trHeight w:val="224"/>
        </w:trPr>
        <w:tc>
          <w:tcPr>
            <w:tcW w:w="6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Fair Value</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Principal</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214"/>
              <w:spacing w:after="0"/>
              <w:rPr>
                <w:sz w:val="20"/>
                <w:szCs w:val="20"/>
                <w:color w:val="auto"/>
              </w:rPr>
            </w:pPr>
            <w:r>
              <w:rPr>
                <w:rFonts w:ascii="Arial" w:cs="Arial" w:eastAsia="Arial" w:hAnsi="Arial"/>
                <w:sz w:val="17"/>
                <w:szCs w:val="17"/>
                <w:color w:val="auto"/>
                <w:w w:val="95"/>
              </w:rPr>
              <w:t>(In thousands)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580" w:type="dxa"/>
            <w:vAlign w:val="bottom"/>
          </w:tcPr>
          <w:p>
            <w:pPr>
              <w:ind w:left="20"/>
              <w:spacing w:after="0"/>
              <w:rPr>
                <w:sz w:val="20"/>
                <w:szCs w:val="20"/>
                <w:color w:val="auto"/>
              </w:rPr>
            </w:pPr>
            <w:r>
              <w:rPr>
                <w:rFonts w:ascii="Arial" w:cs="Arial" w:eastAsia="Arial" w:hAnsi="Arial"/>
                <w:sz w:val="17"/>
                <w:szCs w:val="17"/>
                <w:color w:val="auto"/>
              </w:rPr>
              <w:t>Loans held for sale</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June 30, 2023</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20,873</w:t>
            </w:r>
          </w:p>
        </w:tc>
        <w:tc>
          <w:tcPr>
            <w:tcW w:w="0" w:type="dxa"/>
            <w:vAlign w:val="bottom"/>
          </w:tcPr>
          <w:p>
            <w:pPr>
              <w:spacing w:after="0"/>
              <w:rPr>
                <w:sz w:val="1"/>
                <w:szCs w:val="1"/>
                <w:color w:val="auto"/>
              </w:rPr>
            </w:pPr>
          </w:p>
        </w:tc>
      </w:tr>
      <w:tr>
        <w:trPr>
          <w:trHeight w:val="230"/>
        </w:trPr>
        <w:tc>
          <w:tcPr>
            <w:tcW w:w="6580" w:type="dxa"/>
            <w:vAlign w:val="bottom"/>
          </w:tcPr>
          <w:p>
            <w:pPr>
              <w:ind w:left="180"/>
              <w:spacing w:after="0"/>
              <w:rPr>
                <w:sz w:val="20"/>
                <w:szCs w:val="20"/>
                <w:color w:val="auto"/>
              </w:rPr>
            </w:pPr>
            <w:r>
              <w:rPr>
                <w:rFonts w:ascii="Arial" w:cs="Arial" w:eastAsia="Arial" w:hAnsi="Arial"/>
                <w:sz w:val="17"/>
                <w:szCs w:val="17"/>
                <w:color w:val="auto"/>
              </w:rPr>
              <w:t>December 31, 2022</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26,518</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(2,342)</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28,860</w:t>
            </w:r>
          </w:p>
        </w:tc>
        <w:tc>
          <w:tcPr>
            <w:tcW w:w="0" w:type="dxa"/>
            <w:vAlign w:val="bottom"/>
          </w:tcPr>
          <w:p>
            <w:pPr>
              <w:spacing w:after="0"/>
              <w:rPr>
                <w:sz w:val="1"/>
                <w:szCs w:val="1"/>
                <w:color w:val="auto"/>
              </w:rPr>
            </w:pPr>
          </w:p>
        </w:tc>
      </w:tr>
    </w:tbl>
    <w:p>
      <w:pPr>
        <w:spacing w:after="0" w:line="260" w:lineRule="exact"/>
        <w:rPr>
          <w:sz w:val="20"/>
          <w:szCs w:val="20"/>
          <w:color w:val="auto"/>
        </w:rPr>
      </w:pPr>
    </w:p>
    <w:p>
      <w:pPr>
        <w:ind w:left="380" w:hanging="377"/>
        <w:spacing w:after="0"/>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Fair Values of Financial Instruments</w:t>
      </w:r>
    </w:p>
    <w:p>
      <w:pPr>
        <w:spacing w:after="0" w:line="19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Most of our assets and liabilities are considered financial instruments. Many of these financial instruments lack an available trading market and it is our general practice and intent to hold the majority of our financial instruments to maturity. Significant estimates and assumptions were used to determine the fair value of financial instruments. These estimates are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subjective in nature, involving uncertainties and matters of judgment, and therefore, fair values may not be a precise estimate. Changes in assumptions could significantly affect the estimates.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Estimated fair values have been determined using available data and methodologies that are considered suitable for each category of financial instrument. For instruments with adjustable interest rates which reprice frequently and without significant credit risk, it is presumed that estimated fair values approximate the recorded book balances.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estimated recorded book balances and fair values follow: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34"/>
              <w:spacing w:after="0"/>
              <w:rPr>
                <w:sz w:val="20"/>
                <w:szCs w:val="20"/>
                <w:color w:val="auto"/>
              </w:rPr>
            </w:pPr>
            <w:r>
              <w:rPr>
                <w:rFonts w:ascii="Arial" w:cs="Arial" w:eastAsia="Arial" w:hAnsi="Arial"/>
                <w:sz w:val="17"/>
                <w:szCs w:val="17"/>
                <w:color w:val="auto"/>
                <w:w w:val="92"/>
              </w:rPr>
              <w:t>Fair Value Using</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94"/>
              <w:spacing w:after="0" w:line="161" w:lineRule="exact"/>
              <w:rPr>
                <w:sz w:val="20"/>
                <w:szCs w:val="20"/>
                <w:color w:val="auto"/>
              </w:rPr>
            </w:pPr>
            <w:r>
              <w:rPr>
                <w:rFonts w:ascii="Arial" w:cs="Arial" w:eastAsia="Arial" w:hAnsi="Arial"/>
                <w:sz w:val="17"/>
                <w:szCs w:val="17"/>
                <w:color w:val="auto"/>
                <w:w w:val="89"/>
              </w:rPr>
              <w:t>Quoted</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94"/>
              <w:spacing w:after="0" w:line="167" w:lineRule="exact"/>
              <w:rPr>
                <w:sz w:val="20"/>
                <w:szCs w:val="20"/>
                <w:color w:val="auto"/>
              </w:rPr>
            </w:pPr>
            <w:r>
              <w:rPr>
                <w:rFonts w:ascii="Arial" w:cs="Arial" w:eastAsia="Arial" w:hAnsi="Arial"/>
                <w:sz w:val="17"/>
                <w:szCs w:val="17"/>
                <w:color w:val="auto"/>
                <w:w w:val="88"/>
              </w:rPr>
              <w:t>Prices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94"/>
              <w:spacing w:after="0" w:line="180" w:lineRule="exact"/>
              <w:rPr>
                <w:sz w:val="20"/>
                <w:szCs w:val="20"/>
                <w:color w:val="auto"/>
              </w:rPr>
            </w:pPr>
            <w:r>
              <w:rPr>
                <w:rFonts w:ascii="Arial" w:cs="Arial" w:eastAsia="Arial" w:hAnsi="Arial"/>
                <w:sz w:val="17"/>
                <w:szCs w:val="17"/>
                <w:color w:val="auto"/>
                <w:w w:val="96"/>
              </w:rPr>
              <w:t>in Active</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74"/>
              <w:spacing w:after="0" w:line="167" w:lineRule="exact"/>
              <w:rPr>
                <w:sz w:val="20"/>
                <w:szCs w:val="20"/>
                <w:color w:val="auto"/>
              </w:rPr>
            </w:pPr>
            <w:r>
              <w:rPr>
                <w:rFonts w:ascii="Arial" w:cs="Arial" w:eastAsia="Arial" w:hAnsi="Arial"/>
                <w:sz w:val="17"/>
                <w:szCs w:val="17"/>
                <w:color w:val="auto"/>
                <w:w w:val="92"/>
              </w:rPr>
              <w:t>Markets</w:t>
            </w:r>
          </w:p>
        </w:tc>
        <w:tc>
          <w:tcPr>
            <w:tcW w:w="160" w:type="dxa"/>
            <w:vAlign w:val="bottom"/>
          </w:tcPr>
          <w:p>
            <w:pPr>
              <w:spacing w:after="0"/>
              <w:rPr>
                <w:sz w:val="14"/>
                <w:szCs w:val="14"/>
                <w:color w:val="auto"/>
              </w:rPr>
            </w:pPr>
          </w:p>
        </w:tc>
        <w:tc>
          <w:tcPr>
            <w:tcW w:w="1320" w:type="dxa"/>
            <w:vAlign w:val="bottom"/>
          </w:tcPr>
          <w:p>
            <w:pPr>
              <w:jc w:val="center"/>
              <w:ind w:right="74"/>
              <w:spacing w:after="0" w:line="167" w:lineRule="exact"/>
              <w:rPr>
                <w:sz w:val="20"/>
                <w:szCs w:val="20"/>
                <w:color w:val="auto"/>
              </w:rPr>
            </w:pPr>
            <w:r>
              <w:rPr>
                <w:rFonts w:ascii="Arial" w:cs="Arial" w:eastAsia="Arial" w:hAnsi="Arial"/>
                <w:sz w:val="17"/>
                <w:szCs w:val="17"/>
                <w:color w:val="auto"/>
                <w:w w:val="96"/>
              </w:rPr>
              <w:t>Significant</w:t>
            </w:r>
          </w:p>
        </w:tc>
        <w:tc>
          <w:tcPr>
            <w:tcW w:w="260" w:type="dxa"/>
            <w:vAlign w:val="bottom"/>
          </w:tcPr>
          <w:p>
            <w:pPr>
              <w:spacing w:after="0"/>
              <w:rPr>
                <w:sz w:val="14"/>
                <w:szCs w:val="14"/>
                <w:color w:val="auto"/>
              </w:rPr>
            </w:pPr>
          </w:p>
        </w:tc>
        <w:tc>
          <w:tcPr>
            <w:tcW w:w="1160" w:type="dxa"/>
            <w:vAlign w:val="bottom"/>
          </w:tcPr>
          <w:p>
            <w:pPr>
              <w:jc w:val="center"/>
              <w:ind w:right="114"/>
              <w:spacing w:after="0" w:line="167" w:lineRule="exact"/>
              <w:rPr>
                <w:sz w:val="20"/>
                <w:szCs w:val="20"/>
                <w:color w:val="auto"/>
              </w:rPr>
            </w:pPr>
            <w:r>
              <w:rPr>
                <w:rFonts w:ascii="Arial" w:cs="Arial" w:eastAsia="Arial" w:hAnsi="Arial"/>
                <w:sz w:val="17"/>
                <w:szCs w:val="17"/>
                <w:color w:val="auto"/>
                <w:w w:val="96"/>
              </w:rPr>
              <w:t>Significant</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restart"/>
          </w:tcPr>
          <w:p>
            <w:pPr>
              <w:jc w:val="center"/>
              <w:ind w:right="174"/>
              <w:spacing w:after="0"/>
              <w:rPr>
                <w:sz w:val="20"/>
                <w:szCs w:val="20"/>
                <w:color w:val="auto"/>
              </w:rPr>
            </w:pPr>
            <w:r>
              <w:rPr>
                <w:rFonts w:ascii="Arial" w:cs="Arial" w:eastAsia="Arial" w:hAnsi="Arial"/>
                <w:sz w:val="17"/>
                <w:szCs w:val="17"/>
                <w:color w:val="auto"/>
                <w:w w:val="89"/>
              </w:rPr>
              <w:t>Recorded</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74"/>
              <w:spacing w:after="0" w:line="167" w:lineRule="exact"/>
              <w:rPr>
                <w:sz w:val="20"/>
                <w:szCs w:val="20"/>
                <w:color w:val="auto"/>
              </w:rPr>
            </w:pPr>
            <w:r>
              <w:rPr>
                <w:rFonts w:ascii="Arial" w:cs="Arial" w:eastAsia="Arial" w:hAnsi="Arial"/>
                <w:sz w:val="17"/>
                <w:szCs w:val="17"/>
                <w:color w:val="auto"/>
              </w:rPr>
              <w:t>for</w:t>
            </w:r>
          </w:p>
        </w:tc>
        <w:tc>
          <w:tcPr>
            <w:tcW w:w="160" w:type="dxa"/>
            <w:vAlign w:val="bottom"/>
          </w:tcPr>
          <w:p>
            <w:pPr>
              <w:spacing w:after="0"/>
              <w:rPr>
                <w:sz w:val="14"/>
                <w:szCs w:val="14"/>
                <w:color w:val="auto"/>
              </w:rPr>
            </w:pPr>
          </w:p>
        </w:tc>
        <w:tc>
          <w:tcPr>
            <w:tcW w:w="1320" w:type="dxa"/>
            <w:vAlign w:val="bottom"/>
          </w:tcPr>
          <w:p>
            <w:pPr>
              <w:jc w:val="center"/>
              <w:ind w:right="74"/>
              <w:spacing w:after="0" w:line="167" w:lineRule="exact"/>
              <w:rPr>
                <w:sz w:val="20"/>
                <w:szCs w:val="20"/>
                <w:color w:val="auto"/>
              </w:rPr>
            </w:pPr>
            <w:r>
              <w:rPr>
                <w:rFonts w:ascii="Arial" w:cs="Arial" w:eastAsia="Arial" w:hAnsi="Arial"/>
                <w:sz w:val="17"/>
                <w:szCs w:val="17"/>
                <w:color w:val="auto"/>
                <w:w w:val="93"/>
              </w:rPr>
              <w:t>Other</w:t>
            </w:r>
          </w:p>
        </w:tc>
        <w:tc>
          <w:tcPr>
            <w:tcW w:w="260" w:type="dxa"/>
            <w:vAlign w:val="bottom"/>
          </w:tcPr>
          <w:p>
            <w:pPr>
              <w:spacing w:after="0"/>
              <w:rPr>
                <w:sz w:val="14"/>
                <w:szCs w:val="14"/>
                <w:color w:val="auto"/>
              </w:rPr>
            </w:pPr>
          </w:p>
        </w:tc>
        <w:tc>
          <w:tcPr>
            <w:tcW w:w="1160" w:type="dxa"/>
            <w:vAlign w:val="bottom"/>
          </w:tcPr>
          <w:p>
            <w:pPr>
              <w:jc w:val="center"/>
              <w:ind w:right="134"/>
              <w:spacing w:after="0" w:line="167" w:lineRule="exact"/>
              <w:rPr>
                <w:sz w:val="20"/>
                <w:szCs w:val="20"/>
                <w:color w:val="auto"/>
              </w:rPr>
            </w:pPr>
            <w:r>
              <w:rPr>
                <w:rFonts w:ascii="Arial" w:cs="Arial" w:eastAsia="Arial" w:hAnsi="Arial"/>
                <w:sz w:val="17"/>
                <w:szCs w:val="17"/>
                <w:color w:val="auto"/>
                <w:w w:val="94"/>
              </w:rPr>
              <w:t>Un-</w:t>
            </w:r>
          </w:p>
        </w:tc>
        <w:tc>
          <w:tcPr>
            <w:tcW w:w="0" w:type="dxa"/>
            <w:vAlign w:val="bottom"/>
          </w:tcPr>
          <w:p>
            <w:pPr>
              <w:spacing w:after="0"/>
              <w:rPr>
                <w:sz w:val="1"/>
                <w:szCs w:val="1"/>
                <w:color w:val="auto"/>
              </w:rPr>
            </w:pPr>
          </w:p>
        </w:tc>
      </w:tr>
      <w:tr>
        <w:trPr>
          <w:trHeight w:val="168"/>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right="74"/>
              <w:spacing w:after="0" w:line="167" w:lineRule="exact"/>
              <w:rPr>
                <w:sz w:val="20"/>
                <w:szCs w:val="20"/>
                <w:color w:val="auto"/>
              </w:rPr>
            </w:pPr>
            <w:r>
              <w:rPr>
                <w:rFonts w:ascii="Arial" w:cs="Arial" w:eastAsia="Arial" w:hAnsi="Arial"/>
                <w:sz w:val="17"/>
                <w:szCs w:val="17"/>
                <w:color w:val="auto"/>
                <w:w w:val="94"/>
              </w:rPr>
              <w:t>Identical</w:t>
            </w:r>
          </w:p>
        </w:tc>
        <w:tc>
          <w:tcPr>
            <w:tcW w:w="160" w:type="dxa"/>
            <w:vAlign w:val="bottom"/>
          </w:tcPr>
          <w:p>
            <w:pPr>
              <w:spacing w:after="0"/>
              <w:rPr>
                <w:sz w:val="14"/>
                <w:szCs w:val="14"/>
                <w:color w:val="auto"/>
              </w:rPr>
            </w:pPr>
          </w:p>
        </w:tc>
        <w:tc>
          <w:tcPr>
            <w:tcW w:w="1320" w:type="dxa"/>
            <w:vAlign w:val="bottom"/>
          </w:tcPr>
          <w:p>
            <w:pPr>
              <w:jc w:val="center"/>
              <w:ind w:right="74"/>
              <w:spacing w:after="0" w:line="167" w:lineRule="exact"/>
              <w:rPr>
                <w:sz w:val="20"/>
                <w:szCs w:val="20"/>
                <w:color w:val="auto"/>
              </w:rPr>
            </w:pPr>
            <w:r>
              <w:rPr>
                <w:rFonts w:ascii="Arial" w:cs="Arial" w:eastAsia="Arial" w:hAnsi="Arial"/>
                <w:sz w:val="17"/>
                <w:szCs w:val="17"/>
                <w:color w:val="auto"/>
                <w:w w:val="91"/>
              </w:rPr>
              <w:t>Observable</w:t>
            </w:r>
          </w:p>
        </w:tc>
        <w:tc>
          <w:tcPr>
            <w:tcW w:w="260" w:type="dxa"/>
            <w:vAlign w:val="bottom"/>
          </w:tcPr>
          <w:p>
            <w:pPr>
              <w:spacing w:after="0"/>
              <w:rPr>
                <w:sz w:val="14"/>
                <w:szCs w:val="14"/>
                <w:color w:val="auto"/>
              </w:rPr>
            </w:pPr>
          </w:p>
        </w:tc>
        <w:tc>
          <w:tcPr>
            <w:tcW w:w="1160" w:type="dxa"/>
            <w:vAlign w:val="bottom"/>
          </w:tcPr>
          <w:p>
            <w:pPr>
              <w:jc w:val="center"/>
              <w:ind w:right="134"/>
              <w:spacing w:after="0" w:line="167" w:lineRule="exact"/>
              <w:rPr>
                <w:sz w:val="20"/>
                <w:szCs w:val="20"/>
                <w:color w:val="auto"/>
              </w:rPr>
            </w:pPr>
            <w:r>
              <w:rPr>
                <w:rFonts w:ascii="Arial" w:cs="Arial" w:eastAsia="Arial" w:hAnsi="Arial"/>
                <w:sz w:val="17"/>
                <w:szCs w:val="17"/>
                <w:color w:val="auto"/>
                <w:w w:val="88"/>
              </w:rPr>
              <w:t>observable</w:t>
            </w: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54"/>
              <w:spacing w:after="0" w:line="180" w:lineRule="exact"/>
              <w:rPr>
                <w:sz w:val="20"/>
                <w:szCs w:val="20"/>
                <w:color w:val="auto"/>
              </w:rPr>
            </w:pPr>
            <w:r>
              <w:rPr>
                <w:rFonts w:ascii="Arial" w:cs="Arial" w:eastAsia="Arial" w:hAnsi="Arial"/>
                <w:sz w:val="17"/>
                <w:szCs w:val="17"/>
                <w:color w:val="auto"/>
                <w:w w:val="92"/>
              </w:rPr>
              <w:t>Book</w:t>
            </w:r>
          </w:p>
        </w:tc>
        <w:tc>
          <w:tcPr>
            <w:tcW w:w="280" w:type="dxa"/>
            <w:vAlign w:val="bottom"/>
          </w:tcPr>
          <w:p>
            <w:pPr>
              <w:spacing w:after="0"/>
              <w:rPr>
                <w:sz w:val="15"/>
                <w:szCs w:val="15"/>
                <w:color w:val="auto"/>
              </w:rPr>
            </w:pPr>
          </w:p>
        </w:tc>
        <w:tc>
          <w:tcPr>
            <w:tcW w:w="1240" w:type="dxa"/>
            <w:vAlign w:val="bottom"/>
            <w:vMerge w:val="restart"/>
          </w:tcPr>
          <w:p>
            <w:pPr>
              <w:jc w:val="right"/>
              <w:ind w:right="334"/>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5"/>
                <w:szCs w:val="15"/>
                <w:color w:val="auto"/>
              </w:rPr>
            </w:pPr>
          </w:p>
        </w:tc>
        <w:tc>
          <w:tcPr>
            <w:tcW w:w="1280" w:type="dxa"/>
            <w:vAlign w:val="bottom"/>
          </w:tcPr>
          <w:p>
            <w:pPr>
              <w:jc w:val="center"/>
              <w:ind w:right="74"/>
              <w:spacing w:after="0" w:line="180" w:lineRule="exact"/>
              <w:rPr>
                <w:sz w:val="20"/>
                <w:szCs w:val="20"/>
                <w:color w:val="auto"/>
              </w:rPr>
            </w:pPr>
            <w:r>
              <w:rPr>
                <w:rFonts w:ascii="Arial" w:cs="Arial" w:eastAsia="Arial" w:hAnsi="Arial"/>
                <w:sz w:val="17"/>
                <w:szCs w:val="17"/>
                <w:color w:val="auto"/>
                <w:w w:val="86"/>
              </w:rPr>
              <w:t>Assets</w:t>
            </w:r>
          </w:p>
        </w:tc>
        <w:tc>
          <w:tcPr>
            <w:tcW w:w="160" w:type="dxa"/>
            <w:vAlign w:val="bottom"/>
          </w:tcPr>
          <w:p>
            <w:pPr>
              <w:spacing w:after="0"/>
              <w:rPr>
                <w:sz w:val="15"/>
                <w:szCs w:val="15"/>
                <w:color w:val="auto"/>
              </w:rPr>
            </w:pPr>
          </w:p>
        </w:tc>
        <w:tc>
          <w:tcPr>
            <w:tcW w:w="1320" w:type="dxa"/>
            <w:vAlign w:val="bottom"/>
          </w:tcPr>
          <w:p>
            <w:pPr>
              <w:jc w:val="center"/>
              <w:ind w:right="74"/>
              <w:spacing w:after="0" w:line="180" w:lineRule="exact"/>
              <w:rPr>
                <w:sz w:val="20"/>
                <w:szCs w:val="20"/>
                <w:color w:val="auto"/>
              </w:rPr>
            </w:pPr>
            <w:r>
              <w:rPr>
                <w:rFonts w:ascii="Arial" w:cs="Arial" w:eastAsia="Arial" w:hAnsi="Arial"/>
                <w:sz w:val="17"/>
                <w:szCs w:val="17"/>
                <w:color w:val="auto"/>
                <w:w w:val="94"/>
              </w:rPr>
              <w:t>Inputs</w:t>
            </w:r>
          </w:p>
        </w:tc>
        <w:tc>
          <w:tcPr>
            <w:tcW w:w="260" w:type="dxa"/>
            <w:vAlign w:val="bottom"/>
          </w:tcPr>
          <w:p>
            <w:pPr>
              <w:spacing w:after="0"/>
              <w:rPr>
                <w:sz w:val="15"/>
                <w:szCs w:val="15"/>
                <w:color w:val="auto"/>
              </w:rPr>
            </w:pPr>
          </w:p>
        </w:tc>
        <w:tc>
          <w:tcPr>
            <w:tcW w:w="1160" w:type="dxa"/>
            <w:vAlign w:val="bottom"/>
          </w:tcPr>
          <w:p>
            <w:pPr>
              <w:jc w:val="center"/>
              <w:ind w:right="114"/>
              <w:spacing w:after="0" w:line="180" w:lineRule="exact"/>
              <w:rPr>
                <w:sz w:val="20"/>
                <w:szCs w:val="20"/>
                <w:color w:val="auto"/>
              </w:rPr>
            </w:pPr>
            <w:r>
              <w:rPr>
                <w:rFonts w:ascii="Arial" w:cs="Arial" w:eastAsia="Arial" w:hAnsi="Arial"/>
                <w:sz w:val="17"/>
                <w:szCs w:val="17"/>
                <w:color w:val="auto"/>
                <w:w w:val="94"/>
              </w:rPr>
              <w:t>Inputs</w:t>
            </w:r>
          </w:p>
        </w:tc>
        <w:tc>
          <w:tcPr>
            <w:tcW w:w="0" w:type="dxa"/>
            <w:vAlign w:val="bottom"/>
          </w:tcPr>
          <w:p>
            <w:pPr>
              <w:spacing w:after="0"/>
              <w:rPr>
                <w:sz w:val="1"/>
                <w:szCs w:val="1"/>
                <w:color w:val="auto"/>
              </w:rPr>
            </w:pPr>
          </w:p>
        </w:tc>
      </w:tr>
      <w:tr>
        <w:trPr>
          <w:trHeight w:val="218"/>
        </w:trPr>
        <w:tc>
          <w:tcPr>
            <w:tcW w:w="4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color w:val="auto"/>
                <w:w w:val="91"/>
              </w:rPr>
              <w:t>Balance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6"/>
              </w:rPr>
              <w:t>(Level 1)</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6"/>
              </w:rPr>
              <w:t>(Level 2)</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6"/>
              </w:rPr>
              <w:t>(Level 3)</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74"/>
              <w:spacing w:after="0"/>
              <w:rPr>
                <w:sz w:val="20"/>
                <w:szCs w:val="20"/>
                <w:color w:val="auto"/>
              </w:rPr>
            </w:pPr>
            <w:r>
              <w:rPr>
                <w:rFonts w:ascii="Arial" w:cs="Arial" w:eastAsia="Arial" w:hAnsi="Arial"/>
                <w:sz w:val="17"/>
                <w:szCs w:val="17"/>
                <w:color w:val="auto"/>
                <w:w w:val="91"/>
              </w:rPr>
              <w:t>(In thousands)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40" w:type="dxa"/>
            <w:vAlign w:val="bottom"/>
          </w:tcPr>
          <w:p>
            <w:pPr>
              <w:ind w:left="20"/>
              <w:spacing w:after="0"/>
              <w:rPr>
                <w:sz w:val="20"/>
                <w:szCs w:val="20"/>
                <w:color w:val="auto"/>
              </w:rPr>
            </w:pPr>
            <w:r>
              <w:rPr>
                <w:rFonts w:ascii="Arial" w:cs="Arial" w:eastAsia="Arial" w:hAnsi="Arial"/>
                <w:sz w:val="17"/>
                <w:szCs w:val="17"/>
                <w:color w:val="auto"/>
              </w:rPr>
              <w:t>June 30, 2023</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040" w:type="dxa"/>
            <w:vAlign w:val="bottom"/>
          </w:tcPr>
          <w:p>
            <w:pPr>
              <w:ind w:left="100"/>
              <w:spacing w:after="0"/>
              <w:rPr>
                <w:sz w:val="20"/>
                <w:szCs w:val="20"/>
                <w:color w:val="auto"/>
              </w:rPr>
            </w:pPr>
            <w:r>
              <w:rPr>
                <w:rFonts w:ascii="Arial" w:cs="Arial" w:eastAsia="Arial" w:hAnsi="Arial"/>
                <w:sz w:val="17"/>
                <w:szCs w:val="17"/>
                <w:color w:val="auto"/>
              </w:rPr>
              <w:t>Assets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Cash and due from banks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61,225</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61,225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61,225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40" w:type="dxa"/>
            <w:vAlign w:val="bottom"/>
          </w:tcPr>
          <w:p>
            <w:pPr>
              <w:ind w:left="260"/>
              <w:spacing w:after="0"/>
              <w:rPr>
                <w:sz w:val="20"/>
                <w:szCs w:val="20"/>
                <w:color w:val="auto"/>
              </w:rPr>
            </w:pPr>
            <w:r>
              <w:rPr>
                <w:rFonts w:ascii="Arial" w:cs="Arial" w:eastAsia="Arial" w:hAnsi="Arial"/>
                <w:sz w:val="17"/>
                <w:szCs w:val="17"/>
                <w:color w:val="auto"/>
              </w:rPr>
              <w:t>Interest bearing deposits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67,967</w:t>
            </w:r>
          </w:p>
        </w:tc>
        <w:tc>
          <w:tcPr>
            <w:tcW w:w="2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67,967</w:t>
            </w:r>
          </w:p>
        </w:tc>
        <w:tc>
          <w:tcPr>
            <w:tcW w:w="1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67,967</w:t>
            </w:r>
          </w:p>
        </w:tc>
        <w:tc>
          <w:tcPr>
            <w:tcW w:w="16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Securities available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731,777</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731,777</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731,777</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40" w:type="dxa"/>
            <w:vAlign w:val="bottom"/>
          </w:tcPr>
          <w:p>
            <w:pPr>
              <w:ind w:left="260"/>
              <w:spacing w:after="0"/>
              <w:rPr>
                <w:sz w:val="20"/>
                <w:szCs w:val="20"/>
                <w:color w:val="auto"/>
              </w:rPr>
            </w:pPr>
            <w:r>
              <w:rPr>
                <w:rFonts w:ascii="Arial" w:cs="Arial" w:eastAsia="Arial" w:hAnsi="Arial"/>
                <w:sz w:val="17"/>
                <w:szCs w:val="17"/>
                <w:color w:val="auto"/>
              </w:rPr>
              <w:t>Securities held to maturity</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360,926</w:t>
            </w:r>
          </w:p>
        </w:tc>
        <w:tc>
          <w:tcPr>
            <w:tcW w:w="2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321,860</w:t>
            </w:r>
          </w:p>
        </w:tc>
        <w:tc>
          <w:tcPr>
            <w:tcW w:w="1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321,860</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Federal Home Loan Bank and Federal</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40" w:type="dxa"/>
            <w:vAlign w:val="bottom"/>
          </w:tcPr>
          <w:p>
            <w:pPr>
              <w:ind w:left="400"/>
              <w:spacing w:after="0"/>
              <w:rPr>
                <w:sz w:val="20"/>
                <w:szCs w:val="20"/>
                <w:color w:val="auto"/>
              </w:rPr>
            </w:pPr>
            <w:r>
              <w:rPr>
                <w:rFonts w:ascii="Arial" w:cs="Arial" w:eastAsia="Arial" w:hAnsi="Arial"/>
                <w:sz w:val="17"/>
                <w:szCs w:val="17"/>
                <w:color w:val="auto"/>
              </w:rPr>
              <w:t>Reserve Bank Stock</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18,131</w:t>
            </w:r>
          </w:p>
        </w:tc>
        <w:tc>
          <w:tcPr>
            <w:tcW w:w="28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NA</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52"/>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loans and loans held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3,597,420</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3,246,227</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20,270</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3,225,957</w:t>
            </w:r>
          </w:p>
        </w:tc>
        <w:tc>
          <w:tcPr>
            <w:tcW w:w="0" w:type="dxa"/>
            <w:vAlign w:val="bottom"/>
          </w:tcPr>
          <w:p>
            <w:pPr>
              <w:spacing w:after="0"/>
              <w:rPr>
                <w:sz w:val="1"/>
                <w:szCs w:val="1"/>
                <w:color w:val="auto"/>
              </w:rPr>
            </w:pPr>
          </w:p>
        </w:tc>
      </w:tr>
      <w:tr>
        <w:trPr>
          <w:trHeight w:val="238"/>
        </w:trPr>
        <w:tc>
          <w:tcPr>
            <w:tcW w:w="4040" w:type="dxa"/>
            <w:vAlign w:val="bottom"/>
          </w:tcPr>
          <w:p>
            <w:pPr>
              <w:ind w:left="260"/>
              <w:spacing w:after="0"/>
              <w:rPr>
                <w:sz w:val="20"/>
                <w:szCs w:val="20"/>
                <w:color w:val="auto"/>
              </w:rPr>
            </w:pPr>
            <w:r>
              <w:rPr>
                <w:rFonts w:ascii="Arial" w:cs="Arial" w:eastAsia="Arial" w:hAnsi="Arial"/>
                <w:sz w:val="17"/>
                <w:szCs w:val="17"/>
                <w:color w:val="auto"/>
              </w:rPr>
              <w:t>Accrued interest receivable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17,670</w:t>
            </w:r>
          </w:p>
        </w:tc>
        <w:tc>
          <w:tcPr>
            <w:tcW w:w="2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17,670</w:t>
            </w:r>
          </w:p>
        </w:tc>
        <w:tc>
          <w:tcPr>
            <w:tcW w:w="1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6,460</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11,195</w:t>
            </w:r>
          </w:p>
        </w:tc>
        <w:tc>
          <w:tcPr>
            <w:tcW w:w="0" w:type="dxa"/>
            <w:vAlign w:val="bottom"/>
          </w:tcPr>
          <w:p>
            <w:pPr>
              <w:spacing w:after="0"/>
              <w:rPr>
                <w:sz w:val="1"/>
                <w:szCs w:val="1"/>
                <w:color w:val="auto"/>
              </w:rPr>
            </w:pPr>
          </w:p>
        </w:tc>
      </w:tr>
      <w:tr>
        <w:trPr>
          <w:trHeight w:val="252"/>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39,717</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39,717</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39,717</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Liabilities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40" w:type="dxa"/>
            <w:vAlign w:val="bottom"/>
          </w:tcPr>
          <w:p>
            <w:pPr>
              <w:ind w:left="260"/>
              <w:spacing w:after="0"/>
              <w:rPr>
                <w:sz w:val="20"/>
                <w:szCs w:val="20"/>
                <w:color w:val="auto"/>
              </w:rPr>
            </w:pPr>
            <w:r>
              <w:rPr>
                <w:rFonts w:ascii="Arial" w:cs="Arial" w:eastAsia="Arial" w:hAnsi="Arial"/>
                <w:sz w:val="17"/>
                <w:szCs w:val="17"/>
                <w:color w:val="auto"/>
              </w:rPr>
              <w:t>Deposits with no stated maturity (1)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3,714,669</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3,714,669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3,714,669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Deposits with stated maturity (1)</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772,967</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766,780</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766,780</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40" w:type="dxa"/>
            <w:vAlign w:val="bottom"/>
          </w:tcPr>
          <w:p>
            <w:pPr>
              <w:ind w:left="260"/>
              <w:spacing w:after="0"/>
              <w:rPr>
                <w:sz w:val="20"/>
                <w:szCs w:val="20"/>
                <w:color w:val="auto"/>
              </w:rPr>
            </w:pPr>
            <w:r>
              <w:rPr>
                <w:rFonts w:ascii="Arial" w:cs="Arial" w:eastAsia="Arial" w:hAnsi="Arial"/>
                <w:sz w:val="17"/>
                <w:szCs w:val="17"/>
                <w:color w:val="auto"/>
              </w:rPr>
              <w:t>Other borrowings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90,015</w:t>
            </w:r>
          </w:p>
        </w:tc>
        <w:tc>
          <w:tcPr>
            <w:tcW w:w="2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89,719</w:t>
            </w:r>
          </w:p>
        </w:tc>
        <w:tc>
          <w:tcPr>
            <w:tcW w:w="1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89,719</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Subordinated debt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39,472</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38,428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38,428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40" w:type="dxa"/>
            <w:vAlign w:val="bottom"/>
          </w:tcPr>
          <w:p>
            <w:pPr>
              <w:ind w:left="260"/>
              <w:spacing w:after="0"/>
              <w:rPr>
                <w:sz w:val="20"/>
                <w:szCs w:val="20"/>
                <w:color w:val="auto"/>
              </w:rPr>
            </w:pPr>
            <w:r>
              <w:rPr>
                <w:rFonts w:ascii="Arial" w:cs="Arial" w:eastAsia="Arial" w:hAnsi="Arial"/>
                <w:sz w:val="17"/>
                <w:szCs w:val="17"/>
                <w:color w:val="auto"/>
              </w:rPr>
              <w:t>Subordinated debentures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39,694</w:t>
            </w:r>
          </w:p>
        </w:tc>
        <w:tc>
          <w:tcPr>
            <w:tcW w:w="2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35,308</w:t>
            </w:r>
          </w:p>
        </w:tc>
        <w:tc>
          <w:tcPr>
            <w:tcW w:w="1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35,308</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Accrued interest payable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4,568</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4,568</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467</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4,101</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40" w:type="dxa"/>
            <w:vAlign w:val="bottom"/>
          </w:tcPr>
          <w:p>
            <w:pPr>
              <w:ind w:left="260"/>
              <w:spacing w:after="0"/>
              <w:rPr>
                <w:sz w:val="20"/>
                <w:szCs w:val="20"/>
                <w:color w:val="auto"/>
              </w:rPr>
            </w:pPr>
            <w:r>
              <w:rPr>
                <w:rFonts w:ascii="Arial" w:cs="Arial" w:eastAsia="Arial" w:hAnsi="Arial"/>
                <w:sz w:val="17"/>
                <w:szCs w:val="17"/>
                <w:color w:val="auto"/>
              </w:rPr>
              <w:t>Derivative financial instruments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17,854</w:t>
            </w:r>
          </w:p>
        </w:tc>
        <w:tc>
          <w:tcPr>
            <w:tcW w:w="2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17,854</w:t>
            </w:r>
          </w:p>
        </w:tc>
        <w:tc>
          <w:tcPr>
            <w:tcW w:w="1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17,854</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40" w:type="dxa"/>
            <w:vAlign w:val="bottom"/>
          </w:tcPr>
          <w:p>
            <w:pPr>
              <w:ind w:left="20"/>
              <w:spacing w:after="0"/>
              <w:rPr>
                <w:sz w:val="20"/>
                <w:szCs w:val="20"/>
                <w:color w:val="auto"/>
              </w:rPr>
            </w:pPr>
            <w:r>
              <w:rPr>
                <w:rFonts w:ascii="Arial" w:cs="Arial" w:eastAsia="Arial" w:hAnsi="Arial"/>
                <w:sz w:val="17"/>
                <w:szCs w:val="17"/>
                <w:color w:val="auto"/>
              </w:rPr>
              <w:t>December 31, 2022</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40" w:type="dxa"/>
            <w:vAlign w:val="bottom"/>
          </w:tcPr>
          <w:p>
            <w:pPr>
              <w:ind w:left="260"/>
              <w:spacing w:after="0"/>
              <w:rPr>
                <w:sz w:val="20"/>
                <w:szCs w:val="20"/>
                <w:color w:val="auto"/>
              </w:rPr>
            </w:pPr>
            <w:r>
              <w:rPr>
                <w:rFonts w:ascii="Arial" w:cs="Arial" w:eastAsia="Arial" w:hAnsi="Arial"/>
                <w:sz w:val="17"/>
                <w:szCs w:val="17"/>
                <w:color w:val="auto"/>
              </w:rPr>
              <w:t>Cash and due from banks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70,180</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70,180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70,180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Interest bearing deposits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4,191</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4,191</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4,191</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40" w:type="dxa"/>
            <w:vAlign w:val="bottom"/>
          </w:tcPr>
          <w:p>
            <w:pPr>
              <w:ind w:left="260"/>
              <w:spacing w:after="0"/>
              <w:rPr>
                <w:sz w:val="20"/>
                <w:szCs w:val="20"/>
                <w:color w:val="auto"/>
              </w:rPr>
            </w:pPr>
            <w:r>
              <w:rPr>
                <w:rFonts w:ascii="Arial" w:cs="Arial" w:eastAsia="Arial" w:hAnsi="Arial"/>
                <w:sz w:val="17"/>
                <w:szCs w:val="17"/>
                <w:color w:val="auto"/>
              </w:rPr>
              <w:t>Securities available for sale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779,347</w:t>
            </w:r>
          </w:p>
        </w:tc>
        <w:tc>
          <w:tcPr>
            <w:tcW w:w="2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779,347</w:t>
            </w:r>
          </w:p>
        </w:tc>
        <w:tc>
          <w:tcPr>
            <w:tcW w:w="1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779,347</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Federal Home Loan Bank and Federal</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400"/>
              <w:spacing w:after="0"/>
              <w:rPr>
                <w:sz w:val="20"/>
                <w:szCs w:val="20"/>
                <w:color w:val="auto"/>
              </w:rPr>
            </w:pPr>
            <w:r>
              <w:rPr>
                <w:rFonts w:ascii="Arial" w:cs="Arial" w:eastAsia="Arial" w:hAnsi="Arial"/>
                <w:sz w:val="17"/>
                <w:szCs w:val="17"/>
                <w:color w:val="auto"/>
              </w:rPr>
              <w:t>Reserve Bank Stock</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17,653</w:t>
            </w:r>
          </w:p>
        </w:tc>
        <w:tc>
          <w:tcPr>
            <w:tcW w:w="280" w:type="dxa"/>
            <w:vAlign w:val="bottom"/>
          </w:tcPr>
          <w:p>
            <w:pPr>
              <w:spacing w:after="0"/>
              <w:rPr>
                <w:sz w:val="20"/>
                <w:szCs w:val="20"/>
                <w:color w:val="auto"/>
              </w:rPr>
            </w:pP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NA</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NA</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Net loans and loans held for sale</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3,459,802</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3,185,518</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20,367</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26,518</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3,138,633</w:t>
            </w:r>
          </w:p>
        </w:tc>
        <w:tc>
          <w:tcPr>
            <w:tcW w:w="0" w:type="dxa"/>
            <w:vAlign w:val="bottom"/>
          </w:tcPr>
          <w:p>
            <w:pPr>
              <w:spacing w:after="0"/>
              <w:rPr>
                <w:sz w:val="1"/>
                <w:szCs w:val="1"/>
                <w:color w:val="auto"/>
              </w:rPr>
            </w:pPr>
          </w:p>
        </w:tc>
      </w:tr>
      <w:tr>
        <w:trPr>
          <w:trHeight w:val="238"/>
        </w:trPr>
        <w:tc>
          <w:tcPr>
            <w:tcW w:w="4040" w:type="dxa"/>
            <w:vAlign w:val="bottom"/>
          </w:tcPr>
          <w:p>
            <w:pPr>
              <w:ind w:left="260"/>
              <w:spacing w:after="0"/>
              <w:rPr>
                <w:sz w:val="20"/>
                <w:szCs w:val="20"/>
                <w:color w:val="auto"/>
              </w:rPr>
            </w:pPr>
            <w:r>
              <w:rPr>
                <w:rFonts w:ascii="Arial" w:cs="Arial" w:eastAsia="Arial" w:hAnsi="Arial"/>
                <w:sz w:val="17"/>
                <w:szCs w:val="17"/>
                <w:color w:val="auto"/>
              </w:rPr>
              <w:t>Accrued interest receivable</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16,513</w:t>
            </w:r>
          </w:p>
        </w:tc>
        <w:tc>
          <w:tcPr>
            <w:tcW w:w="2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16,513</w:t>
            </w:r>
          </w:p>
        </w:tc>
        <w:tc>
          <w:tcPr>
            <w:tcW w:w="1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6,503</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10,009</w:t>
            </w:r>
          </w:p>
        </w:tc>
        <w:tc>
          <w:tcPr>
            <w:tcW w:w="0" w:type="dxa"/>
            <w:vAlign w:val="bottom"/>
          </w:tcPr>
          <w:p>
            <w:pPr>
              <w:spacing w:after="0"/>
              <w:rPr>
                <w:sz w:val="1"/>
                <w:szCs w:val="1"/>
                <w:color w:val="auto"/>
              </w:rPr>
            </w:pPr>
          </w:p>
        </w:tc>
      </w:tr>
      <w:tr>
        <w:trPr>
          <w:trHeight w:val="252"/>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Derivative financial instruments</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39,747</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39,747</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39,747</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040" w:type="dxa"/>
            <w:vAlign w:val="bottom"/>
          </w:tcPr>
          <w:p>
            <w:pPr>
              <w:ind w:left="260"/>
              <w:spacing w:after="0"/>
              <w:rPr>
                <w:sz w:val="20"/>
                <w:szCs w:val="20"/>
                <w:color w:val="auto"/>
              </w:rPr>
            </w:pPr>
            <w:r>
              <w:rPr>
                <w:rFonts w:ascii="Arial" w:cs="Arial" w:eastAsia="Arial" w:hAnsi="Arial"/>
                <w:sz w:val="17"/>
                <w:szCs w:val="17"/>
                <w:color w:val="auto"/>
              </w:rPr>
              <w:t>Deposits with no stated maturity (1)</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3,798,848</w:t>
            </w: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3,798,848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3,798,848</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Deposits with stated maturity (1)</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580,221</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573,739</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573,739</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40" w:type="dxa"/>
            <w:vAlign w:val="bottom"/>
          </w:tcPr>
          <w:p>
            <w:pPr>
              <w:ind w:left="260"/>
              <w:spacing w:after="0"/>
              <w:rPr>
                <w:sz w:val="20"/>
                <w:szCs w:val="20"/>
                <w:color w:val="auto"/>
              </w:rPr>
            </w:pPr>
            <w:r>
              <w:rPr>
                <w:rFonts w:ascii="Arial" w:cs="Arial" w:eastAsia="Arial" w:hAnsi="Arial"/>
                <w:sz w:val="17"/>
                <w:szCs w:val="17"/>
                <w:color w:val="auto"/>
              </w:rPr>
              <w:t>Other borrowings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86,006</w:t>
            </w:r>
          </w:p>
        </w:tc>
        <w:tc>
          <w:tcPr>
            <w:tcW w:w="2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86,006</w:t>
            </w:r>
          </w:p>
        </w:tc>
        <w:tc>
          <w:tcPr>
            <w:tcW w:w="1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86,006</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Subordinated debt</w:t>
            </w: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39,433</w:t>
            </w: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41,058</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41,058</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040" w:type="dxa"/>
            <w:vAlign w:val="bottom"/>
          </w:tcPr>
          <w:p>
            <w:pPr>
              <w:ind w:left="260"/>
              <w:spacing w:after="0"/>
              <w:rPr>
                <w:sz w:val="20"/>
                <w:szCs w:val="20"/>
                <w:color w:val="auto"/>
              </w:rPr>
            </w:pPr>
            <w:r>
              <w:rPr>
                <w:rFonts w:ascii="Arial" w:cs="Arial" w:eastAsia="Arial" w:hAnsi="Arial"/>
                <w:sz w:val="17"/>
                <w:szCs w:val="17"/>
                <w:color w:val="auto"/>
              </w:rPr>
              <w:t>Subordinated debentures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39,660</w:t>
            </w:r>
          </w:p>
        </w:tc>
        <w:tc>
          <w:tcPr>
            <w:tcW w:w="2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38,982</w:t>
            </w:r>
          </w:p>
        </w:tc>
        <w:tc>
          <w:tcPr>
            <w:tcW w:w="1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38,982</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40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Accrued interest payable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2,287</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2,287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415</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1,872</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7"/>
                <w:szCs w:val="17"/>
                <w:color w:val="auto"/>
              </w:rPr>
              <w:t>Derivative financial instruments</w:t>
            </w:r>
          </w:p>
        </w:tc>
        <w:tc>
          <w:tcPr>
            <w:tcW w:w="2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19,127</w:t>
            </w:r>
          </w:p>
        </w:tc>
        <w:tc>
          <w:tcPr>
            <w:tcW w:w="28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Arial" w:cs="Arial" w:eastAsia="Arial" w:hAnsi="Arial"/>
                <w:sz w:val="17"/>
                <w:szCs w:val="17"/>
                <w:color w:val="auto"/>
              </w:rPr>
              <w:t>19,127</w:t>
            </w:r>
          </w:p>
        </w:tc>
        <w:tc>
          <w:tcPr>
            <w:tcW w:w="12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20" w:type="dxa"/>
            <w:vAlign w:val="bottom"/>
          </w:tcPr>
          <w:p>
            <w:pPr>
              <w:jc w:val="right"/>
              <w:ind w:right="34"/>
              <w:spacing w:after="0"/>
              <w:rPr>
                <w:sz w:val="20"/>
                <w:szCs w:val="20"/>
                <w:color w:val="auto"/>
              </w:rPr>
            </w:pPr>
            <w:r>
              <w:rPr>
                <w:rFonts w:ascii="Arial" w:cs="Arial" w:eastAsia="Arial" w:hAnsi="Arial"/>
                <w:sz w:val="17"/>
                <w:szCs w:val="17"/>
                <w:color w:val="auto"/>
              </w:rPr>
              <w:t>19,127</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600" w:right="20" w:hanging="580"/>
        <w:spacing w:after="0" w:line="183" w:lineRule="auto"/>
        <w:tabs>
          <w:tab w:leader="none" w:pos="600" w:val="left"/>
        </w:tabs>
        <w:numPr>
          <w:ilvl w:val="0"/>
          <w:numId w:val="20"/>
        </w:numPr>
        <w:rPr>
          <w:rFonts w:ascii="Arial" w:cs="Arial" w:eastAsia="Arial" w:hAnsi="Arial"/>
          <w:sz w:val="27"/>
          <w:szCs w:val="27"/>
          <w:color w:val="auto"/>
          <w:vertAlign w:val="subscript"/>
        </w:rPr>
      </w:pPr>
      <w:r>
        <w:rPr>
          <w:rFonts w:ascii="Arial" w:cs="Arial" w:eastAsia="Arial" w:hAnsi="Arial"/>
          <w:sz w:val="12"/>
          <w:szCs w:val="12"/>
          <w:color w:val="auto"/>
        </w:rPr>
        <w:t>Deposits with no stated maturity include reciprocal deposits with a recorded book balance of $630.111 million and $555.781 million at June 30, 2023 and December 31, 2022, respectively. Deposits with a stated maturity include reciprocal deposits with a recorded book balance of $90.874 million and $46.794 million at June 30, 2023 and December 31, 2022, respectively.</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fair values for commitments to extend credit and standby letters of credit are estimated to approximate their aggregate book balance, which is nominal and therefore are not disclosed.</w:t>
      </w:r>
    </w:p>
    <w:p>
      <w:pPr>
        <w:spacing w:after="0" w:line="1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instrument. These estimates do not reflect any premium or discount that could result from offering for sale the entire holdings of a particular financial instrument.</w:t>
      </w:r>
    </w:p>
    <w:p>
      <w:pPr>
        <w:spacing w:after="0" w:line="126"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Fair value estimates are based on existing on- and off-balance sheet financial instruments without attempting to estimate the value of anticipated future business, the value of future earnings attributable to off-balance sheet activities and the value of assets and liabilities that are not considered financial instruments.</w:t>
      </w:r>
    </w:p>
    <w:p>
      <w:pPr>
        <w:spacing w:after="0" w:line="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Fair value estimates for deposit accounts do not include the value of the core deposit intangible asset resulting from the low-cost funding provided by the deposit liabilities compared to the cost of borrowing funds in the market.</w:t>
      </w:r>
    </w:p>
    <w:p>
      <w:pPr>
        <w:spacing w:after="0" w:line="139" w:lineRule="exact"/>
        <w:rPr>
          <w:sz w:val="20"/>
          <w:szCs w:val="20"/>
          <w:color w:val="auto"/>
        </w:rPr>
      </w:pPr>
    </w:p>
    <w:p>
      <w:pPr>
        <w:ind w:left="380" w:hanging="377"/>
        <w:spacing w:after="0"/>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Contingencies</w:t>
      </w:r>
    </w:p>
    <w:p>
      <w:pPr>
        <w:spacing w:after="0" w:line="230"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Pressures from various global and national macroeconomic conditions, including heightened inflation, rising interest rates, elevated energy prices, supply chain disruptions, concerns over the Russia-Ukraine war, and foreign currency exchange rate fluctuations continue to create significant economic uncertainty. 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securities held to maturity, loans, capitalized mortgage loan servicing rights or deferred tax assets.</w:t>
      </w:r>
    </w:p>
    <w:p>
      <w:pPr>
        <w:spacing w:after="0" w:line="18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We continue to closely monitor and analyze the higher risk segments within our portfolio, and senior management is cautiously optimistic that we are positioned to continue managing the impact of the varied set of risks and uncertainties currently impacting the global and U.S. economies. However, a high degree of uncertainty still exists with respect to the impact of these fluid macroeconomic conditions on the future performance of our loan portfolio and our financial results.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Litigation</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involved in various litigation matters in the ordinary course of business. At the present time, we do not believe any of these matters will have a significant impact on our interim condensed consolidated financial position or results of operations. The aggregate amount we have accrued for losses we consider probable as a result of these litigation matters is immaterial. However, because of the inherent uncertainty of outcomes from any litigation matter, we believe it is reasonably possible 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Visa Stock</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own 12,566 shares of VISA Class B common stock. At the present time, these shares can only be sold to other Class B shareholders. As a result, there has generally been limited transfer activity in private transactions between buyers and sellers. Given the limited activity that we have become aware of and the continuing uncertainty regarding the likelihood, ultimate timing and eventual exchange rate for Class B shares into Class A shares, we continue to carry these shares at zero, representing cost basis less impairment. However, given the current conversion ratio of 1.5902 Class A shares for every 1 Class B share and the closing price of VISA Class A shares on July 27, 2023 of $234.44 per share, our 12,566 Class B shares would have a current “value” of approximately $4.7 million. We continue to monitor Class B trading activity and the status of the resolution of certain litigation matters at VISA that would trigger the conversion of Class B common shares into Class A common shares, which would not have any trading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ind w:right="-479"/>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ind w:right="6020" w:firstLine="3"/>
        <w:spacing w:after="0" w:line="498" w:lineRule="auto"/>
        <w:tabs>
          <w:tab w:leader="none" w:pos="387"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 xml:space="preserve">Accumulated Other Comprehensive Income (Loss) (“AOCIL”) </w:t>
      </w:r>
      <w:r>
        <w:rPr>
          <w:rFonts w:ascii="Arial" w:cs="Arial" w:eastAsia="Arial" w:hAnsi="Arial"/>
          <w:sz w:val="17"/>
          <w:szCs w:val="17"/>
          <w:color w:val="auto"/>
        </w:rPr>
        <w:t>A summary of changes in AOCIL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Arial" w:cs="Arial" w:eastAsia="Arial" w:hAnsi="Arial"/>
                <w:sz w:val="17"/>
                <w:szCs w:val="17"/>
                <w:color w:val="auto"/>
                <w:w w:val="93"/>
              </w:rPr>
              <w:t>Unrealized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34"/>
              <w:spacing w:after="0"/>
              <w:rPr>
                <w:sz w:val="20"/>
                <w:szCs w:val="20"/>
                <w:color w:val="auto"/>
              </w:rPr>
            </w:pPr>
            <w:r>
              <w:rPr>
                <w:rFonts w:ascii="Arial" w:cs="Arial" w:eastAsia="Arial" w:hAnsi="Arial"/>
                <w:sz w:val="17"/>
                <w:szCs w:val="17"/>
                <w:color w:val="auto"/>
                <w:w w:val="95"/>
              </w:rPr>
              <w:t>Dispropor-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94"/>
              <w:spacing w:after="0"/>
              <w:rPr>
                <w:sz w:val="20"/>
                <w:szCs w:val="20"/>
                <w:color w:val="auto"/>
              </w:rPr>
            </w:pPr>
            <w:r>
              <w:rPr>
                <w:rFonts w:ascii="Arial" w:cs="Arial" w:eastAsia="Arial" w:hAnsi="Arial"/>
                <w:sz w:val="17"/>
                <w:szCs w:val="17"/>
                <w:color w:val="auto"/>
                <w:w w:val="93"/>
              </w:rPr>
              <w:t>Unrealized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Arial" w:cs="Arial" w:eastAsia="Arial" w:hAnsi="Arial"/>
                <w:sz w:val="17"/>
                <w:szCs w:val="17"/>
                <w:color w:val="auto"/>
                <w:w w:val="87"/>
              </w:rPr>
              <w:t>Losses 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34"/>
              <w:spacing w:after="0"/>
              <w:rPr>
                <w:sz w:val="20"/>
                <w:szCs w:val="20"/>
                <w:color w:val="auto"/>
              </w:rPr>
            </w:pPr>
            <w:r>
              <w:rPr>
                <w:rFonts w:ascii="Arial" w:cs="Arial" w:eastAsia="Arial" w:hAnsi="Arial"/>
                <w:sz w:val="17"/>
                <w:szCs w:val="17"/>
                <w:color w:val="auto"/>
                <w:w w:val="93"/>
              </w:rPr>
              <w:t>tionate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94"/>
              <w:spacing w:after="0"/>
              <w:rPr>
                <w:sz w:val="20"/>
                <w:szCs w:val="20"/>
                <w:color w:val="auto"/>
              </w:rPr>
            </w:pPr>
            <w:r>
              <w:rPr>
                <w:rFonts w:ascii="Arial" w:cs="Arial" w:eastAsia="Arial" w:hAnsi="Arial"/>
                <w:sz w:val="17"/>
                <w:szCs w:val="17"/>
                <w:color w:val="auto"/>
                <w:w w:val="89"/>
              </w:rPr>
              <w:t>Gains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Arial" w:cs="Arial" w:eastAsia="Arial" w:hAnsi="Arial"/>
                <w:sz w:val="17"/>
                <w:szCs w:val="17"/>
                <w:color w:val="auto"/>
                <w:w w:val="91"/>
              </w:rPr>
              <w:t>Securities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Arial" w:cs="Arial" w:eastAsia="Arial" w:hAnsi="Arial"/>
                <w:sz w:val="17"/>
                <w:szCs w:val="17"/>
                <w:color w:val="auto"/>
                <w:w w:val="91"/>
              </w:rPr>
              <w:t>Tax Effects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Arial" w:cs="Arial" w:eastAsia="Arial" w:hAnsi="Arial"/>
                <w:sz w:val="17"/>
                <w:szCs w:val="17"/>
                <w:color w:val="auto"/>
                <w:w w:val="93"/>
              </w:rPr>
              <w:t>Unrealized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94"/>
              <w:spacing w:after="0"/>
              <w:rPr>
                <w:sz w:val="20"/>
                <w:szCs w:val="20"/>
                <w:color w:val="auto"/>
              </w:rPr>
            </w:pPr>
            <w:r>
              <w:rPr>
                <w:rFonts w:ascii="Arial" w:cs="Arial" w:eastAsia="Arial" w:hAnsi="Arial"/>
                <w:sz w:val="17"/>
                <w:szCs w:val="17"/>
                <w:color w:val="auto"/>
                <w:w w:val="90"/>
              </w:rPr>
              <w:t>(Losses) 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Arial" w:cs="Arial" w:eastAsia="Arial" w:hAnsi="Arial"/>
                <w:sz w:val="17"/>
                <w:szCs w:val="17"/>
                <w:color w:val="auto"/>
                <w:w w:val="91"/>
              </w:rPr>
              <w:t>Transferred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34"/>
              <w:spacing w:after="0"/>
              <w:rPr>
                <w:sz w:val="20"/>
                <w:szCs w:val="20"/>
                <w:color w:val="auto"/>
              </w:rPr>
            </w:pPr>
            <w:r>
              <w:rPr>
                <w:rFonts w:ascii="Arial" w:cs="Arial" w:eastAsia="Arial" w:hAnsi="Arial"/>
                <w:sz w:val="17"/>
                <w:szCs w:val="17"/>
                <w:color w:val="auto"/>
                <w:w w:val="93"/>
              </w:rPr>
              <w:t>from</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Arial" w:cs="Arial" w:eastAsia="Arial" w:hAnsi="Arial"/>
                <w:sz w:val="17"/>
                <w:szCs w:val="17"/>
                <w:color w:val="auto"/>
                <w:w w:val="87"/>
              </w:rPr>
              <w:t>Losses on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center"/>
              <w:ind w:right="94"/>
              <w:spacing w:after="0"/>
              <w:rPr>
                <w:sz w:val="20"/>
                <w:szCs w:val="20"/>
                <w:color w:val="auto"/>
              </w:rPr>
            </w:pPr>
            <w:r>
              <w:rPr>
                <w:rFonts w:ascii="Arial" w:cs="Arial" w:eastAsia="Arial" w:hAnsi="Arial"/>
                <w:sz w:val="17"/>
                <w:szCs w:val="17"/>
                <w:color w:val="auto"/>
                <w:w w:val="91"/>
              </w:rPr>
              <w:t>Securities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Arial" w:cs="Arial" w:eastAsia="Arial" w:hAnsi="Arial"/>
                <w:sz w:val="17"/>
                <w:szCs w:val="17"/>
                <w:color w:val="auto"/>
                <w:w w:val="91"/>
              </w:rPr>
              <w:t>to Securities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right="34"/>
              <w:spacing w:after="0"/>
              <w:rPr>
                <w:sz w:val="20"/>
                <w:szCs w:val="20"/>
                <w:color w:val="auto"/>
              </w:rPr>
            </w:pPr>
            <w:r>
              <w:rPr>
                <w:rFonts w:ascii="Arial" w:cs="Arial" w:eastAsia="Arial" w:hAnsi="Arial"/>
                <w:sz w:val="17"/>
                <w:szCs w:val="17"/>
                <w:color w:val="auto"/>
                <w:w w:val="91"/>
              </w:rPr>
              <w:t>Securities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4"/>
              <w:spacing w:after="0"/>
              <w:rPr>
                <w:sz w:val="20"/>
                <w:szCs w:val="20"/>
                <w:color w:val="auto"/>
              </w:rPr>
            </w:pPr>
            <w:r>
              <w:rPr>
                <w:rFonts w:ascii="Arial" w:cs="Arial" w:eastAsia="Arial" w:hAnsi="Arial"/>
                <w:sz w:val="17"/>
                <w:szCs w:val="17"/>
                <w:color w:val="auto"/>
                <w:w w:val="95"/>
              </w:rPr>
              <w:t>Derivative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96"/>
              </w:rPr>
              <w:t>AFS</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color w:val="auto"/>
                <w:w w:val="99"/>
              </w:rPr>
              <w:t>HTM (1)</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96"/>
              </w:rPr>
              <w:t>AFS</w:t>
            </w: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0"/>
              </w:rPr>
              <w:t>Instruments</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1"/>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4"/>
              <w:spacing w:after="0"/>
              <w:rPr>
                <w:sz w:val="20"/>
                <w:szCs w:val="20"/>
                <w:color w:val="auto"/>
              </w:rPr>
            </w:pPr>
            <w:r>
              <w:rPr>
                <w:rFonts w:ascii="Arial" w:cs="Arial" w:eastAsia="Arial" w:hAnsi="Arial"/>
                <w:sz w:val="17"/>
                <w:szCs w:val="17"/>
                <w:color w:val="auto"/>
                <w:w w:val="90"/>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tcPr>
          <w:p>
            <w:pPr>
              <w:ind w:left="20"/>
              <w:spacing w:after="0"/>
              <w:rPr>
                <w:sz w:val="20"/>
                <w:szCs w:val="20"/>
                <w:color w:val="auto"/>
              </w:rPr>
            </w:pPr>
            <w:r>
              <w:rPr>
                <w:rFonts w:ascii="Arial" w:cs="Arial" w:eastAsia="Arial" w:hAnsi="Arial"/>
                <w:sz w:val="17"/>
                <w:szCs w:val="17"/>
                <w:color w:val="auto"/>
              </w:rPr>
              <w:t>For the three months ended June 30,</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2023</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320"/>
              <w:spacing w:after="0"/>
              <w:rPr>
                <w:sz w:val="20"/>
                <w:szCs w:val="20"/>
                <w:color w:val="auto"/>
              </w:rPr>
            </w:pPr>
            <w:r>
              <w:rPr>
                <w:rFonts w:ascii="Arial" w:cs="Arial" w:eastAsia="Arial" w:hAnsi="Arial"/>
                <w:sz w:val="17"/>
                <w:szCs w:val="17"/>
                <w:color w:val="auto"/>
              </w:rPr>
              <w:t>Balances at beginning of period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(57,197)</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(17,551)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Pr>
          <w:p>
            <w:pPr>
              <w:ind w:left="620"/>
              <w:spacing w:after="0"/>
              <w:rPr>
                <w:sz w:val="20"/>
                <w:szCs w:val="20"/>
                <w:color w:val="auto"/>
              </w:rPr>
            </w:pPr>
            <w:r>
              <w:rPr>
                <w:rFonts w:ascii="Arial" w:cs="Arial" w:eastAsia="Arial" w:hAnsi="Arial"/>
                <w:sz w:val="17"/>
                <w:szCs w:val="17"/>
                <w:color w:val="auto"/>
                <w:w w:val="96"/>
              </w:rPr>
              <w:t>(5,798)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(265)</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(80,811)</w:t>
            </w:r>
          </w:p>
        </w:tc>
        <w:tc>
          <w:tcPr>
            <w:tcW w:w="0" w:type="dxa"/>
            <w:vAlign w:val="bottom"/>
          </w:tcPr>
          <w:p>
            <w:pPr>
              <w:spacing w:after="0"/>
              <w:rPr>
                <w:sz w:val="1"/>
                <w:szCs w:val="1"/>
                <w:color w:val="auto"/>
              </w:rPr>
            </w:pPr>
          </w:p>
        </w:tc>
      </w:tr>
      <w:tr>
        <w:trPr>
          <w:trHeight w:val="214"/>
        </w:trPr>
        <w:tc>
          <w:tcPr>
            <w:tcW w:w="40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Other comprehensive income (loss) before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reclassifications</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38"/>
        </w:trPr>
        <w:tc>
          <w:tcPr>
            <w:tcW w:w="4000" w:type="dxa"/>
            <w:vAlign w:val="bottom"/>
          </w:tcPr>
          <w:p>
            <w:pPr>
              <w:ind w:left="480"/>
              <w:spacing w:after="0"/>
              <w:rPr>
                <w:sz w:val="20"/>
                <w:szCs w:val="20"/>
                <w:color w:val="auto"/>
              </w:rPr>
            </w:pPr>
            <w:r>
              <w:rPr>
                <w:rFonts w:ascii="Arial" w:cs="Arial" w:eastAsia="Arial" w:hAnsi="Arial"/>
                <w:sz w:val="17"/>
                <w:szCs w:val="17"/>
                <w:color w:val="auto"/>
              </w:rPr>
              <w:t>Amounts reclassified from AOCIL</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7"/>
        </w:trPr>
        <w:tc>
          <w:tcPr>
            <w:tcW w:w="400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3"/>
              </w:rPr>
              <w:t>Net current period other comprehensive income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000" w:type="dxa"/>
            <w:vAlign w:val="bottom"/>
            <w:shd w:val="clear" w:color="auto" w:fill="CCEEFF"/>
          </w:tcPr>
          <w:p>
            <w:pPr>
              <w:ind w:left="800"/>
              <w:spacing w:after="0"/>
              <w:rPr>
                <w:sz w:val="20"/>
                <w:szCs w:val="20"/>
                <w:color w:val="auto"/>
              </w:rPr>
            </w:pPr>
            <w:r>
              <w:rPr>
                <w:rFonts w:ascii="Arial" w:cs="Arial" w:eastAsia="Arial" w:hAnsi="Arial"/>
                <w:sz w:val="17"/>
                <w:szCs w:val="17"/>
                <w:color w:val="auto"/>
              </w:rPr>
              <w:t>(loss)</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31"/>
        </w:trPr>
        <w:tc>
          <w:tcPr>
            <w:tcW w:w="4000" w:type="dxa"/>
            <w:vAlign w:val="bottom"/>
          </w:tcPr>
          <w:p>
            <w:pPr>
              <w:ind w:left="320"/>
              <w:spacing w:after="0"/>
              <w:rPr>
                <w:sz w:val="20"/>
                <w:szCs w:val="20"/>
                <w:color w:val="auto"/>
              </w:rPr>
            </w:pPr>
            <w:r>
              <w:rPr>
                <w:rFonts w:ascii="Arial" w:cs="Arial" w:eastAsia="Arial" w:hAnsi="Arial"/>
                <w:sz w:val="17"/>
                <w:szCs w:val="17"/>
                <w:color w:val="auto"/>
              </w:rPr>
              <w:t>Balances at end of period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(57,695)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(16,811)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Pr>
          <w:p>
            <w:pPr>
              <w:ind w:left="620"/>
              <w:spacing w:after="0"/>
              <w:rPr>
                <w:sz w:val="20"/>
                <w:szCs w:val="20"/>
                <w:color w:val="auto"/>
              </w:rPr>
            </w:pPr>
            <w:r>
              <w:rPr>
                <w:rFonts w:ascii="Arial" w:cs="Arial" w:eastAsia="Arial" w:hAnsi="Arial"/>
                <w:sz w:val="17"/>
                <w:szCs w:val="17"/>
                <w:color w:val="auto"/>
                <w:w w:val="96"/>
              </w:rPr>
              <w:t>(5,798)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(206)</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(80,510)</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40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180"/>
              <w:spacing w:after="0"/>
              <w:rPr>
                <w:sz w:val="20"/>
                <w:szCs w:val="20"/>
                <w:color w:val="auto"/>
              </w:rPr>
            </w:pPr>
            <w:r>
              <w:rPr>
                <w:rFonts w:ascii="Arial" w:cs="Arial" w:eastAsia="Arial" w:hAnsi="Arial"/>
                <w:sz w:val="17"/>
                <w:szCs w:val="17"/>
                <w:color w:val="auto"/>
              </w:rPr>
              <w:t>2022</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(48,616)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6"/>
              </w:rPr>
              <w:t>(5,798)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(54,414)</w:t>
            </w:r>
          </w:p>
        </w:tc>
        <w:tc>
          <w:tcPr>
            <w:tcW w:w="0" w:type="dxa"/>
            <w:vAlign w:val="bottom"/>
          </w:tcPr>
          <w:p>
            <w:pPr>
              <w:spacing w:after="0"/>
              <w:rPr>
                <w:sz w:val="1"/>
                <w:szCs w:val="1"/>
                <w:color w:val="auto"/>
              </w:rPr>
            </w:pPr>
          </w:p>
        </w:tc>
      </w:tr>
      <w:tr>
        <w:trPr>
          <w:trHeight w:val="238"/>
        </w:trPr>
        <w:tc>
          <w:tcPr>
            <w:tcW w:w="4000" w:type="dxa"/>
            <w:vAlign w:val="bottom"/>
          </w:tcPr>
          <w:p>
            <w:pPr>
              <w:ind w:left="480"/>
              <w:spacing w:after="0"/>
              <w:rPr>
                <w:sz w:val="20"/>
                <w:szCs w:val="20"/>
                <w:color w:val="auto"/>
              </w:rPr>
            </w:pPr>
            <w:r>
              <w:rPr>
                <w:rFonts w:ascii="Arial" w:cs="Arial" w:eastAsia="Arial" w:hAnsi="Arial"/>
                <w:sz w:val="17"/>
                <w:szCs w:val="17"/>
                <w:color w:val="auto"/>
                <w:w w:val="93"/>
              </w:rPr>
              <w:t>Other comprehensive loss before reclassifications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(10,447)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(19,870)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ind w:left="9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(30,317)</w:t>
            </w:r>
          </w:p>
        </w:tc>
        <w:tc>
          <w:tcPr>
            <w:tcW w:w="0" w:type="dxa"/>
            <w:vAlign w:val="bottom"/>
          </w:tcPr>
          <w:p>
            <w:pPr>
              <w:spacing w:after="0"/>
              <w:rPr>
                <w:sz w:val="1"/>
                <w:szCs w:val="1"/>
                <w:color w:val="auto"/>
              </w:rPr>
            </w:pPr>
          </w:p>
        </w:tc>
      </w:tr>
      <w:tr>
        <w:trPr>
          <w:trHeight w:val="245"/>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Amounts reclassified from AOCIL</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30"/>
        </w:trPr>
        <w:tc>
          <w:tcPr>
            <w:tcW w:w="4000" w:type="dxa"/>
            <w:vAlign w:val="bottom"/>
          </w:tcPr>
          <w:p>
            <w:pPr>
              <w:ind w:left="640"/>
              <w:spacing w:after="0"/>
              <w:rPr>
                <w:sz w:val="20"/>
                <w:szCs w:val="20"/>
                <w:color w:val="auto"/>
              </w:rPr>
            </w:pPr>
            <w:r>
              <w:rPr>
                <w:rFonts w:ascii="Arial" w:cs="Arial" w:eastAsia="Arial" w:hAnsi="Arial"/>
                <w:sz w:val="17"/>
                <w:szCs w:val="17"/>
                <w:color w:val="auto"/>
                <w:w w:val="99"/>
              </w:rPr>
              <w:t>Net current period other comprehensive loss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(10,719)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(19,870)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ind w:left="9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(30,589)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4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Balances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6"/>
              </w:rPr>
              <w:t>(5,798)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 the six months ended June 30,</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00" w:type="dxa"/>
            <w:vAlign w:val="bottom"/>
          </w:tcPr>
          <w:p>
            <w:pPr>
              <w:ind w:left="120"/>
              <w:spacing w:after="0"/>
              <w:rPr>
                <w:sz w:val="20"/>
                <w:szCs w:val="20"/>
                <w:color w:val="auto"/>
              </w:rPr>
            </w:pPr>
            <w:r>
              <w:rPr>
                <w:rFonts w:ascii="Arial" w:cs="Arial" w:eastAsia="Arial" w:hAnsi="Arial"/>
                <w:sz w:val="17"/>
                <w:szCs w:val="17"/>
                <w:color w:val="auto"/>
              </w:rPr>
              <w:t>2023</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Balances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(68,742)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6"/>
              </w:rPr>
              <w:t>(5,798)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(92,763)</w:t>
            </w:r>
          </w:p>
        </w:tc>
        <w:tc>
          <w:tcPr>
            <w:tcW w:w="0" w:type="dxa"/>
            <w:vAlign w:val="bottom"/>
          </w:tcPr>
          <w:p>
            <w:pPr>
              <w:spacing w:after="0"/>
              <w:rPr>
                <w:sz w:val="1"/>
                <w:szCs w:val="1"/>
                <w:color w:val="auto"/>
              </w:rPr>
            </w:pPr>
          </w:p>
        </w:tc>
      </w:tr>
      <w:tr>
        <w:trPr>
          <w:trHeight w:val="220"/>
        </w:trPr>
        <w:tc>
          <w:tcPr>
            <w:tcW w:w="4000" w:type="dxa"/>
            <w:vAlign w:val="bottom"/>
          </w:tcPr>
          <w:p>
            <w:pPr>
              <w:ind w:left="480"/>
              <w:spacing w:after="0"/>
              <w:rPr>
                <w:sz w:val="20"/>
                <w:szCs w:val="20"/>
                <w:color w:val="auto"/>
              </w:rPr>
            </w:pPr>
            <w:r>
              <w:rPr>
                <w:rFonts w:ascii="Arial" w:cs="Arial" w:eastAsia="Arial" w:hAnsi="Arial"/>
                <w:sz w:val="17"/>
                <w:szCs w:val="17"/>
                <w:color w:val="auto"/>
              </w:rPr>
              <w:t>Other comprehensive income (loss) before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640"/>
              <w:spacing w:after="0"/>
              <w:rPr>
                <w:sz w:val="20"/>
                <w:szCs w:val="20"/>
                <w:color w:val="auto"/>
              </w:rPr>
            </w:pPr>
            <w:r>
              <w:rPr>
                <w:rFonts w:ascii="Arial" w:cs="Arial" w:eastAsia="Arial" w:hAnsi="Arial"/>
                <w:sz w:val="17"/>
                <w:szCs w:val="17"/>
                <w:color w:val="auto"/>
              </w:rPr>
              <w:t>reclassifications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10,872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11,990</w:t>
            </w:r>
          </w:p>
        </w:tc>
        <w:tc>
          <w:tcPr>
            <w:tcW w:w="0" w:type="dxa"/>
            <w:vAlign w:val="bottom"/>
          </w:tcPr>
          <w:p>
            <w:pPr>
              <w:spacing w:after="0"/>
              <w:rPr>
                <w:sz w:val="1"/>
                <w:szCs w:val="1"/>
                <w:color w:val="auto"/>
              </w:rPr>
            </w:pPr>
          </w:p>
        </w:tc>
      </w:tr>
      <w:tr>
        <w:trPr>
          <w:trHeight w:val="252"/>
        </w:trPr>
        <w:tc>
          <w:tcPr>
            <w:tcW w:w="40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Amounts reclassified from AOCIL</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0"/>
        </w:trPr>
        <w:tc>
          <w:tcPr>
            <w:tcW w:w="4000" w:type="dxa"/>
            <w:vAlign w:val="bottom"/>
          </w:tcPr>
          <w:p>
            <w:pPr>
              <w:ind w:left="480"/>
              <w:spacing w:after="0"/>
              <w:rPr>
                <w:sz w:val="20"/>
                <w:szCs w:val="20"/>
                <w:color w:val="auto"/>
              </w:rPr>
            </w:pPr>
            <w:r>
              <w:rPr>
                <w:rFonts w:ascii="Arial" w:cs="Arial" w:eastAsia="Arial" w:hAnsi="Arial"/>
                <w:sz w:val="17"/>
                <w:szCs w:val="17"/>
                <w:color w:val="auto"/>
                <w:w w:val="97"/>
              </w:rPr>
              <w:t>Net current period other comprehensive income</w:t>
            </w:r>
          </w:p>
        </w:tc>
        <w:tc>
          <w:tcPr>
            <w:tcW w:w="18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11,047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1,412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restart"/>
          </w:tcPr>
          <w:p>
            <w:pPr>
              <w:ind w:left="9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(206)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12,253</w:t>
            </w:r>
          </w:p>
        </w:tc>
        <w:tc>
          <w:tcPr>
            <w:tcW w:w="0" w:type="dxa"/>
            <w:vAlign w:val="bottom"/>
          </w:tcPr>
          <w:p>
            <w:pPr>
              <w:spacing w:after="0"/>
              <w:rPr>
                <w:sz w:val="1"/>
                <w:szCs w:val="1"/>
                <w:color w:val="auto"/>
              </w:rPr>
            </w:pPr>
          </w:p>
        </w:tc>
      </w:tr>
      <w:tr>
        <w:trPr>
          <w:trHeight w:val="218"/>
        </w:trPr>
        <w:tc>
          <w:tcPr>
            <w:tcW w:w="4000" w:type="dxa"/>
            <w:vAlign w:val="bottom"/>
          </w:tcPr>
          <w:p>
            <w:pPr>
              <w:ind w:left="640"/>
              <w:spacing w:after="0"/>
              <w:rPr>
                <w:sz w:val="20"/>
                <w:szCs w:val="20"/>
                <w:color w:val="auto"/>
              </w:rPr>
            </w:pPr>
            <w:r>
              <w:rPr>
                <w:rFonts w:ascii="Arial" w:cs="Arial" w:eastAsia="Arial" w:hAnsi="Arial"/>
                <w:sz w:val="17"/>
                <w:szCs w:val="17"/>
                <w:color w:val="auto"/>
              </w:rPr>
              <w:t>(loss)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Balances at end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(16,811)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ind w:left="620"/>
              <w:spacing w:after="0"/>
              <w:rPr>
                <w:sz w:val="20"/>
                <w:szCs w:val="20"/>
                <w:color w:val="auto"/>
              </w:rPr>
            </w:pPr>
            <w:r>
              <w:rPr>
                <w:rFonts w:ascii="Arial" w:cs="Arial" w:eastAsia="Arial" w:hAnsi="Arial"/>
                <w:sz w:val="17"/>
                <w:szCs w:val="17"/>
                <w:color w:val="auto"/>
                <w:w w:val="96"/>
              </w:rPr>
              <w:t>(5,798)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(80,510)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
        </w:trPr>
        <w:tc>
          <w:tcPr>
            <w:tcW w:w="4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4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2022</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20"/>
              <w:spacing w:after="0"/>
              <w:rPr>
                <w:sz w:val="20"/>
                <w:szCs w:val="20"/>
                <w:color w:val="auto"/>
              </w:rPr>
            </w:pPr>
            <w:r>
              <w:rPr>
                <w:rFonts w:ascii="Arial" w:cs="Arial" w:eastAsia="Arial" w:hAnsi="Arial"/>
                <w:sz w:val="17"/>
                <w:szCs w:val="17"/>
                <w:color w:val="auto"/>
              </w:rPr>
              <w:t>Balances at beginning of period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6,299</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Pr>
          <w:p>
            <w:pPr>
              <w:ind w:left="620"/>
              <w:spacing w:after="0"/>
              <w:rPr>
                <w:sz w:val="20"/>
                <w:szCs w:val="20"/>
                <w:color w:val="auto"/>
              </w:rPr>
            </w:pPr>
            <w:r>
              <w:rPr>
                <w:rFonts w:ascii="Arial" w:cs="Arial" w:eastAsia="Arial" w:hAnsi="Arial"/>
                <w:sz w:val="17"/>
                <w:szCs w:val="17"/>
                <w:color w:val="auto"/>
                <w:w w:val="96"/>
              </w:rPr>
              <w:t>(5,798)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501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000" w:type="dxa"/>
            <w:vAlign w:val="bottom"/>
            <w:shd w:val="clear" w:color="auto" w:fill="CCEEFF"/>
          </w:tcPr>
          <w:p>
            <w:pPr>
              <w:ind w:left="480"/>
              <w:spacing w:after="0"/>
              <w:rPr>
                <w:sz w:val="20"/>
                <w:szCs w:val="20"/>
                <w:color w:val="auto"/>
              </w:rPr>
            </w:pPr>
            <w:r>
              <w:rPr>
                <w:rFonts w:ascii="Arial" w:cs="Arial" w:eastAsia="Arial" w:hAnsi="Arial"/>
                <w:sz w:val="17"/>
                <w:szCs w:val="17"/>
                <w:color w:val="auto"/>
                <w:w w:val="93"/>
              </w:rPr>
              <w:t>Other comprehensive loss before reclassifications</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(85,287)</w:t>
            </w:r>
          </w:p>
        </w:tc>
        <w:tc>
          <w:tcPr>
            <w:tcW w:w="0" w:type="dxa"/>
            <w:vAlign w:val="bottom"/>
          </w:tcPr>
          <w:p>
            <w:pPr>
              <w:spacing w:after="0"/>
              <w:rPr>
                <w:sz w:val="1"/>
                <w:szCs w:val="1"/>
                <w:color w:val="auto"/>
              </w:rPr>
            </w:pPr>
          </w:p>
        </w:tc>
      </w:tr>
      <w:tr>
        <w:trPr>
          <w:trHeight w:val="238"/>
        </w:trPr>
        <w:tc>
          <w:tcPr>
            <w:tcW w:w="400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Amounts reclassified from AOCIL</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38"/>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Net current period other comprehensive loss</w:t>
            </w: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(65,634)</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(85,504)</w:t>
            </w:r>
          </w:p>
        </w:tc>
        <w:tc>
          <w:tcPr>
            <w:tcW w:w="0" w:type="dxa"/>
            <w:vAlign w:val="bottom"/>
          </w:tcPr>
          <w:p>
            <w:pPr>
              <w:spacing w:after="0"/>
              <w:rPr>
                <w:sz w:val="1"/>
                <w:szCs w:val="1"/>
                <w:color w:val="auto"/>
              </w:rPr>
            </w:pPr>
          </w:p>
        </w:tc>
      </w:tr>
      <w:tr>
        <w:trPr>
          <w:trHeight w:val="238"/>
        </w:trPr>
        <w:tc>
          <w:tcPr>
            <w:tcW w:w="4000" w:type="dxa"/>
            <w:vAlign w:val="bottom"/>
          </w:tcPr>
          <w:p>
            <w:pPr>
              <w:ind w:left="320"/>
              <w:spacing w:after="0"/>
              <w:rPr>
                <w:sz w:val="20"/>
                <w:szCs w:val="20"/>
                <w:color w:val="auto"/>
              </w:rPr>
            </w:pPr>
            <w:r>
              <w:rPr>
                <w:rFonts w:ascii="Arial" w:cs="Arial" w:eastAsia="Arial" w:hAnsi="Arial"/>
                <w:sz w:val="17"/>
                <w:szCs w:val="17"/>
                <w:color w:val="auto"/>
              </w:rPr>
              <w:t>Balances at end of period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(59,335)</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(19,870)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tcPr>
          <w:p>
            <w:pPr>
              <w:ind w:left="620"/>
              <w:spacing w:after="0"/>
              <w:rPr>
                <w:sz w:val="20"/>
                <w:szCs w:val="20"/>
                <w:color w:val="auto"/>
              </w:rPr>
            </w:pPr>
            <w:r>
              <w:rPr>
                <w:rFonts w:ascii="Arial" w:cs="Arial" w:eastAsia="Arial" w:hAnsi="Arial"/>
                <w:sz w:val="17"/>
                <w:szCs w:val="17"/>
                <w:color w:val="auto"/>
                <w:w w:val="96"/>
              </w:rPr>
              <w:t>(5,798)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(85,003)</w:t>
            </w: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320" w:hanging="317"/>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the remaining unrealized loss to be accreted on securities that were transferred from AFS to HTM on April 1, 2022.</w:t>
      </w:r>
    </w:p>
    <w:p>
      <w:pPr>
        <w:spacing w:after="0" w:line="200" w:lineRule="exact"/>
        <w:rPr>
          <w:rFonts w:ascii="Arial" w:cs="Arial" w:eastAsia="Arial" w:hAnsi="Arial"/>
          <w:sz w:val="17"/>
          <w:szCs w:val="17"/>
          <w:color w:val="auto"/>
        </w:rPr>
      </w:pPr>
    </w:p>
    <w:p>
      <w:pPr>
        <w:spacing w:after="0" w:line="378"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60"/>
          </w:cols>
          <w:pgMar w:left="320" w:top="127" w:right="819" w:bottom="1440" w:gutter="0" w:footer="0" w:header="0"/>
        </w:sectPr>
      </w:pPr>
    </w:p>
    <w:bookmarkStart w:id="55" w:name="page56"/>
    <w:bookmarkEnd w:id="55"/>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disproportionate tax effects from securities AFS arose due to tax effects of other comprehensive income (“OCI”) in the presence of a valuation allowance against our deferred tax assets and a pretax loss from operations. Generally, the amount of income tax expense or benefit allocated to operations is determined without regard to the tax effects of other categories of income or loss, such as OCI. However, an exception to the general rule is provided when, in the presence of a valuation allowance against deferred tax assets, there is a pretax loss from operations and pretax income from other categories in the current period. In such instances, income from other categories must offset the current loss from operations, the tax benefit of such offset being reflected in operations. Release of material disproportionate tax effects from other comprehensive income to earnings is done by the portfolio method whereby the effects will remain in AOCIL as long as we carry a more than inconsequential portfolio of securities AFS.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reclassifications out of each component of AOCIL for the three months ended June 30 follows:</w:t>
      </w:r>
    </w:p>
    <w:p>
      <w:pPr>
        <w:sectPr>
          <w:pgSz w:w="11900" w:h="16838" w:orient="portrait"/>
          <w:cols w:equalWidth="0" w:num="1">
            <w:col w:w="11240"/>
          </w:cols>
          <w:pgMar w:left="320" w:top="127" w:right="339" w:bottom="1440" w:gutter="0" w:footer="0" w:header="0"/>
        </w:sect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4"/>
              <w:spacing w:after="0"/>
              <w:rPr>
                <w:sz w:val="20"/>
                <w:szCs w:val="20"/>
                <w:color w:val="auto"/>
              </w:rPr>
            </w:pPr>
            <w:r>
              <w:rPr>
                <w:rFonts w:ascii="Arial" w:cs="Arial" w:eastAsia="Arial" w:hAnsi="Arial"/>
                <w:sz w:val="17"/>
                <w:szCs w:val="17"/>
                <w:color w:val="auto"/>
                <w:w w:val="95"/>
              </w:rPr>
              <w:t>Amount</w:t>
            </w:r>
          </w:p>
        </w:tc>
        <w:tc>
          <w:tcPr>
            <w:tcW w:w="0" w:type="dxa"/>
            <w:vAlign w:val="bottom"/>
          </w:tcPr>
          <w:p>
            <w:pPr>
              <w:spacing w:after="0"/>
              <w:rPr>
                <w:sz w:val="1"/>
                <w:szCs w:val="1"/>
                <w:color w:val="auto"/>
              </w:rPr>
            </w:pPr>
          </w:p>
        </w:tc>
      </w:tr>
      <w:tr>
        <w:trPr>
          <w:trHeight w:val="206"/>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94"/>
              <w:spacing w:after="0"/>
              <w:rPr>
                <w:sz w:val="20"/>
                <w:szCs w:val="20"/>
                <w:color w:val="auto"/>
              </w:rPr>
            </w:pPr>
            <w:r>
              <w:rPr>
                <w:rFonts w:ascii="Arial" w:cs="Arial" w:eastAsia="Arial" w:hAnsi="Arial"/>
                <w:sz w:val="17"/>
                <w:szCs w:val="17"/>
                <w:color w:val="auto"/>
                <w:w w:val="91"/>
              </w:rPr>
              <w:t>Reclassified</w:t>
            </w:r>
          </w:p>
        </w:tc>
        <w:tc>
          <w:tcPr>
            <w:tcW w:w="0" w:type="dxa"/>
            <w:vAlign w:val="bottom"/>
          </w:tcPr>
          <w:p>
            <w:pPr>
              <w:spacing w:after="0"/>
              <w:rPr>
                <w:sz w:val="1"/>
                <w:szCs w:val="1"/>
                <w:color w:val="auto"/>
              </w:rPr>
            </w:pPr>
          </w:p>
        </w:tc>
      </w:tr>
      <w:tr>
        <w:trPr>
          <w:trHeight w:val="206"/>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center"/>
              <w:ind w:right="114"/>
              <w:spacing w:after="0"/>
              <w:rPr>
                <w:sz w:val="20"/>
                <w:szCs w:val="20"/>
                <w:color w:val="auto"/>
              </w:rPr>
            </w:pPr>
            <w:r>
              <w:rPr>
                <w:rFonts w:ascii="Arial" w:cs="Arial" w:eastAsia="Arial" w:hAnsi="Arial"/>
                <w:sz w:val="17"/>
                <w:szCs w:val="17"/>
                <w:color w:val="auto"/>
                <w:w w:val="95"/>
              </w:rPr>
              <w:t>From</w:t>
            </w:r>
          </w:p>
        </w:tc>
        <w:tc>
          <w:tcPr>
            <w:tcW w:w="0" w:type="dxa"/>
            <w:vAlign w:val="bottom"/>
          </w:tcPr>
          <w:p>
            <w:pPr>
              <w:spacing w:after="0"/>
              <w:rPr>
                <w:sz w:val="1"/>
                <w:szCs w:val="1"/>
                <w:color w:val="auto"/>
              </w:rPr>
            </w:pPr>
          </w:p>
        </w:tc>
      </w:tr>
      <w:tr>
        <w:trPr>
          <w:trHeight w:val="237"/>
        </w:trPr>
        <w:tc>
          <w:tcPr>
            <w:tcW w:w="5040" w:type="dxa"/>
            <w:vAlign w:val="bottom"/>
            <w:gridSpan w:val="3"/>
          </w:tcPr>
          <w:p>
            <w:pPr>
              <w:jc w:val="right"/>
              <w:ind w:right="1954"/>
              <w:spacing w:after="0"/>
              <w:rPr>
                <w:sz w:val="20"/>
                <w:szCs w:val="20"/>
                <w:color w:val="auto"/>
              </w:rPr>
            </w:pPr>
            <w:r>
              <w:rPr>
                <w:rFonts w:ascii="Arial" w:cs="Arial" w:eastAsia="Arial" w:hAnsi="Arial"/>
                <w:sz w:val="17"/>
                <w:szCs w:val="17"/>
                <w:color w:val="auto"/>
              </w:rPr>
              <w:t>AOCIL Component</w:t>
            </w:r>
          </w:p>
        </w:tc>
        <w:tc>
          <w:tcPr>
            <w:tcW w:w="1340" w:type="dxa"/>
            <w:vAlign w:val="bottom"/>
          </w:tcPr>
          <w:p>
            <w:pPr>
              <w:jc w:val="center"/>
              <w:ind w:right="94"/>
              <w:spacing w:after="0"/>
              <w:rPr>
                <w:sz w:val="20"/>
                <w:szCs w:val="20"/>
                <w:color w:val="auto"/>
              </w:rPr>
            </w:pPr>
            <w:r>
              <w:rPr>
                <w:rFonts w:ascii="Arial" w:cs="Arial" w:eastAsia="Arial" w:hAnsi="Arial"/>
                <w:sz w:val="17"/>
                <w:szCs w:val="17"/>
                <w:color w:val="auto"/>
              </w:rPr>
              <w:t>AOCIL</w:t>
            </w:r>
          </w:p>
        </w:tc>
        <w:tc>
          <w:tcPr>
            <w:tcW w:w="0" w:type="dxa"/>
            <w:vAlign w:val="bottom"/>
          </w:tcPr>
          <w:p>
            <w:pPr>
              <w:spacing w:after="0"/>
              <w:rPr>
                <w:sz w:val="1"/>
                <w:szCs w:val="1"/>
                <w:color w:val="auto"/>
              </w:rPr>
            </w:pPr>
          </w:p>
        </w:tc>
      </w:tr>
      <w:tr>
        <w:trPr>
          <w:trHeight w:val="218"/>
        </w:trPr>
        <w:tc>
          <w:tcPr>
            <w:tcW w:w="4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114"/>
              <w:spacing w:after="0"/>
              <w:rPr>
                <w:sz w:val="20"/>
                <w:szCs w:val="20"/>
                <w:color w:val="auto"/>
              </w:rPr>
            </w:pPr>
            <w:r>
              <w:rPr>
                <w:rFonts w:ascii="Arial" w:cs="Arial" w:eastAsia="Arial" w:hAnsi="Arial"/>
                <w:sz w:val="17"/>
                <w:szCs w:val="17"/>
                <w:color w:val="auto"/>
                <w:w w:val="90"/>
              </w:rPr>
              <w:t>(In thousands)</w:t>
            </w:r>
          </w:p>
        </w:tc>
        <w:tc>
          <w:tcPr>
            <w:tcW w:w="0" w:type="dxa"/>
            <w:vAlign w:val="bottom"/>
          </w:tcPr>
          <w:p>
            <w:pPr>
              <w:spacing w:after="0"/>
              <w:rPr>
                <w:sz w:val="1"/>
                <w:szCs w:val="1"/>
                <w:color w:val="auto"/>
              </w:rPr>
            </w:pPr>
          </w:p>
        </w:tc>
      </w:tr>
      <w:tr>
        <w:trPr>
          <w:trHeight w:val="232"/>
        </w:trPr>
        <w:tc>
          <w:tcPr>
            <w:tcW w:w="4760" w:type="dxa"/>
            <w:vAlign w:val="bottom"/>
          </w:tcPr>
          <w:p>
            <w:pPr>
              <w:jc w:val="right"/>
              <w:ind w:right="4314"/>
              <w:spacing w:after="0"/>
              <w:rPr>
                <w:sz w:val="20"/>
                <w:szCs w:val="20"/>
                <w:color w:val="auto"/>
              </w:rPr>
            </w:pPr>
            <w:r>
              <w:rPr>
                <w:rFonts w:ascii="Arial" w:cs="Arial" w:eastAsia="Arial" w:hAnsi="Arial"/>
                <w:sz w:val="17"/>
                <w:szCs w:val="17"/>
                <w:color w:val="auto"/>
                <w:w w:val="89"/>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ind w:left="160"/>
              <w:spacing w:after="0"/>
              <w:rPr>
                <w:sz w:val="20"/>
                <w:szCs w:val="20"/>
                <w:color w:val="auto"/>
              </w:rPr>
            </w:pPr>
            <w:r>
              <w:rPr>
                <w:rFonts w:ascii="Arial" w:cs="Arial" w:eastAsia="Arial" w:hAnsi="Arial"/>
                <w:sz w:val="17"/>
                <w:szCs w:val="17"/>
                <w:color w:val="auto"/>
              </w:rPr>
              <w:t>Unrealized gains (losses) on securities available for sale</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4860" w:type="dxa"/>
            <w:vAlign w:val="bottom"/>
            <w:gridSpan w:val="2"/>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8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5"/>
        </w:trPr>
        <w:tc>
          <w:tcPr>
            <w:tcW w:w="5040" w:type="dxa"/>
            <w:vAlign w:val="bottom"/>
            <w:gridSpan w:val="3"/>
          </w:tcPr>
          <w:p>
            <w:pPr>
              <w:ind w:left="160"/>
              <w:spacing w:after="0"/>
              <w:rPr>
                <w:sz w:val="20"/>
                <w:szCs w:val="20"/>
                <w:color w:val="auto"/>
              </w:rPr>
            </w:pPr>
            <w:r>
              <w:rPr>
                <w:rFonts w:ascii="Arial" w:cs="Arial" w:eastAsia="Arial" w:hAnsi="Arial"/>
                <w:sz w:val="17"/>
                <w:szCs w:val="17"/>
                <w:color w:val="auto"/>
              </w:rPr>
              <w:t>Unrealized losses on derivative instruments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0"/>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7"/>
        </w:trPr>
        <w:tc>
          <w:tcPr>
            <w:tcW w:w="48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60" w:type="dxa"/>
            <w:vAlign w:val="bottom"/>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6"/>
        </w:trPr>
        <w:tc>
          <w:tcPr>
            <w:tcW w:w="4760" w:type="dxa"/>
            <w:vAlign w:val="bottom"/>
            <w:vMerge w:val="restart"/>
          </w:tcPr>
          <w:p>
            <w:pPr>
              <w:jc w:val="right"/>
              <w:ind w:right="4314"/>
              <w:spacing w:after="0"/>
              <w:rPr>
                <w:sz w:val="20"/>
                <w:szCs w:val="20"/>
                <w:color w:val="auto"/>
              </w:rPr>
            </w:pPr>
            <w:r>
              <w:rPr>
                <w:rFonts w:ascii="Arial" w:cs="Arial" w:eastAsia="Arial" w:hAnsi="Arial"/>
                <w:sz w:val="17"/>
                <w:szCs w:val="17"/>
                <w:color w:val="auto"/>
                <w:w w:val="89"/>
              </w:rPr>
              <w:t>2022</w:t>
            </w: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5"/>
        </w:trPr>
        <w:tc>
          <w:tcPr>
            <w:tcW w:w="4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ind w:left="160"/>
              <w:spacing w:after="0"/>
              <w:rPr>
                <w:sz w:val="20"/>
                <w:szCs w:val="20"/>
                <w:color w:val="auto"/>
              </w:rPr>
            </w:pPr>
            <w:r>
              <w:rPr>
                <w:rFonts w:ascii="Arial" w:cs="Arial" w:eastAsia="Arial" w:hAnsi="Arial"/>
                <w:sz w:val="17"/>
                <w:szCs w:val="17"/>
                <w:color w:val="auto"/>
              </w:rPr>
              <w:t>Unrealized gains (losses) on securities available for sale</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(345)</w:t>
            </w:r>
          </w:p>
        </w:tc>
        <w:tc>
          <w:tcPr>
            <w:tcW w:w="0" w:type="dxa"/>
            <w:vAlign w:val="bottom"/>
          </w:tcPr>
          <w:p>
            <w:pPr>
              <w:spacing w:after="0"/>
              <w:rPr>
                <w:sz w:val="1"/>
                <w:szCs w:val="1"/>
                <w:color w:val="auto"/>
              </w:rPr>
            </w:pPr>
          </w:p>
        </w:tc>
      </w:tr>
      <w:tr>
        <w:trPr>
          <w:trHeight w:val="252"/>
        </w:trPr>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38"/>
        </w:trPr>
        <w:tc>
          <w:tcPr>
            <w:tcW w:w="504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-2815590</wp:posOffset>
            </wp:positionV>
            <wp:extent cx="7130415" cy="163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0415"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-2496185</wp:posOffset>
            </wp:positionV>
            <wp:extent cx="7130415" cy="155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0415"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-2160270</wp:posOffset>
            </wp:positionV>
            <wp:extent cx="7130415" cy="163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0415"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-1833245</wp:posOffset>
            </wp:positionV>
            <wp:extent cx="7130415" cy="1555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0415"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-1513840</wp:posOffset>
            </wp:positionV>
            <wp:extent cx="7130415"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0415"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-1170305</wp:posOffset>
            </wp:positionV>
            <wp:extent cx="7130415" cy="1720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0415"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-834390</wp:posOffset>
            </wp:positionV>
            <wp:extent cx="7130415" cy="163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0415"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-506730</wp:posOffset>
            </wp:positionV>
            <wp:extent cx="7130415" cy="1555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0415" cy="1555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7130415"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Affected Line Item in Condensed</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38735</wp:posOffset>
            </wp:positionV>
            <wp:extent cx="30289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28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20"/>
        <w:spacing w:after="0" w:line="324" w:lineRule="auto"/>
        <w:rPr>
          <w:sz w:val="20"/>
          <w:szCs w:val="20"/>
          <w:color w:val="auto"/>
        </w:rPr>
      </w:pPr>
      <w:r>
        <w:rPr>
          <w:rFonts w:ascii="Arial" w:cs="Arial" w:eastAsia="Arial" w:hAnsi="Arial"/>
          <w:sz w:val="17"/>
          <w:szCs w:val="17"/>
          <w:color w:val="auto"/>
        </w:rPr>
        <w:t>Net gains (losses) on securities available for sale Income tax expense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net of tax</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net of tax</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Total reclassifications for the period, 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20"/>
        <w:spacing w:after="0" w:line="324" w:lineRule="auto"/>
        <w:rPr>
          <w:sz w:val="20"/>
          <w:szCs w:val="20"/>
          <w:color w:val="auto"/>
        </w:rPr>
      </w:pPr>
      <w:r>
        <w:rPr>
          <w:rFonts w:ascii="Arial" w:cs="Arial" w:eastAsia="Arial" w:hAnsi="Arial"/>
          <w:sz w:val="17"/>
          <w:szCs w:val="17"/>
          <w:color w:val="auto"/>
        </w:rPr>
        <w:t>Net gains (losses) on securities available for sale Income tax expense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 net of tax</w:t>
      </w:r>
    </w:p>
    <w:p>
      <w:pPr>
        <w:spacing w:after="0" w:line="261" w:lineRule="exact"/>
        <w:rPr>
          <w:sz w:val="20"/>
          <w:szCs w:val="20"/>
          <w:color w:val="auto"/>
        </w:rPr>
      </w:pPr>
    </w:p>
    <w:p>
      <w:pPr>
        <w:sectPr>
          <w:pgSz w:w="11900" w:h="16838" w:orient="portrait"/>
          <w:cols w:equalWidth="0" w:num="2">
            <w:col w:w="6380" w:space="100"/>
            <w:col w:w="4760"/>
          </w:cols>
          <w:pgMar w:left="320" w:top="127" w:right="3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reclassifications out of each component of AOCIL for the six months ended June 30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5"/>
              </w:rPr>
              <w:t>Amount</w:t>
            </w:r>
          </w:p>
        </w:tc>
        <w:tc>
          <w:tcPr>
            <w:tcW w:w="80" w:type="dxa"/>
            <w:vAlign w:val="bottom"/>
          </w:tcPr>
          <w:p>
            <w:pPr>
              <w:spacing w:after="0"/>
              <w:rPr>
                <w:sz w:val="17"/>
                <w:szCs w:val="17"/>
                <w:color w:val="auto"/>
              </w:rPr>
            </w:pPr>
          </w:p>
        </w:tc>
        <w:tc>
          <w:tcPr>
            <w:tcW w:w="4780" w:type="dxa"/>
            <w:vAlign w:val="bottom"/>
          </w:tcPr>
          <w:p>
            <w:pPr>
              <w:spacing w:after="0"/>
              <w:rPr>
                <w:sz w:val="17"/>
                <w:szCs w:val="17"/>
                <w:color w:val="auto"/>
              </w:rPr>
            </w:pPr>
          </w:p>
        </w:tc>
      </w:tr>
      <w:tr>
        <w:trPr>
          <w:trHeight w:val="206"/>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Reclassified</w:t>
            </w:r>
          </w:p>
        </w:tc>
        <w:tc>
          <w:tcPr>
            <w:tcW w:w="80" w:type="dxa"/>
            <w:vAlign w:val="bottom"/>
          </w:tcPr>
          <w:p>
            <w:pPr>
              <w:spacing w:after="0"/>
              <w:rPr>
                <w:sz w:val="17"/>
                <w:szCs w:val="17"/>
                <w:color w:val="auto"/>
              </w:rPr>
            </w:pPr>
          </w:p>
        </w:tc>
        <w:tc>
          <w:tcPr>
            <w:tcW w:w="4780" w:type="dxa"/>
            <w:vAlign w:val="bottom"/>
          </w:tcPr>
          <w:p>
            <w:pPr>
              <w:spacing w:after="0"/>
              <w:rPr>
                <w:sz w:val="17"/>
                <w:szCs w:val="17"/>
                <w:color w:val="auto"/>
              </w:rPr>
            </w:pPr>
          </w:p>
        </w:tc>
      </w:tr>
      <w:tr>
        <w:trPr>
          <w:trHeight w:val="206"/>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5"/>
              </w:rPr>
              <w:t>From</w:t>
            </w:r>
          </w:p>
        </w:tc>
        <w:tc>
          <w:tcPr>
            <w:tcW w:w="80" w:type="dxa"/>
            <w:vAlign w:val="bottom"/>
          </w:tcPr>
          <w:p>
            <w:pPr>
              <w:spacing w:after="0"/>
              <w:rPr>
                <w:sz w:val="17"/>
                <w:szCs w:val="17"/>
                <w:color w:val="auto"/>
              </w:rPr>
            </w:pPr>
          </w:p>
        </w:tc>
        <w:tc>
          <w:tcPr>
            <w:tcW w:w="4780" w:type="dxa"/>
            <w:vAlign w:val="bottom"/>
          </w:tcPr>
          <w:p>
            <w:pPr>
              <w:jc w:val="center"/>
              <w:spacing w:after="0"/>
              <w:rPr>
                <w:sz w:val="20"/>
                <w:szCs w:val="20"/>
                <w:color w:val="auto"/>
              </w:rPr>
            </w:pPr>
            <w:r>
              <w:rPr>
                <w:rFonts w:ascii="Arial" w:cs="Arial" w:eastAsia="Arial" w:hAnsi="Arial"/>
                <w:sz w:val="17"/>
                <w:szCs w:val="17"/>
                <w:color w:val="auto"/>
                <w:w w:val="93"/>
              </w:rPr>
              <w:t>Affected Line Item in Condensed</w:t>
            </w:r>
          </w:p>
        </w:tc>
      </w:tr>
      <w:tr>
        <w:trPr>
          <w:trHeight w:val="217"/>
        </w:trPr>
        <w:tc>
          <w:tcPr>
            <w:tcW w:w="4760" w:type="dxa"/>
            <w:vAlign w:val="bottom"/>
          </w:tcPr>
          <w:p>
            <w:pPr>
              <w:ind w:left="1640"/>
              <w:spacing w:after="0"/>
              <w:rPr>
                <w:sz w:val="20"/>
                <w:szCs w:val="20"/>
                <w:color w:val="auto"/>
              </w:rPr>
            </w:pPr>
            <w:r>
              <w:rPr>
                <w:rFonts w:ascii="Arial" w:cs="Arial" w:eastAsia="Arial" w:hAnsi="Arial"/>
                <w:sz w:val="17"/>
                <w:szCs w:val="17"/>
                <w:color w:val="auto"/>
              </w:rPr>
              <w:t>AOCIL Component</w:t>
            </w: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rPr>
              <w:t>AOCIL</w:t>
            </w:r>
          </w:p>
        </w:tc>
        <w:tc>
          <w:tcPr>
            <w:tcW w:w="80" w:type="dxa"/>
            <w:vAlign w:val="bottom"/>
          </w:tcPr>
          <w:p>
            <w:pPr>
              <w:spacing w:after="0"/>
              <w:rPr>
                <w:sz w:val="18"/>
                <w:szCs w:val="18"/>
                <w:color w:val="auto"/>
              </w:rPr>
            </w:pPr>
          </w:p>
        </w:tc>
        <w:tc>
          <w:tcPr>
            <w:tcW w:w="4780" w:type="dxa"/>
            <w:vAlign w:val="bottom"/>
          </w:tcPr>
          <w:p>
            <w:pPr>
              <w:jc w:val="center"/>
              <w:spacing w:after="0"/>
              <w:rPr>
                <w:sz w:val="20"/>
                <w:szCs w:val="20"/>
                <w:color w:val="auto"/>
              </w:rPr>
            </w:pPr>
            <w:r>
              <w:rPr>
                <w:rFonts w:ascii="Arial" w:cs="Arial" w:eastAsia="Arial" w:hAnsi="Arial"/>
                <w:sz w:val="17"/>
                <w:szCs w:val="17"/>
                <w:color w:val="auto"/>
                <w:w w:val="90"/>
              </w:rPr>
              <w:t>Consolidated Statements of Operations</w:t>
            </w:r>
          </w:p>
        </w:tc>
      </w:tr>
      <w:tr>
        <w:trPr>
          <w:trHeight w:val="27"/>
        </w:trPr>
        <w:tc>
          <w:tcPr>
            <w:tcW w:w="4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10"/>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0"/>
              </w:rPr>
              <w:t>(In thousands)</w:t>
            </w:r>
          </w:p>
        </w:tc>
        <w:tc>
          <w:tcPr>
            <w:tcW w:w="80" w:type="dxa"/>
            <w:vAlign w:val="bottom"/>
          </w:tcPr>
          <w:p>
            <w:pPr>
              <w:spacing w:after="0"/>
              <w:rPr>
                <w:sz w:val="18"/>
                <w:szCs w:val="18"/>
                <w:color w:val="auto"/>
              </w:rPr>
            </w:pPr>
          </w:p>
        </w:tc>
        <w:tc>
          <w:tcPr>
            <w:tcW w:w="4780" w:type="dxa"/>
            <w:vAlign w:val="bottom"/>
          </w:tcPr>
          <w:p>
            <w:pPr>
              <w:spacing w:after="0"/>
              <w:rPr>
                <w:sz w:val="18"/>
                <w:szCs w:val="18"/>
                <w:color w:val="auto"/>
              </w:rPr>
            </w:pPr>
          </w:p>
        </w:tc>
      </w:tr>
    </w:tbl>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0415" cy="163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0415" cy="163830"/>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Unrealized gains (losses) on securities available for sale</w:t>
      </w:r>
    </w:p>
    <w:p>
      <w:pPr>
        <w:spacing w:after="0" w:line="62" w:lineRule="exact"/>
        <w:rPr>
          <w:sz w:val="20"/>
          <w:szCs w:val="20"/>
          <w:color w:val="auto"/>
        </w:rPr>
      </w:pPr>
    </w:p>
    <w:p>
      <w:pPr>
        <w:ind w:left="5960" w:hanging="1084"/>
        <w:spacing w:after="0"/>
        <w:tabs>
          <w:tab w:leader="none" w:pos="5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(222)  Net gains (losses) on securities available for sale</w:t>
      </w:r>
    </w:p>
    <w:p>
      <w:pPr>
        <w:spacing w:after="0" w:line="62" w:lineRule="exact"/>
        <w:rPr>
          <w:rFonts w:ascii="Arial" w:cs="Arial" w:eastAsia="Arial" w:hAnsi="Arial"/>
          <w:sz w:val="17"/>
          <w:szCs w:val="17"/>
          <w:color w:val="auto"/>
        </w:rPr>
      </w:pPr>
    </w:p>
    <w:p>
      <w:pPr>
        <w:ind w:left="6480" w:hanging="428"/>
        <w:spacing w:after="0"/>
        <w:tabs>
          <w:tab w:leader="none" w:pos="64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-140335</wp:posOffset>
            </wp:positionV>
            <wp:extent cx="7130415" cy="1720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0415" cy="172085"/>
                    </a:xfrm>
                    <a:prstGeom prst="rect">
                      <a:avLst/>
                    </a:prstGeom>
                    <a:noFill/>
                  </pic:spPr>
                </pic:pic>
              </a:graphicData>
            </a:graphic>
          </wp:anchor>
        </w:drawing>
      </w:r>
    </w:p>
    <w:p>
      <w:pPr>
        <w:spacing w:after="0" w:line="42" w:lineRule="exact"/>
        <w:rPr>
          <w:sz w:val="20"/>
          <w:szCs w:val="20"/>
          <w:color w:val="auto"/>
        </w:rPr>
      </w:pPr>
    </w:p>
    <w:p>
      <w:pPr>
        <w:ind w:left="4880"/>
        <w:spacing w:after="0"/>
        <w:tabs>
          <w:tab w:leader="none" w:pos="5940" w:val="left"/>
          <w:tab w:leader="none" w:pos="6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(175)</w:t>
      </w:r>
      <w:r>
        <w:rPr>
          <w:sz w:val="20"/>
          <w:szCs w:val="20"/>
          <w:color w:val="auto"/>
        </w:rPr>
        <w:tab/>
      </w:r>
      <w:r>
        <w:rPr>
          <w:rFonts w:ascii="Arial" w:cs="Arial" w:eastAsia="Arial" w:hAnsi="Arial"/>
          <w:sz w:val="15"/>
          <w:szCs w:val="15"/>
          <w:color w:val="auto"/>
        </w:rPr>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0415"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0415" cy="180340"/>
                    </a:xfrm>
                    <a:prstGeom prst="rect">
                      <a:avLst/>
                    </a:prstGeom>
                    <a:noFill/>
                  </pic:spPr>
                </pic:pic>
              </a:graphicData>
            </a:graphic>
          </wp:anchor>
        </w:drawing>
      </w:r>
    </w:p>
    <w:p>
      <w:pPr>
        <w:spacing w:after="0" w:line="31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Unrealized losses on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130415" cy="155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0415" cy="155575"/>
                    </a:xfrm>
                    <a:prstGeom prst="rect">
                      <a:avLst/>
                    </a:prstGeom>
                    <a:noFill/>
                  </pic:spPr>
                </pic:pic>
              </a:graphicData>
            </a:graphic>
          </wp:anchor>
        </w:drawing>
      </w:r>
    </w:p>
    <w:p>
      <w:pPr>
        <w:spacing w:after="0" w:line="42" w:lineRule="exact"/>
        <w:rPr>
          <w:sz w:val="20"/>
          <w:szCs w:val="20"/>
          <w:color w:val="auto"/>
        </w:rPr>
      </w:pPr>
    </w:p>
    <w:p>
      <w:pPr>
        <w:ind w:left="6060" w:hanging="1184"/>
        <w:spacing w:after="0"/>
        <w:tabs>
          <w:tab w:leader="none" w:pos="6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111  Interest income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4860" w:type="dxa"/>
            <w:vAlign w:val="bottom"/>
          </w:tcPr>
          <w:p>
            <w:pPr>
              <w:ind w:left="100"/>
              <w:spacing w:after="0"/>
              <w:rPr>
                <w:sz w:val="20"/>
                <w:szCs w:val="20"/>
                <w:color w:val="auto"/>
              </w:rPr>
            </w:pPr>
            <w:r>
              <w:rPr>
                <w:rFonts w:ascii="Arial" w:cs="Arial" w:eastAsia="Arial" w:hAnsi="Arial"/>
                <w:sz w:val="17"/>
                <w:szCs w:val="17"/>
                <w:color w:val="auto"/>
              </w:rPr>
              <w:t>Income tax expense</w:t>
            </w:r>
          </w:p>
        </w:tc>
      </w:tr>
      <w:tr>
        <w:trPr>
          <w:trHeight w:val="265"/>
        </w:trPr>
        <w:tc>
          <w:tcPr>
            <w:tcW w:w="54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4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Reclassifications, net of tax</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r>
      <w:tr>
        <w:trPr>
          <w:trHeight w:val="204"/>
        </w:trPr>
        <w:tc>
          <w:tcPr>
            <w:tcW w:w="486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60" w:type="dxa"/>
            <w:vAlign w:val="bottom"/>
            <w:tcBorders>
              <w:bottom w:val="single" w:sz="8" w:color="CCEEFF"/>
            </w:tcBorders>
          </w:tcPr>
          <w:p>
            <w:pPr>
              <w:spacing w:after="0"/>
              <w:rPr>
                <w:sz w:val="17"/>
                <w:szCs w:val="17"/>
                <w:color w:val="auto"/>
              </w:rPr>
            </w:pPr>
          </w:p>
        </w:tc>
      </w:tr>
      <w:tr>
        <w:trPr>
          <w:trHeight w:val="258"/>
        </w:trPr>
        <w:tc>
          <w:tcPr>
            <w:tcW w:w="54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48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reclassifications for the period, net of tax</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130415" cy="1555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0415" cy="155575"/>
                    </a:xfrm>
                    <a:prstGeom prst="rect">
                      <a:avLst/>
                    </a:prstGeom>
                    <a:noFill/>
                  </pic:spPr>
                </pic:pic>
              </a:graphicData>
            </a:graphic>
          </wp:anchor>
        </w:drawing>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2022</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Unrealized gains (losses) on securities 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130415" cy="1555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0415" cy="155575"/>
                    </a:xfrm>
                    <a:prstGeom prst="rect">
                      <a:avLst/>
                    </a:prstGeom>
                    <a:noFill/>
                  </pic:spPr>
                </pic:pic>
              </a:graphicData>
            </a:graphic>
          </wp:anchor>
        </w:drawing>
      </w:r>
    </w:p>
    <w:p>
      <w:pPr>
        <w:spacing w:after="0" w:line="42" w:lineRule="exact"/>
        <w:rPr>
          <w:sz w:val="20"/>
          <w:szCs w:val="20"/>
          <w:color w:val="auto"/>
        </w:rPr>
      </w:pPr>
    </w:p>
    <w:p>
      <w:pPr>
        <w:ind w:left="5960" w:hanging="1084"/>
        <w:spacing w:after="0"/>
        <w:tabs>
          <w:tab w:leader="none" w:pos="5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(275)  Net gains (losses) on securities available for sale</w:t>
      </w:r>
    </w:p>
    <w:p>
      <w:pPr>
        <w:spacing w:after="0" w:line="62" w:lineRule="exact"/>
        <w:rPr>
          <w:rFonts w:ascii="Arial" w:cs="Arial" w:eastAsia="Arial" w:hAnsi="Arial"/>
          <w:sz w:val="17"/>
          <w:szCs w:val="17"/>
          <w:color w:val="auto"/>
        </w:rPr>
      </w:pPr>
    </w:p>
    <w:p>
      <w:pPr>
        <w:ind w:left="6480" w:hanging="428"/>
        <w:spacing w:after="0"/>
        <w:tabs>
          <w:tab w:leader="none" w:pos="64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0415" cy="1803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0415" cy="180340"/>
                    </a:xfrm>
                    <a:prstGeom prst="rect">
                      <a:avLst/>
                    </a:prstGeom>
                    <a:noFill/>
                  </pic:spPr>
                </pic:pic>
              </a:graphicData>
            </a:graphic>
          </wp:anchor>
        </w:drawing>
      </w:r>
    </w:p>
    <w:p>
      <w:pPr>
        <w:spacing w:after="0" w:line="42" w:lineRule="exact"/>
        <w:rPr>
          <w:sz w:val="20"/>
          <w:szCs w:val="20"/>
          <w:color w:val="auto"/>
        </w:rPr>
      </w:pPr>
    </w:p>
    <w:p>
      <w:pPr>
        <w:ind w:left="4880"/>
        <w:spacing w:after="0"/>
        <w:tabs>
          <w:tab w:leader="none" w:pos="5940" w:val="left"/>
          <w:tab w:leader="none" w:pos="64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(217)</w:t>
      </w:r>
      <w:r>
        <w:rPr>
          <w:sz w:val="20"/>
          <w:szCs w:val="20"/>
          <w:color w:val="auto"/>
        </w:rPr>
        <w:tab/>
      </w:r>
      <w:r>
        <w:rPr>
          <w:rFonts w:ascii="Arial" w:cs="Arial" w:eastAsia="Arial" w:hAnsi="Arial"/>
          <w:sz w:val="15"/>
          <w:szCs w:val="15"/>
          <w:color w:val="auto"/>
        </w:rPr>
        <w:t>Reclassifications,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47625</wp:posOffset>
            </wp:positionV>
            <wp:extent cx="957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57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80" w:hanging="377"/>
        <w:spacing w:after="0"/>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Revenue from Contracts with Customers</w:t>
      </w:r>
    </w:p>
    <w:p>
      <w:pPr>
        <w:spacing w:after="0" w:line="178"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We account for revenue in accordance with ASC Topic 606, Revenue from Contracts with Customers. We derive the majority of our revenue from financial instruments and their related contractual rights and obligations which for the most part are excluded from the scope of this topic. These sources of revenue that are excluded from the scope of this topic include interest income, net gains on mortgage loans, net gains (losses) on securities AFS, mortgage loan servicing, net and bank owned life insurance and were approximately 86.8% and 83.4% of total revenues for the six month periods ending June 30, 2023 and 2022, respectively.</w:t>
      </w:r>
    </w:p>
    <w:p>
      <w:pPr>
        <w:spacing w:after="0" w:line="1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Material sources of revenue that are included in the scope of this topic include service charges on deposit accounts, other deposit related income, interchange income and investment and insurance commissions and are discussed in the following paragraphs. Generally these sources of revenue are earned at the time the service is delivered or over the course of a monthly period and do not result in any contract asset or liability balance at any given period end. As a result, there were no contract assets or liabilities recorded as of June 30, 2023 and December 31, 2022.</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u w:val="single" w:color="auto"/>
          <w:color w:val="auto"/>
        </w:rPr>
        <w:t>Service charges on deposit accounts and other deposit related income</w:t>
      </w:r>
      <w:r>
        <w:rPr>
          <w:rFonts w:ascii="Arial" w:cs="Arial" w:eastAsia="Arial" w:hAnsi="Arial"/>
          <w:sz w:val="17"/>
          <w:szCs w:val="17"/>
          <w:b w:val="1"/>
          <w:bCs w:val="1"/>
          <w:color w:val="auto"/>
        </w:rPr>
        <w:t>:</w:t>
      </w:r>
      <w:r>
        <w:rPr>
          <w:rFonts w:ascii="Arial" w:cs="Arial" w:eastAsia="Arial" w:hAnsi="Arial"/>
          <w:sz w:val="17"/>
          <w:szCs w:val="17"/>
          <w:color w:val="auto"/>
        </w:rPr>
        <w:t xml:space="preserve"> Revenues are earned on depository accounts for commercial and retail customers and include fees for transaction-based, account maintenance and overdraft services. Transaction-based fees, which includes services such as ATM use fees, stop payment charges and ACH fees are recognized at the time the transaction is executed as that is the time we fulfill our customer’s request. Account maintenance fees, which includes monthly maintenance services are earned over the course of a month representing the period over which the performance obligation is satisfied. Our obligation for overdraft services is satisfied at the time of the overdraft.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u w:val="single" w:color="auto"/>
          <w:color w:val="auto"/>
        </w:rPr>
        <w:t>Interchange income</w:t>
      </w:r>
      <w:r>
        <w:rPr>
          <w:rFonts w:ascii="Arial" w:cs="Arial" w:eastAsia="Arial" w:hAnsi="Arial"/>
          <w:sz w:val="17"/>
          <w:szCs w:val="17"/>
          <w:color w:val="auto"/>
        </w:rPr>
        <w:t>: Interchange income primarily includes debit card interchange and network revenues. Debit card interchange and network revenues are earned on debit card transactions conducted through payment networks such as MasterCard and Accel. Interchange income is recognized concurrently with the delivery of services on a daily basis. Interchange and network revenues are presented gross of interchange expenses, which are presented separately as a component of non-interest expense.</w:t>
      </w:r>
    </w:p>
    <w:p>
      <w:pPr>
        <w:spacing w:after="0" w:line="15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u w:val="single" w:color="auto"/>
          <w:color w:val="auto"/>
        </w:rPr>
        <w:t>Investment and insurance commissions</w:t>
      </w:r>
      <w:r>
        <w:rPr>
          <w:rFonts w:ascii="Arial" w:cs="Arial" w:eastAsia="Arial" w:hAnsi="Arial"/>
          <w:sz w:val="16"/>
          <w:szCs w:val="16"/>
          <w:color w:val="auto"/>
        </w:rPr>
        <w:t>: Investment and insurance commissions include fees and commissions from asset management, custody, recordkeeping, investment advisory and other services provided to our customers. Revenue is recognized on an accrual basis at the time the services are performed and generally based on either the market value of the assets managed or the services provided. We have an agent relationship with a third party provider of these services and net certain direct costs charged by the third party provider associated with providing these services to our customers.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u w:val="single" w:color="auto"/>
          <w:color w:val="auto"/>
        </w:rPr>
        <w:t>Net (gains) losses on other real estate and repossessed assets</w:t>
      </w:r>
      <w:r>
        <w:rPr>
          <w:rFonts w:ascii="Arial" w:cs="Arial" w:eastAsia="Arial" w:hAnsi="Arial"/>
          <w:sz w:val="16"/>
          <w:szCs w:val="16"/>
          <w:color w:val="auto"/>
        </w:rPr>
        <w:t>: We record a gain or loss from the sale of other real estate when control of the property transfers to the buyer, which generally occurs at the time of an executed deed. If we were to finance the sale of other real estate to the buyer, we would assess whether the buyer is committed to perform their obligations under the contract and whether collectability of the transaction is probable. Once these criteria are met, the other real estate asset would be derecognized and the gain or loss on sale would be recorded upon the transfer of control of the property to the buyer. There were no other real estate properties sold during the six month periods ending June 30, 2023 and 2022 that were financed by us.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Disaggregation of our revenue sources by attribute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34"/>
              <w:spacing w:after="0"/>
              <w:rPr>
                <w:sz w:val="20"/>
                <w:szCs w:val="20"/>
                <w:color w:val="auto"/>
              </w:rPr>
            </w:pPr>
            <w:r>
              <w:rPr>
                <w:rFonts w:ascii="Arial" w:cs="Arial" w:eastAsia="Arial" w:hAnsi="Arial"/>
                <w:sz w:val="17"/>
                <w:szCs w:val="17"/>
                <w:color w:val="auto"/>
                <w:w w:val="91"/>
              </w:rPr>
              <w:t>Service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174"/>
              <w:spacing w:after="0"/>
              <w:rPr>
                <w:sz w:val="20"/>
                <w:szCs w:val="20"/>
                <w:color w:val="auto"/>
              </w:rPr>
            </w:pPr>
            <w:r>
              <w:rPr>
                <w:rFonts w:ascii="Arial" w:cs="Arial" w:eastAsia="Arial" w:hAnsi="Arial"/>
                <w:sz w:val="17"/>
                <w:szCs w:val="17"/>
                <w:color w:val="auto"/>
                <w:w w:val="89"/>
              </w:rPr>
              <w:t>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94"/>
              <w:spacing w:after="0"/>
              <w:rPr>
                <w:sz w:val="20"/>
                <w:szCs w:val="20"/>
                <w:color w:val="auto"/>
              </w:rPr>
            </w:pPr>
            <w:r>
              <w:rPr>
                <w:rFonts w:ascii="Arial" w:cs="Arial" w:eastAsia="Arial" w:hAnsi="Arial"/>
                <w:sz w:val="17"/>
                <w:szCs w:val="17"/>
                <w:color w:val="auto"/>
                <w:w w:val="91"/>
              </w:rPr>
              <w:t>Investment</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34"/>
              <w:spacing w:after="0"/>
              <w:rPr>
                <w:sz w:val="20"/>
                <w:szCs w:val="20"/>
                <w:color w:val="auto"/>
              </w:rPr>
            </w:pPr>
            <w:r>
              <w:rPr>
                <w:rFonts w:ascii="Arial" w:cs="Arial" w:eastAsia="Arial" w:hAnsi="Arial"/>
                <w:sz w:val="17"/>
                <w:szCs w:val="17"/>
                <w:color w:val="auto"/>
                <w:w w:val="87"/>
              </w:rPr>
              <w:t>Charges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174"/>
              <w:spacing w:after="0"/>
              <w:rPr>
                <w:sz w:val="20"/>
                <w:szCs w:val="20"/>
                <w:color w:val="auto"/>
              </w:rPr>
            </w:pPr>
            <w:r>
              <w:rPr>
                <w:rFonts w:ascii="Arial" w:cs="Arial" w:eastAsia="Arial" w:hAnsi="Arial"/>
                <w:sz w:val="17"/>
                <w:szCs w:val="17"/>
                <w:color w:val="auto"/>
                <w:w w:val="93"/>
              </w:rPr>
              <w:t>Deposit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94"/>
              <w:spacing w:after="0"/>
              <w:rPr>
                <w:sz w:val="20"/>
                <w:szCs w:val="20"/>
                <w:color w:val="auto"/>
              </w:rPr>
            </w:pPr>
            <w:r>
              <w:rPr>
                <w:rFonts w:ascii="Arial" w:cs="Arial" w:eastAsia="Arial" w:hAnsi="Arial"/>
                <w:sz w:val="17"/>
                <w:szCs w:val="17"/>
                <w:color w:val="auto"/>
                <w:w w:val="84"/>
              </w:rPr>
              <w:t>and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4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jc w:val="center"/>
              <w:ind w:right="114"/>
              <w:spacing w:after="0"/>
              <w:rPr>
                <w:sz w:val="20"/>
                <w:szCs w:val="20"/>
                <w:color w:val="auto"/>
              </w:rPr>
            </w:pPr>
            <w:r>
              <w:rPr>
                <w:rFonts w:ascii="Arial" w:cs="Arial" w:eastAsia="Arial" w:hAnsi="Arial"/>
                <w:sz w:val="17"/>
                <w:szCs w:val="17"/>
                <w:color w:val="auto"/>
                <w:w w:val="91"/>
              </w:rPr>
              <w:t>on Deposit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ind w:right="174"/>
              <w:spacing w:after="0"/>
              <w:rPr>
                <w:sz w:val="20"/>
                <w:szCs w:val="20"/>
                <w:color w:val="auto"/>
              </w:rPr>
            </w:pPr>
            <w:r>
              <w:rPr>
                <w:rFonts w:ascii="Arial" w:cs="Arial" w:eastAsia="Arial" w:hAnsi="Arial"/>
                <w:sz w:val="17"/>
                <w:szCs w:val="17"/>
                <w:color w:val="auto"/>
                <w:w w:val="92"/>
              </w:rPr>
              <w:t>Related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74"/>
              <w:spacing w:after="0"/>
              <w:rPr>
                <w:sz w:val="20"/>
                <w:szCs w:val="20"/>
                <w:color w:val="auto"/>
              </w:rPr>
            </w:pPr>
            <w:r>
              <w:rPr>
                <w:rFonts w:ascii="Arial" w:cs="Arial" w:eastAsia="Arial" w:hAnsi="Arial"/>
                <w:sz w:val="17"/>
                <w:szCs w:val="17"/>
                <w:color w:val="auto"/>
              </w:rPr>
              <w:t>Interchange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74"/>
              <w:spacing w:after="0"/>
              <w:rPr>
                <w:sz w:val="20"/>
                <w:szCs w:val="20"/>
                <w:color w:val="auto"/>
              </w:rPr>
            </w:pPr>
            <w:r>
              <w:rPr>
                <w:rFonts w:ascii="Arial" w:cs="Arial" w:eastAsia="Arial" w:hAnsi="Arial"/>
                <w:sz w:val="17"/>
                <w:szCs w:val="17"/>
                <w:color w:val="auto"/>
                <w:w w:val="88"/>
              </w:rPr>
              <w:t>Insurance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7"/>
        </w:trPr>
        <w:tc>
          <w:tcPr>
            <w:tcW w:w="4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ind w:right="114"/>
              <w:spacing w:after="0"/>
              <w:rPr>
                <w:sz w:val="20"/>
                <w:szCs w:val="20"/>
                <w:color w:val="auto"/>
              </w:rPr>
            </w:pPr>
            <w:r>
              <w:rPr>
                <w:rFonts w:ascii="Arial" w:cs="Arial" w:eastAsia="Arial" w:hAnsi="Arial"/>
                <w:sz w:val="17"/>
                <w:szCs w:val="17"/>
                <w:color w:val="auto"/>
                <w:w w:val="94"/>
              </w:rPr>
              <w:t>Accounts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174"/>
              <w:spacing w:after="0"/>
              <w:rPr>
                <w:sz w:val="20"/>
                <w:szCs w:val="20"/>
                <w:color w:val="auto"/>
              </w:rPr>
            </w:pPr>
            <w:r>
              <w:rPr>
                <w:rFonts w:ascii="Arial" w:cs="Arial" w:eastAsia="Arial" w:hAnsi="Arial"/>
                <w:sz w:val="17"/>
                <w:szCs w:val="17"/>
                <w:color w:val="auto"/>
                <w:w w:val="89"/>
              </w:rPr>
              <w:t>Income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334"/>
              <w:spacing w:after="0"/>
              <w:rPr>
                <w:sz w:val="20"/>
                <w:szCs w:val="20"/>
                <w:color w:val="auto"/>
              </w:rPr>
            </w:pPr>
            <w:r>
              <w:rPr>
                <w:rFonts w:ascii="Arial" w:cs="Arial" w:eastAsia="Arial" w:hAnsi="Arial"/>
                <w:sz w:val="17"/>
                <w:szCs w:val="17"/>
                <w:color w:val="auto"/>
              </w:rPr>
              <w:t>Income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74"/>
              <w:spacing w:after="0"/>
              <w:rPr>
                <w:sz w:val="20"/>
                <w:szCs w:val="20"/>
                <w:color w:val="auto"/>
              </w:rPr>
            </w:pPr>
            <w:r>
              <w:rPr>
                <w:rFonts w:ascii="Arial" w:cs="Arial" w:eastAsia="Arial" w:hAnsi="Arial"/>
                <w:sz w:val="17"/>
                <w:szCs w:val="17"/>
                <w:color w:val="auto"/>
                <w:w w:val="92"/>
              </w:rPr>
              <w:t>Commissions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4"/>
              <w:spacing w:after="0"/>
              <w:rPr>
                <w:sz w:val="20"/>
                <w:szCs w:val="20"/>
                <w:color w:val="auto"/>
              </w:rPr>
            </w:pPr>
            <w:r>
              <w:rPr>
                <w:rFonts w:ascii="Arial" w:cs="Arial" w:eastAsia="Arial" w:hAnsi="Arial"/>
                <w:sz w:val="17"/>
                <w:szCs w:val="17"/>
                <w:color w:val="auto"/>
              </w:rPr>
              <w:t>Total</w:t>
            </w:r>
          </w:p>
        </w:tc>
      </w:tr>
      <w:tr>
        <w:trPr>
          <w:trHeight w:val="27"/>
        </w:trPr>
        <w:tc>
          <w:tcPr>
            <w:tcW w:w="4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7"/>
                <w:szCs w:val="17"/>
                <w:color w:val="auto"/>
              </w:rPr>
              <w:t>Three months ending June 30, 2023</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74"/>
              <w:spacing w:after="0"/>
              <w:rPr>
                <w:sz w:val="20"/>
                <w:szCs w:val="20"/>
                <w:color w:val="auto"/>
              </w:rPr>
            </w:pPr>
            <w:r>
              <w:rPr>
                <w:rFonts w:ascii="Arial" w:cs="Arial" w:eastAsia="Arial" w:hAnsi="Arial"/>
                <w:sz w:val="17"/>
                <w:szCs w:val="17"/>
                <w:color w:val="auto"/>
                <w:w w:val="93"/>
              </w:rPr>
              <w:t>(In thousands)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2"/>
        </w:trPr>
        <w:tc>
          <w:tcPr>
            <w:tcW w:w="4060" w:type="dxa"/>
            <w:vAlign w:val="bottom"/>
          </w:tcPr>
          <w:p>
            <w:pPr>
              <w:ind w:left="120"/>
              <w:spacing w:after="0"/>
              <w:rPr>
                <w:sz w:val="20"/>
                <w:szCs w:val="20"/>
                <w:color w:val="auto"/>
              </w:rPr>
            </w:pPr>
            <w:r>
              <w:rPr>
                <w:rFonts w:ascii="Arial" w:cs="Arial" w:eastAsia="Arial" w:hAnsi="Arial"/>
                <w:sz w:val="17"/>
                <w:szCs w:val="17"/>
                <w:color w:val="auto"/>
              </w:rPr>
              <w:t>Retail</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2"/>
        </w:trPr>
        <w:tc>
          <w:tcPr>
            <w:tcW w:w="4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Overdraft fees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2,419</w:t>
            </w:r>
          </w:p>
        </w:tc>
      </w:tr>
      <w:tr>
        <w:trPr>
          <w:trHeight w:val="238"/>
        </w:trPr>
        <w:tc>
          <w:tcPr>
            <w:tcW w:w="4060" w:type="dxa"/>
            <w:vAlign w:val="bottom"/>
          </w:tcPr>
          <w:p>
            <w:pPr>
              <w:ind w:left="180"/>
              <w:spacing w:after="0"/>
              <w:rPr>
                <w:sz w:val="20"/>
                <w:szCs w:val="20"/>
                <w:color w:val="auto"/>
              </w:rPr>
            </w:pPr>
            <w:r>
              <w:rPr>
                <w:rFonts w:ascii="Arial" w:cs="Arial" w:eastAsia="Arial" w:hAnsi="Arial"/>
                <w:sz w:val="17"/>
                <w:szCs w:val="17"/>
                <w:color w:val="auto"/>
              </w:rPr>
              <w:t>Account service charges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589</w:t>
            </w:r>
          </w:p>
        </w:tc>
      </w:tr>
      <w:tr>
        <w:trPr>
          <w:trHeight w:val="245"/>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449</w:t>
            </w:r>
          </w:p>
        </w:tc>
      </w:tr>
      <w:tr>
        <w:trPr>
          <w:trHeight w:val="238"/>
        </w:trPr>
        <w:tc>
          <w:tcPr>
            <w:tcW w:w="4060" w:type="dxa"/>
            <w:vAlign w:val="bottom"/>
          </w:tcPr>
          <w:p>
            <w:pPr>
              <w:ind w:left="180"/>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262</w:t>
            </w:r>
          </w:p>
        </w:tc>
      </w:tr>
      <w:tr>
        <w:trPr>
          <w:trHeight w:val="252"/>
        </w:trPr>
        <w:tc>
          <w:tcPr>
            <w:tcW w:w="4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Business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38"/>
        </w:trPr>
        <w:tc>
          <w:tcPr>
            <w:tcW w:w="4060" w:type="dxa"/>
            <w:vAlign w:val="bottom"/>
          </w:tcPr>
          <w:p>
            <w:pPr>
              <w:ind w:left="180"/>
              <w:spacing w:after="0"/>
              <w:rPr>
                <w:sz w:val="20"/>
                <w:szCs w:val="20"/>
                <w:color w:val="auto"/>
              </w:rPr>
            </w:pPr>
            <w:r>
              <w:rPr>
                <w:rFonts w:ascii="Arial" w:cs="Arial" w:eastAsia="Arial" w:hAnsi="Arial"/>
                <w:sz w:val="17"/>
                <w:szCs w:val="17"/>
                <w:color w:val="auto"/>
              </w:rPr>
              <w:t>Overdraft fees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52"/>
        </w:trPr>
        <w:tc>
          <w:tcPr>
            <w:tcW w:w="4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30"/>
        </w:trPr>
        <w:tc>
          <w:tcPr>
            <w:tcW w:w="4060" w:type="dxa"/>
            <w:vAlign w:val="bottom"/>
          </w:tcPr>
          <w:p>
            <w:pPr>
              <w:ind w:left="180"/>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4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Interchange income</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3,355</w:t>
            </w:r>
          </w:p>
        </w:tc>
      </w:tr>
      <w:tr>
        <w:trPr>
          <w:trHeight w:val="238"/>
        </w:trPr>
        <w:tc>
          <w:tcPr>
            <w:tcW w:w="4060" w:type="dxa"/>
            <w:vAlign w:val="bottom"/>
          </w:tcPr>
          <w:p>
            <w:pPr>
              <w:ind w:left="120"/>
              <w:spacing w:after="0"/>
              <w:rPr>
                <w:sz w:val="20"/>
                <w:szCs w:val="20"/>
                <w:color w:val="auto"/>
              </w:rPr>
            </w:pPr>
            <w:r>
              <w:rPr>
                <w:rFonts w:ascii="Arial" w:cs="Arial" w:eastAsia="Arial" w:hAnsi="Arial"/>
                <w:sz w:val="17"/>
                <w:szCs w:val="17"/>
                <w:color w:val="auto"/>
              </w:rPr>
              <w:t>Asset management revenue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459</w:t>
            </w:r>
          </w:p>
        </w:tc>
      </w:tr>
      <w:tr>
        <w:trPr>
          <w:trHeight w:val="252"/>
        </w:trPr>
        <w:tc>
          <w:tcPr>
            <w:tcW w:w="4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Transaction based revenue</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r>
      <w:tr>
        <w:trPr>
          <w:trHeight w:val="251"/>
        </w:trPr>
        <w:tc>
          <w:tcPr>
            <w:tcW w:w="40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65"/>
        </w:trPr>
        <w:tc>
          <w:tcPr>
            <w:tcW w:w="4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4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07"/>
        </w:trPr>
        <w:tc>
          <w:tcPr>
            <w:tcW w:w="4060" w:type="dxa"/>
            <w:vAlign w:val="bottom"/>
            <w:shd w:val="clear" w:color="auto" w:fill="CCEEFF"/>
          </w:tcPr>
          <w:p>
            <w:pPr>
              <w:ind w:left="120"/>
              <w:spacing w:after="0"/>
              <w:rPr>
                <w:sz w:val="20"/>
                <w:szCs w:val="20"/>
                <w:color w:val="auto"/>
              </w:rPr>
            </w:pPr>
            <w:r>
              <w:rPr>
                <w:rFonts w:ascii="Arial" w:cs="Arial" w:eastAsia="Arial" w:hAnsi="Arial"/>
                <w:sz w:val="17"/>
                <w:szCs w:val="17"/>
                <w:color w:val="auto"/>
                <w:w w:val="93"/>
              </w:rPr>
              <w:t>Reconciliation to Condensed Consolidated Statement of</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2"/>
        </w:trPr>
        <w:tc>
          <w:tcPr>
            <w:tcW w:w="40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Operations: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8"/>
        </w:trPr>
        <w:tc>
          <w:tcPr>
            <w:tcW w:w="4060" w:type="dxa"/>
            <w:vAlign w:val="bottom"/>
          </w:tcPr>
          <w:p>
            <w:pPr>
              <w:ind w:left="180"/>
              <w:spacing w:after="0"/>
              <w:rPr>
                <w:sz w:val="20"/>
                <w:szCs w:val="20"/>
                <w:color w:val="auto"/>
              </w:rPr>
            </w:pPr>
            <w:r>
              <w:rPr>
                <w:rFonts w:ascii="Arial" w:cs="Arial" w:eastAsia="Arial" w:hAnsi="Arial"/>
                <w:sz w:val="17"/>
                <w:szCs w:val="17"/>
                <w:color w:val="auto"/>
              </w:rPr>
              <w:t>Non-interest income - other:</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2"/>
        </w:trPr>
        <w:tc>
          <w:tcPr>
            <w:tcW w:w="40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Other deposit related income</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w:t>
            </w:r>
          </w:p>
        </w:tc>
      </w:tr>
      <w:tr>
        <w:trPr>
          <w:trHeight w:val="230"/>
        </w:trPr>
        <w:tc>
          <w:tcPr>
            <w:tcW w:w="4060" w:type="dxa"/>
            <w:vAlign w:val="bottom"/>
          </w:tcPr>
          <w:p>
            <w:pPr>
              <w:ind w:left="280"/>
              <w:spacing w:after="0"/>
              <w:rPr>
                <w:sz w:val="20"/>
                <w:szCs w:val="20"/>
                <w:color w:val="auto"/>
              </w:rPr>
            </w:pPr>
            <w:r>
              <w:rPr>
                <w:rFonts w:ascii="Arial" w:cs="Arial" w:eastAsia="Arial" w:hAnsi="Arial"/>
                <w:sz w:val="17"/>
                <w:szCs w:val="17"/>
                <w:color w:val="auto"/>
              </w:rPr>
              <w:t>Investment and insurance commissions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743</w:t>
            </w:r>
          </w:p>
        </w:tc>
      </w:tr>
      <w:tr>
        <w:trPr>
          <w:trHeight w:val="27"/>
        </w:trPr>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5"/>
        </w:trPr>
        <w:tc>
          <w:tcPr>
            <w:tcW w:w="40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Bank owned life insurance (1)</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r>
      <w:tr>
        <w:trPr>
          <w:trHeight w:val="271"/>
        </w:trPr>
        <w:tc>
          <w:tcPr>
            <w:tcW w:w="4060" w:type="dxa"/>
            <w:vAlign w:val="bottom"/>
            <w:tcBorders>
              <w:bottom w:val="single" w:sz="8" w:color="CCEEFF"/>
            </w:tcBorders>
          </w:tcPr>
          <w:p>
            <w:pPr>
              <w:ind w:left="280"/>
              <w:spacing w:after="0"/>
              <w:rPr>
                <w:sz w:val="20"/>
                <w:szCs w:val="20"/>
                <w:color w:val="auto"/>
              </w:rPr>
            </w:pPr>
            <w:r>
              <w:rPr>
                <w:rFonts w:ascii="Arial" w:cs="Arial" w:eastAsia="Arial" w:hAnsi="Arial"/>
                <w:sz w:val="17"/>
                <w:szCs w:val="17"/>
                <w:color w:val="auto"/>
              </w:rPr>
              <w:t>Other (1)</w:t>
            </w:r>
          </w:p>
        </w:tc>
        <w:tc>
          <w:tcPr>
            <w:tcW w:w="2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1,457</w:t>
            </w:r>
          </w:p>
        </w:tc>
      </w:tr>
      <w:tr>
        <w:trPr>
          <w:trHeight w:val="258"/>
        </w:trPr>
        <w:tc>
          <w:tcPr>
            <w:tcW w:w="4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3,134</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4"/>
              <w:spacing w:after="0"/>
              <w:rPr>
                <w:sz w:val="20"/>
                <w:szCs w:val="20"/>
                <w:color w:val="auto"/>
              </w:rPr>
            </w:pPr>
            <w:r>
              <w:rPr>
                <w:rFonts w:ascii="Arial" w:cs="Arial" w:eastAsia="Arial" w:hAnsi="Arial"/>
                <w:sz w:val="17"/>
                <w:szCs w:val="17"/>
                <w:color w:val="auto"/>
                <w:w w:val="91"/>
              </w:rPr>
              <w:t>Service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94"/>
              <w:spacing w:after="0"/>
              <w:rPr>
                <w:sz w:val="20"/>
                <w:szCs w:val="20"/>
                <w:color w:val="auto"/>
              </w:rPr>
            </w:pPr>
            <w:r>
              <w:rPr>
                <w:rFonts w:ascii="Arial" w:cs="Arial" w:eastAsia="Arial" w:hAnsi="Arial"/>
                <w:sz w:val="17"/>
                <w:szCs w:val="17"/>
                <w:color w:val="auto"/>
                <w:w w:val="89"/>
              </w:rPr>
              <w:t>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114"/>
              <w:spacing w:after="0"/>
              <w:rPr>
                <w:sz w:val="20"/>
                <w:szCs w:val="20"/>
                <w:color w:val="auto"/>
              </w:rPr>
            </w:pPr>
            <w:r>
              <w:rPr>
                <w:rFonts w:ascii="Arial" w:cs="Arial" w:eastAsia="Arial" w:hAnsi="Arial"/>
                <w:sz w:val="17"/>
                <w:szCs w:val="17"/>
                <w:color w:val="auto"/>
                <w:w w:val="91"/>
              </w:rPr>
              <w:t>Investment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34"/>
              <w:spacing w:after="0"/>
              <w:rPr>
                <w:sz w:val="20"/>
                <w:szCs w:val="20"/>
                <w:color w:val="auto"/>
              </w:rPr>
            </w:pPr>
            <w:r>
              <w:rPr>
                <w:rFonts w:ascii="Arial" w:cs="Arial" w:eastAsia="Arial" w:hAnsi="Arial"/>
                <w:sz w:val="17"/>
                <w:szCs w:val="17"/>
                <w:color w:val="auto"/>
                <w:w w:val="87"/>
              </w:rPr>
              <w:t>Charges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94"/>
              <w:spacing w:after="0"/>
              <w:rPr>
                <w:sz w:val="20"/>
                <w:szCs w:val="20"/>
                <w:color w:val="auto"/>
              </w:rPr>
            </w:pPr>
            <w:r>
              <w:rPr>
                <w:rFonts w:ascii="Arial" w:cs="Arial" w:eastAsia="Arial" w:hAnsi="Arial"/>
                <w:sz w:val="17"/>
                <w:szCs w:val="17"/>
                <w:color w:val="auto"/>
                <w:w w:val="93"/>
              </w:rPr>
              <w:t>Deposit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114"/>
              <w:spacing w:after="0"/>
              <w:rPr>
                <w:sz w:val="20"/>
                <w:szCs w:val="20"/>
                <w:color w:val="auto"/>
              </w:rPr>
            </w:pPr>
            <w:r>
              <w:rPr>
                <w:rFonts w:ascii="Arial" w:cs="Arial" w:eastAsia="Arial" w:hAnsi="Arial"/>
                <w:sz w:val="17"/>
                <w:szCs w:val="17"/>
                <w:color w:val="auto"/>
                <w:w w:val="84"/>
              </w:rPr>
              <w:t>and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6"/>
        </w:trPr>
        <w:tc>
          <w:tcPr>
            <w:tcW w:w="3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4"/>
              <w:spacing w:after="0"/>
              <w:rPr>
                <w:sz w:val="20"/>
                <w:szCs w:val="20"/>
                <w:color w:val="auto"/>
              </w:rPr>
            </w:pPr>
            <w:r>
              <w:rPr>
                <w:rFonts w:ascii="Arial" w:cs="Arial" w:eastAsia="Arial" w:hAnsi="Arial"/>
                <w:sz w:val="17"/>
                <w:szCs w:val="17"/>
                <w:color w:val="auto"/>
                <w:w w:val="91"/>
              </w:rPr>
              <w:t>on Deposit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94"/>
              <w:spacing w:after="0"/>
              <w:rPr>
                <w:sz w:val="20"/>
                <w:szCs w:val="20"/>
                <w:color w:val="auto"/>
              </w:rPr>
            </w:pPr>
            <w:r>
              <w:rPr>
                <w:rFonts w:ascii="Arial" w:cs="Arial" w:eastAsia="Arial" w:hAnsi="Arial"/>
                <w:sz w:val="17"/>
                <w:szCs w:val="17"/>
                <w:color w:val="auto"/>
                <w:w w:val="92"/>
              </w:rPr>
              <w:t>Related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254"/>
              <w:spacing w:after="0"/>
              <w:rPr>
                <w:sz w:val="20"/>
                <w:szCs w:val="20"/>
                <w:color w:val="auto"/>
              </w:rPr>
            </w:pPr>
            <w:r>
              <w:rPr>
                <w:rFonts w:ascii="Arial" w:cs="Arial" w:eastAsia="Arial" w:hAnsi="Arial"/>
                <w:sz w:val="17"/>
                <w:szCs w:val="17"/>
                <w:color w:val="auto"/>
              </w:rPr>
              <w:t>Interchange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center"/>
              <w:ind w:right="114"/>
              <w:spacing w:after="0"/>
              <w:rPr>
                <w:sz w:val="20"/>
                <w:szCs w:val="20"/>
                <w:color w:val="auto"/>
              </w:rPr>
            </w:pPr>
            <w:r>
              <w:rPr>
                <w:rFonts w:ascii="Arial" w:cs="Arial" w:eastAsia="Arial" w:hAnsi="Arial"/>
                <w:sz w:val="17"/>
                <w:szCs w:val="17"/>
                <w:color w:val="auto"/>
                <w:w w:val="91"/>
              </w:rPr>
              <w:t>Insurance</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7"/>
        </w:trPr>
        <w:tc>
          <w:tcPr>
            <w:tcW w:w="3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color w:val="auto"/>
                <w:w w:val="91"/>
              </w:rPr>
              <w:t>Accounts</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94"/>
              <w:spacing w:after="0"/>
              <w:rPr>
                <w:sz w:val="20"/>
                <w:szCs w:val="20"/>
                <w:color w:val="auto"/>
              </w:rPr>
            </w:pPr>
            <w:r>
              <w:rPr>
                <w:rFonts w:ascii="Arial" w:cs="Arial" w:eastAsia="Arial" w:hAnsi="Arial"/>
                <w:sz w:val="17"/>
                <w:szCs w:val="17"/>
                <w:color w:val="auto"/>
                <w:w w:val="89"/>
              </w:rPr>
              <w:t>Income</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Income</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0"/>
              </w:rPr>
              <w:t>Commissions</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Total</w:t>
            </w:r>
          </w:p>
        </w:tc>
      </w:tr>
      <w:tr>
        <w:trPr>
          <w:trHeight w:val="230"/>
        </w:trPr>
        <w:tc>
          <w:tcPr>
            <w:tcW w:w="3560" w:type="dxa"/>
            <w:vAlign w:val="bottom"/>
          </w:tcPr>
          <w:p>
            <w:pPr>
              <w:ind w:left="20"/>
              <w:spacing w:after="0"/>
              <w:rPr>
                <w:sz w:val="20"/>
                <w:szCs w:val="20"/>
                <w:color w:val="auto"/>
              </w:rPr>
            </w:pPr>
            <w:r>
              <w:rPr>
                <w:rFonts w:ascii="Arial" w:cs="Arial" w:eastAsia="Arial" w:hAnsi="Arial"/>
                <w:sz w:val="17"/>
                <w:szCs w:val="17"/>
                <w:color w:val="auto"/>
              </w:rPr>
              <w:t>Three months ending June 30, 2022</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4"/>
              <w:spacing w:after="0"/>
              <w:rPr>
                <w:sz w:val="20"/>
                <w:szCs w:val="20"/>
                <w:color w:val="auto"/>
              </w:rPr>
            </w:pPr>
            <w:r>
              <w:rPr>
                <w:rFonts w:ascii="Arial" w:cs="Arial" w:eastAsia="Arial" w:hAnsi="Arial"/>
                <w:sz w:val="17"/>
                <w:szCs w:val="17"/>
                <w:color w:val="auto"/>
                <w:w w:val="97"/>
              </w:rPr>
              <w:t>(In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5"/>
        </w:trPr>
        <w:tc>
          <w:tcPr>
            <w:tcW w:w="3560" w:type="dxa"/>
            <w:vAlign w:val="bottom"/>
          </w:tcPr>
          <w:p>
            <w:pPr>
              <w:ind w:left="120"/>
              <w:spacing w:after="0"/>
              <w:rPr>
                <w:sz w:val="20"/>
                <w:szCs w:val="20"/>
                <w:color w:val="auto"/>
              </w:rPr>
            </w:pPr>
            <w:r>
              <w:rPr>
                <w:rFonts w:ascii="Arial" w:cs="Arial" w:eastAsia="Arial" w:hAnsi="Arial"/>
                <w:sz w:val="17"/>
                <w:szCs w:val="17"/>
                <w:color w:val="auto"/>
              </w:rPr>
              <w:t>Retail</w:t>
            </w: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2"/>
        </w:trPr>
        <w:tc>
          <w:tcPr>
            <w:tcW w:w="3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Overdraft fees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w:t>
            </w:r>
          </w:p>
        </w:tc>
        <w:tc>
          <w:tcPr>
            <w:tcW w:w="3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w:t>
            </w:r>
          </w:p>
        </w:tc>
      </w:tr>
      <w:tr>
        <w:trPr>
          <w:trHeight w:val="238"/>
        </w:trPr>
        <w:tc>
          <w:tcPr>
            <w:tcW w:w="3560" w:type="dxa"/>
            <w:vAlign w:val="bottom"/>
          </w:tcPr>
          <w:p>
            <w:pPr>
              <w:ind w:left="180"/>
              <w:spacing w:after="0"/>
              <w:rPr>
                <w:sz w:val="20"/>
                <w:szCs w:val="20"/>
                <w:color w:val="auto"/>
              </w:rPr>
            </w:pPr>
            <w:r>
              <w:rPr>
                <w:rFonts w:ascii="Arial" w:cs="Arial" w:eastAsia="Arial" w:hAnsi="Arial"/>
                <w:sz w:val="17"/>
                <w:szCs w:val="17"/>
                <w:color w:val="auto"/>
              </w:rPr>
              <w:t>Account service charges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452</w:t>
            </w:r>
          </w:p>
        </w:tc>
      </w:tr>
      <w:tr>
        <w:trPr>
          <w:trHeight w:val="252"/>
        </w:trPr>
        <w:tc>
          <w:tcPr>
            <w:tcW w:w="3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r>
      <w:tr>
        <w:trPr>
          <w:trHeight w:val="238"/>
        </w:trPr>
        <w:tc>
          <w:tcPr>
            <w:tcW w:w="3560" w:type="dxa"/>
            <w:vAlign w:val="bottom"/>
          </w:tcPr>
          <w:p>
            <w:pPr>
              <w:ind w:left="18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245"/>
        </w:trPr>
        <w:tc>
          <w:tcPr>
            <w:tcW w:w="3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Business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8"/>
        </w:trPr>
        <w:tc>
          <w:tcPr>
            <w:tcW w:w="3560" w:type="dxa"/>
            <w:vAlign w:val="bottom"/>
          </w:tcPr>
          <w:p>
            <w:pPr>
              <w:ind w:left="180"/>
              <w:spacing w:after="0"/>
              <w:rPr>
                <w:sz w:val="20"/>
                <w:szCs w:val="20"/>
                <w:color w:val="auto"/>
              </w:rPr>
            </w:pPr>
            <w:r>
              <w:rPr>
                <w:rFonts w:ascii="Arial" w:cs="Arial" w:eastAsia="Arial" w:hAnsi="Arial"/>
                <w:sz w:val="17"/>
                <w:szCs w:val="17"/>
                <w:color w:val="auto"/>
              </w:rPr>
              <w:t>Overdraft fees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145</w:t>
            </w:r>
          </w:p>
        </w:tc>
      </w:tr>
      <w:tr>
        <w:trPr>
          <w:trHeight w:val="252"/>
        </w:trPr>
        <w:tc>
          <w:tcPr>
            <w:tcW w:w="35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38"/>
        </w:trPr>
        <w:tc>
          <w:tcPr>
            <w:tcW w:w="3560" w:type="dxa"/>
            <w:vAlign w:val="bottom"/>
          </w:tcPr>
          <w:p>
            <w:pPr>
              <w:ind w:left="180"/>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52"/>
        </w:trPr>
        <w:tc>
          <w:tcPr>
            <w:tcW w:w="3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Interchange income</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3,422</w:t>
            </w:r>
          </w:p>
        </w:tc>
      </w:tr>
      <w:tr>
        <w:trPr>
          <w:trHeight w:val="230"/>
        </w:trPr>
        <w:tc>
          <w:tcPr>
            <w:tcW w:w="3560" w:type="dxa"/>
            <w:vAlign w:val="bottom"/>
          </w:tcPr>
          <w:p>
            <w:pPr>
              <w:ind w:left="120"/>
              <w:spacing w:after="0"/>
              <w:rPr>
                <w:sz w:val="20"/>
                <w:szCs w:val="20"/>
                <w:color w:val="auto"/>
              </w:rPr>
            </w:pPr>
            <w:r>
              <w:rPr>
                <w:rFonts w:ascii="Arial" w:cs="Arial" w:eastAsia="Arial" w:hAnsi="Arial"/>
                <w:sz w:val="17"/>
                <w:szCs w:val="17"/>
                <w:color w:val="auto"/>
              </w:rPr>
              <w:t>Asset management revenue</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453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453</w:t>
            </w: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3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Transaction based revenue</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w:t>
            </w:r>
          </w:p>
        </w:tc>
      </w:tr>
      <w:tr>
        <w:trPr>
          <w:trHeight w:val="245"/>
        </w:trPr>
        <w:tc>
          <w:tcPr>
            <w:tcW w:w="35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58"/>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7,825</w:t>
            </w:r>
          </w:p>
        </w:tc>
      </w:tr>
      <w:tr>
        <w:trPr>
          <w:trHeight w:val="20"/>
        </w:trPr>
        <w:tc>
          <w:tcPr>
            <w:tcW w:w="5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4"/>
        </w:trPr>
        <w:tc>
          <w:tcPr>
            <w:tcW w:w="35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245"/>
        </w:trPr>
        <w:tc>
          <w:tcPr>
            <w:tcW w:w="500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w w:val="94"/>
              </w:rPr>
              <w:t>Reconciliation to Condensed Consolidated Statement of Operations:</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7"/>
                <w:szCs w:val="17"/>
                <w:color w:val="auto"/>
              </w:rPr>
              <w:t>Non-interest income - other:</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5"/>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deposit related income</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w:t>
            </w:r>
          </w:p>
        </w:tc>
      </w:tr>
      <w:tr>
        <w:trPr>
          <w:trHeight w:val="238"/>
        </w:trPr>
        <w:tc>
          <w:tcPr>
            <w:tcW w:w="3560" w:type="dxa"/>
            <w:vAlign w:val="bottom"/>
          </w:tcPr>
          <w:p>
            <w:pPr>
              <w:ind w:left="280"/>
              <w:spacing w:after="0"/>
              <w:rPr>
                <w:sz w:val="20"/>
                <w:szCs w:val="20"/>
                <w:color w:val="auto"/>
              </w:rPr>
            </w:pPr>
            <w:r>
              <w:rPr>
                <w:rFonts w:ascii="Arial" w:cs="Arial" w:eastAsia="Arial" w:hAnsi="Arial"/>
                <w:sz w:val="17"/>
                <w:szCs w:val="17"/>
                <w:color w:val="auto"/>
              </w:rPr>
              <w:t>Investment and insurance commissions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682</w:t>
            </w:r>
          </w:p>
        </w:tc>
      </w:tr>
      <w:tr>
        <w:trPr>
          <w:trHeight w:val="252"/>
        </w:trPr>
        <w:tc>
          <w:tcPr>
            <w:tcW w:w="35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Bank owned life insurance (1)</w:t>
            </w: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44"/>
        </w:trPr>
        <w:tc>
          <w:tcPr>
            <w:tcW w:w="3560" w:type="dxa"/>
            <w:vAlign w:val="bottom"/>
          </w:tcPr>
          <w:p>
            <w:pPr>
              <w:ind w:left="320"/>
              <w:spacing w:after="0"/>
              <w:rPr>
                <w:sz w:val="20"/>
                <w:szCs w:val="20"/>
                <w:color w:val="auto"/>
              </w:rPr>
            </w:pPr>
            <w:r>
              <w:rPr>
                <w:rFonts w:ascii="Arial" w:cs="Arial" w:eastAsia="Arial" w:hAnsi="Arial"/>
                <w:sz w:val="17"/>
                <w:szCs w:val="17"/>
                <w:color w:val="auto"/>
              </w:rPr>
              <w:t>Other (1)</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1,632</w:t>
            </w:r>
          </w:p>
        </w:tc>
      </w:tr>
      <w:tr>
        <w:trPr>
          <w:trHeight w:val="259"/>
        </w:trPr>
        <w:tc>
          <w:tcPr>
            <w:tcW w:w="35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3,044</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91"/>
              </w:rPr>
              <w:t>Service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74"/>
              <w:spacing w:after="0"/>
              <w:rPr>
                <w:sz w:val="20"/>
                <w:szCs w:val="20"/>
                <w:color w:val="auto"/>
              </w:rPr>
            </w:pPr>
            <w:r>
              <w:rPr>
                <w:rFonts w:ascii="Arial" w:cs="Arial" w:eastAsia="Arial" w:hAnsi="Arial"/>
                <w:sz w:val="17"/>
                <w:szCs w:val="17"/>
                <w:color w:val="auto"/>
                <w:w w:val="93"/>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Arial" w:cs="Arial" w:eastAsia="Arial" w:hAnsi="Arial"/>
                <w:sz w:val="17"/>
                <w:szCs w:val="17"/>
                <w:color w:val="auto"/>
                <w:w w:val="91"/>
              </w:rPr>
              <w:t>Investment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87"/>
              </w:rPr>
              <w:t>Charges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94"/>
              <w:spacing w:after="0"/>
              <w:rPr>
                <w:sz w:val="20"/>
                <w:szCs w:val="20"/>
                <w:color w:val="auto"/>
              </w:rPr>
            </w:pPr>
            <w:r>
              <w:rPr>
                <w:rFonts w:ascii="Arial" w:cs="Arial" w:eastAsia="Arial" w:hAnsi="Arial"/>
                <w:sz w:val="17"/>
                <w:szCs w:val="17"/>
                <w:color w:val="auto"/>
                <w:w w:val="93"/>
              </w:rPr>
              <w:t>Deposit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Arial" w:cs="Arial" w:eastAsia="Arial" w:hAnsi="Arial"/>
                <w:sz w:val="17"/>
                <w:szCs w:val="17"/>
                <w:color w:val="auto"/>
                <w:w w:val="91"/>
              </w:rPr>
              <w:t>and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93"/>
              </w:rPr>
              <w:t>on Deposit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74"/>
              <w:spacing w:after="0"/>
              <w:rPr>
                <w:sz w:val="20"/>
                <w:szCs w:val="20"/>
                <w:color w:val="auto"/>
              </w:rPr>
            </w:pPr>
            <w:r>
              <w:rPr>
                <w:rFonts w:ascii="Arial" w:cs="Arial" w:eastAsia="Arial" w:hAnsi="Arial"/>
                <w:sz w:val="17"/>
                <w:szCs w:val="17"/>
                <w:color w:val="auto"/>
                <w:w w:val="88"/>
              </w:rPr>
              <w:t>Related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Arial" w:cs="Arial" w:eastAsia="Arial" w:hAnsi="Arial"/>
                <w:sz w:val="17"/>
                <w:szCs w:val="17"/>
                <w:color w:val="auto"/>
                <w:w w:val="89"/>
              </w:rPr>
              <w:t>Interchange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Arial" w:cs="Arial" w:eastAsia="Arial" w:hAnsi="Arial"/>
                <w:sz w:val="17"/>
                <w:szCs w:val="17"/>
                <w:color w:val="auto"/>
                <w:w w:val="88"/>
              </w:rPr>
              <w:t>Insurance</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7"/>
        </w:trPr>
        <w:tc>
          <w:tcPr>
            <w:tcW w:w="3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color w:val="auto"/>
                <w:w w:val="91"/>
              </w:rPr>
              <w:t>Accounts</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4"/>
              <w:spacing w:after="0"/>
              <w:rPr>
                <w:sz w:val="20"/>
                <w:szCs w:val="20"/>
                <w:color w:val="auto"/>
              </w:rPr>
            </w:pPr>
            <w:r>
              <w:rPr>
                <w:rFonts w:ascii="Arial" w:cs="Arial" w:eastAsia="Arial" w:hAnsi="Arial"/>
                <w:sz w:val="17"/>
                <w:szCs w:val="17"/>
                <w:color w:val="auto"/>
                <w:w w:val="93"/>
              </w:rPr>
              <w:t>Income</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93"/>
              </w:rPr>
              <w:t>Income</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2"/>
              </w:rPr>
              <w:t>Commissions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Total</w:t>
            </w:r>
          </w:p>
        </w:tc>
      </w:tr>
      <w:tr>
        <w:trPr>
          <w:trHeight w:val="230"/>
        </w:trPr>
        <w:tc>
          <w:tcPr>
            <w:tcW w:w="3480" w:type="dxa"/>
            <w:vAlign w:val="bottom"/>
          </w:tcPr>
          <w:p>
            <w:pPr>
              <w:ind w:left="20"/>
              <w:spacing w:after="0"/>
              <w:rPr>
                <w:sz w:val="20"/>
                <w:szCs w:val="20"/>
                <w:color w:val="auto"/>
              </w:rPr>
            </w:pPr>
            <w:r>
              <w:rPr>
                <w:rFonts w:ascii="Arial" w:cs="Arial" w:eastAsia="Arial" w:hAnsi="Arial"/>
                <w:sz w:val="17"/>
                <w:szCs w:val="17"/>
                <w:color w:val="auto"/>
              </w:rPr>
              <w:t>Six months ending June 30, 2023</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54"/>
              <w:spacing w:after="0"/>
              <w:rPr>
                <w:sz w:val="20"/>
                <w:szCs w:val="20"/>
                <w:color w:val="auto"/>
              </w:rPr>
            </w:pPr>
            <w:r>
              <w:rPr>
                <w:rFonts w:ascii="Arial" w:cs="Arial" w:eastAsia="Arial" w:hAnsi="Arial"/>
                <w:sz w:val="17"/>
                <w:szCs w:val="17"/>
                <w:color w:val="auto"/>
                <w:w w:val="91"/>
              </w:rPr>
              <w:t>(In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5"/>
        </w:trPr>
        <w:tc>
          <w:tcPr>
            <w:tcW w:w="3480" w:type="dxa"/>
            <w:vAlign w:val="bottom"/>
          </w:tcPr>
          <w:p>
            <w:pPr>
              <w:ind w:left="120"/>
              <w:spacing w:after="0"/>
              <w:rPr>
                <w:sz w:val="20"/>
                <w:szCs w:val="20"/>
                <w:color w:val="auto"/>
              </w:rPr>
            </w:pPr>
            <w:r>
              <w:rPr>
                <w:rFonts w:ascii="Arial" w:cs="Arial" w:eastAsia="Arial" w:hAnsi="Arial"/>
                <w:sz w:val="17"/>
                <w:szCs w:val="17"/>
                <w:color w:val="auto"/>
              </w:rPr>
              <w:t>Retail</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2"/>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Overdraft fees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3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4,680</w:t>
            </w:r>
          </w:p>
        </w:tc>
      </w:tr>
      <w:tr>
        <w:trPr>
          <w:trHeight w:val="238"/>
        </w:trPr>
        <w:tc>
          <w:tcPr>
            <w:tcW w:w="3480" w:type="dxa"/>
            <w:vAlign w:val="bottom"/>
          </w:tcPr>
          <w:p>
            <w:pPr>
              <w:ind w:left="180"/>
              <w:spacing w:after="0"/>
              <w:rPr>
                <w:sz w:val="20"/>
                <w:szCs w:val="20"/>
                <w:color w:val="auto"/>
              </w:rPr>
            </w:pPr>
            <w:r>
              <w:rPr>
                <w:rFonts w:ascii="Arial" w:cs="Arial" w:eastAsia="Arial" w:hAnsi="Arial"/>
                <w:sz w:val="17"/>
                <w:szCs w:val="17"/>
                <w:color w:val="auto"/>
              </w:rPr>
              <w:t>Account service charges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1,056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1,056</w:t>
            </w:r>
          </w:p>
        </w:tc>
      </w:tr>
      <w:tr>
        <w:trPr>
          <w:trHeight w:val="252"/>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w:t>
            </w:r>
          </w:p>
        </w:tc>
      </w:tr>
      <w:tr>
        <w:trPr>
          <w:trHeight w:val="238"/>
        </w:trPr>
        <w:tc>
          <w:tcPr>
            <w:tcW w:w="3480" w:type="dxa"/>
            <w:vAlign w:val="bottom"/>
          </w:tcPr>
          <w:p>
            <w:pPr>
              <w:ind w:left="18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509</w:t>
            </w:r>
          </w:p>
        </w:tc>
      </w:tr>
      <w:tr>
        <w:trPr>
          <w:trHeight w:val="245"/>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Business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8"/>
        </w:trPr>
        <w:tc>
          <w:tcPr>
            <w:tcW w:w="3480" w:type="dxa"/>
            <w:vAlign w:val="bottom"/>
          </w:tcPr>
          <w:p>
            <w:pPr>
              <w:ind w:left="180"/>
              <w:spacing w:after="0"/>
              <w:rPr>
                <w:sz w:val="20"/>
                <w:szCs w:val="20"/>
                <w:color w:val="auto"/>
              </w:rPr>
            </w:pPr>
            <w:r>
              <w:rPr>
                <w:rFonts w:ascii="Arial" w:cs="Arial" w:eastAsia="Arial" w:hAnsi="Arial"/>
                <w:sz w:val="17"/>
                <w:szCs w:val="17"/>
                <w:color w:val="auto"/>
              </w:rPr>
              <w:t>Overdraft fees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255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255</w:t>
            </w:r>
          </w:p>
        </w:tc>
      </w:tr>
      <w:tr>
        <w:trPr>
          <w:trHeight w:val="252"/>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38"/>
        </w:trPr>
        <w:tc>
          <w:tcPr>
            <w:tcW w:w="3480" w:type="dxa"/>
            <w:vAlign w:val="bottom"/>
          </w:tcPr>
          <w:p>
            <w:pPr>
              <w:ind w:left="18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203</w:t>
            </w:r>
          </w:p>
        </w:tc>
      </w:tr>
      <w:tr>
        <w:trPr>
          <w:trHeight w:val="252"/>
        </w:trPr>
        <w:tc>
          <w:tcPr>
            <w:tcW w:w="3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Interchange income</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6,560</w:t>
            </w:r>
          </w:p>
        </w:tc>
      </w:tr>
      <w:tr>
        <w:trPr>
          <w:trHeight w:val="230"/>
        </w:trPr>
        <w:tc>
          <w:tcPr>
            <w:tcW w:w="3480" w:type="dxa"/>
            <w:vAlign w:val="bottom"/>
          </w:tcPr>
          <w:p>
            <w:pPr>
              <w:ind w:left="120"/>
              <w:spacing w:after="0"/>
              <w:rPr>
                <w:sz w:val="20"/>
                <w:szCs w:val="20"/>
                <w:color w:val="auto"/>
              </w:rPr>
            </w:pPr>
            <w:r>
              <w:rPr>
                <w:rFonts w:ascii="Arial" w:cs="Arial" w:eastAsia="Arial" w:hAnsi="Arial"/>
                <w:sz w:val="17"/>
                <w:szCs w:val="17"/>
                <w:color w:val="auto"/>
              </w:rPr>
              <w:t>Asset management revenue</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901</w:t>
            </w:r>
          </w:p>
        </w:tc>
      </w:tr>
      <w:tr>
        <w:trPr>
          <w:trHeight w:val="27"/>
        </w:trPr>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3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Transaction based revenue</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w:t>
            </w:r>
          </w:p>
        </w:tc>
      </w:tr>
      <w:tr>
        <w:trPr>
          <w:trHeight w:val="245"/>
        </w:trPr>
        <w:tc>
          <w:tcPr>
            <w:tcW w:w="34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r>
      <w:tr>
        <w:trPr>
          <w:trHeight w:val="258"/>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15,633</w:t>
            </w:r>
          </w:p>
        </w:tc>
      </w:tr>
      <w:tr>
        <w:trPr>
          <w:trHeight w:val="20"/>
        </w:trPr>
        <w:tc>
          <w:tcPr>
            <w:tcW w:w="4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7"/>
        </w:trPr>
        <w:tc>
          <w:tcPr>
            <w:tcW w:w="3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38"/>
        </w:trPr>
        <w:tc>
          <w:tcPr>
            <w:tcW w:w="4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w w:val="93"/>
              </w:rPr>
              <w:t>Reconciliation to Condensed Consolidated Statement of Operations:</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0"/>
        </w:trPr>
        <w:tc>
          <w:tcPr>
            <w:tcW w:w="3480" w:type="dxa"/>
            <w:vAlign w:val="bottom"/>
          </w:tcPr>
          <w:p>
            <w:pPr>
              <w:ind w:left="180"/>
              <w:spacing w:after="0"/>
              <w:rPr>
                <w:sz w:val="20"/>
                <w:szCs w:val="20"/>
                <w:color w:val="auto"/>
              </w:rPr>
            </w:pPr>
            <w:r>
              <w:rPr>
                <w:rFonts w:ascii="Arial" w:cs="Arial" w:eastAsia="Arial" w:hAnsi="Arial"/>
                <w:sz w:val="17"/>
                <w:szCs w:val="17"/>
                <w:color w:val="auto"/>
              </w:rPr>
              <w:t>Non-interest income - other:</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5"/>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deposit related income</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w:t>
            </w:r>
          </w:p>
        </w:tc>
      </w:tr>
      <w:tr>
        <w:trPr>
          <w:trHeight w:val="251"/>
        </w:trPr>
        <w:tc>
          <w:tcPr>
            <w:tcW w:w="3480" w:type="dxa"/>
            <w:vAlign w:val="bottom"/>
          </w:tcPr>
          <w:p>
            <w:pPr>
              <w:ind w:left="440"/>
              <w:spacing w:after="0"/>
              <w:rPr>
                <w:sz w:val="20"/>
                <w:szCs w:val="20"/>
                <w:color w:val="auto"/>
              </w:rPr>
            </w:pPr>
            <w:r>
              <w:rPr>
                <w:rFonts w:ascii="Arial" w:cs="Arial" w:eastAsia="Arial" w:hAnsi="Arial"/>
                <w:sz w:val="17"/>
                <w:szCs w:val="17"/>
                <w:color w:val="auto"/>
              </w:rPr>
              <w:t>Investment and insurance commissions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1,570</w:t>
            </w:r>
          </w:p>
        </w:tc>
      </w:tr>
      <w:tr>
        <w:trPr>
          <w:trHeight w:val="265"/>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Bank owned life insurance (1)</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51"/>
        </w:trPr>
        <w:tc>
          <w:tcPr>
            <w:tcW w:w="3480" w:type="dxa"/>
            <w:vAlign w:val="bottom"/>
          </w:tcPr>
          <w:p>
            <w:pPr>
              <w:ind w:left="320"/>
              <w:spacing w:after="0"/>
              <w:rPr>
                <w:sz w:val="20"/>
                <w:szCs w:val="20"/>
                <w:color w:val="auto"/>
              </w:rPr>
            </w:pPr>
            <w:r>
              <w:rPr>
                <w:rFonts w:ascii="Arial" w:cs="Arial" w:eastAsia="Arial" w:hAnsi="Arial"/>
                <w:sz w:val="17"/>
                <w:szCs w:val="17"/>
                <w:color w:val="auto"/>
              </w:rPr>
              <w:t>Other (1)</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2,572</w:t>
            </w:r>
          </w:p>
        </w:tc>
      </w:tr>
      <w:tr>
        <w:trPr>
          <w:trHeight w:val="277"/>
        </w:trPr>
        <w:tc>
          <w:tcPr>
            <w:tcW w:w="34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5,863</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Excluded from the scope of ASC Topic 606.</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91"/>
              </w:rPr>
              <w:t>Service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74"/>
              <w:spacing w:after="0"/>
              <w:rPr>
                <w:sz w:val="20"/>
                <w:szCs w:val="20"/>
                <w:color w:val="auto"/>
              </w:rPr>
            </w:pPr>
            <w:r>
              <w:rPr>
                <w:rFonts w:ascii="Arial" w:cs="Arial" w:eastAsia="Arial" w:hAnsi="Arial"/>
                <w:sz w:val="17"/>
                <w:szCs w:val="17"/>
                <w:color w:val="auto"/>
                <w:w w:val="93"/>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94"/>
              <w:spacing w:after="0"/>
              <w:rPr>
                <w:sz w:val="20"/>
                <w:szCs w:val="20"/>
                <w:color w:val="auto"/>
              </w:rPr>
            </w:pPr>
            <w:r>
              <w:rPr>
                <w:rFonts w:ascii="Arial" w:cs="Arial" w:eastAsia="Arial" w:hAnsi="Arial"/>
                <w:sz w:val="17"/>
                <w:szCs w:val="17"/>
                <w:color w:val="auto"/>
                <w:w w:val="91"/>
              </w:rPr>
              <w:t>Investment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87"/>
              </w:rPr>
              <w:t>Charges</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94"/>
              <w:spacing w:after="0"/>
              <w:rPr>
                <w:sz w:val="20"/>
                <w:szCs w:val="20"/>
                <w:color w:val="auto"/>
              </w:rPr>
            </w:pPr>
            <w:r>
              <w:rPr>
                <w:rFonts w:ascii="Arial" w:cs="Arial" w:eastAsia="Arial" w:hAnsi="Arial"/>
                <w:sz w:val="17"/>
                <w:szCs w:val="17"/>
                <w:color w:val="auto"/>
                <w:w w:val="93"/>
              </w:rPr>
              <w:t>Deposit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Arial" w:cs="Arial" w:eastAsia="Arial" w:hAnsi="Arial"/>
                <w:sz w:val="17"/>
                <w:szCs w:val="17"/>
                <w:color w:val="auto"/>
                <w:w w:val="91"/>
              </w:rPr>
              <w:t>and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4"/>
              <w:spacing w:after="0"/>
              <w:rPr>
                <w:sz w:val="20"/>
                <w:szCs w:val="20"/>
                <w:color w:val="auto"/>
              </w:rPr>
            </w:pPr>
            <w:r>
              <w:rPr>
                <w:rFonts w:ascii="Arial" w:cs="Arial" w:eastAsia="Arial" w:hAnsi="Arial"/>
                <w:sz w:val="17"/>
                <w:szCs w:val="17"/>
                <w:color w:val="auto"/>
                <w:w w:val="93"/>
              </w:rPr>
              <w:t>on Deposit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center"/>
              <w:ind w:right="174"/>
              <w:spacing w:after="0"/>
              <w:rPr>
                <w:sz w:val="20"/>
                <w:szCs w:val="20"/>
                <w:color w:val="auto"/>
              </w:rPr>
            </w:pPr>
            <w:r>
              <w:rPr>
                <w:rFonts w:ascii="Arial" w:cs="Arial" w:eastAsia="Arial" w:hAnsi="Arial"/>
                <w:sz w:val="17"/>
                <w:szCs w:val="17"/>
                <w:color w:val="auto"/>
                <w:w w:val="88"/>
              </w:rPr>
              <w:t>Related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vMerge w:val="restart"/>
          </w:tcPr>
          <w:p>
            <w:pPr>
              <w:jc w:val="center"/>
              <w:ind w:right="94"/>
              <w:spacing w:after="0"/>
              <w:rPr>
                <w:sz w:val="20"/>
                <w:szCs w:val="20"/>
                <w:color w:val="auto"/>
              </w:rPr>
            </w:pPr>
            <w:r>
              <w:rPr>
                <w:rFonts w:ascii="Arial" w:cs="Arial" w:eastAsia="Arial" w:hAnsi="Arial"/>
                <w:sz w:val="17"/>
                <w:szCs w:val="17"/>
                <w:color w:val="auto"/>
                <w:w w:val="89"/>
              </w:rPr>
              <w:t>Interchange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Arial" w:cs="Arial" w:eastAsia="Arial" w:hAnsi="Arial"/>
                <w:sz w:val="17"/>
                <w:szCs w:val="17"/>
                <w:color w:val="auto"/>
                <w:w w:val="88"/>
              </w:rPr>
              <w:t>Insurance</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vMerge w:val="restart"/>
          </w:tcPr>
          <w:p>
            <w:pPr>
              <w:jc w:val="center"/>
              <w:ind w:right="154"/>
              <w:spacing w:after="0"/>
              <w:rPr>
                <w:sz w:val="20"/>
                <w:szCs w:val="20"/>
                <w:color w:val="auto"/>
              </w:rPr>
            </w:pPr>
            <w:r>
              <w:rPr>
                <w:rFonts w:ascii="Arial" w:cs="Arial" w:eastAsia="Arial" w:hAnsi="Arial"/>
                <w:sz w:val="17"/>
                <w:szCs w:val="17"/>
                <w:color w:val="auto"/>
                <w:w w:val="91"/>
              </w:rPr>
              <w:t>Accounts</w:t>
            </w: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restart"/>
          </w:tcPr>
          <w:p>
            <w:pPr>
              <w:jc w:val="center"/>
              <w:ind w:right="174"/>
              <w:spacing w:after="0"/>
              <w:rPr>
                <w:sz w:val="20"/>
                <w:szCs w:val="20"/>
                <w:color w:val="auto"/>
              </w:rPr>
            </w:pPr>
            <w:r>
              <w:rPr>
                <w:rFonts w:ascii="Arial" w:cs="Arial" w:eastAsia="Arial" w:hAnsi="Arial"/>
                <w:sz w:val="17"/>
                <w:szCs w:val="17"/>
                <w:color w:val="auto"/>
                <w:w w:val="93"/>
              </w:rPr>
              <w:t>Income</w:t>
            </w: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vMerge w:val="restart"/>
          </w:tcPr>
          <w:p>
            <w:pPr>
              <w:jc w:val="center"/>
              <w:ind w:right="114"/>
              <w:spacing w:after="0"/>
              <w:rPr>
                <w:sz w:val="20"/>
                <w:szCs w:val="20"/>
                <w:color w:val="auto"/>
              </w:rPr>
            </w:pPr>
            <w:r>
              <w:rPr>
                <w:rFonts w:ascii="Arial" w:cs="Arial" w:eastAsia="Arial" w:hAnsi="Arial"/>
                <w:sz w:val="17"/>
                <w:szCs w:val="17"/>
                <w:color w:val="auto"/>
                <w:w w:val="92"/>
              </w:rPr>
              <w:t>Commissions</w:t>
            </w: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vMerge w:val="restart"/>
          </w:tcPr>
          <w:p>
            <w:pPr>
              <w:jc w:val="right"/>
              <w:ind w:right="47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line="20" w:lineRule="exact"/>
              <w:rPr>
                <w:sz w:val="1"/>
                <w:szCs w:val="1"/>
                <w:color w:val="auto"/>
              </w:rPr>
            </w:pPr>
          </w:p>
        </w:tc>
      </w:tr>
      <w:tr>
        <w:trPr>
          <w:trHeight w:val="224"/>
        </w:trPr>
        <w:tc>
          <w:tcPr>
            <w:tcW w:w="3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93"/>
              </w:rPr>
              <w:t>Income</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7"/>
                <w:szCs w:val="17"/>
                <w:color w:val="auto"/>
              </w:rPr>
              <w:t>Six months ending June 30, 2022</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54"/>
              <w:spacing w:after="0"/>
              <w:rPr>
                <w:sz w:val="20"/>
                <w:szCs w:val="20"/>
                <w:color w:val="auto"/>
              </w:rPr>
            </w:pPr>
            <w:r>
              <w:rPr>
                <w:rFonts w:ascii="Arial" w:cs="Arial" w:eastAsia="Arial" w:hAnsi="Arial"/>
                <w:sz w:val="17"/>
                <w:szCs w:val="17"/>
                <w:color w:val="auto"/>
                <w:w w:val="91"/>
              </w:rPr>
              <w:t>(In thousands)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480" w:type="dxa"/>
            <w:vAlign w:val="bottom"/>
          </w:tcPr>
          <w:p>
            <w:pPr>
              <w:ind w:left="120"/>
              <w:spacing w:after="0"/>
              <w:rPr>
                <w:sz w:val="20"/>
                <w:szCs w:val="20"/>
                <w:color w:val="auto"/>
              </w:rPr>
            </w:pPr>
            <w:r>
              <w:rPr>
                <w:rFonts w:ascii="Arial" w:cs="Arial" w:eastAsia="Arial" w:hAnsi="Arial"/>
                <w:sz w:val="17"/>
                <w:szCs w:val="17"/>
                <w:color w:val="auto"/>
              </w:rPr>
              <w:t>Retail</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Overdraft fees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5,005</w:t>
            </w:r>
          </w:p>
        </w:tc>
        <w:tc>
          <w:tcPr>
            <w:tcW w:w="3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5,005</w:t>
            </w:r>
          </w:p>
        </w:tc>
        <w:tc>
          <w:tcPr>
            <w:tcW w:w="0" w:type="dxa"/>
            <w:vAlign w:val="bottom"/>
          </w:tcPr>
          <w:p>
            <w:pPr>
              <w:spacing w:after="0"/>
              <w:rPr>
                <w:sz w:val="1"/>
                <w:szCs w:val="1"/>
                <w:color w:val="auto"/>
              </w:rPr>
            </w:pPr>
          </w:p>
        </w:tc>
      </w:tr>
      <w:tr>
        <w:trPr>
          <w:trHeight w:val="238"/>
        </w:trPr>
        <w:tc>
          <w:tcPr>
            <w:tcW w:w="3480" w:type="dxa"/>
            <w:vAlign w:val="bottom"/>
          </w:tcPr>
          <w:p>
            <w:pPr>
              <w:ind w:left="180"/>
              <w:spacing w:after="0"/>
              <w:rPr>
                <w:sz w:val="20"/>
                <w:szCs w:val="20"/>
                <w:color w:val="auto"/>
              </w:rPr>
            </w:pPr>
            <w:r>
              <w:rPr>
                <w:rFonts w:ascii="Arial" w:cs="Arial" w:eastAsia="Arial" w:hAnsi="Arial"/>
                <w:sz w:val="17"/>
                <w:szCs w:val="17"/>
                <w:color w:val="auto"/>
              </w:rPr>
              <w:t>Account service charges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773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52"/>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0" w:type="dxa"/>
            <w:vAlign w:val="bottom"/>
          </w:tcPr>
          <w:p>
            <w:pPr>
              <w:spacing w:after="0"/>
              <w:rPr>
                <w:sz w:val="1"/>
                <w:szCs w:val="1"/>
                <w:color w:val="auto"/>
              </w:rPr>
            </w:pPr>
          </w:p>
        </w:tc>
      </w:tr>
      <w:tr>
        <w:trPr>
          <w:trHeight w:val="238"/>
        </w:trPr>
        <w:tc>
          <w:tcPr>
            <w:tcW w:w="3480" w:type="dxa"/>
            <w:vAlign w:val="bottom"/>
          </w:tcPr>
          <w:p>
            <w:pPr>
              <w:ind w:left="18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45"/>
        </w:trPr>
        <w:tc>
          <w:tcPr>
            <w:tcW w:w="3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Business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80" w:type="dxa"/>
            <w:vAlign w:val="bottom"/>
          </w:tcPr>
          <w:p>
            <w:pPr>
              <w:ind w:left="180"/>
              <w:spacing w:after="0"/>
              <w:rPr>
                <w:sz w:val="20"/>
                <w:szCs w:val="20"/>
                <w:color w:val="auto"/>
              </w:rPr>
            </w:pPr>
            <w:r>
              <w:rPr>
                <w:rFonts w:ascii="Arial" w:cs="Arial" w:eastAsia="Arial" w:hAnsi="Arial"/>
                <w:sz w:val="17"/>
                <w:szCs w:val="17"/>
                <w:color w:val="auto"/>
              </w:rPr>
              <w:t>Overdraft fees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275</w:t>
            </w:r>
          </w:p>
        </w:tc>
        <w:tc>
          <w:tcPr>
            <w:tcW w:w="0" w:type="dxa"/>
            <w:vAlign w:val="bottom"/>
          </w:tcPr>
          <w:p>
            <w:pPr>
              <w:spacing w:after="0"/>
              <w:rPr>
                <w:sz w:val="1"/>
                <w:szCs w:val="1"/>
                <w:color w:val="auto"/>
              </w:rPr>
            </w:pPr>
          </w:p>
        </w:tc>
      </w:tr>
      <w:tr>
        <w:trPr>
          <w:trHeight w:val="252"/>
        </w:trPr>
        <w:tc>
          <w:tcPr>
            <w:tcW w:w="34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ATM fees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8"/>
        </w:trPr>
        <w:tc>
          <w:tcPr>
            <w:tcW w:w="3480" w:type="dxa"/>
            <w:vAlign w:val="bottom"/>
          </w:tcPr>
          <w:p>
            <w:pPr>
              <w:ind w:left="18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52"/>
        </w:trPr>
        <w:tc>
          <w:tcPr>
            <w:tcW w:w="3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Interchange income</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6,504</w:t>
            </w:r>
          </w:p>
        </w:tc>
        <w:tc>
          <w:tcPr>
            <w:tcW w:w="0" w:type="dxa"/>
            <w:vAlign w:val="bottom"/>
          </w:tcPr>
          <w:p>
            <w:pPr>
              <w:spacing w:after="0"/>
              <w:rPr>
                <w:sz w:val="1"/>
                <w:szCs w:val="1"/>
                <w:color w:val="auto"/>
              </w:rPr>
            </w:pPr>
          </w:p>
        </w:tc>
      </w:tr>
      <w:tr>
        <w:trPr>
          <w:trHeight w:val="230"/>
        </w:trPr>
        <w:tc>
          <w:tcPr>
            <w:tcW w:w="3480" w:type="dxa"/>
            <w:vAlign w:val="bottom"/>
          </w:tcPr>
          <w:p>
            <w:pPr>
              <w:ind w:left="120"/>
              <w:spacing w:after="0"/>
              <w:rPr>
                <w:sz w:val="20"/>
                <w:szCs w:val="20"/>
                <w:color w:val="auto"/>
              </w:rPr>
            </w:pPr>
            <w:r>
              <w:rPr>
                <w:rFonts w:ascii="Arial" w:cs="Arial" w:eastAsia="Arial" w:hAnsi="Arial"/>
                <w:sz w:val="17"/>
                <w:szCs w:val="17"/>
                <w:color w:val="auto"/>
              </w:rPr>
              <w:t>Asset management revenue</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922</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Transaction based revenue</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51"/>
        </w:trPr>
        <w:tc>
          <w:tcPr>
            <w:tcW w:w="34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6,053</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15,224</w:t>
            </w:r>
          </w:p>
        </w:tc>
        <w:tc>
          <w:tcPr>
            <w:tcW w:w="0" w:type="dxa"/>
            <w:vAlign w:val="bottom"/>
          </w:tcPr>
          <w:p>
            <w:pPr>
              <w:spacing w:after="0"/>
              <w:rPr>
                <w:sz w:val="1"/>
                <w:szCs w:val="1"/>
                <w:color w:val="auto"/>
              </w:rPr>
            </w:pPr>
          </w:p>
        </w:tc>
      </w:tr>
      <w:tr>
        <w:trPr>
          <w:trHeight w:val="20"/>
        </w:trPr>
        <w:tc>
          <w:tcPr>
            <w:tcW w:w="49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7"/>
                <w:szCs w:val="17"/>
                <w:color w:val="auto"/>
                <w:w w:val="93"/>
              </w:rPr>
              <w:t>Reconciliation to Condensed Consolidated Statement of Operations:</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180"/>
              <w:spacing w:after="0"/>
              <w:rPr>
                <w:sz w:val="20"/>
                <w:szCs w:val="20"/>
                <w:color w:val="auto"/>
              </w:rPr>
            </w:pPr>
            <w:r>
              <w:rPr>
                <w:rFonts w:ascii="Arial" w:cs="Arial" w:eastAsia="Arial" w:hAnsi="Arial"/>
                <w:sz w:val="17"/>
                <w:szCs w:val="17"/>
                <w:color w:val="auto"/>
              </w:rPr>
              <w:t>Non-interest income - other:</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deposit related income</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w:t>
            </w:r>
          </w:p>
        </w:tc>
        <w:tc>
          <w:tcPr>
            <w:tcW w:w="0" w:type="dxa"/>
            <w:vAlign w:val="bottom"/>
          </w:tcPr>
          <w:p>
            <w:pPr>
              <w:spacing w:after="0"/>
              <w:rPr>
                <w:sz w:val="1"/>
                <w:szCs w:val="1"/>
                <w:color w:val="auto"/>
              </w:rPr>
            </w:pPr>
          </w:p>
        </w:tc>
      </w:tr>
      <w:tr>
        <w:trPr>
          <w:trHeight w:val="251"/>
        </w:trPr>
        <w:tc>
          <w:tcPr>
            <w:tcW w:w="3480" w:type="dxa"/>
            <w:vAlign w:val="bottom"/>
          </w:tcPr>
          <w:p>
            <w:pPr>
              <w:ind w:left="440"/>
              <w:spacing w:after="0"/>
              <w:rPr>
                <w:sz w:val="20"/>
                <w:szCs w:val="20"/>
                <w:color w:val="auto"/>
              </w:rPr>
            </w:pPr>
            <w:r>
              <w:rPr>
                <w:rFonts w:ascii="Arial" w:cs="Arial" w:eastAsia="Arial" w:hAnsi="Arial"/>
                <w:sz w:val="17"/>
                <w:szCs w:val="17"/>
                <w:color w:val="auto"/>
              </w:rPr>
              <w:t>Investment and insurance commissions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1,420</w:t>
            </w:r>
          </w:p>
        </w:tc>
        <w:tc>
          <w:tcPr>
            <w:tcW w:w="0" w:type="dxa"/>
            <w:vAlign w:val="bottom"/>
          </w:tcPr>
          <w:p>
            <w:pPr>
              <w:spacing w:after="0"/>
              <w:rPr>
                <w:sz w:val="1"/>
                <w:szCs w:val="1"/>
                <w:color w:val="auto"/>
              </w:rPr>
            </w:pPr>
          </w:p>
        </w:tc>
      </w:tr>
      <w:tr>
        <w:trPr>
          <w:trHeight w:val="252"/>
        </w:trPr>
        <w:tc>
          <w:tcPr>
            <w:tcW w:w="3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Bank owned life insurance (1)</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71"/>
        </w:trPr>
        <w:tc>
          <w:tcPr>
            <w:tcW w:w="34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(1)</w:t>
            </w:r>
          </w:p>
        </w:tc>
        <w:tc>
          <w:tcPr>
            <w:tcW w:w="24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2,497</w:t>
            </w:r>
          </w:p>
        </w:tc>
        <w:tc>
          <w:tcPr>
            <w:tcW w:w="0" w:type="dxa"/>
            <w:vAlign w:val="bottom"/>
          </w:tcPr>
          <w:p>
            <w:pPr>
              <w:spacing w:after="0"/>
              <w:rPr>
                <w:sz w:val="1"/>
                <w:szCs w:val="1"/>
                <w:color w:val="auto"/>
              </w:rPr>
            </w:pPr>
          </w:p>
        </w:tc>
      </w:tr>
      <w:tr>
        <w:trPr>
          <w:trHeight w:val="258"/>
        </w:trPr>
        <w:tc>
          <w:tcPr>
            <w:tcW w:w="34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5,407</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Excluded from the scope of ASC Topic 606.</w:t>
      </w:r>
    </w:p>
    <w:p>
      <w:pPr>
        <w:spacing w:after="0" w:line="191" w:lineRule="exact"/>
        <w:rPr>
          <w:sz w:val="20"/>
          <w:szCs w:val="20"/>
          <w:color w:val="auto"/>
        </w:rPr>
      </w:pPr>
    </w:p>
    <w:p>
      <w:pPr>
        <w:ind w:left="380" w:hanging="377"/>
        <w:spacing w:after="0"/>
        <w:tabs>
          <w:tab w:leader="none" w:pos="380"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Leases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have entered into leases in the normal course of business primarily for office facilities, some of which include renewal options and escalation clauses. Certain leases also include both lease components (fixed payments including rent, taxes and insurance costs) and non-lease components (common area or other maintenance costs) which are accounted for as a single lease component as we have elected the practical expedient to group lease and non-lease components together for all leases. We have also elected not to recognize leases with original lease terms of 12 months or less (short-term leases) on our Condensed Consolidated Statements of Financial Condition. Most of our leases include one or more options to renew. The exercise of lease renewal options is typically at our sole discretion and are included in our right of use (“ROU”) assets and lease liabilities if they are reasonably certain of exercise.</w:t>
      </w:r>
    </w:p>
    <w:p>
      <w:pPr>
        <w:spacing w:after="0" w:line="13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Leases are classified as operating or finance leases at the lease commencement date (we did not have any finance leases as of June 30, 2023). Lease expense for operating leases and short-term leases is recognized on a straight-line basis over the lease term. The ROU assets represent our right to use an underlying asset for the lease term and lease liabilities represent our obligation to make lease payments arising from the lease. ROU assets and lease liabilities are recognized at the lease commencement date based on the estimated present value of the lease payment over the lease term.</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NOTES TO INTERIM CONDENSED CONSOLIDATED FINANCIAL STATEMENTS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most of our leases do not provide an implicit rate, we use our incremental borrowing rate based on the information available at the lease commencement date in determining the present value of the lease payments.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40" w:type="dxa"/>
            <w:vAlign w:val="bottom"/>
          </w:tcPr>
          <w:p>
            <w:pPr>
              <w:spacing w:after="0"/>
              <w:rPr>
                <w:sz w:val="20"/>
                <w:szCs w:val="20"/>
                <w:color w:val="auto"/>
              </w:rPr>
            </w:pPr>
            <w:r>
              <w:rPr>
                <w:rFonts w:ascii="Arial" w:cs="Arial" w:eastAsia="Arial" w:hAnsi="Arial"/>
                <w:sz w:val="17"/>
                <w:szCs w:val="17"/>
                <w:color w:val="auto"/>
              </w:rPr>
              <w:t>The cost components of our operating leases follows: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415"/>
        </w:trPr>
        <w:tc>
          <w:tcPr>
            <w:tcW w:w="5040" w:type="dxa"/>
            <w:vAlign w:val="bottom"/>
          </w:tcPr>
          <w:p>
            <w:pPr>
              <w:spacing w:after="0"/>
              <w:rPr>
                <w:sz w:val="24"/>
                <w:szCs w:val="24"/>
                <w:color w:val="auto"/>
              </w:rPr>
            </w:pPr>
          </w:p>
        </w:tc>
        <w:tc>
          <w:tcPr>
            <w:tcW w:w="2600" w:type="dxa"/>
            <w:vAlign w:val="bottom"/>
            <w:gridSpan w:val="4"/>
          </w:tcPr>
          <w:p>
            <w:pPr>
              <w:jc w:val="center"/>
              <w:ind w:left="334"/>
              <w:spacing w:after="0"/>
              <w:rPr>
                <w:sz w:val="20"/>
                <w:szCs w:val="20"/>
                <w:color w:val="auto"/>
              </w:rPr>
            </w:pPr>
            <w:r>
              <w:rPr>
                <w:rFonts w:ascii="Arial" w:cs="Arial" w:eastAsia="Arial" w:hAnsi="Arial"/>
                <w:sz w:val="17"/>
                <w:szCs w:val="17"/>
                <w:color w:val="auto"/>
                <w:w w:val="91"/>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74"/>
              <w:spacing w:after="0"/>
              <w:rPr>
                <w:sz w:val="20"/>
                <w:szCs w:val="20"/>
                <w:color w:val="auto"/>
              </w:rPr>
            </w:pPr>
            <w:r>
              <w:rPr>
                <w:rFonts w:ascii="Arial" w:cs="Arial" w:eastAsia="Arial" w:hAnsi="Arial"/>
                <w:sz w:val="17"/>
                <w:szCs w:val="17"/>
                <w:color w:val="auto"/>
                <w:w w:val="92"/>
              </w:rPr>
              <w:t>Six Months Ended</w:t>
            </w:r>
          </w:p>
        </w:tc>
      </w:tr>
      <w:tr>
        <w:trPr>
          <w:trHeight w:val="217"/>
        </w:trPr>
        <w:tc>
          <w:tcPr>
            <w:tcW w:w="5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40" w:type="dxa"/>
            <w:vAlign w:val="bottom"/>
            <w:gridSpan w:val="3"/>
          </w:tcPr>
          <w:p>
            <w:pPr>
              <w:jc w:val="center"/>
              <w:ind w:right="540"/>
              <w:spacing w:after="0"/>
              <w:rPr>
                <w:sz w:val="20"/>
                <w:szCs w:val="20"/>
                <w:color w:val="auto"/>
              </w:rPr>
            </w:pPr>
            <w:r>
              <w:rPr>
                <w:rFonts w:ascii="Arial" w:cs="Arial" w:eastAsia="Arial" w:hAnsi="Arial"/>
                <w:sz w:val="17"/>
                <w:szCs w:val="17"/>
                <w:color w:val="auto"/>
                <w:w w:val="88"/>
              </w:rPr>
              <w:t>June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3"/>
          </w:tcPr>
          <w:p>
            <w:pPr>
              <w:jc w:val="center"/>
              <w:ind w:left="534"/>
              <w:spacing w:after="0"/>
              <w:rPr>
                <w:sz w:val="20"/>
                <w:szCs w:val="20"/>
                <w:color w:val="auto"/>
              </w:rPr>
            </w:pPr>
            <w:r>
              <w:rPr>
                <w:rFonts w:ascii="Arial" w:cs="Arial" w:eastAsia="Arial" w:hAnsi="Arial"/>
                <w:sz w:val="17"/>
                <w:szCs w:val="17"/>
                <w:color w:val="auto"/>
                <w:w w:val="85"/>
              </w:rPr>
              <w:t>June 30,</w:t>
            </w:r>
          </w:p>
        </w:tc>
        <w:tc>
          <w:tcPr>
            <w:tcW w:w="980" w:type="dxa"/>
            <w:vAlign w:val="bottom"/>
          </w:tcPr>
          <w:p>
            <w:pPr>
              <w:spacing w:after="0"/>
              <w:rPr>
                <w:sz w:val="18"/>
                <w:szCs w:val="18"/>
                <w:color w:val="auto"/>
              </w:rPr>
            </w:pPr>
          </w:p>
        </w:tc>
      </w:tr>
      <w:tr>
        <w:trPr>
          <w:trHeight w:val="265"/>
        </w:trPr>
        <w:tc>
          <w:tcPr>
            <w:tcW w:w="5040" w:type="dxa"/>
            <w:vAlign w:val="bottom"/>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2022</w:t>
            </w:r>
          </w:p>
        </w:tc>
        <w:tc>
          <w:tcPr>
            <w:tcW w:w="4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r>
      <w:tr>
        <w:trPr>
          <w:trHeight w:val="238"/>
        </w:trPr>
        <w:tc>
          <w:tcPr>
            <w:tcW w:w="5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40" w:type="dxa"/>
            <w:vAlign w:val="bottom"/>
            <w:gridSpan w:val="3"/>
          </w:tcPr>
          <w:p>
            <w:pPr>
              <w:jc w:val="center"/>
              <w:ind w:right="540"/>
              <w:spacing w:after="0"/>
              <w:rPr>
                <w:sz w:val="20"/>
                <w:szCs w:val="20"/>
                <w:color w:val="auto"/>
              </w:rPr>
            </w:pPr>
            <w:r>
              <w:rPr>
                <w:rFonts w:ascii="Arial" w:cs="Arial" w:eastAsia="Arial" w:hAnsi="Arial"/>
                <w:sz w:val="17"/>
                <w:szCs w:val="17"/>
                <w:color w:val="auto"/>
                <w:w w:val="90"/>
              </w:rPr>
              <w:t>(In thousands)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center"/>
              <w:ind w:left="534"/>
              <w:spacing w:after="0"/>
              <w:rPr>
                <w:sz w:val="20"/>
                <w:szCs w:val="20"/>
                <w:color w:val="auto"/>
              </w:rPr>
            </w:pPr>
            <w:r>
              <w:rPr>
                <w:rFonts w:ascii="Arial" w:cs="Arial" w:eastAsia="Arial" w:hAnsi="Arial"/>
                <w:sz w:val="17"/>
                <w:szCs w:val="17"/>
                <w:color w:val="auto"/>
                <w:w w:val="91"/>
              </w:rPr>
              <w:t>(In thousands)</w:t>
            </w:r>
          </w:p>
        </w:tc>
        <w:tc>
          <w:tcPr>
            <w:tcW w:w="980" w:type="dxa"/>
            <w:vAlign w:val="bottom"/>
          </w:tcPr>
          <w:p>
            <w:pPr>
              <w:spacing w:after="0"/>
              <w:rPr>
                <w:sz w:val="20"/>
                <w:szCs w:val="20"/>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359</w:t>
            </w:r>
          </w:p>
        </w:tc>
        <w:tc>
          <w:tcPr>
            <w:tcW w:w="114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408</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6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823</w:t>
            </w:r>
          </w:p>
        </w:tc>
      </w:tr>
      <w:tr>
        <w:trPr>
          <w:trHeight w:val="238"/>
        </w:trPr>
        <w:tc>
          <w:tcPr>
            <w:tcW w:w="5040" w:type="dxa"/>
            <w:vAlign w:val="bottom"/>
          </w:tcPr>
          <w:p>
            <w:pPr>
              <w:ind w:left="20"/>
              <w:spacing w:after="0"/>
              <w:rPr>
                <w:sz w:val="20"/>
                <w:szCs w:val="20"/>
                <w:color w:val="auto"/>
              </w:rPr>
            </w:pPr>
            <w:r>
              <w:rPr>
                <w:rFonts w:ascii="Arial" w:cs="Arial" w:eastAsia="Arial" w:hAnsi="Arial"/>
                <w:sz w:val="17"/>
                <w:szCs w:val="17"/>
                <w:color w:val="auto"/>
              </w:rPr>
              <w:t>Variable lease cost</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45"/>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9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45"/>
        </w:trPr>
        <w:tc>
          <w:tcPr>
            <w:tcW w:w="5040" w:type="dxa"/>
            <w:vAlign w:val="bottom"/>
          </w:tcPr>
          <w:p>
            <w:pPr>
              <w:ind w:left="320"/>
              <w:spacing w:after="0"/>
              <w:rPr>
                <w:sz w:val="20"/>
                <w:szCs w:val="20"/>
                <w:color w:val="auto"/>
              </w:rPr>
            </w:pPr>
            <w:r>
              <w:rPr>
                <w:rFonts w:ascii="Arial" w:cs="Arial" w:eastAsia="Arial" w:hAnsi="Arial"/>
                <w:sz w:val="17"/>
                <w:szCs w:val="17"/>
                <w:color w:val="auto"/>
              </w:rPr>
              <w:t>Total</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407</w:t>
            </w:r>
          </w:p>
        </w:tc>
        <w:tc>
          <w:tcPr>
            <w:tcW w:w="1140" w:type="dxa"/>
            <w:vAlign w:val="bottom"/>
            <w:gridSpan w:val="2"/>
          </w:tcPr>
          <w:p>
            <w:pPr>
              <w:jc w:val="right"/>
              <w:ind w:right="94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452</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815</w:t>
            </w:r>
          </w:p>
        </w:tc>
        <w:tc>
          <w:tcPr>
            <w:tcW w:w="6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901</w:t>
            </w:r>
          </w:p>
        </w:tc>
      </w:tr>
      <w:tr>
        <w:trPr>
          <w:trHeight w:val="20"/>
        </w:trPr>
        <w:tc>
          <w:tcPr>
            <w:tcW w:w="5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costs consist primarily of taxes, insurance, and common area or other maintenance costs for our leased facilities.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20"/>
                <w:szCs w:val="20"/>
                <w:color w:val="auto"/>
              </w:rPr>
            </w:pPr>
            <w:r>
              <w:rPr>
                <w:rFonts w:ascii="Arial" w:cs="Arial" w:eastAsia="Arial" w:hAnsi="Arial"/>
                <w:sz w:val="17"/>
                <w:szCs w:val="17"/>
                <w:color w:val="auto"/>
              </w:rPr>
              <w:t>Supplemental balance sheet information related to our operating leases follows: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76"/>
        </w:trPr>
        <w:tc>
          <w:tcPr>
            <w:tcW w:w="7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jc w:val="right"/>
              <w:ind w:right="414"/>
              <w:spacing w:after="0"/>
              <w:rPr>
                <w:sz w:val="20"/>
                <w:szCs w:val="20"/>
                <w:color w:val="auto"/>
              </w:rPr>
            </w:pPr>
            <w:r>
              <w:rPr>
                <w:rFonts w:ascii="Arial" w:cs="Arial" w:eastAsia="Arial" w:hAnsi="Arial"/>
                <w:sz w:val="17"/>
                <w:szCs w:val="17"/>
                <w:color w:val="auto"/>
              </w:rPr>
              <w:t>June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234"/>
              <w:spacing w:after="0"/>
              <w:rPr>
                <w:sz w:val="20"/>
                <w:szCs w:val="20"/>
                <w:color w:val="auto"/>
              </w:rPr>
            </w:pPr>
            <w:r>
              <w:rPr>
                <w:rFonts w:ascii="Arial" w:cs="Arial" w:eastAsia="Arial" w:hAnsi="Arial"/>
                <w:sz w:val="17"/>
                <w:szCs w:val="17"/>
                <w:color w:val="auto"/>
                <w:w w:val="97"/>
              </w:rPr>
              <w:t>December 31,</w:t>
            </w:r>
          </w:p>
        </w:tc>
      </w:tr>
      <w:tr>
        <w:trPr>
          <w:trHeight w:val="224"/>
        </w:trPr>
        <w:tc>
          <w:tcPr>
            <w:tcW w:w="79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2022</w:t>
            </w:r>
          </w:p>
        </w:tc>
      </w:tr>
      <w:tr>
        <w:trPr>
          <w:trHeight w:val="225"/>
        </w:trPr>
        <w:tc>
          <w:tcPr>
            <w:tcW w:w="7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gridSpan w:val="4"/>
          </w:tcPr>
          <w:p>
            <w:pPr>
              <w:jc w:val="right"/>
              <w:ind w:right="794"/>
              <w:spacing w:after="0"/>
              <w:rPr>
                <w:sz w:val="20"/>
                <w:szCs w:val="20"/>
                <w:color w:val="auto"/>
              </w:rPr>
            </w:pPr>
            <w:r>
              <w:rPr>
                <w:rFonts w:ascii="Arial" w:cs="Arial" w:eastAsia="Arial" w:hAnsi="Arial"/>
                <w:sz w:val="17"/>
                <w:szCs w:val="17"/>
                <w:color w:val="auto"/>
              </w:rPr>
              <w:t>(Dollars in thousands)</w:t>
            </w:r>
          </w:p>
        </w:tc>
      </w:tr>
      <w:tr>
        <w:trPr>
          <w:trHeight w:val="272"/>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right of use asset (1)</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4,895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5,544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960" w:type="dxa"/>
            <w:vAlign w:val="bottom"/>
          </w:tcPr>
          <w:p>
            <w:pPr>
              <w:ind w:left="20"/>
              <w:spacing w:after="0"/>
              <w:rPr>
                <w:sz w:val="20"/>
                <w:szCs w:val="20"/>
                <w:color w:val="auto"/>
              </w:rPr>
            </w:pPr>
            <w:r>
              <w:rPr>
                <w:rFonts w:ascii="Arial" w:cs="Arial" w:eastAsia="Arial" w:hAnsi="Arial"/>
                <w:sz w:val="17"/>
                <w:szCs w:val="17"/>
                <w:color w:val="auto"/>
              </w:rPr>
              <w:t>Lease liabilities (2)</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ind w:right="114"/>
              <w:spacing w:after="0"/>
              <w:rPr>
                <w:sz w:val="20"/>
                <w:szCs w:val="20"/>
                <w:color w:val="auto"/>
              </w:rPr>
            </w:pPr>
            <w:r>
              <w:rPr>
                <w:rFonts w:ascii="Arial" w:cs="Arial" w:eastAsia="Arial" w:hAnsi="Arial"/>
                <w:sz w:val="17"/>
                <w:szCs w:val="17"/>
                <w:color w:val="auto"/>
              </w:rPr>
              <w:t>5,081</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14"/>
              <w:spacing w:after="0"/>
              <w:rPr>
                <w:sz w:val="20"/>
                <w:szCs w:val="20"/>
                <w:color w:val="auto"/>
              </w:rPr>
            </w:pPr>
            <w:r>
              <w:rPr>
                <w:rFonts w:ascii="Arial" w:cs="Arial" w:eastAsia="Arial" w:hAnsi="Arial"/>
                <w:sz w:val="17"/>
                <w:szCs w:val="17"/>
                <w:color w:val="auto"/>
              </w:rPr>
              <w:t>5,769</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5"/>
        </w:trPr>
        <w:tc>
          <w:tcPr>
            <w:tcW w:w="7960" w:type="dxa"/>
            <w:vAlign w:val="bottom"/>
          </w:tcPr>
          <w:p>
            <w:pPr>
              <w:ind w:left="20"/>
              <w:spacing w:after="0"/>
              <w:rPr>
                <w:sz w:val="20"/>
                <w:szCs w:val="20"/>
                <w:color w:val="auto"/>
              </w:rPr>
            </w:pPr>
            <w:r>
              <w:rPr>
                <w:rFonts w:ascii="Arial" w:cs="Arial" w:eastAsia="Arial" w:hAnsi="Arial"/>
                <w:sz w:val="17"/>
                <w:szCs w:val="17"/>
                <w:color w:val="auto"/>
              </w:rPr>
              <w:t>Weighted average remaining lease term (years)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5.86</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discount rate</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2.4 %</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320" w:hanging="317"/>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Included in Accrued income and other assets in our Condensed Consolidated Statements of Financial Condition.</w:t>
      </w:r>
    </w:p>
    <w:p>
      <w:pPr>
        <w:spacing w:after="0" w:line="21" w:lineRule="exact"/>
        <w:rPr>
          <w:rFonts w:ascii="Arial" w:cs="Arial" w:eastAsia="Arial" w:hAnsi="Arial"/>
          <w:sz w:val="17"/>
          <w:szCs w:val="17"/>
          <w:color w:val="auto"/>
        </w:rPr>
      </w:pPr>
    </w:p>
    <w:p>
      <w:pPr>
        <w:ind w:left="320" w:hanging="317"/>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Included in Accrued expenses and other liabilities in our Condensed Consolidated Statements of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Maturity analysis of our lease liabilities at June 30, 2023 based on required contractual payments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7"/>
                <w:szCs w:val="17"/>
                <w:b w:val="1"/>
                <w:bCs w:val="1"/>
                <w:color w:val="auto"/>
                <w:w w:val="93"/>
              </w:rPr>
              <w:t>(In thousands)</w:t>
            </w:r>
          </w:p>
        </w:tc>
        <w:tc>
          <w:tcPr>
            <w:tcW w:w="0" w:type="dxa"/>
            <w:vAlign w:val="bottom"/>
          </w:tcPr>
          <w:p>
            <w:pPr>
              <w:spacing w:after="0"/>
              <w:rPr>
                <w:sz w:val="1"/>
                <w:szCs w:val="1"/>
                <w:color w:val="auto"/>
              </w:rPr>
            </w:pPr>
          </w:p>
        </w:tc>
      </w:tr>
      <w:tr>
        <w:trPr>
          <w:trHeight w:val="285"/>
        </w:trPr>
        <w:tc>
          <w:tcPr>
            <w:tcW w:w="41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Six months ending December 31, 2023</w:t>
            </w:r>
          </w:p>
        </w:tc>
        <w:tc>
          <w:tcPr>
            <w:tcW w:w="5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7"/>
                <w:szCs w:val="17"/>
                <w:color w:val="auto"/>
              </w:rPr>
              <w:t>2024</w:t>
            </w:r>
          </w:p>
        </w:tc>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1,063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5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w:t>
            </w:r>
          </w:p>
        </w:tc>
        <w:tc>
          <w:tcPr>
            <w:tcW w:w="0" w:type="dxa"/>
            <w:vAlign w:val="bottom"/>
          </w:tcPr>
          <w:p>
            <w:pPr>
              <w:spacing w:after="0"/>
              <w:rPr>
                <w:sz w:val="1"/>
                <w:szCs w:val="1"/>
                <w:color w:val="auto"/>
              </w:rPr>
            </w:pPr>
          </w:p>
        </w:tc>
      </w:tr>
      <w:tr>
        <w:trPr>
          <w:trHeight w:val="238"/>
        </w:trPr>
        <w:tc>
          <w:tcPr>
            <w:tcW w:w="4120" w:type="dxa"/>
            <w:vAlign w:val="bottom"/>
          </w:tcPr>
          <w:p>
            <w:pPr>
              <w:ind w:left="20"/>
              <w:spacing w:after="0"/>
              <w:rPr>
                <w:sz w:val="20"/>
                <w:szCs w:val="20"/>
                <w:color w:val="auto"/>
              </w:rPr>
            </w:pPr>
            <w:r>
              <w:rPr>
                <w:rFonts w:ascii="Arial" w:cs="Arial" w:eastAsia="Arial" w:hAnsi="Arial"/>
                <w:sz w:val="17"/>
                <w:szCs w:val="17"/>
                <w:color w:val="auto"/>
              </w:rPr>
              <w:t>2026</w:t>
            </w:r>
          </w:p>
        </w:tc>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820</w:t>
            </w:r>
          </w:p>
        </w:tc>
        <w:tc>
          <w:tcPr>
            <w:tcW w:w="0" w:type="dxa"/>
            <w:vAlign w:val="bottom"/>
          </w:tcPr>
          <w:p>
            <w:pPr>
              <w:spacing w:after="0"/>
              <w:rPr>
                <w:sz w:val="1"/>
                <w:szCs w:val="1"/>
                <w:color w:val="auto"/>
              </w:rPr>
            </w:pPr>
          </w:p>
        </w:tc>
      </w:tr>
      <w:tr>
        <w:trPr>
          <w:trHeight w:val="252"/>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5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238"/>
        </w:trPr>
        <w:tc>
          <w:tcPr>
            <w:tcW w:w="4120" w:type="dxa"/>
            <w:vAlign w:val="bottom"/>
          </w:tcPr>
          <w:p>
            <w:pPr>
              <w:ind w:left="20"/>
              <w:spacing w:after="0"/>
              <w:rPr>
                <w:sz w:val="20"/>
                <w:szCs w:val="20"/>
                <w:color w:val="auto"/>
              </w:rPr>
            </w:pPr>
            <w:r>
              <w:rPr>
                <w:rFonts w:ascii="Arial" w:cs="Arial" w:eastAsia="Arial" w:hAnsi="Arial"/>
                <w:sz w:val="17"/>
                <w:szCs w:val="17"/>
                <w:color w:val="auto"/>
              </w:rPr>
              <w:t>2028 and thereafter</w:t>
            </w:r>
          </w:p>
        </w:tc>
        <w:tc>
          <w:tcPr>
            <w:tcW w:w="5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1,197</w:t>
            </w:r>
          </w:p>
        </w:tc>
        <w:tc>
          <w:tcPr>
            <w:tcW w:w="0" w:type="dxa"/>
            <w:vAlign w:val="bottom"/>
          </w:tcPr>
          <w:p>
            <w:pPr>
              <w:spacing w:after="0"/>
              <w:rPr>
                <w:sz w:val="1"/>
                <w:szCs w:val="1"/>
                <w:color w:val="auto"/>
              </w:rPr>
            </w:pPr>
          </w:p>
        </w:tc>
      </w:tr>
      <w:tr>
        <w:trPr>
          <w:trHeight w:val="245"/>
        </w:trPr>
        <w:tc>
          <w:tcPr>
            <w:tcW w:w="4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lease payments</w:t>
            </w:r>
          </w:p>
        </w:tc>
        <w:tc>
          <w:tcPr>
            <w:tcW w:w="5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5,416</w:t>
            </w:r>
          </w:p>
        </w:tc>
        <w:tc>
          <w:tcPr>
            <w:tcW w:w="0" w:type="dxa"/>
            <w:vAlign w:val="bottom"/>
          </w:tcPr>
          <w:p>
            <w:pPr>
              <w:spacing w:after="0"/>
              <w:rPr>
                <w:sz w:val="1"/>
                <w:szCs w:val="1"/>
                <w:color w:val="auto"/>
              </w:rPr>
            </w:pPr>
          </w:p>
        </w:tc>
      </w:tr>
      <w:tr>
        <w:trPr>
          <w:trHeight w:val="271"/>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56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w:t>
            </w:r>
          </w:p>
        </w:tc>
        <w:tc>
          <w:tcPr>
            <w:tcW w:w="0" w:type="dxa"/>
            <w:vAlign w:val="bottom"/>
          </w:tcPr>
          <w:p>
            <w:pPr>
              <w:spacing w:after="0"/>
              <w:rPr>
                <w:sz w:val="1"/>
                <w:szCs w:val="1"/>
                <w:color w:val="auto"/>
              </w:rPr>
            </w:pPr>
          </w:p>
        </w:tc>
      </w:tr>
      <w:tr>
        <w:trPr>
          <w:trHeight w:val="258"/>
        </w:trPr>
        <w:tc>
          <w:tcPr>
            <w:tcW w:w="41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w:t>
            </w:r>
          </w:p>
        </w:tc>
        <w:tc>
          <w:tcPr>
            <w:tcW w:w="5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bottom w:val="single" w:sz="8" w:color="CCEEFF"/>
            </w:tcBorders>
            <w:vMerge w:val="restart"/>
          </w:tcPr>
          <w:p>
            <w:pPr>
              <w:jc w:val="right"/>
              <w:ind w:right="3954"/>
              <w:spacing w:after="0"/>
              <w:rPr>
                <w:sz w:val="20"/>
                <w:szCs w:val="20"/>
                <w:color w:val="auto"/>
              </w:rPr>
            </w:pPr>
            <w:r>
              <w:rPr>
                <w:rFonts w:ascii="Arial" w:cs="Arial" w:eastAsia="Arial" w:hAnsi="Arial"/>
                <w:sz w:val="17"/>
                <w:szCs w:val="17"/>
                <w:color w:val="auto"/>
              </w:rPr>
              <w:t>62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412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120" w:type="dxa"/>
            <w:vAlign w:val="bottom"/>
            <w:tcBorders>
              <w:bottom w:val="single" w:sz="8" w:color="9A9A9A"/>
            </w:tcBorders>
          </w:tcPr>
          <w:p>
            <w:pPr>
              <w:spacing w:after="0"/>
              <w:rPr>
                <w:sz w:val="9"/>
                <w:szCs w:val="9"/>
                <w:color w:val="auto"/>
              </w:rPr>
            </w:pPr>
          </w:p>
        </w:tc>
        <w:tc>
          <w:tcPr>
            <w:tcW w:w="5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3"/>
          <w:szCs w:val="13"/>
          <w:b w:val="1"/>
          <w:bCs w:val="1"/>
          <w:color w:val="auto"/>
        </w:rPr>
        <w:t>TEM</w:t>
      </w:r>
      <w:r>
        <w:rPr>
          <w:rFonts w:ascii="Arial" w:cs="Arial" w:eastAsia="Arial" w:hAnsi="Arial"/>
          <w:sz w:val="17"/>
          <w:szCs w:val="17"/>
          <w:b w:val="1"/>
          <w:bCs w:val="1"/>
          <w:color w:val="auto"/>
        </w:rPr>
        <w:t xml:space="preserve"> 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3"/>
          <w:szCs w:val="13"/>
          <w:b w:val="1"/>
          <w:bCs w:val="1"/>
          <w:color w:val="auto"/>
        </w:rPr>
        <w:t>ANAGEMENT’S</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ISCUSSION AND</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NALYSIS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OF </w:t>
      </w:r>
      <w:r>
        <w:rPr>
          <w:rFonts w:ascii="Arial" w:cs="Arial" w:eastAsia="Arial" w:hAnsi="Arial"/>
          <w:sz w:val="17"/>
          <w:szCs w:val="17"/>
          <w:b w:val="1"/>
          <w:bCs w:val="1"/>
          <w:color w:val="auto"/>
        </w:rPr>
        <w:t>F</w:t>
      </w:r>
      <w:r>
        <w:rPr>
          <w:rFonts w:ascii="Arial" w:cs="Arial" w:eastAsia="Arial" w:hAnsi="Arial"/>
          <w:sz w:val="14"/>
          <w:szCs w:val="14"/>
          <w:b w:val="1"/>
          <w:bCs w:val="1"/>
          <w:color w:val="auto"/>
        </w:rPr>
        <w:t xml:space="preserve">INANCIAL </w:t>
      </w:r>
      <w:r>
        <w:rPr>
          <w:rFonts w:ascii="Arial" w:cs="Arial" w:eastAsia="Arial" w:hAnsi="Arial"/>
          <w:sz w:val="17"/>
          <w:szCs w:val="17"/>
          <w:b w:val="1"/>
          <w:bCs w:val="1"/>
          <w:color w:val="auto"/>
        </w:rPr>
        <w:t>C</w:t>
      </w:r>
      <w:r>
        <w:rPr>
          <w:rFonts w:ascii="Arial" w:cs="Arial" w:eastAsia="Arial" w:hAnsi="Arial"/>
          <w:sz w:val="14"/>
          <w:szCs w:val="14"/>
          <w:b w:val="1"/>
          <w:bCs w:val="1"/>
          <w:color w:val="auto"/>
        </w:rPr>
        <w:t xml:space="preserve">ONDITION AND </w:t>
      </w:r>
      <w:r>
        <w:rPr>
          <w:rFonts w:ascii="Arial" w:cs="Arial" w:eastAsia="Arial" w:hAnsi="Arial"/>
          <w:sz w:val="17"/>
          <w:szCs w:val="17"/>
          <w:b w:val="1"/>
          <w:bCs w:val="1"/>
          <w:color w:val="auto"/>
        </w:rPr>
        <w:t>R</w:t>
      </w:r>
      <w:r>
        <w:rPr>
          <w:rFonts w:ascii="Arial" w:cs="Arial" w:eastAsia="Arial" w:hAnsi="Arial"/>
          <w:sz w:val="14"/>
          <w:szCs w:val="14"/>
          <w:b w:val="1"/>
          <w:bCs w:val="1"/>
          <w:color w:val="auto"/>
        </w:rPr>
        <w:t xml:space="preserve">ESULTS OF </w:t>
      </w:r>
      <w:r>
        <w:rPr>
          <w:rFonts w:ascii="Arial" w:cs="Arial" w:eastAsia="Arial" w:hAnsi="Arial"/>
          <w:sz w:val="17"/>
          <w:szCs w:val="17"/>
          <w:b w:val="1"/>
          <w:bCs w:val="1"/>
          <w:color w:val="auto"/>
        </w:rPr>
        <w:t>O</w:t>
      </w:r>
      <w:r>
        <w:rPr>
          <w:rFonts w:ascii="Arial" w:cs="Arial" w:eastAsia="Arial" w:hAnsi="Arial"/>
          <w:sz w:val="14"/>
          <w:szCs w:val="14"/>
          <w:b w:val="1"/>
          <w:bCs w:val="1"/>
          <w:color w:val="auto"/>
        </w:rPr>
        <w:t>PERATIONS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Introduction</w:t>
      </w:r>
      <w:r>
        <w:rPr>
          <w:rFonts w:ascii="Arial" w:cs="Arial" w:eastAsia="Arial" w:hAnsi="Arial"/>
          <w:sz w:val="16"/>
          <w:szCs w:val="16"/>
          <w:color w:val="auto"/>
        </w:rPr>
        <w:t>. The following section presents additional information to assess the financial condition and results of operations of Independent Bank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(“IBCP”), its wholly-owned bank, Independent Bank (the “Bank”), and their subsidiaries. This section should be read in conjunction with the Condensed Consolidated Financial Statements. We also encourage you to read our 2022 Annual Report on Form 10-K filed with the U.S. Securities and Exchange Commission (“SEC”). That report includes a list of risk factors that you should consider in connection with any decision to buy or sell our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r>
        <w:rPr>
          <w:rFonts w:ascii="Arial" w:cs="Arial" w:eastAsia="Arial" w:hAnsi="Arial"/>
          <w:sz w:val="15"/>
          <w:szCs w:val="15"/>
          <w:color w:val="auto"/>
        </w:rPr>
        <w:t>. We provide banking services to customers located primarily in Michigan’s Lower Peninsula. We also have a loan production office in Fairlawn, Ohio.</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As a result, our success depends to a great extent upon the economic conditions in Michigan’s Lower Peninsula.</w:t>
      </w:r>
    </w:p>
    <w:p>
      <w:pPr>
        <w:spacing w:after="0" w:line="16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color w:val="auto"/>
        </w:rPr>
        <w:t xml:space="preserve">Recent Developments. </w:t>
      </w:r>
      <w:r>
        <w:rPr>
          <w:rFonts w:ascii="Arial" w:cs="Arial" w:eastAsia="Arial" w:hAnsi="Arial"/>
          <w:sz w:val="17"/>
          <w:szCs w:val="17"/>
          <w:color w:val="auto"/>
        </w:rPr>
        <w:t>As explained in more detail below under Item 1A – “Risk Factors” – the recent closures of Silicon Valley Bank and Signature Bank have</w:t>
      </w:r>
      <w:r>
        <w:rPr>
          <w:rFonts w:ascii="Arial" w:cs="Arial" w:eastAsia="Arial" w:hAnsi="Arial"/>
          <w:sz w:val="17"/>
          <w:szCs w:val="17"/>
          <w:b w:val="1"/>
          <w:bCs w:val="1"/>
          <w:color w:val="auto"/>
        </w:rPr>
        <w:t xml:space="preserve"> </w:t>
      </w:r>
      <w:r>
        <w:rPr>
          <w:rFonts w:ascii="Arial" w:cs="Arial" w:eastAsia="Arial" w:hAnsi="Arial"/>
          <w:sz w:val="17"/>
          <w:szCs w:val="17"/>
          <w:color w:val="auto"/>
        </w:rPr>
        <w:t>impacted the financial services industry. These events have caused banks to reexamine their funding sources and liquidity risks and in some cases have caused deposit holders to reevaluate their banking relationships. As addressed below, we believe these events have caused little to no impact on our deposit base, aside from the mix and pricing of deposits, and that our liquidity and funding and capital resources remain strong. In the wake of these events, initiatives taken with our customer base included discussing how these events unfolded, reinforcing our current capital and liquidity positions and education to maximize FDIC insurance coverage. (See “Deposits and borrowings” and "Liquidity and capital resources").</w:t>
      </w:r>
    </w:p>
    <w:p>
      <w:pPr>
        <w:spacing w:after="0" w:line="149"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Pressures from various global and national macroeconomic conditions, including heightened inflation, rising interest rates, elevated energy prices, supply chain disruptions, concerns over the Russia-Ukraine war, and foreign currency exchange rate fluctuations continue to create significant economic uncertainty. The extent to which these pressures may impact our business, results of operations, asset valuations, financial condition, and customers will depend on future developments, which continue to be highly uncertain and difficult to predict. Material adverse impacts may include all or a combination of valuation impairments on our intangible assets, securities available for sale ("AFS"), securities held to maturity ("HTM"), loans, capitalized mortgage loan servicing rights or deferred tax assets.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It is against this backdrop that we discuss our results of operations and financial condition for the second quarter of 2023 as compared to earlier periods.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w:t>
      </w:r>
      <w:r>
        <w:rPr>
          <w:rFonts w:ascii="Arial" w:cs="Arial" w:eastAsia="Arial" w:hAnsi="Arial"/>
          <w:sz w:val="13"/>
          <w:szCs w:val="13"/>
          <w:b w:val="1"/>
          <w:bCs w:val="1"/>
          <w:color w:val="auto"/>
        </w:rPr>
        <w:t>ESULTS OF</w:t>
      </w:r>
      <w:r>
        <w:rPr>
          <w:rFonts w:ascii="Arial" w:cs="Arial" w:eastAsia="Arial" w:hAnsi="Arial"/>
          <w:sz w:val="17"/>
          <w:szCs w:val="17"/>
          <w:b w:val="1"/>
          <w:bCs w:val="1"/>
          <w:color w:val="auto"/>
        </w:rPr>
        <w:t xml:space="preserve"> O</w:t>
      </w:r>
      <w:r>
        <w:rPr>
          <w:rFonts w:ascii="Arial" w:cs="Arial" w:eastAsia="Arial" w:hAnsi="Arial"/>
          <w:sz w:val="13"/>
          <w:szCs w:val="13"/>
          <w:b w:val="1"/>
          <w:bCs w:val="1"/>
          <w:color w:val="auto"/>
        </w:rPr>
        <w:t>PERATIONS</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We recorded net income of $14.8 million and $13.0 million during the three months ended June 30, 2023 and 2022, respectively. The increase in 2023</w:t>
      </w:r>
      <w:r>
        <w:rPr>
          <w:rFonts w:ascii="Arial" w:cs="Arial" w:eastAsia="Arial" w:hAnsi="Arial"/>
          <w:sz w:val="17"/>
          <w:szCs w:val="17"/>
          <w:b w:val="1"/>
          <w:bCs w:val="1"/>
          <w:color w:val="auto"/>
        </w:rPr>
        <w:t xml:space="preserve"> </w:t>
      </w:r>
      <w:r>
        <w:rPr>
          <w:rFonts w:ascii="Arial" w:cs="Arial" w:eastAsia="Arial" w:hAnsi="Arial"/>
          <w:sz w:val="17"/>
          <w:szCs w:val="17"/>
          <w:color w:val="auto"/>
        </w:rPr>
        <w:t>second quarter results as compared to 2022 is primarily due to increases in net-interest income and non-interest income and a decrease in non-interest expense that were partially offset by an increase in the provision for credit losses and income tax expense.</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recorded net income of $27.8 million and $31.0 million during the six months ended June 30, 2023 and 2022, respectively. The decrease in 2023 year-to-date results as compared to 2022 is primarily due to an increase in the provision for credit losses and a decrease in non-interest income that was partially offset by an increase in net-interest income and decreases in non-interest expense and income tax expense.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95"/>
        </w:trPr>
        <w:tc>
          <w:tcPr>
            <w:tcW w:w="478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958"/>
        </w:trPr>
        <w:tc>
          <w:tcPr>
            <w:tcW w:w="4780" w:type="dxa"/>
            <w:vAlign w:val="bottom"/>
            <w:gridSpan w:val="2"/>
          </w:tcPr>
          <w:p>
            <w:pPr>
              <w:spacing w:after="0"/>
              <w:rPr>
                <w:sz w:val="20"/>
                <w:szCs w:val="20"/>
                <w:color w:val="auto"/>
              </w:rPr>
            </w:pPr>
            <w:r>
              <w:rPr>
                <w:rFonts w:ascii="Arial" w:cs="Arial" w:eastAsia="Arial" w:hAnsi="Arial"/>
                <w:sz w:val="17"/>
                <w:szCs w:val="17"/>
                <w:b w:val="1"/>
                <w:bCs w:val="1"/>
                <w:color w:val="auto"/>
              </w:rPr>
              <w:t>Key performance ratios</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5"/>
        </w:trPr>
        <w:tc>
          <w:tcPr>
            <w:tcW w:w="3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3200" w:type="dxa"/>
            <w:vAlign w:val="bottom"/>
            <w:gridSpan w:val="5"/>
          </w:tcPr>
          <w:p>
            <w:pPr>
              <w:ind w:left="580"/>
              <w:spacing w:after="0"/>
              <w:rPr>
                <w:sz w:val="20"/>
                <w:szCs w:val="20"/>
                <w:color w:val="auto"/>
              </w:rPr>
            </w:pPr>
            <w:r>
              <w:rPr>
                <w:rFonts w:ascii="Arial" w:cs="Arial" w:eastAsia="Arial" w:hAnsi="Arial"/>
                <w:sz w:val="17"/>
                <w:szCs w:val="17"/>
                <w:color w:val="auto"/>
              </w:rPr>
              <w:t>Three months ended June 30,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20" w:type="dxa"/>
            <w:vAlign w:val="bottom"/>
            <w:gridSpan w:val="4"/>
          </w:tcPr>
          <w:p>
            <w:pPr>
              <w:jc w:val="right"/>
              <w:ind w:right="574"/>
              <w:spacing w:after="0"/>
              <w:rPr>
                <w:sz w:val="20"/>
                <w:szCs w:val="20"/>
                <w:color w:val="auto"/>
              </w:rPr>
            </w:pPr>
            <w:r>
              <w:rPr>
                <w:rFonts w:ascii="Arial" w:cs="Arial" w:eastAsia="Arial" w:hAnsi="Arial"/>
                <w:sz w:val="17"/>
                <w:szCs w:val="17"/>
                <w:color w:val="auto"/>
              </w:rPr>
              <w:t>Six months ended June 30,</w:t>
            </w:r>
          </w:p>
        </w:tc>
      </w:tr>
      <w:tr>
        <w:trPr>
          <w:trHeight w:val="252"/>
        </w:trPr>
        <w:tc>
          <w:tcPr>
            <w:tcW w:w="38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96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w w:val="89"/>
              </w:rPr>
              <w:t>2023</w:t>
            </w:r>
          </w:p>
        </w:tc>
        <w:tc>
          <w:tcPr>
            <w:tcW w:w="6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2022</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r>
      <w:tr>
        <w:trPr>
          <w:trHeight w:val="218"/>
        </w:trPr>
        <w:tc>
          <w:tcPr>
            <w:tcW w:w="4780" w:type="dxa"/>
            <w:vAlign w:val="bottom"/>
            <w:gridSpan w:val="2"/>
          </w:tcPr>
          <w:p>
            <w:pPr>
              <w:ind w:left="20"/>
              <w:spacing w:after="0"/>
              <w:rPr>
                <w:sz w:val="20"/>
                <w:szCs w:val="20"/>
                <w:color w:val="auto"/>
              </w:rPr>
            </w:pPr>
            <w:r>
              <w:rPr>
                <w:rFonts w:ascii="Arial" w:cs="Arial" w:eastAsia="Arial" w:hAnsi="Arial"/>
                <w:sz w:val="17"/>
                <w:szCs w:val="17"/>
                <w:color w:val="auto"/>
              </w:rPr>
              <w:t>Net income (annualized) to</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
        </w:trPr>
        <w:tc>
          <w:tcPr>
            <w:tcW w:w="47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5"/>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Average assets</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1.10 %</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1.12 %</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1.32 %</w:t>
            </w:r>
          </w:p>
        </w:tc>
      </w:tr>
      <w:tr>
        <w:trPr>
          <w:trHeight w:val="238"/>
        </w:trPr>
        <w:tc>
          <w:tcPr>
            <w:tcW w:w="4780" w:type="dxa"/>
            <w:vAlign w:val="bottom"/>
            <w:gridSpan w:val="2"/>
          </w:tcPr>
          <w:p>
            <w:pPr>
              <w:ind w:left="180"/>
              <w:spacing w:after="0"/>
              <w:rPr>
                <w:sz w:val="20"/>
                <w:szCs w:val="20"/>
                <w:color w:val="auto"/>
              </w:rPr>
            </w:pPr>
            <w:r>
              <w:rPr>
                <w:rFonts w:ascii="Arial" w:cs="Arial" w:eastAsia="Arial" w:hAnsi="Arial"/>
                <w:sz w:val="17"/>
                <w:szCs w:val="17"/>
                <w:color w:val="auto"/>
              </w:rPr>
              <w:t>Average shareholders’ equity</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89"/>
              </w:rPr>
              <w:t>16.29 %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15.68 %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15.54 %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17.63 %</w:t>
            </w:r>
          </w:p>
        </w:tc>
      </w:tr>
      <w:tr>
        <w:trPr>
          <w:trHeight w:val="265"/>
        </w:trPr>
        <w:tc>
          <w:tcPr>
            <w:tcW w:w="4780" w:type="dxa"/>
            <w:vAlign w:val="bottom"/>
            <w:gridSpan w:val="2"/>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38"/>
        </w:trPr>
        <w:tc>
          <w:tcPr>
            <w:tcW w:w="4780" w:type="dxa"/>
            <w:vAlign w:val="bottom"/>
            <w:gridSpan w:val="2"/>
          </w:tcPr>
          <w:p>
            <w:pPr>
              <w:ind w:left="20"/>
              <w:spacing w:after="0"/>
              <w:rPr>
                <w:sz w:val="20"/>
                <w:szCs w:val="20"/>
                <w:color w:val="auto"/>
              </w:rPr>
            </w:pPr>
            <w:r>
              <w:rPr>
                <w:rFonts w:ascii="Arial" w:cs="Arial" w:eastAsia="Arial" w:hAnsi="Arial"/>
                <w:sz w:val="17"/>
                <w:szCs w:val="17"/>
                <w:color w:val="auto"/>
              </w:rPr>
              <w:t>Net income per common share</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2"/>
        </w:trPr>
        <w:tc>
          <w:tcPr>
            <w:tcW w:w="4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Basic</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0.70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0.62</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1.32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1.47</w:t>
            </w:r>
          </w:p>
        </w:tc>
      </w:tr>
      <w:tr>
        <w:trPr>
          <w:trHeight w:val="230"/>
        </w:trPr>
        <w:tc>
          <w:tcPr>
            <w:tcW w:w="4780" w:type="dxa"/>
            <w:vAlign w:val="bottom"/>
            <w:gridSpan w:val="2"/>
          </w:tcPr>
          <w:p>
            <w:pPr>
              <w:ind w:left="180"/>
              <w:spacing w:after="0"/>
              <w:rPr>
                <w:sz w:val="20"/>
                <w:szCs w:val="20"/>
                <w:color w:val="auto"/>
              </w:rPr>
            </w:pPr>
            <w:r>
              <w:rPr>
                <w:rFonts w:ascii="Arial" w:cs="Arial" w:eastAsia="Arial" w:hAnsi="Arial"/>
                <w:sz w:val="17"/>
                <w:szCs w:val="17"/>
                <w:color w:val="auto"/>
              </w:rPr>
              <w:t>Diluted</w:t>
            </w:r>
          </w:p>
        </w:tc>
        <w:tc>
          <w:tcPr>
            <w:tcW w:w="960" w:type="dxa"/>
            <w:vAlign w:val="bottom"/>
          </w:tcPr>
          <w:p>
            <w:pPr>
              <w:spacing w:after="0"/>
              <w:rPr>
                <w:sz w:val="20"/>
                <w:szCs w:val="20"/>
                <w:color w:val="auto"/>
              </w:rPr>
            </w:pPr>
          </w:p>
        </w:tc>
        <w:tc>
          <w:tcPr>
            <w:tcW w:w="600" w:type="dxa"/>
            <w:vAlign w:val="bottom"/>
          </w:tcPr>
          <w:p>
            <w:pPr>
              <w:jc w:val="right"/>
              <w:ind w:right="134"/>
              <w:spacing w:after="0"/>
              <w:rPr>
                <w:sz w:val="20"/>
                <w:szCs w:val="20"/>
                <w:color w:val="auto"/>
              </w:rPr>
            </w:pPr>
            <w:r>
              <w:rPr>
                <w:rFonts w:ascii="Arial" w:cs="Arial" w:eastAsia="Arial" w:hAnsi="Arial"/>
                <w:sz w:val="17"/>
                <w:szCs w:val="17"/>
                <w:color w:val="auto"/>
              </w:rPr>
              <w:t>0.70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34"/>
              <w:spacing w:after="0"/>
              <w:rPr>
                <w:sz w:val="20"/>
                <w:szCs w:val="20"/>
                <w:color w:val="auto"/>
              </w:rPr>
            </w:pPr>
            <w:r>
              <w:rPr>
                <w:rFonts w:ascii="Arial" w:cs="Arial" w:eastAsia="Arial" w:hAnsi="Arial"/>
                <w:sz w:val="17"/>
                <w:szCs w:val="17"/>
                <w:color w:val="auto"/>
              </w:rPr>
              <w:t>0.61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1.45</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Net interest income. </w:t>
      </w:r>
      <w:r>
        <w:rPr>
          <w:rFonts w:ascii="Arial" w:cs="Arial" w:eastAsia="Arial" w:hAnsi="Arial"/>
          <w:sz w:val="17"/>
          <w:szCs w:val="17"/>
          <w:color w:val="auto"/>
        </w:rPr>
        <w:t>Net interest income is the most important source of our earnings and thus is critical in evaluating our results of operations. Changes in our</w:t>
      </w:r>
      <w:r>
        <w:rPr>
          <w:rFonts w:ascii="Arial" w:cs="Arial" w:eastAsia="Arial" w:hAnsi="Arial"/>
          <w:sz w:val="17"/>
          <w:szCs w:val="17"/>
          <w:b w:val="1"/>
          <w:bCs w:val="1"/>
          <w:color w:val="auto"/>
        </w:rPr>
        <w:t xml:space="preserve"> </w:t>
      </w:r>
      <w:r>
        <w:rPr>
          <w:rFonts w:ascii="Arial" w:cs="Arial" w:eastAsia="Arial" w:hAnsi="Arial"/>
          <w:sz w:val="17"/>
          <w:szCs w:val="17"/>
          <w:color w:val="auto"/>
        </w:rPr>
        <w:t>net interest income are primarily influenced by our level of interest-earning assets and the income or yield that we earn on those assets and the manner and cost of funding our interest-earning assets. Certain macro-economic factors can also influence our net interest income such as the level and direction of interest rates, the difference between short-term and long-term interest rates (the steepness of the yield curve) and the general strength of the economies in which we are doing business. Finally, risk management plays an important role in our level of net interest income. The ineffective management of credit risk and interest-rate risk in particular can adversely impact our net interest income.</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net interest income totaled $38.4 million during the second quarter of 2023, an increase of $2.3 million, or 6.3% from the year-ago period. This increase primarily reflects a $269.6 million increase in average interest-earning assets while our tax equivalent net interest income as a percent of average interest-earning assets remained unchanged (the “net interest margin”).</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first six months of 2023, net interest income totaled $76.8 million, an increase of $7.7 million, or 11.2% from 2022. This increase primarily reflects a $237.0 million increase in average interest-earning assets and a 16 basis point increase in our net interest margin.</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average interest-earning assets in 2023 as compared to 2022 primarily reflects growth in commercial, mortgage and installment loans funded from an increase in deposits.</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net interest margin was unchanged during the most recent three month period as a 144 basis point increase in interest income as a percent of average interest-earning assets was offset by a like increase in the cost of funding liabilities. These increases are primarily attributed to the 475 basis point increase in the federal funds rate since May of 2022. Despite the fact that our net interest margin has been consistent year over year, it has been negatively impacted by changes in funding mix (such as shifting from non-interest bearing deposits to interest-bearing deposits and an increase in time deposits) as well as higher deposit pricing sensitivity to the increases in interest rates discussed above. This change in funding mix and pricing is expected to continue to have an impact on our net interest margin during 2023. See Asset/liability management.</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net interest income is also impacted by our level of non-accrual loans. In the second quarter and first six months of 2023, non-accrual loans averaged $3.9 million and $3.8 million, respectively. In the second quarter and first six months of 2022, non-accrual loans averaged $4.9 million and $5.0 million, respectively. In addition, in the second quarter and first six months of 2023 we had net recoveries of $0.3 million and $0.4 million, respectively of unpaid interest on loans placed on or taken off non-accrual or on loans previously charged-off compared to net recoveries of $0.2 million and $0.4 million, respectively, during the same periods in 2022.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95"/>
        </w:trPr>
        <w:tc>
          <w:tcPr>
            <w:tcW w:w="264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8"/>
        </w:trPr>
        <w:tc>
          <w:tcPr>
            <w:tcW w:w="3960" w:type="dxa"/>
            <w:vAlign w:val="bottom"/>
            <w:gridSpan w:val="4"/>
          </w:tcPr>
          <w:p>
            <w:pPr>
              <w:spacing w:after="0"/>
              <w:rPr>
                <w:sz w:val="20"/>
                <w:szCs w:val="20"/>
                <w:color w:val="auto"/>
              </w:rPr>
            </w:pPr>
            <w:r>
              <w:rPr>
                <w:rFonts w:ascii="Arial" w:cs="Arial" w:eastAsia="Arial" w:hAnsi="Arial"/>
                <w:sz w:val="17"/>
                <w:szCs w:val="17"/>
                <w:b w:val="1"/>
                <w:bCs w:val="1"/>
                <w:color w:val="auto"/>
              </w:rPr>
              <w:t>Average Balances and Tax Equivalent Rates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4"/>
          </w:tcPr>
          <w:p>
            <w:pPr>
              <w:ind w:left="440"/>
              <w:spacing w:after="0"/>
              <w:rPr>
                <w:sz w:val="20"/>
                <w:szCs w:val="20"/>
                <w:color w:val="auto"/>
              </w:rPr>
            </w:pPr>
            <w:r>
              <w:rPr>
                <w:rFonts w:ascii="Arial" w:cs="Arial" w:eastAsia="Arial" w:hAnsi="Arial"/>
                <w:sz w:val="17"/>
                <w:szCs w:val="17"/>
                <w:color w:val="auto"/>
              </w:rPr>
              <w:t>Three Months Ended June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294"/>
              <w:spacing w:after="0" w:line="181" w:lineRule="exact"/>
              <w:rPr>
                <w:sz w:val="20"/>
                <w:szCs w:val="20"/>
                <w:color w:val="auto"/>
              </w:rPr>
            </w:pPr>
            <w:r>
              <w:rPr>
                <w:rFonts w:ascii="Arial" w:cs="Arial" w:eastAsia="Arial" w:hAnsi="Arial"/>
                <w:sz w:val="17"/>
                <w:szCs w:val="17"/>
                <w:color w:val="auto"/>
              </w:rPr>
              <w:t>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vMerge w:val="restart"/>
          </w:tcPr>
          <w:p>
            <w:pPr>
              <w:jc w:val="right"/>
              <w:ind w:right="294"/>
              <w:spacing w:after="0"/>
              <w:rPr>
                <w:sz w:val="20"/>
                <w:szCs w:val="20"/>
                <w:color w:val="auto"/>
              </w:rPr>
            </w:pPr>
            <w:r>
              <w:rPr>
                <w:rFonts w:ascii="Arial" w:cs="Arial" w:eastAsia="Arial" w:hAnsi="Arial"/>
                <w:sz w:val="17"/>
                <w:szCs w:val="17"/>
                <w:color w:val="auto"/>
              </w:rPr>
              <w:t>Interest</w:t>
            </w:r>
          </w:p>
        </w:tc>
        <w:tc>
          <w:tcPr>
            <w:tcW w:w="100" w:type="dxa"/>
            <w:vAlign w:val="bottom"/>
          </w:tcPr>
          <w:p>
            <w:pPr>
              <w:spacing w:after="0"/>
              <w:rPr>
                <w:sz w:val="15"/>
                <w:szCs w:val="15"/>
                <w:color w:val="auto"/>
              </w:rPr>
            </w:pPr>
          </w:p>
        </w:tc>
        <w:tc>
          <w:tcPr>
            <w:tcW w:w="1420" w:type="dxa"/>
            <w:vAlign w:val="bottom"/>
            <w:vMerge w:val="restart"/>
          </w:tcPr>
          <w:p>
            <w:pPr>
              <w:ind w:left="440"/>
              <w:spacing w:after="0"/>
              <w:rPr>
                <w:sz w:val="20"/>
                <w:szCs w:val="20"/>
                <w:color w:val="auto"/>
              </w:rPr>
            </w:pPr>
            <w:r>
              <w:rPr>
                <w:rFonts w:ascii="Arial" w:cs="Arial" w:eastAsia="Arial" w:hAnsi="Arial"/>
                <w:sz w:val="17"/>
                <w:szCs w:val="17"/>
                <w:color w:val="auto"/>
              </w:rPr>
              <w:t>Rate (2)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294"/>
              <w:spacing w:after="0" w:line="181" w:lineRule="exact"/>
              <w:rPr>
                <w:sz w:val="20"/>
                <w:szCs w:val="20"/>
                <w:color w:val="auto"/>
              </w:rPr>
            </w:pPr>
            <w:r>
              <w:rPr>
                <w:rFonts w:ascii="Arial" w:cs="Arial" w:eastAsia="Arial" w:hAnsi="Arial"/>
                <w:sz w:val="17"/>
                <w:szCs w:val="17"/>
                <w:color w:val="auto"/>
              </w:rPr>
              <w:t>Average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vMerge w:val="restart"/>
          </w:tcPr>
          <w:p>
            <w:pPr>
              <w:jc w:val="right"/>
              <w:ind w:right="314"/>
              <w:spacing w:after="0"/>
              <w:rPr>
                <w:sz w:val="20"/>
                <w:szCs w:val="20"/>
                <w:color w:val="auto"/>
              </w:rPr>
            </w:pPr>
            <w:r>
              <w:rPr>
                <w:rFonts w:ascii="Arial" w:cs="Arial" w:eastAsia="Arial" w:hAnsi="Arial"/>
                <w:sz w:val="17"/>
                <w:szCs w:val="17"/>
                <w:color w:val="auto"/>
              </w:rPr>
              <w:t>Interest</w:t>
            </w:r>
          </w:p>
        </w:tc>
        <w:tc>
          <w:tcPr>
            <w:tcW w:w="100" w:type="dxa"/>
            <w:vAlign w:val="bottom"/>
          </w:tcPr>
          <w:p>
            <w:pPr>
              <w:spacing w:after="0"/>
              <w:rPr>
                <w:sz w:val="15"/>
                <w:szCs w:val="15"/>
                <w:color w:val="auto"/>
              </w:rPr>
            </w:pPr>
          </w:p>
        </w:tc>
        <w:tc>
          <w:tcPr>
            <w:tcW w:w="1420" w:type="dxa"/>
            <w:vAlign w:val="bottom"/>
            <w:vMerge w:val="restart"/>
          </w:tcPr>
          <w:p>
            <w:pPr>
              <w:ind w:left="440"/>
              <w:spacing w:after="0"/>
              <w:rPr>
                <w:sz w:val="20"/>
                <w:szCs w:val="20"/>
                <w:color w:val="auto"/>
              </w:rPr>
            </w:pPr>
            <w:r>
              <w:rPr>
                <w:rFonts w:ascii="Arial" w:cs="Arial" w:eastAsia="Arial" w:hAnsi="Arial"/>
                <w:sz w:val="17"/>
                <w:szCs w:val="17"/>
                <w:color w:val="auto"/>
              </w:rPr>
              <w:t>Rate (2)</w:t>
            </w: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Balance</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Balance</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4"/>
          </w:tcPr>
          <w:p>
            <w:pPr>
              <w:jc w:val="right"/>
              <w:ind w:right="534"/>
              <w:spacing w:after="0"/>
              <w:rPr>
                <w:sz w:val="20"/>
                <w:szCs w:val="20"/>
                <w:color w:val="auto"/>
              </w:rPr>
            </w:pPr>
            <w:r>
              <w:rPr>
                <w:rFonts w:ascii="Arial" w:cs="Arial" w:eastAsia="Arial" w:hAnsi="Arial"/>
                <w:sz w:val="17"/>
                <w:szCs w:val="17"/>
                <w:color w:val="auto"/>
              </w:rPr>
              <w:t>(Dollars in thousands)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640" w:type="dxa"/>
            <w:vAlign w:val="bottom"/>
            <w:gridSpan w:val="2"/>
          </w:tcPr>
          <w:p>
            <w:pPr>
              <w:ind w:left="20"/>
              <w:spacing w:after="0"/>
              <w:rPr>
                <w:sz w:val="20"/>
                <w:szCs w:val="20"/>
                <w:color w:val="auto"/>
              </w:rPr>
            </w:pPr>
            <w:r>
              <w:rPr>
                <w:rFonts w:ascii="Arial" w:cs="Arial" w:eastAsia="Arial" w:hAnsi="Arial"/>
                <w:sz w:val="17"/>
                <w:szCs w:val="17"/>
                <w:color w:val="auto"/>
              </w:rPr>
              <w:t>Assets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Taxable loans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3,561,333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47,617</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w w:val="90"/>
              </w:rPr>
              <w:t>5.36 %</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3,137,369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31,383</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w w:val="90"/>
              </w:rPr>
              <w:t>4.01 %</w:t>
            </w:r>
          </w:p>
        </w:tc>
        <w:tc>
          <w:tcPr>
            <w:tcW w:w="0" w:type="dxa"/>
            <w:vAlign w:val="bottom"/>
          </w:tcPr>
          <w:p>
            <w:pPr>
              <w:spacing w:after="0"/>
              <w:rPr>
                <w:sz w:val="1"/>
                <w:szCs w:val="1"/>
                <w:color w:val="auto"/>
              </w:rPr>
            </w:pPr>
          </w:p>
        </w:tc>
      </w:tr>
      <w:tr>
        <w:trPr>
          <w:trHeight w:val="251"/>
        </w:trPr>
        <w:tc>
          <w:tcPr>
            <w:tcW w:w="2640" w:type="dxa"/>
            <w:vAlign w:val="bottom"/>
            <w:gridSpan w:val="2"/>
          </w:tcPr>
          <w:p>
            <w:pPr>
              <w:ind w:left="20"/>
              <w:spacing w:after="0"/>
              <w:rPr>
                <w:sz w:val="20"/>
                <w:szCs w:val="20"/>
                <w:color w:val="auto"/>
              </w:rPr>
            </w:pPr>
            <w:r>
              <w:rPr>
                <w:rFonts w:ascii="Arial" w:cs="Arial" w:eastAsia="Arial" w:hAnsi="Arial"/>
                <w:sz w:val="17"/>
                <w:szCs w:val="17"/>
                <w:color w:val="auto"/>
              </w:rPr>
              <w:t>Tax-exempt loans (1)</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6,587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78</w:t>
            </w:r>
          </w:p>
        </w:tc>
        <w:tc>
          <w:tcPr>
            <w:tcW w:w="1520" w:type="dxa"/>
            <w:vAlign w:val="bottom"/>
            <w:gridSpan w:val="2"/>
          </w:tcPr>
          <w:p>
            <w:pPr>
              <w:ind w:left="1020"/>
              <w:spacing w:after="0"/>
              <w:rPr>
                <w:sz w:val="20"/>
                <w:szCs w:val="20"/>
                <w:color w:val="auto"/>
              </w:rPr>
            </w:pPr>
            <w:r>
              <w:rPr>
                <w:rFonts w:ascii="Arial" w:cs="Arial" w:eastAsia="Arial" w:hAnsi="Arial"/>
                <w:sz w:val="17"/>
                <w:szCs w:val="17"/>
                <w:color w:val="auto"/>
              </w:rPr>
              <w:t>4.75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7,726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90</w:t>
            </w:r>
          </w:p>
        </w:tc>
        <w:tc>
          <w:tcPr>
            <w:tcW w:w="1520" w:type="dxa"/>
            <w:vAlign w:val="bottom"/>
            <w:gridSpan w:val="2"/>
          </w:tcPr>
          <w:p>
            <w:pPr>
              <w:ind w:left="1020"/>
              <w:spacing w:after="0"/>
              <w:rPr>
                <w:sz w:val="20"/>
                <w:szCs w:val="20"/>
                <w:color w:val="auto"/>
              </w:rPr>
            </w:pPr>
            <w:r>
              <w:rPr>
                <w:rFonts w:ascii="Arial" w:cs="Arial" w:eastAsia="Arial" w:hAnsi="Arial"/>
                <w:sz w:val="17"/>
                <w:szCs w:val="17"/>
                <w:color w:val="auto"/>
              </w:rPr>
              <w:t>4.67</w:t>
            </w:r>
          </w:p>
        </w:tc>
        <w:tc>
          <w:tcPr>
            <w:tcW w:w="0" w:type="dxa"/>
            <w:vAlign w:val="bottom"/>
          </w:tcPr>
          <w:p>
            <w:pPr>
              <w:spacing w:after="0"/>
              <w:rPr>
                <w:sz w:val="1"/>
                <w:szCs w:val="1"/>
                <w:color w:val="auto"/>
              </w:rPr>
            </w:pPr>
          </w:p>
        </w:tc>
      </w:tr>
      <w:tr>
        <w:trPr>
          <w:trHeight w:val="265"/>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Taxable securities</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789,078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5,919</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3.00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966,146</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4,950</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51"/>
        </w:trPr>
        <w:tc>
          <w:tcPr>
            <w:tcW w:w="2640" w:type="dxa"/>
            <w:vAlign w:val="bottom"/>
            <w:gridSpan w:val="2"/>
          </w:tcPr>
          <w:p>
            <w:pPr>
              <w:ind w:left="20"/>
              <w:spacing w:after="0"/>
              <w:rPr>
                <w:sz w:val="20"/>
                <w:szCs w:val="20"/>
                <w:color w:val="auto"/>
              </w:rPr>
            </w:pPr>
            <w:r>
              <w:rPr>
                <w:rFonts w:ascii="Arial" w:cs="Arial" w:eastAsia="Arial" w:hAnsi="Arial"/>
                <w:sz w:val="17"/>
                <w:szCs w:val="17"/>
                <w:color w:val="auto"/>
              </w:rPr>
              <w:t>Tax-exempt securities (1)</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322,592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3,690</w:t>
            </w:r>
          </w:p>
        </w:tc>
        <w:tc>
          <w:tcPr>
            <w:tcW w:w="1520" w:type="dxa"/>
            <w:vAlign w:val="bottom"/>
            <w:gridSpan w:val="2"/>
          </w:tcPr>
          <w:p>
            <w:pPr>
              <w:ind w:left="1020"/>
              <w:spacing w:after="0"/>
              <w:rPr>
                <w:sz w:val="20"/>
                <w:szCs w:val="20"/>
                <w:color w:val="auto"/>
              </w:rPr>
            </w:pPr>
            <w:r>
              <w:rPr>
                <w:rFonts w:ascii="Arial" w:cs="Arial" w:eastAsia="Arial" w:hAnsi="Arial"/>
                <w:sz w:val="17"/>
                <w:szCs w:val="17"/>
                <w:color w:val="auto"/>
              </w:rPr>
              <w:t>4.58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346,788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2,208</w:t>
            </w:r>
          </w:p>
        </w:tc>
        <w:tc>
          <w:tcPr>
            <w:tcW w:w="1520" w:type="dxa"/>
            <w:vAlign w:val="bottom"/>
            <w:gridSpan w:val="2"/>
          </w:tcPr>
          <w:p>
            <w:pPr>
              <w:ind w:left="102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252"/>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bearing cash</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5.08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18,032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0.65</w:t>
            </w:r>
          </w:p>
        </w:tc>
        <w:tc>
          <w:tcPr>
            <w:tcW w:w="0" w:type="dxa"/>
            <w:vAlign w:val="bottom"/>
          </w:tcPr>
          <w:p>
            <w:pPr>
              <w:spacing w:after="0"/>
              <w:rPr>
                <w:sz w:val="1"/>
                <w:szCs w:val="1"/>
                <w:color w:val="auto"/>
              </w:rPr>
            </w:pPr>
          </w:p>
        </w:tc>
      </w:tr>
      <w:tr>
        <w:trPr>
          <w:trHeight w:val="238"/>
        </w:trPr>
        <w:tc>
          <w:tcPr>
            <w:tcW w:w="2640" w:type="dxa"/>
            <w:vAlign w:val="bottom"/>
            <w:gridSpan w:val="2"/>
          </w:tcPr>
          <w:p>
            <w:pPr>
              <w:ind w:left="20"/>
              <w:spacing w:after="0"/>
              <w:rPr>
                <w:sz w:val="20"/>
                <w:szCs w:val="20"/>
                <w:color w:val="auto"/>
              </w:rPr>
            </w:pPr>
            <w:r>
              <w:rPr>
                <w:rFonts w:ascii="Arial" w:cs="Arial" w:eastAsia="Arial" w:hAnsi="Arial"/>
                <w:sz w:val="17"/>
                <w:szCs w:val="17"/>
                <w:color w:val="auto"/>
              </w:rPr>
              <w:t>Other investments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17,682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w:t>
            </w:r>
          </w:p>
        </w:tc>
        <w:tc>
          <w:tcPr>
            <w:tcW w:w="1520" w:type="dxa"/>
            <w:vAlign w:val="bottom"/>
            <w:gridSpan w:val="2"/>
          </w:tcPr>
          <w:p>
            <w:pPr>
              <w:ind w:left="1020"/>
              <w:spacing w:after="0"/>
              <w:rPr>
                <w:sz w:val="20"/>
                <w:szCs w:val="20"/>
                <w:color w:val="auto"/>
              </w:rPr>
            </w:pPr>
            <w:r>
              <w:rPr>
                <w:rFonts w:ascii="Arial" w:cs="Arial" w:eastAsia="Arial" w:hAnsi="Arial"/>
                <w:sz w:val="17"/>
                <w:szCs w:val="17"/>
                <w:color w:val="auto"/>
              </w:rPr>
              <w:t>5.22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17,653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w:t>
            </w:r>
          </w:p>
        </w:tc>
        <w:tc>
          <w:tcPr>
            <w:tcW w:w="1520" w:type="dxa"/>
            <w:vAlign w:val="bottom"/>
            <w:gridSpan w:val="2"/>
          </w:tcPr>
          <w:p>
            <w:pPr>
              <w:ind w:left="1020"/>
              <w:spacing w:after="0"/>
              <w:rPr>
                <w:sz w:val="20"/>
                <w:szCs w:val="20"/>
                <w:color w:val="auto"/>
              </w:rPr>
            </w:pPr>
            <w:r>
              <w:rPr>
                <w:rFonts w:ascii="Arial" w:cs="Arial" w:eastAsia="Arial" w:hAnsi="Arial"/>
                <w:sz w:val="17"/>
                <w:szCs w:val="17"/>
                <w:color w:val="auto"/>
              </w:rPr>
              <w:t>4.20</w:t>
            </w:r>
          </w:p>
        </w:tc>
        <w:tc>
          <w:tcPr>
            <w:tcW w:w="0" w:type="dxa"/>
            <w:vAlign w:val="bottom"/>
          </w:tcPr>
          <w:p>
            <w:pPr>
              <w:spacing w:after="0"/>
              <w:rPr>
                <w:sz w:val="1"/>
                <w:szCs w:val="1"/>
                <w:color w:val="auto"/>
              </w:rPr>
            </w:pPr>
          </w:p>
        </w:tc>
      </w:tr>
      <w:tr>
        <w:trPr>
          <w:trHeight w:val="245"/>
        </w:trPr>
        <w:tc>
          <w:tcPr>
            <w:tcW w:w="2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Interest Earning Assets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4,763,295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58,371</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4.91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4,493,714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38,845</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38"/>
        </w:trPr>
        <w:tc>
          <w:tcPr>
            <w:tcW w:w="2640" w:type="dxa"/>
            <w:vAlign w:val="bottom"/>
            <w:gridSpan w:val="2"/>
          </w:tcPr>
          <w:p>
            <w:pPr>
              <w:ind w:left="20"/>
              <w:spacing w:after="0"/>
              <w:rPr>
                <w:sz w:val="20"/>
                <w:szCs w:val="20"/>
                <w:color w:val="auto"/>
              </w:rPr>
            </w:pPr>
            <w:r>
              <w:rPr>
                <w:rFonts w:ascii="Arial" w:cs="Arial" w:eastAsia="Arial" w:hAnsi="Arial"/>
                <w:sz w:val="17"/>
                <w:szCs w:val="17"/>
                <w:color w:val="auto"/>
              </w:rPr>
              <w:t>Cash and due from banks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55,945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58,497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225,506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206,749</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2260" w:type="dxa"/>
            <w:vAlign w:val="bottom"/>
          </w:tcPr>
          <w:p>
            <w:pPr>
              <w:ind w:left="100"/>
              <w:spacing w:after="0"/>
              <w:rPr>
                <w:sz w:val="20"/>
                <w:szCs w:val="20"/>
                <w:color w:val="auto"/>
              </w:rPr>
            </w:pPr>
            <w:r>
              <w:rPr>
                <w:rFonts w:ascii="Arial" w:cs="Arial" w:eastAsia="Arial" w:hAnsi="Arial"/>
                <w:sz w:val="17"/>
                <w:szCs w:val="17"/>
                <w:color w:val="auto"/>
              </w:rPr>
              <w:t>Total Assets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5,044,746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4,758,960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640" w:type="dxa"/>
            <w:vAlign w:val="bottom"/>
            <w:gridSpan w:val="2"/>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Savings and interest-bearing</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checking</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2,519,009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10,515</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1.67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2,534,242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0.12</w:t>
            </w:r>
          </w:p>
        </w:tc>
        <w:tc>
          <w:tcPr>
            <w:tcW w:w="0" w:type="dxa"/>
            <w:vAlign w:val="bottom"/>
          </w:tcPr>
          <w:p>
            <w:pPr>
              <w:spacing w:after="0"/>
              <w:rPr>
                <w:sz w:val="1"/>
                <w:szCs w:val="1"/>
                <w:color w:val="auto"/>
              </w:rPr>
            </w:pPr>
          </w:p>
        </w:tc>
      </w:tr>
      <w:tr>
        <w:trPr>
          <w:trHeight w:val="230"/>
        </w:trPr>
        <w:tc>
          <w:tcPr>
            <w:tcW w:w="2640" w:type="dxa"/>
            <w:vAlign w:val="bottom"/>
            <w:gridSpan w:val="2"/>
          </w:tcPr>
          <w:p>
            <w:pPr>
              <w:ind w:left="20"/>
              <w:spacing w:after="0"/>
              <w:rPr>
                <w:sz w:val="20"/>
                <w:szCs w:val="20"/>
                <w:color w:val="auto"/>
              </w:rPr>
            </w:pPr>
            <w:r>
              <w:rPr>
                <w:rFonts w:ascii="Arial" w:cs="Arial" w:eastAsia="Arial" w:hAnsi="Arial"/>
                <w:sz w:val="17"/>
                <w:szCs w:val="17"/>
                <w:color w:val="auto"/>
              </w:rPr>
              <w:t>Time deposits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761,705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6,946</w:t>
            </w:r>
          </w:p>
        </w:tc>
        <w:tc>
          <w:tcPr>
            <w:tcW w:w="1520" w:type="dxa"/>
            <w:vAlign w:val="bottom"/>
            <w:gridSpan w:val="2"/>
          </w:tcPr>
          <w:p>
            <w:pPr>
              <w:ind w:left="1020"/>
              <w:spacing w:after="0"/>
              <w:rPr>
                <w:sz w:val="20"/>
                <w:szCs w:val="20"/>
                <w:color w:val="auto"/>
              </w:rPr>
            </w:pPr>
            <w:r>
              <w:rPr>
                <w:rFonts w:ascii="Arial" w:cs="Arial" w:eastAsia="Arial" w:hAnsi="Arial"/>
                <w:sz w:val="17"/>
                <w:szCs w:val="17"/>
                <w:color w:val="auto"/>
              </w:rPr>
              <w:t>3.66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354,209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428</w:t>
            </w:r>
          </w:p>
        </w:tc>
        <w:tc>
          <w:tcPr>
            <w:tcW w:w="1520" w:type="dxa"/>
            <w:vAlign w:val="bottom"/>
            <w:gridSpan w:val="2"/>
          </w:tcPr>
          <w:p>
            <w:pPr>
              <w:ind w:left="1020"/>
              <w:spacing w:after="0"/>
              <w:rPr>
                <w:sz w:val="20"/>
                <w:szCs w:val="20"/>
                <w:color w:val="auto"/>
              </w:rPr>
            </w:pPr>
            <w:r>
              <w:rPr>
                <w:rFonts w:ascii="Arial" w:cs="Arial" w:eastAsia="Arial" w:hAnsi="Arial"/>
                <w:sz w:val="17"/>
                <w:szCs w:val="17"/>
                <w:color w:val="auto"/>
              </w:rPr>
              <w:t>0.48</w:t>
            </w:r>
          </w:p>
        </w:tc>
        <w:tc>
          <w:tcPr>
            <w:tcW w:w="0" w:type="dxa"/>
            <w:vAlign w:val="bottom"/>
          </w:tcPr>
          <w:p>
            <w:pPr>
              <w:spacing w:after="0"/>
              <w:rPr>
                <w:sz w:val="1"/>
                <w:szCs w:val="1"/>
                <w:color w:val="auto"/>
              </w:rPr>
            </w:pPr>
          </w:p>
        </w:tc>
      </w:tr>
      <w:tr>
        <w:trPr>
          <w:trHeight w:val="27"/>
        </w:trPr>
        <w:tc>
          <w:tcPr>
            <w:tcW w:w="26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borrowings</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134,907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2,137</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6.35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116,652</w:t>
            </w: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152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238"/>
        </w:trPr>
        <w:tc>
          <w:tcPr>
            <w:tcW w:w="2640" w:type="dxa"/>
            <w:vAlign w:val="bottom"/>
            <w:gridSpan w:val="2"/>
          </w:tcPr>
          <w:p>
            <w:pPr>
              <w:ind w:left="320"/>
              <w:spacing w:after="0"/>
              <w:rPr>
                <w:sz w:val="20"/>
                <w:szCs w:val="20"/>
                <w:color w:val="auto"/>
              </w:rPr>
            </w:pPr>
            <w:r>
              <w:rPr>
                <w:rFonts w:ascii="Arial" w:cs="Arial" w:eastAsia="Arial" w:hAnsi="Arial"/>
                <w:sz w:val="17"/>
                <w:szCs w:val="17"/>
                <w:color w:val="auto"/>
              </w:rPr>
              <w:t>Interest Bearing Liabilities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3,415,621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19,598</w:t>
            </w:r>
          </w:p>
        </w:tc>
        <w:tc>
          <w:tcPr>
            <w:tcW w:w="1520" w:type="dxa"/>
            <w:vAlign w:val="bottom"/>
            <w:gridSpan w:val="2"/>
          </w:tcPr>
          <w:p>
            <w:pPr>
              <w:ind w:left="1020"/>
              <w:spacing w:after="0"/>
              <w:rPr>
                <w:sz w:val="20"/>
                <w:szCs w:val="20"/>
                <w:color w:val="auto"/>
              </w:rPr>
            </w:pPr>
            <w:r>
              <w:rPr>
                <w:rFonts w:ascii="Arial" w:cs="Arial" w:eastAsia="Arial" w:hAnsi="Arial"/>
                <w:sz w:val="17"/>
                <w:szCs w:val="17"/>
                <w:color w:val="auto"/>
              </w:rPr>
              <w:t>2.30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3,005,103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2,303</w:t>
            </w:r>
          </w:p>
        </w:tc>
        <w:tc>
          <w:tcPr>
            <w:tcW w:w="1520" w:type="dxa"/>
            <w:vAlign w:val="bottom"/>
            <w:gridSpan w:val="2"/>
          </w:tcPr>
          <w:p>
            <w:pPr>
              <w:ind w:left="1020"/>
              <w:spacing w:after="0"/>
              <w:rPr>
                <w:sz w:val="20"/>
                <w:szCs w:val="20"/>
                <w:color w:val="auto"/>
              </w:rPr>
            </w:pPr>
            <w:r>
              <w:rPr>
                <w:rFonts w:ascii="Arial" w:cs="Arial" w:eastAsia="Arial" w:hAnsi="Arial"/>
                <w:sz w:val="17"/>
                <w:szCs w:val="17"/>
                <w:color w:val="auto"/>
              </w:rPr>
              <w:t>0.31</w:t>
            </w:r>
          </w:p>
        </w:tc>
        <w:tc>
          <w:tcPr>
            <w:tcW w:w="0" w:type="dxa"/>
            <w:vAlign w:val="bottom"/>
          </w:tcPr>
          <w:p>
            <w:pPr>
              <w:spacing w:after="0"/>
              <w:rPr>
                <w:sz w:val="1"/>
                <w:szCs w:val="1"/>
                <w:color w:val="auto"/>
              </w:rPr>
            </w:pPr>
          </w:p>
        </w:tc>
      </w:tr>
      <w:tr>
        <w:trPr>
          <w:trHeight w:val="252"/>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Non-interest bearing deposits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1,167,129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1,332,596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640" w:type="dxa"/>
            <w:vAlign w:val="bottom"/>
            <w:gridSpan w:val="2"/>
          </w:tcPr>
          <w:p>
            <w:pPr>
              <w:ind w:left="20"/>
              <w:spacing w:after="0"/>
              <w:rPr>
                <w:sz w:val="20"/>
                <w:szCs w:val="20"/>
                <w:color w:val="auto"/>
              </w:rPr>
            </w:pPr>
            <w:r>
              <w:rPr>
                <w:rFonts w:ascii="Arial" w:cs="Arial" w:eastAsia="Arial" w:hAnsi="Arial"/>
                <w:sz w:val="17"/>
                <w:szCs w:val="17"/>
                <w:color w:val="auto"/>
              </w:rPr>
              <w:t>Other liabilities</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97,853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88,651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364,143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332,610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80" w:type="dxa"/>
            <w:vAlign w:val="bottom"/>
            <w:shd w:val="clear" w:color="auto" w:fill="CCEEFF"/>
          </w:tcPr>
          <w:p>
            <w:pPr>
              <w:spacing w:after="0"/>
              <w:rPr>
                <w:sz w:val="19"/>
                <w:szCs w:val="19"/>
                <w:color w:val="auto"/>
              </w:rPr>
            </w:pPr>
          </w:p>
        </w:tc>
        <w:tc>
          <w:tcPr>
            <w:tcW w:w="22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liabilities and</w:t>
            </w:r>
          </w:p>
        </w:tc>
        <w:tc>
          <w:tcPr>
            <w:tcW w:w="24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5,044,746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4,758,960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shd w:val="clear" w:color="auto" w:fill="CCEEFF"/>
          </w:tcPr>
          <w:p>
            <w:pPr>
              <w:spacing w:after="0"/>
              <w:rPr>
                <w:sz w:val="20"/>
                <w:szCs w:val="20"/>
                <w:color w:val="auto"/>
              </w:rPr>
            </w:pPr>
          </w:p>
        </w:tc>
        <w:tc>
          <w:tcPr>
            <w:tcW w:w="2260" w:type="dxa"/>
            <w:vAlign w:val="bottom"/>
            <w:shd w:val="clear" w:color="auto" w:fill="CCEEFF"/>
          </w:tcPr>
          <w:p>
            <w:pPr>
              <w:jc w:val="center"/>
              <w:ind w:right="434"/>
              <w:spacing w:after="0"/>
              <w:rPr>
                <w:sz w:val="20"/>
                <w:szCs w:val="20"/>
                <w:color w:val="auto"/>
              </w:rPr>
            </w:pPr>
            <w:r>
              <w:rPr>
                <w:rFonts w:ascii="Arial" w:cs="Arial" w:eastAsia="Arial" w:hAnsi="Arial"/>
                <w:sz w:val="17"/>
                <w:szCs w:val="17"/>
                <w:color w:val="auto"/>
                <w:w w:val="90"/>
              </w:rPr>
              <w:t>shareholders’ equity</w:t>
            </w:r>
          </w:p>
        </w:tc>
        <w:tc>
          <w:tcPr>
            <w:tcW w:w="240" w:type="dxa"/>
            <w:vAlign w:val="bottom"/>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Net Interest Income</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38,773</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36,542</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6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4"/>
              </w:rPr>
              <w:t>Net Interest Income as a Percent of</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20" w:type="dxa"/>
            <w:vAlign w:val="bottom"/>
            <w:gridSpan w:val="2"/>
            <w:vMerge w:val="restart"/>
            <w:shd w:val="clear" w:color="auto" w:fill="CCEEFF"/>
          </w:tcPr>
          <w:p>
            <w:pPr>
              <w:ind w:left="1020"/>
              <w:spacing w:after="0"/>
              <w:rPr>
                <w:sz w:val="20"/>
                <w:szCs w:val="20"/>
                <w:color w:val="auto"/>
              </w:rPr>
            </w:pPr>
            <w:r>
              <w:rPr>
                <w:rFonts w:ascii="Arial" w:cs="Arial" w:eastAsia="Arial" w:hAnsi="Arial"/>
                <w:sz w:val="17"/>
                <w:szCs w:val="17"/>
                <w:color w:val="auto"/>
                <w:w w:val="90"/>
              </w:rPr>
              <w:t>3.26 %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20" w:type="dxa"/>
            <w:vAlign w:val="bottom"/>
            <w:gridSpan w:val="2"/>
            <w:vMerge w:val="restart"/>
            <w:shd w:val="clear" w:color="auto" w:fill="CCEEFF"/>
          </w:tcPr>
          <w:p>
            <w:pPr>
              <w:ind w:left="1020"/>
              <w:spacing w:after="0"/>
              <w:rPr>
                <w:sz w:val="20"/>
                <w:szCs w:val="20"/>
                <w:color w:val="auto"/>
              </w:rPr>
            </w:pPr>
            <w:r>
              <w:rPr>
                <w:rFonts w:ascii="Arial" w:cs="Arial" w:eastAsia="Arial" w:hAnsi="Arial"/>
                <w:sz w:val="17"/>
                <w:szCs w:val="17"/>
                <w:color w:val="auto"/>
                <w:w w:val="90"/>
              </w:rPr>
              <w:t>3.26 %</w:t>
            </w:r>
          </w:p>
        </w:tc>
        <w:tc>
          <w:tcPr>
            <w:tcW w:w="0" w:type="dxa"/>
            <w:vAlign w:val="bottom"/>
          </w:tcPr>
          <w:p>
            <w:pPr>
              <w:spacing w:after="0"/>
              <w:rPr>
                <w:sz w:val="1"/>
                <w:szCs w:val="1"/>
                <w:color w:val="auto"/>
              </w:rPr>
            </w:pPr>
          </w:p>
        </w:tc>
      </w:tr>
      <w:tr>
        <w:trPr>
          <w:trHeight w:val="238"/>
        </w:trPr>
        <w:tc>
          <w:tcPr>
            <w:tcW w:w="264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Average Interest Earning Assets</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5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5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178" w:lineRule="exact"/>
        <w:rPr>
          <w:sz w:val="20"/>
          <w:szCs w:val="20"/>
          <w:color w:val="auto"/>
        </w:rPr>
      </w:pPr>
    </w:p>
    <w:p>
      <w:pPr>
        <w:ind w:left="320" w:hanging="317"/>
        <w:spacing w:after="0"/>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Interest on tax-exempt loans and securities available for sale is presented on a fully tax equivalent basis assuming a marginal tax rate of 21%.</w:t>
      </w:r>
    </w:p>
    <w:p>
      <w:pPr>
        <w:spacing w:after="0" w:line="21" w:lineRule="exact"/>
        <w:rPr>
          <w:rFonts w:ascii="Arial" w:cs="Arial" w:eastAsia="Arial" w:hAnsi="Arial"/>
          <w:sz w:val="17"/>
          <w:szCs w:val="17"/>
          <w:color w:val="auto"/>
        </w:rPr>
      </w:pPr>
    </w:p>
    <w:p>
      <w:pPr>
        <w:ind w:left="320" w:hanging="317"/>
        <w:spacing w:after="0"/>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5"/>
        </w:trPr>
        <w:tc>
          <w:tcPr>
            <w:tcW w:w="140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8"/>
        </w:trPr>
        <w:tc>
          <w:tcPr>
            <w:tcW w:w="3660" w:type="dxa"/>
            <w:vAlign w:val="bottom"/>
            <w:gridSpan w:val="7"/>
          </w:tcPr>
          <w:p>
            <w:pPr>
              <w:spacing w:after="0"/>
              <w:rPr>
                <w:sz w:val="20"/>
                <w:szCs w:val="20"/>
                <w:color w:val="auto"/>
              </w:rPr>
            </w:pPr>
            <w:r>
              <w:rPr>
                <w:rFonts w:ascii="Arial" w:cs="Arial" w:eastAsia="Arial" w:hAnsi="Arial"/>
                <w:sz w:val="17"/>
                <w:szCs w:val="17"/>
                <w:b w:val="1"/>
                <w:bCs w:val="1"/>
                <w:color w:val="auto"/>
              </w:rPr>
              <w:t>Average Balances and Tax Equivalent Rates</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gridSpan w:val="6"/>
          </w:tcPr>
          <w:p>
            <w:pPr>
              <w:jc w:val="center"/>
              <w:ind w:left="294"/>
              <w:spacing w:after="0"/>
              <w:rPr>
                <w:sz w:val="20"/>
                <w:szCs w:val="20"/>
                <w:color w:val="auto"/>
              </w:rPr>
            </w:pPr>
            <w:r>
              <w:rPr>
                <w:rFonts w:ascii="Arial" w:cs="Arial" w:eastAsia="Arial" w:hAnsi="Arial"/>
                <w:sz w:val="17"/>
                <w:szCs w:val="17"/>
                <w:color w:val="auto"/>
                <w:w w:val="91"/>
              </w:rPr>
              <w:t>Six Months Ended June 30,</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gridSpan w:val="2"/>
          </w:tcPr>
          <w:p>
            <w:pPr>
              <w:jc w:val="right"/>
              <w:ind w:right="234"/>
              <w:spacing w:after="0"/>
              <w:rPr>
                <w:sz w:val="20"/>
                <w:szCs w:val="20"/>
                <w:color w:val="auto"/>
              </w:rPr>
            </w:pPr>
            <w:r>
              <w:rPr>
                <w:rFonts w:ascii="Arial" w:cs="Arial" w:eastAsia="Arial" w:hAnsi="Arial"/>
                <w:sz w:val="17"/>
                <w:szCs w:val="17"/>
                <w:color w:val="auto"/>
                <w:w w:val="89"/>
              </w:rPr>
              <w:t>2022</w:t>
            </w:r>
          </w:p>
        </w:tc>
        <w:tc>
          <w:tcPr>
            <w:tcW w:w="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jc w:val="right"/>
              <w:ind w:right="54"/>
              <w:spacing w:after="0"/>
              <w:rPr>
                <w:sz w:val="20"/>
                <w:szCs w:val="20"/>
                <w:color w:val="auto"/>
              </w:rPr>
            </w:pPr>
            <w:r>
              <w:rPr>
                <w:rFonts w:ascii="Arial" w:cs="Arial" w:eastAsia="Arial" w:hAnsi="Arial"/>
                <w:sz w:val="17"/>
                <w:szCs w:val="17"/>
                <w:color w:val="auto"/>
              </w:rPr>
              <w:t>Average</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auto"/>
              </w:rPr>
              <w:t>Average</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88"/>
              </w:rPr>
              <w:t>Rate</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Balance</w:t>
            </w: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Interest</w:t>
            </w: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Rate</w:t>
            </w: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Balance</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Interest</w:t>
            </w:r>
          </w:p>
        </w:tc>
        <w:tc>
          <w:tcPr>
            <w:tcW w:w="64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gridSpan w:val="6"/>
          </w:tcPr>
          <w:p>
            <w:pPr>
              <w:jc w:val="center"/>
              <w:ind w:left="274"/>
              <w:spacing w:after="0"/>
              <w:rPr>
                <w:sz w:val="20"/>
                <w:szCs w:val="20"/>
                <w:color w:val="auto"/>
              </w:rPr>
            </w:pPr>
            <w:r>
              <w:rPr>
                <w:rFonts w:ascii="Arial" w:cs="Arial" w:eastAsia="Arial" w:hAnsi="Arial"/>
                <w:sz w:val="17"/>
                <w:szCs w:val="17"/>
                <w:color w:val="auto"/>
                <w:w w:val="91"/>
              </w:rPr>
              <w:t>(Dollars in thousands)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400" w:type="dxa"/>
            <w:vAlign w:val="bottom"/>
            <w:gridSpan w:val="2"/>
          </w:tcPr>
          <w:p>
            <w:pPr>
              <w:ind w:left="20"/>
              <w:spacing w:after="0"/>
              <w:rPr>
                <w:sz w:val="20"/>
                <w:szCs w:val="20"/>
                <w:color w:val="auto"/>
              </w:rPr>
            </w:pPr>
            <w:r>
              <w:rPr>
                <w:rFonts w:ascii="Arial" w:cs="Arial" w:eastAsia="Arial" w:hAnsi="Arial"/>
                <w:sz w:val="17"/>
                <w:szCs w:val="17"/>
                <w:color w:val="auto"/>
              </w:rPr>
              <w:t>Assets</w:t>
            </w: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Taxable loans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$3,524,639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$91,851</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4"/>
              </w:rPr>
              <w:t>5.24 %</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$3,054,925</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4"/>
              </w:rPr>
              <w:t>$59,723</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w w:val="94"/>
              </w:rPr>
              <w:t>3.93 %</w:t>
            </w:r>
          </w:p>
        </w:tc>
        <w:tc>
          <w:tcPr>
            <w:tcW w:w="0" w:type="dxa"/>
            <w:vAlign w:val="bottom"/>
          </w:tcPr>
          <w:p>
            <w:pPr>
              <w:spacing w:after="0"/>
              <w:rPr>
                <w:sz w:val="1"/>
                <w:szCs w:val="1"/>
                <w:color w:val="auto"/>
              </w:rPr>
            </w:pPr>
          </w:p>
        </w:tc>
      </w:tr>
      <w:tr>
        <w:trPr>
          <w:trHeight w:val="220"/>
        </w:trPr>
        <w:tc>
          <w:tcPr>
            <w:tcW w:w="1400" w:type="dxa"/>
            <w:vAlign w:val="bottom"/>
            <w:gridSpan w:val="2"/>
          </w:tcPr>
          <w:p>
            <w:pPr>
              <w:ind w:left="20"/>
              <w:spacing w:after="0"/>
              <w:rPr>
                <w:sz w:val="20"/>
                <w:szCs w:val="20"/>
                <w:color w:val="auto"/>
              </w:rPr>
            </w:pPr>
            <w:r>
              <w:rPr>
                <w:rFonts w:ascii="Arial" w:cs="Arial" w:eastAsia="Arial" w:hAnsi="Arial"/>
                <w:sz w:val="17"/>
                <w:szCs w:val="17"/>
                <w:color w:val="auto"/>
              </w:rPr>
              <w:t>Tax-exempt loans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80" w:type="dxa"/>
            <w:vAlign w:val="bottom"/>
          </w:tcPr>
          <w:p>
            <w:pPr>
              <w:ind w:left="20"/>
              <w:spacing w:after="0"/>
              <w:rPr>
                <w:sz w:val="20"/>
                <w:szCs w:val="20"/>
                <w:color w:val="auto"/>
              </w:rPr>
            </w:pPr>
            <w:r>
              <w:rPr>
                <w:rFonts w:ascii="Arial" w:cs="Arial" w:eastAsia="Arial" w:hAnsi="Arial"/>
                <w:sz w:val="17"/>
                <w:szCs w:val="17"/>
                <w:color w:val="auto"/>
              </w:rPr>
              <w:t>(1)</w:t>
            </w:r>
          </w:p>
        </w:tc>
        <w:tc>
          <w:tcPr>
            <w:tcW w:w="10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6,608</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154</w:t>
            </w:r>
          </w:p>
        </w:tc>
        <w:tc>
          <w:tcPr>
            <w:tcW w:w="660" w:type="dxa"/>
            <w:vAlign w:val="bottom"/>
            <w:gridSpan w:val="2"/>
          </w:tcPr>
          <w:p>
            <w:pPr>
              <w:ind w:left="140"/>
              <w:spacing w:after="0"/>
              <w:rPr>
                <w:sz w:val="20"/>
                <w:szCs w:val="20"/>
                <w:color w:val="auto"/>
              </w:rPr>
            </w:pPr>
            <w:r>
              <w:rPr>
                <w:rFonts w:ascii="Arial" w:cs="Arial" w:eastAsia="Arial" w:hAnsi="Arial"/>
                <w:sz w:val="17"/>
                <w:szCs w:val="17"/>
                <w:color w:val="auto"/>
              </w:rPr>
              <w:t>4.70</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8,127</w:t>
            </w:r>
          </w:p>
        </w:tc>
        <w:tc>
          <w:tcPr>
            <w:tcW w:w="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189</w:t>
            </w:r>
          </w:p>
        </w:tc>
        <w:tc>
          <w:tcPr>
            <w:tcW w:w="640" w:type="dxa"/>
            <w:vAlign w:val="bottom"/>
            <w:gridSpan w:val="2"/>
          </w:tcPr>
          <w:p>
            <w:pPr>
              <w:ind w:left="120"/>
              <w:spacing w:after="0"/>
              <w:rPr>
                <w:sz w:val="20"/>
                <w:szCs w:val="20"/>
                <w:color w:val="auto"/>
              </w:rPr>
            </w:pPr>
            <w:r>
              <w:rPr>
                <w:rFonts w:ascii="Arial" w:cs="Arial" w:eastAsia="Arial" w:hAnsi="Arial"/>
                <w:sz w:val="17"/>
                <w:szCs w:val="17"/>
                <w:color w:val="auto"/>
              </w:rPr>
              <w:t>4.69</w:t>
            </w:r>
          </w:p>
        </w:tc>
        <w:tc>
          <w:tcPr>
            <w:tcW w:w="0" w:type="dxa"/>
            <w:vAlign w:val="bottom"/>
          </w:tcPr>
          <w:p>
            <w:pPr>
              <w:spacing w:after="0"/>
              <w:rPr>
                <w:sz w:val="1"/>
                <w:szCs w:val="1"/>
                <w:color w:val="auto"/>
              </w:rPr>
            </w:pPr>
          </w:p>
        </w:tc>
      </w:tr>
      <w:tr>
        <w:trPr>
          <w:trHeight w:val="252"/>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9"/>
              </w:rPr>
              <w:t>Taxable securities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805,733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11,803</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2.93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1,022,884</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9,502</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20"/>
        </w:trPr>
        <w:tc>
          <w:tcPr>
            <w:tcW w:w="1400" w:type="dxa"/>
            <w:vAlign w:val="bottom"/>
            <w:gridSpan w:val="2"/>
          </w:tcPr>
          <w:p>
            <w:pPr>
              <w:ind w:left="20"/>
              <w:spacing w:after="0"/>
              <w:rPr>
                <w:sz w:val="20"/>
                <w:szCs w:val="20"/>
                <w:color w:val="auto"/>
              </w:rPr>
            </w:pPr>
            <w:r>
              <w:rPr>
                <w:rFonts w:ascii="Arial" w:cs="Arial" w:eastAsia="Arial" w:hAnsi="Arial"/>
                <w:sz w:val="17"/>
                <w:szCs w:val="17"/>
                <w:color w:val="auto"/>
              </w:rPr>
              <w:t>Tax-exempt</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00" w:type="dxa"/>
            <w:vAlign w:val="bottom"/>
            <w:gridSpan w:val="2"/>
          </w:tcPr>
          <w:p>
            <w:pPr>
              <w:ind w:left="100"/>
              <w:spacing w:after="0"/>
              <w:rPr>
                <w:sz w:val="20"/>
                <w:szCs w:val="20"/>
                <w:color w:val="auto"/>
              </w:rPr>
            </w:pPr>
            <w:r>
              <w:rPr>
                <w:rFonts w:ascii="Arial" w:cs="Arial" w:eastAsia="Arial" w:hAnsi="Arial"/>
                <w:sz w:val="17"/>
                <w:szCs w:val="17"/>
                <w:color w:val="auto"/>
              </w:rPr>
              <w:t>securities (1)</w:t>
            </w:r>
          </w:p>
        </w:tc>
        <w:tc>
          <w:tcPr>
            <w:tcW w:w="880" w:type="dxa"/>
            <w:vAlign w:val="bottom"/>
          </w:tcPr>
          <w:p>
            <w:pPr>
              <w:jc w:val="right"/>
              <w:spacing w:after="0"/>
              <w:rPr>
                <w:sz w:val="20"/>
                <w:szCs w:val="20"/>
                <w:color w:val="auto"/>
              </w:rPr>
            </w:pPr>
            <w:r>
              <w:rPr>
                <w:rFonts w:ascii="Arial" w:cs="Arial" w:eastAsia="Arial" w:hAnsi="Arial"/>
                <w:sz w:val="17"/>
                <w:szCs w:val="17"/>
                <w:color w:val="auto"/>
              </w:rPr>
              <w:t>323,045</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7,196</w:t>
            </w:r>
          </w:p>
        </w:tc>
        <w:tc>
          <w:tcPr>
            <w:tcW w:w="660" w:type="dxa"/>
            <w:vAlign w:val="bottom"/>
            <w:gridSpan w:val="2"/>
          </w:tcPr>
          <w:p>
            <w:pPr>
              <w:ind w:left="140"/>
              <w:spacing w:after="0"/>
              <w:rPr>
                <w:sz w:val="20"/>
                <w:szCs w:val="20"/>
                <w:color w:val="auto"/>
              </w:rPr>
            </w:pPr>
            <w:r>
              <w:rPr>
                <w:rFonts w:ascii="Arial" w:cs="Arial" w:eastAsia="Arial" w:hAnsi="Arial"/>
                <w:sz w:val="17"/>
                <w:szCs w:val="17"/>
                <w:color w:val="auto"/>
              </w:rPr>
              <w:t>4.46</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336,935</w:t>
            </w:r>
          </w:p>
        </w:tc>
        <w:tc>
          <w:tcPr>
            <w:tcW w:w="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4,223</w:t>
            </w:r>
          </w:p>
        </w:tc>
        <w:tc>
          <w:tcPr>
            <w:tcW w:w="640" w:type="dxa"/>
            <w:vAlign w:val="bottom"/>
            <w:gridSpan w:val="2"/>
          </w:tcPr>
          <w:p>
            <w:pPr>
              <w:ind w:left="120"/>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214"/>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Interest bearing</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cash</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52,531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1,301</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4.99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52,483</w:t>
            </w: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0.25</w:t>
            </w:r>
          </w:p>
        </w:tc>
        <w:tc>
          <w:tcPr>
            <w:tcW w:w="0" w:type="dxa"/>
            <w:vAlign w:val="bottom"/>
          </w:tcPr>
          <w:p>
            <w:pPr>
              <w:spacing w:after="0"/>
              <w:rPr>
                <w:sz w:val="1"/>
                <w:szCs w:val="1"/>
                <w:color w:val="auto"/>
              </w:rPr>
            </w:pPr>
          </w:p>
        </w:tc>
      </w:tr>
      <w:tr>
        <w:trPr>
          <w:trHeight w:val="251"/>
        </w:trPr>
        <w:tc>
          <w:tcPr>
            <w:tcW w:w="1400" w:type="dxa"/>
            <w:vAlign w:val="bottom"/>
            <w:gridSpan w:val="2"/>
          </w:tcPr>
          <w:p>
            <w:pPr>
              <w:ind w:left="20"/>
              <w:spacing w:after="0"/>
              <w:rPr>
                <w:sz w:val="20"/>
                <w:szCs w:val="20"/>
                <w:color w:val="auto"/>
              </w:rPr>
            </w:pPr>
            <w:r>
              <w:rPr>
                <w:rFonts w:ascii="Arial" w:cs="Arial" w:eastAsia="Arial" w:hAnsi="Arial"/>
                <w:sz w:val="17"/>
                <w:szCs w:val="17"/>
                <w:color w:val="auto"/>
                <w:w w:val="98"/>
              </w:rPr>
              <w:t>Other investments</w:t>
            </w:r>
          </w:p>
        </w:tc>
        <w:tc>
          <w:tcPr>
            <w:tcW w:w="880" w:type="dxa"/>
            <w:vAlign w:val="bottom"/>
          </w:tcPr>
          <w:p>
            <w:pPr>
              <w:jc w:val="right"/>
              <w:spacing w:after="0"/>
              <w:rPr>
                <w:sz w:val="20"/>
                <w:szCs w:val="20"/>
                <w:color w:val="auto"/>
              </w:rPr>
            </w:pPr>
            <w:r>
              <w:rPr>
                <w:rFonts w:ascii="Arial" w:cs="Arial" w:eastAsia="Arial" w:hAnsi="Arial"/>
                <w:sz w:val="17"/>
                <w:szCs w:val="17"/>
                <w:color w:val="auto"/>
              </w:rPr>
              <w:t>17,668</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441</w:t>
            </w:r>
          </w:p>
        </w:tc>
        <w:tc>
          <w:tcPr>
            <w:tcW w:w="660" w:type="dxa"/>
            <w:vAlign w:val="bottom"/>
            <w:gridSpan w:val="2"/>
          </w:tcPr>
          <w:p>
            <w:pPr>
              <w:ind w:left="140"/>
              <w:spacing w:after="0"/>
              <w:rPr>
                <w:sz w:val="20"/>
                <w:szCs w:val="20"/>
                <w:color w:val="auto"/>
              </w:rPr>
            </w:pPr>
            <w:r>
              <w:rPr>
                <w:rFonts w:ascii="Arial" w:cs="Arial" w:eastAsia="Arial" w:hAnsi="Arial"/>
                <w:sz w:val="17"/>
                <w:szCs w:val="17"/>
                <w:color w:val="auto"/>
              </w:rPr>
              <w:t>5.03</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17,884</w:t>
            </w:r>
          </w:p>
        </w:tc>
        <w:tc>
          <w:tcPr>
            <w:tcW w:w="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365</w:t>
            </w:r>
          </w:p>
        </w:tc>
        <w:tc>
          <w:tcPr>
            <w:tcW w:w="640" w:type="dxa"/>
            <w:vAlign w:val="bottom"/>
            <w:gridSpan w:val="2"/>
          </w:tcPr>
          <w:p>
            <w:pPr>
              <w:ind w:left="120"/>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194"/>
        </w:trPr>
        <w:tc>
          <w:tcPr>
            <w:tcW w:w="1400" w:type="dxa"/>
            <w:vAlign w:val="bottom"/>
            <w:tcBorders>
              <w:top w:val="single" w:sz="8" w:color="CCEEFF"/>
            </w:tcBorders>
            <w:gridSpan w:val="2"/>
            <w:shd w:val="clear" w:color="auto" w:fill="CCEEFF"/>
          </w:tcPr>
          <w:p>
            <w:pPr>
              <w:ind w:left="320"/>
              <w:spacing w:after="0" w:line="194" w:lineRule="exact"/>
              <w:rPr>
                <w:sz w:val="20"/>
                <w:szCs w:val="20"/>
                <w:color w:val="auto"/>
              </w:rPr>
            </w:pPr>
            <w:r>
              <w:rPr>
                <w:rFonts w:ascii="Arial" w:cs="Arial" w:eastAsia="Arial" w:hAnsi="Arial"/>
                <w:sz w:val="17"/>
                <w:szCs w:val="17"/>
                <w:color w:val="auto"/>
              </w:rPr>
              <w:t>Interest</w:t>
            </w: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w w:val="92"/>
              </w:rPr>
              <w:t>Earning Assets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4,730,224</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112,746</w:t>
            </w:r>
          </w:p>
        </w:tc>
        <w:tc>
          <w:tcPr>
            <w:tcW w:w="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4.79</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4,493,238</w:t>
            </w:r>
          </w:p>
        </w:tc>
        <w:tc>
          <w:tcPr>
            <w:tcW w:w="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74,068</w:t>
            </w:r>
          </w:p>
        </w:tc>
        <w:tc>
          <w:tcPr>
            <w:tcW w:w="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07"/>
        </w:trPr>
        <w:tc>
          <w:tcPr>
            <w:tcW w:w="1400" w:type="dxa"/>
            <w:vAlign w:val="bottom"/>
            <w:gridSpan w:val="2"/>
          </w:tcPr>
          <w:p>
            <w:pPr>
              <w:ind w:left="20"/>
              <w:spacing w:after="0"/>
              <w:rPr>
                <w:sz w:val="20"/>
                <w:szCs w:val="20"/>
                <w:color w:val="auto"/>
              </w:rPr>
            </w:pPr>
            <w:r>
              <w:rPr>
                <w:rFonts w:ascii="Arial" w:cs="Arial" w:eastAsia="Arial" w:hAnsi="Arial"/>
                <w:sz w:val="17"/>
                <w:szCs w:val="17"/>
                <w:color w:val="auto"/>
                <w:w w:val="94"/>
              </w:rPr>
              <w:t>Cash and due from</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400" w:type="dxa"/>
            <w:vAlign w:val="bottom"/>
            <w:gridSpan w:val="2"/>
          </w:tcPr>
          <w:p>
            <w:pPr>
              <w:ind w:left="140"/>
              <w:spacing w:after="0"/>
              <w:rPr>
                <w:sz w:val="20"/>
                <w:szCs w:val="20"/>
                <w:color w:val="auto"/>
              </w:rPr>
            </w:pPr>
            <w:r>
              <w:rPr>
                <w:rFonts w:ascii="Arial" w:cs="Arial" w:eastAsia="Arial" w:hAnsi="Arial"/>
                <w:sz w:val="17"/>
                <w:szCs w:val="17"/>
                <w:color w:val="auto"/>
              </w:rPr>
              <w:t>banks</w:t>
            </w:r>
          </w:p>
        </w:tc>
        <w:tc>
          <w:tcPr>
            <w:tcW w:w="880" w:type="dxa"/>
            <w:vAlign w:val="bottom"/>
          </w:tcPr>
          <w:p>
            <w:pPr>
              <w:jc w:val="right"/>
              <w:spacing w:after="0"/>
              <w:rPr>
                <w:sz w:val="20"/>
                <w:szCs w:val="20"/>
                <w:color w:val="auto"/>
              </w:rPr>
            </w:pPr>
            <w:r>
              <w:rPr>
                <w:rFonts w:ascii="Arial" w:cs="Arial" w:eastAsia="Arial" w:hAnsi="Arial"/>
                <w:sz w:val="17"/>
                <w:szCs w:val="17"/>
                <w:color w:val="auto"/>
              </w:rPr>
              <w:t>58,182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58,586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228,342</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188,381</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auto"/>
                <w:w w:val="96"/>
              </w:rPr>
              <w:t>Total Assets</w:t>
            </w:r>
          </w:p>
        </w:tc>
        <w:tc>
          <w:tcPr>
            <w:tcW w:w="880" w:type="dxa"/>
            <w:vAlign w:val="bottom"/>
          </w:tcPr>
          <w:p>
            <w:pPr>
              <w:jc w:val="right"/>
              <w:spacing w:after="0"/>
              <w:rPr>
                <w:sz w:val="20"/>
                <w:szCs w:val="20"/>
                <w:color w:val="auto"/>
              </w:rPr>
            </w:pPr>
            <w:r>
              <w:rPr>
                <w:rFonts w:ascii="Arial" w:cs="Arial" w:eastAsia="Arial" w:hAnsi="Arial"/>
                <w:sz w:val="17"/>
                <w:szCs w:val="17"/>
                <w:color w:val="auto"/>
                <w:w w:val="93"/>
              </w:rPr>
              <w:t>$5,016,748</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w w:val="98"/>
              </w:rPr>
              <w:t>$4,740,205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400" w:type="dxa"/>
            <w:vAlign w:val="bottom"/>
            <w:gridSpan w:val="2"/>
          </w:tcPr>
          <w:p>
            <w:pPr>
              <w:ind w:left="20"/>
              <w:spacing w:after="0"/>
              <w:rPr>
                <w:sz w:val="20"/>
                <w:szCs w:val="20"/>
                <w:color w:val="auto"/>
              </w:rPr>
            </w:pPr>
            <w:r>
              <w:rPr>
                <w:rFonts w:ascii="Arial" w:cs="Arial" w:eastAsia="Arial" w:hAnsi="Arial"/>
                <w:sz w:val="17"/>
                <w:szCs w:val="17"/>
                <w:color w:val="auto"/>
              </w:rPr>
              <w:t>Liabilities</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Savings and</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40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7"/>
                <w:szCs w:val="17"/>
                <w:color w:val="auto"/>
              </w:rPr>
              <w:t>interest-bearing</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4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checking</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$2,526,982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19,372</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1.55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$2,518,714</w:t>
            </w:r>
          </w:p>
        </w:tc>
        <w:tc>
          <w:tcPr>
            <w:tcW w:w="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1,429</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0.11</w:t>
            </w:r>
          </w:p>
        </w:tc>
        <w:tc>
          <w:tcPr>
            <w:tcW w:w="0" w:type="dxa"/>
            <w:vAlign w:val="bottom"/>
          </w:tcPr>
          <w:p>
            <w:pPr>
              <w:spacing w:after="0"/>
              <w:rPr>
                <w:sz w:val="1"/>
                <w:szCs w:val="1"/>
                <w:color w:val="auto"/>
              </w:rPr>
            </w:pPr>
          </w:p>
        </w:tc>
      </w:tr>
      <w:tr>
        <w:trPr>
          <w:trHeight w:val="238"/>
        </w:trPr>
        <w:tc>
          <w:tcPr>
            <w:tcW w:w="1400" w:type="dxa"/>
            <w:vAlign w:val="bottom"/>
            <w:gridSpan w:val="2"/>
          </w:tcPr>
          <w:p>
            <w:pPr>
              <w:ind w:left="20"/>
              <w:spacing w:after="0"/>
              <w:rPr>
                <w:sz w:val="20"/>
                <w:szCs w:val="20"/>
                <w:color w:val="auto"/>
              </w:rPr>
            </w:pPr>
            <w:r>
              <w:rPr>
                <w:rFonts w:ascii="Arial" w:cs="Arial" w:eastAsia="Arial" w:hAnsi="Arial"/>
                <w:sz w:val="17"/>
                <w:szCs w:val="17"/>
                <w:color w:val="auto"/>
              </w:rPr>
              <w:t>Time deposits</w:t>
            </w:r>
          </w:p>
        </w:tc>
        <w:tc>
          <w:tcPr>
            <w:tcW w:w="880" w:type="dxa"/>
            <w:vAlign w:val="bottom"/>
          </w:tcPr>
          <w:p>
            <w:pPr>
              <w:jc w:val="right"/>
              <w:spacing w:after="0"/>
              <w:rPr>
                <w:sz w:val="20"/>
                <w:szCs w:val="20"/>
                <w:color w:val="auto"/>
              </w:rPr>
            </w:pPr>
            <w:r>
              <w:rPr>
                <w:rFonts w:ascii="Arial" w:cs="Arial" w:eastAsia="Arial" w:hAnsi="Arial"/>
                <w:sz w:val="17"/>
                <w:szCs w:val="17"/>
                <w:color w:val="auto"/>
              </w:rPr>
              <w:t>709,983</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11,849</w:t>
            </w:r>
          </w:p>
        </w:tc>
        <w:tc>
          <w:tcPr>
            <w:tcW w:w="660" w:type="dxa"/>
            <w:vAlign w:val="bottom"/>
            <w:gridSpan w:val="2"/>
          </w:tcPr>
          <w:p>
            <w:pPr>
              <w:ind w:left="140"/>
              <w:spacing w:after="0"/>
              <w:rPr>
                <w:sz w:val="20"/>
                <w:szCs w:val="20"/>
                <w:color w:val="auto"/>
              </w:rPr>
            </w:pPr>
            <w:r>
              <w:rPr>
                <w:rFonts w:ascii="Arial" w:cs="Arial" w:eastAsia="Arial" w:hAnsi="Arial"/>
                <w:sz w:val="17"/>
                <w:szCs w:val="17"/>
                <w:color w:val="auto"/>
              </w:rPr>
              <w:t>3.37</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346,326</w:t>
            </w:r>
          </w:p>
        </w:tc>
        <w:tc>
          <w:tcPr>
            <w:tcW w:w="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554</w:t>
            </w:r>
          </w:p>
        </w:tc>
        <w:tc>
          <w:tcPr>
            <w:tcW w:w="640" w:type="dxa"/>
            <w:vAlign w:val="bottom"/>
            <w:gridSpan w:val="2"/>
          </w:tcPr>
          <w:p>
            <w:pPr>
              <w:ind w:left="120"/>
              <w:spacing w:after="0"/>
              <w:rPr>
                <w:sz w:val="20"/>
                <w:szCs w:val="20"/>
                <w:color w:val="auto"/>
              </w:rPr>
            </w:pPr>
            <w:r>
              <w:rPr>
                <w:rFonts w:ascii="Arial" w:cs="Arial" w:eastAsia="Arial" w:hAnsi="Arial"/>
                <w:sz w:val="17"/>
                <w:szCs w:val="17"/>
                <w:color w:val="auto"/>
              </w:rPr>
              <w:t>0.32</w:t>
            </w:r>
          </w:p>
        </w:tc>
        <w:tc>
          <w:tcPr>
            <w:tcW w:w="0" w:type="dxa"/>
            <w:vAlign w:val="bottom"/>
          </w:tcPr>
          <w:p>
            <w:pPr>
              <w:spacing w:after="0"/>
              <w:rPr>
                <w:sz w:val="1"/>
                <w:szCs w:val="1"/>
                <w:color w:val="auto"/>
              </w:rPr>
            </w:pPr>
          </w:p>
        </w:tc>
      </w:tr>
      <w:tr>
        <w:trPr>
          <w:trHeight w:val="251"/>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borrowings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123,585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3,872</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6.32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112,831</w:t>
            </w: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2,060</w:t>
            </w: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00"/>
        </w:trPr>
        <w:tc>
          <w:tcPr>
            <w:tcW w:w="1400" w:type="dxa"/>
            <w:vAlign w:val="bottom"/>
            <w:tcBorders>
              <w:top w:val="single" w:sz="8" w:color="CCEEFF"/>
            </w:tcBorders>
            <w:gridSpan w:val="2"/>
          </w:tcPr>
          <w:p>
            <w:pPr>
              <w:ind w:left="320"/>
              <w:spacing w:after="0"/>
              <w:rPr>
                <w:sz w:val="20"/>
                <w:szCs w:val="20"/>
                <w:color w:val="auto"/>
              </w:rPr>
            </w:pPr>
            <w:r>
              <w:rPr>
                <w:rFonts w:ascii="Arial" w:cs="Arial" w:eastAsia="Arial" w:hAnsi="Arial"/>
                <w:sz w:val="17"/>
                <w:szCs w:val="17"/>
                <w:color w:val="auto"/>
              </w:rPr>
              <w:t>Interest</w:t>
            </w: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0" w:type="dxa"/>
            <w:vAlign w:val="bottom"/>
          </w:tcPr>
          <w:p>
            <w:pPr>
              <w:spacing w:after="0"/>
              <w:rPr>
                <w:sz w:val="16"/>
                <w:szCs w:val="16"/>
                <w:color w:val="auto"/>
              </w:rPr>
            </w:pPr>
          </w:p>
        </w:tc>
        <w:tc>
          <w:tcPr>
            <w:tcW w:w="1020" w:type="dxa"/>
            <w:vAlign w:val="bottom"/>
          </w:tcPr>
          <w:p>
            <w:pPr>
              <w:ind w:left="20"/>
              <w:spacing w:after="0" w:line="194" w:lineRule="exact"/>
              <w:rPr>
                <w:sz w:val="20"/>
                <w:szCs w:val="20"/>
                <w:color w:val="auto"/>
              </w:rPr>
            </w:pPr>
            <w:r>
              <w:rPr>
                <w:rFonts w:ascii="Arial" w:cs="Arial" w:eastAsia="Arial" w:hAnsi="Arial"/>
                <w:sz w:val="17"/>
                <w:szCs w:val="17"/>
                <w:color w:val="auto"/>
              </w:rPr>
              <w:t>Bearing</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880" w:type="dxa"/>
            <w:vAlign w:val="bottom"/>
          </w:tcPr>
          <w:p>
            <w:pPr>
              <w:jc w:val="right"/>
              <w:spacing w:after="0"/>
              <w:rPr>
                <w:sz w:val="20"/>
                <w:szCs w:val="20"/>
                <w:color w:val="auto"/>
              </w:rPr>
            </w:pPr>
            <w:r>
              <w:rPr>
                <w:rFonts w:ascii="Arial" w:cs="Arial" w:eastAsia="Arial" w:hAnsi="Arial"/>
                <w:sz w:val="17"/>
                <w:szCs w:val="17"/>
                <w:color w:val="auto"/>
              </w:rPr>
              <w:t>3,360,550</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35,093</w:t>
            </w:r>
          </w:p>
        </w:tc>
        <w:tc>
          <w:tcPr>
            <w:tcW w:w="660" w:type="dxa"/>
            <w:vAlign w:val="bottom"/>
            <w:gridSpan w:val="2"/>
          </w:tcPr>
          <w:p>
            <w:pPr>
              <w:ind w:left="140"/>
              <w:spacing w:after="0"/>
              <w:rPr>
                <w:sz w:val="20"/>
                <w:szCs w:val="20"/>
                <w:color w:val="auto"/>
              </w:rPr>
            </w:pPr>
            <w:r>
              <w:rPr>
                <w:rFonts w:ascii="Arial" w:cs="Arial" w:eastAsia="Arial" w:hAnsi="Arial"/>
                <w:sz w:val="17"/>
                <w:szCs w:val="17"/>
                <w:color w:val="auto"/>
              </w:rPr>
              <w:t>2.11</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2,977,871</w:t>
            </w:r>
          </w:p>
        </w:tc>
        <w:tc>
          <w:tcPr>
            <w:tcW w:w="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4,043</w:t>
            </w:r>
          </w:p>
        </w:tc>
        <w:tc>
          <w:tcPr>
            <w:tcW w:w="640" w:type="dxa"/>
            <w:vAlign w:val="bottom"/>
            <w:gridSpan w:val="2"/>
          </w:tcPr>
          <w:p>
            <w:pPr>
              <w:ind w:left="120"/>
              <w:spacing w:after="0"/>
              <w:rPr>
                <w:sz w:val="20"/>
                <w:szCs w:val="20"/>
                <w:color w:val="auto"/>
              </w:rPr>
            </w:pPr>
            <w:r>
              <w:rPr>
                <w:rFonts w:ascii="Arial" w:cs="Arial" w:eastAsia="Arial" w:hAnsi="Arial"/>
                <w:sz w:val="17"/>
                <w:szCs w:val="17"/>
                <w:color w:val="auto"/>
              </w:rPr>
              <w:t>0.27</w:t>
            </w:r>
          </w:p>
        </w:tc>
        <w:tc>
          <w:tcPr>
            <w:tcW w:w="0" w:type="dxa"/>
            <w:vAlign w:val="bottom"/>
          </w:tcPr>
          <w:p>
            <w:pPr>
              <w:spacing w:after="0"/>
              <w:rPr>
                <w:sz w:val="1"/>
                <w:szCs w:val="1"/>
                <w:color w:val="auto"/>
              </w:rPr>
            </w:pPr>
          </w:p>
        </w:tc>
      </w:tr>
      <w:tr>
        <w:trPr>
          <w:trHeight w:val="227"/>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Non-interest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4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bearing deposits</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1,195,593</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1,324,922</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400" w:type="dxa"/>
            <w:vAlign w:val="bottom"/>
            <w:gridSpan w:val="2"/>
          </w:tcPr>
          <w:p>
            <w:pPr>
              <w:ind w:left="20"/>
              <w:spacing w:after="0"/>
              <w:rPr>
                <w:sz w:val="20"/>
                <w:szCs w:val="20"/>
                <w:color w:val="auto"/>
              </w:rPr>
            </w:pPr>
            <w:r>
              <w:rPr>
                <w:rFonts w:ascii="Arial" w:cs="Arial" w:eastAsia="Arial" w:hAnsi="Arial"/>
                <w:sz w:val="17"/>
                <w:szCs w:val="17"/>
                <w:color w:val="auto"/>
              </w:rPr>
              <w:t>Other liabilities</w:t>
            </w:r>
          </w:p>
        </w:tc>
        <w:tc>
          <w:tcPr>
            <w:tcW w:w="880" w:type="dxa"/>
            <w:vAlign w:val="bottom"/>
          </w:tcPr>
          <w:p>
            <w:pPr>
              <w:jc w:val="right"/>
              <w:spacing w:after="0"/>
              <w:rPr>
                <w:sz w:val="20"/>
                <w:szCs w:val="20"/>
                <w:color w:val="auto"/>
              </w:rPr>
            </w:pPr>
            <w:r>
              <w:rPr>
                <w:rFonts w:ascii="Arial" w:cs="Arial" w:eastAsia="Arial" w:hAnsi="Arial"/>
                <w:sz w:val="17"/>
                <w:szCs w:val="17"/>
                <w:color w:val="auto"/>
              </w:rPr>
              <w:t>100,152</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83,222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Shareholders’</w:t>
            </w: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360,453</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354,190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liabilities</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and</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shareholders’</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$5,016,748</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$4,740,205</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Net Interest</w:t>
            </w:r>
          </w:p>
        </w:tc>
        <w:tc>
          <w:tcPr>
            <w:tcW w:w="880" w:type="dxa"/>
            <w:vAlign w:val="bottom"/>
            <w:shd w:val="clear" w:color="auto" w:fill="CCEEFF"/>
          </w:tcPr>
          <w:p>
            <w:pPr>
              <w:spacing w:after="0"/>
              <w:rPr>
                <w:sz w:val="19"/>
                <w:szCs w:val="19"/>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$77,653</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94"/>
              </w:rPr>
              <w:t>$70,025</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Income</w:t>
            </w:r>
          </w:p>
        </w:tc>
        <w:tc>
          <w:tcPr>
            <w:tcW w:w="880" w:type="dxa"/>
            <w:vAlign w:val="bottom"/>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Net Interest</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Income as a</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Percent of</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96"/>
              </w:rPr>
              <w:t>Average Interest</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w w:val="94"/>
              </w:rPr>
              <w:t>3.29 %</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ind w:left="120"/>
              <w:spacing w:after="0"/>
              <w:rPr>
                <w:sz w:val="20"/>
                <w:szCs w:val="20"/>
                <w:color w:val="auto"/>
              </w:rPr>
            </w:pPr>
            <w:r>
              <w:rPr>
                <w:rFonts w:ascii="Arial" w:cs="Arial" w:eastAsia="Arial" w:hAnsi="Arial"/>
                <w:sz w:val="17"/>
                <w:szCs w:val="17"/>
                <w:color w:val="auto"/>
                <w:w w:val="94"/>
              </w:rPr>
              <w:t>3.13 %</w:t>
            </w:r>
          </w:p>
        </w:tc>
        <w:tc>
          <w:tcPr>
            <w:tcW w:w="0" w:type="dxa"/>
            <w:vAlign w:val="bottom"/>
          </w:tcPr>
          <w:p>
            <w:pPr>
              <w:spacing w:after="0"/>
              <w:rPr>
                <w:sz w:val="1"/>
                <w:szCs w:val="1"/>
                <w:color w:val="auto"/>
              </w:rPr>
            </w:pPr>
          </w:p>
        </w:tc>
      </w:tr>
      <w:tr>
        <w:trPr>
          <w:trHeight w:val="238"/>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Earning Assets</w:t>
            </w: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6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178" w:lineRule="exact"/>
        <w:rPr>
          <w:sz w:val="20"/>
          <w:szCs w:val="20"/>
          <w:color w:val="auto"/>
        </w:rPr>
      </w:pPr>
    </w:p>
    <w:p>
      <w:pPr>
        <w:ind w:left="320" w:hanging="317"/>
        <w:spacing w:after="0"/>
        <w:tabs>
          <w:tab w:leader="none" w:pos="3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Interest on tax-exempt loans and securities available for sale is presented on a fully tax equivalent basis assuming a marginal tax rate of 21%.</w:t>
      </w:r>
    </w:p>
    <w:p>
      <w:pPr>
        <w:spacing w:after="0" w:line="44" w:lineRule="exact"/>
        <w:rPr>
          <w:rFonts w:ascii="Arial" w:cs="Arial" w:eastAsia="Arial" w:hAnsi="Arial"/>
          <w:sz w:val="15"/>
          <w:szCs w:val="15"/>
          <w:color w:val="auto"/>
        </w:rPr>
      </w:pPr>
    </w:p>
    <w:p>
      <w:pPr>
        <w:ind w:left="320" w:hanging="317"/>
        <w:spacing w:after="0"/>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Annualized</w:t>
      </w:r>
    </w:p>
    <w:p>
      <w:pPr>
        <w:sectPr>
          <w:pgSz w:w="11900" w:h="16838" w:orient="portrait"/>
          <w:cols w:equalWidth="0" w:num="1">
            <w:col w:w="10139"/>
          </w:cols>
          <w:pgMar w:left="320" w:top="112" w:right="1440" w:bottom="1082" w:gutter="0" w:footer="0" w:header="0"/>
        </w:sectPr>
      </w:pPr>
    </w:p>
    <w:p>
      <w:pPr>
        <w:spacing w:after="0" w:line="200" w:lineRule="exact"/>
        <w:rPr>
          <w:sz w:val="20"/>
          <w:szCs w:val="20"/>
          <w:color w:val="auto"/>
        </w:rPr>
      </w:pPr>
    </w:p>
    <w:p>
      <w:pPr>
        <w:spacing w:after="0" w:line="38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81280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12" w:right="1440" w:bottom="1082"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95"/>
        </w:trPr>
        <w:tc>
          <w:tcPr>
            <w:tcW w:w="474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958"/>
        </w:trPr>
        <w:tc>
          <w:tcPr>
            <w:tcW w:w="4740" w:type="dxa"/>
            <w:vAlign w:val="bottom"/>
            <w:gridSpan w:val="2"/>
          </w:tcPr>
          <w:p>
            <w:pPr>
              <w:spacing w:after="0"/>
              <w:rPr>
                <w:sz w:val="20"/>
                <w:szCs w:val="20"/>
                <w:color w:val="auto"/>
              </w:rPr>
            </w:pPr>
            <w:r>
              <w:rPr>
                <w:rFonts w:ascii="Arial" w:cs="Arial" w:eastAsia="Arial" w:hAnsi="Arial"/>
                <w:sz w:val="17"/>
                <w:szCs w:val="17"/>
                <w:b w:val="1"/>
                <w:bCs w:val="1"/>
                <w:color w:val="auto"/>
              </w:rPr>
              <w:t>Reconciliation of Non-GAAP Financial Measures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gridSpan w:val="4"/>
          </w:tcPr>
          <w:p>
            <w:pPr>
              <w:jc w:val="right"/>
              <w:ind w:right="474"/>
              <w:spacing w:after="0"/>
              <w:rPr>
                <w:sz w:val="20"/>
                <w:szCs w:val="20"/>
                <w:color w:val="auto"/>
              </w:rPr>
            </w:pPr>
            <w:r>
              <w:rPr>
                <w:rFonts w:ascii="Arial" w:cs="Arial" w:eastAsia="Arial" w:hAnsi="Arial"/>
                <w:sz w:val="17"/>
                <w:szCs w:val="17"/>
                <w:color w:val="auto"/>
                <w:w w:val="99"/>
              </w:rPr>
              <w:t>Three Months Ended June 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4"/>
          </w:tcPr>
          <w:p>
            <w:pPr>
              <w:jc w:val="right"/>
              <w:ind w:right="554"/>
              <w:spacing w:after="0"/>
              <w:rPr>
                <w:sz w:val="20"/>
                <w:szCs w:val="20"/>
                <w:color w:val="auto"/>
              </w:rPr>
            </w:pPr>
            <w:r>
              <w:rPr>
                <w:rFonts w:ascii="Arial" w:cs="Arial" w:eastAsia="Arial" w:hAnsi="Arial"/>
                <w:sz w:val="17"/>
                <w:szCs w:val="17"/>
                <w:color w:val="auto"/>
              </w:rPr>
              <w:t>Six Months Ended June 30,</w:t>
            </w:r>
          </w:p>
        </w:tc>
      </w:tr>
      <w:tr>
        <w:trPr>
          <w:trHeight w:val="252"/>
        </w:trPr>
        <w:tc>
          <w:tcPr>
            <w:tcW w:w="3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r>
      <w:tr>
        <w:trPr>
          <w:trHeight w:val="230"/>
        </w:trPr>
        <w:tc>
          <w:tcPr>
            <w:tcW w:w="3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40" w:type="dxa"/>
            <w:vAlign w:val="bottom"/>
            <w:gridSpan w:val="4"/>
          </w:tcPr>
          <w:p>
            <w:pPr>
              <w:jc w:val="right"/>
              <w:ind w:right="754"/>
              <w:spacing w:after="0"/>
              <w:rPr>
                <w:sz w:val="20"/>
                <w:szCs w:val="20"/>
                <w:color w:val="auto"/>
              </w:rPr>
            </w:pPr>
            <w:r>
              <w:rPr>
                <w:rFonts w:ascii="Arial" w:cs="Arial" w:eastAsia="Arial" w:hAnsi="Arial"/>
                <w:sz w:val="17"/>
                <w:szCs w:val="17"/>
                <w:color w:val="auto"/>
              </w:rPr>
              <w:t>(Dollars in thousands)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5"/>
        </w:trPr>
        <w:tc>
          <w:tcPr>
            <w:tcW w:w="4740" w:type="dxa"/>
            <w:vAlign w:val="bottom"/>
            <w:gridSpan w:val="2"/>
          </w:tcPr>
          <w:p>
            <w:pPr>
              <w:ind w:left="20"/>
              <w:spacing w:after="0"/>
              <w:rPr>
                <w:sz w:val="20"/>
                <w:szCs w:val="20"/>
                <w:color w:val="auto"/>
              </w:rPr>
            </w:pPr>
            <w:r>
              <w:rPr>
                <w:rFonts w:ascii="Arial" w:cs="Arial" w:eastAsia="Arial" w:hAnsi="Arial"/>
                <w:sz w:val="17"/>
                <w:szCs w:val="17"/>
                <w:b w:val="1"/>
                <w:bCs w:val="1"/>
                <w:color w:val="auto"/>
              </w:rPr>
              <w:t>Net Interest Margin, Fully Taxable Equivalent ("FTE")</w:t>
            </w: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85"/>
        </w:trPr>
        <w:tc>
          <w:tcPr>
            <w:tcW w:w="474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5"/>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interest income</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38,350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36,061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76,791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69,062</w:t>
            </w:r>
          </w:p>
        </w:tc>
      </w:tr>
      <w:tr>
        <w:trPr>
          <w:trHeight w:val="251"/>
        </w:trPr>
        <w:tc>
          <w:tcPr>
            <w:tcW w:w="474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Add: taxable equivalent adjustment</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423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481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862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963</w:t>
            </w:r>
          </w:p>
        </w:tc>
      </w:tr>
      <w:tr>
        <w:trPr>
          <w:trHeight w:val="265"/>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interest income - taxable equivalent</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38,773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36,542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77,653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70,025</w:t>
            </w:r>
          </w:p>
        </w:tc>
      </w:tr>
      <w:tr>
        <w:trPr>
          <w:trHeight w:val="20"/>
        </w:trPr>
        <w:tc>
          <w:tcPr>
            <w:tcW w:w="47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740" w:type="dxa"/>
            <w:vAlign w:val="bottom"/>
            <w:gridSpan w:val="2"/>
          </w:tcPr>
          <w:p>
            <w:pPr>
              <w:ind w:left="20"/>
              <w:spacing w:after="0"/>
              <w:rPr>
                <w:sz w:val="20"/>
                <w:szCs w:val="20"/>
                <w:color w:val="auto"/>
              </w:rPr>
            </w:pPr>
            <w:r>
              <w:rPr>
                <w:rFonts w:ascii="Arial" w:cs="Arial" w:eastAsia="Arial" w:hAnsi="Arial"/>
                <w:sz w:val="17"/>
                <w:szCs w:val="17"/>
                <w:color w:val="auto"/>
              </w:rPr>
              <w:t>Net interest margin (GAAP) (1)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3.21 %</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3.26 %</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3.09 %</w:t>
            </w:r>
          </w:p>
        </w:tc>
      </w:tr>
      <w:tr>
        <w:trPr>
          <w:trHeight w:val="20"/>
        </w:trPr>
        <w:tc>
          <w:tcPr>
            <w:tcW w:w="380" w:type="dxa"/>
            <w:vAlign w:val="bottom"/>
            <w:tcBorders>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2"/>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interest margin (FTE) (1)</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3.29 %</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3.13 %</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(1) Annualized.</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color w:val="auto"/>
        </w:rPr>
        <w:t xml:space="preserve">Provision for credit losses. </w:t>
      </w:r>
      <w:r>
        <w:rPr>
          <w:rFonts w:ascii="Arial" w:cs="Arial" w:eastAsia="Arial" w:hAnsi="Arial"/>
          <w:sz w:val="16"/>
          <w:szCs w:val="16"/>
          <w:color w:val="auto"/>
        </w:rPr>
        <w:t>The provision for credit losses was an expense of $3.3 million and an expense of $2.4 million for the three months ended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2023 and 2022, respectively. During the six-month periods ended June 30, 2023 and 2022, the provision for credit losses was an expense of $5.5 million and an expense of $0.8 million, respectively. The provision on loans reflects our assessment of the allowance for credit losses (the “ACL”) on loans taking into consideration factors such as loan growth, loan mix, levels of non-performing and classified loans, economic conditions and loan net charge-offs. While we use relevant information to recognize losses on loans, additional provisions for related losses may be necessary based on changes in economic conditions, customer circumstances and other credit risk factors. See “Portfolio Loans and asset quality” for a discussion of the various components of the ACL on loans and their impact on the provision for credit losses on loans in 2023. The increase in the provision for credit losses on loans from the prior year period is primarily due to an increase in specific reserve on one commercial credit as well as increases in the pooled loan reserve and subjective loan allocations.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year-to-date increase in the provision for credit losses in 2023 compared to 2022, was primarily the result of a combination of increases in net commercial specific allocations, pooled loan reserve and subjective loan allocations due to loan growth. The provision for credit losses on securities HTM in 2023 was an expense of $2.99 million as the result of a loss incurred on a $3.0 million corporate security (Signature Bank) that defaulted during the first quarter. This security was fully charged off during the first quarter of 2023.</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Non-interest income. </w:t>
      </w:r>
      <w:r>
        <w:rPr>
          <w:rFonts w:ascii="Arial" w:cs="Arial" w:eastAsia="Arial" w:hAnsi="Arial"/>
          <w:sz w:val="17"/>
          <w:szCs w:val="17"/>
          <w:color w:val="auto"/>
        </w:rPr>
        <w:t>Non-interest income is a significant element in assessing our results of operations. Non-interest income totaled $15.4 million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 quarter of 2023 compared to $14.6 million in the second quarter of 2022. For the first six months of 2023, non-interest income totaled $26.0 million compared to $33.6 million for the first six months of 2022.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95"/>
        </w:trPr>
        <w:tc>
          <w:tcPr>
            <w:tcW w:w="504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958"/>
        </w:trPr>
        <w:tc>
          <w:tcPr>
            <w:tcW w:w="5040" w:type="dxa"/>
            <w:vAlign w:val="bottom"/>
            <w:gridSpan w:val="2"/>
          </w:tcPr>
          <w:p>
            <w:pPr>
              <w:spacing w:after="0"/>
              <w:rPr>
                <w:sz w:val="20"/>
                <w:szCs w:val="20"/>
                <w:color w:val="auto"/>
              </w:rPr>
            </w:pPr>
            <w:r>
              <w:rPr>
                <w:rFonts w:ascii="Arial" w:cs="Arial" w:eastAsia="Arial" w:hAnsi="Arial"/>
                <w:sz w:val="17"/>
                <w:szCs w:val="17"/>
                <w:color w:val="auto"/>
              </w:rPr>
              <w:t>The components of non-interest income are as follows: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87"/>
        </w:trPr>
        <w:tc>
          <w:tcPr>
            <w:tcW w:w="5040" w:type="dxa"/>
            <w:vAlign w:val="bottom"/>
            <w:gridSpan w:val="2"/>
          </w:tcPr>
          <w:p>
            <w:pPr>
              <w:spacing w:after="0"/>
              <w:rPr>
                <w:sz w:val="20"/>
                <w:szCs w:val="20"/>
                <w:color w:val="auto"/>
              </w:rPr>
            </w:pPr>
            <w:r>
              <w:rPr>
                <w:rFonts w:ascii="Arial" w:cs="Arial" w:eastAsia="Arial" w:hAnsi="Arial"/>
                <w:sz w:val="17"/>
                <w:szCs w:val="17"/>
                <w:b w:val="1"/>
                <w:bCs w:val="1"/>
                <w:color w:val="auto"/>
              </w:rPr>
              <w:t>Non-Interest Income</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3"/>
        </w:trPr>
        <w:tc>
          <w:tcPr>
            <w:tcW w:w="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060" w:type="dxa"/>
            <w:vAlign w:val="bottom"/>
            <w:gridSpan w:val="5"/>
          </w:tcPr>
          <w:p>
            <w:pPr>
              <w:jc w:val="right"/>
              <w:ind w:right="414"/>
              <w:spacing w:after="0"/>
              <w:rPr>
                <w:sz w:val="20"/>
                <w:szCs w:val="20"/>
                <w:color w:val="auto"/>
              </w:rPr>
            </w:pPr>
            <w:r>
              <w:rPr>
                <w:rFonts w:ascii="Arial" w:cs="Arial" w:eastAsia="Arial" w:hAnsi="Arial"/>
                <w:sz w:val="17"/>
                <w:szCs w:val="17"/>
                <w:color w:val="auto"/>
              </w:rPr>
              <w:t>Three Months Ended June 30,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40" w:type="dxa"/>
            <w:vAlign w:val="bottom"/>
            <w:gridSpan w:val="4"/>
          </w:tcPr>
          <w:p>
            <w:pPr>
              <w:jc w:val="right"/>
              <w:ind w:right="494"/>
              <w:spacing w:after="0"/>
              <w:rPr>
                <w:sz w:val="20"/>
                <w:szCs w:val="20"/>
                <w:color w:val="auto"/>
              </w:rPr>
            </w:pPr>
            <w:r>
              <w:rPr>
                <w:rFonts w:ascii="Arial" w:cs="Arial" w:eastAsia="Arial" w:hAnsi="Arial"/>
                <w:sz w:val="17"/>
                <w:szCs w:val="17"/>
                <w:color w:val="auto"/>
                <w:w w:val="93"/>
              </w:rPr>
              <w:t>Six Months Ended June 30,</w:t>
            </w:r>
          </w:p>
        </w:tc>
      </w:tr>
      <w:tr>
        <w:trPr>
          <w:trHeight w:val="232"/>
        </w:trPr>
        <w:tc>
          <w:tcPr>
            <w:tcW w:w="3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2023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4"/>
              <w:spacing w:after="0"/>
              <w:rPr>
                <w:sz w:val="20"/>
                <w:szCs w:val="20"/>
                <w:color w:val="auto"/>
              </w:rPr>
            </w:pPr>
            <w:r>
              <w:rPr>
                <w:rFonts w:ascii="Arial" w:cs="Arial" w:eastAsia="Arial" w:hAnsi="Arial"/>
                <w:sz w:val="17"/>
                <w:szCs w:val="17"/>
                <w:color w:val="auto"/>
              </w:rPr>
              <w:t>2022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4"/>
              <w:spacing w:after="0"/>
              <w:rPr>
                <w:sz w:val="20"/>
                <w:szCs w:val="20"/>
                <w:color w:val="auto"/>
              </w:rPr>
            </w:pPr>
            <w:r>
              <w:rPr>
                <w:rFonts w:ascii="Arial" w:cs="Arial" w:eastAsia="Arial" w:hAnsi="Arial"/>
                <w:sz w:val="17"/>
                <w:szCs w:val="17"/>
                <w:color w:val="auto"/>
              </w:rPr>
              <w:t>2022</w:t>
            </w:r>
          </w:p>
        </w:tc>
      </w:tr>
      <w:tr>
        <w:trPr>
          <w:trHeight w:val="27"/>
        </w:trPr>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3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7"/>
                <w:szCs w:val="17"/>
                <w:color w:val="auto"/>
              </w:rPr>
              <w:t>(In thousands)</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Interchange income</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3,422</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6,504</w:t>
            </w:r>
          </w:p>
        </w:tc>
      </w:tr>
      <w:tr>
        <w:trPr>
          <w:trHeight w:val="23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Service charges on deposit accounts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3,134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3,096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5,991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6,053</w:t>
            </w:r>
          </w:p>
        </w:tc>
      </w:tr>
      <w:tr>
        <w:trPr>
          <w:trHeight w:val="25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gains on assets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8"/>
        </w:trPr>
        <w:tc>
          <w:tcPr>
            <w:tcW w:w="5040" w:type="dxa"/>
            <w:vAlign w:val="bottom"/>
            <w:gridSpan w:val="2"/>
          </w:tcPr>
          <w:p>
            <w:pPr>
              <w:ind w:left="180"/>
              <w:spacing w:after="0"/>
              <w:rPr>
                <w:sz w:val="20"/>
                <w:szCs w:val="20"/>
                <w:color w:val="auto"/>
              </w:rPr>
            </w:pPr>
            <w:r>
              <w:rPr>
                <w:rFonts w:ascii="Arial" w:cs="Arial" w:eastAsia="Arial" w:hAnsi="Arial"/>
                <w:sz w:val="17"/>
                <w:szCs w:val="17"/>
                <w:color w:val="auto"/>
              </w:rPr>
              <w:t>Mortgage loans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2,120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1,253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3,376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2,088</w:t>
            </w:r>
          </w:p>
        </w:tc>
      </w:tr>
      <w:tr>
        <w:trPr>
          <w:trHeight w:val="245"/>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Securities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w:t>
            </w:r>
          </w:p>
        </w:tc>
      </w:tr>
      <w:tr>
        <w:trPr>
          <w:trHeight w:val="23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Mortgage loan servicing, net</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4,162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13,803</w:t>
            </w:r>
          </w:p>
        </w:tc>
      </w:tr>
      <w:tr>
        <w:trPr>
          <w:trHeight w:val="25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Investment and insurance commissions</w:t>
            </w: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1,420</w:t>
            </w:r>
          </w:p>
        </w:tc>
      </w:tr>
      <w:tr>
        <w:trPr>
          <w:trHeight w:val="238"/>
        </w:trPr>
        <w:tc>
          <w:tcPr>
            <w:tcW w:w="5040" w:type="dxa"/>
            <w:vAlign w:val="bottom"/>
            <w:gridSpan w:val="2"/>
          </w:tcPr>
          <w:p>
            <w:pPr>
              <w:ind w:left="20"/>
              <w:spacing w:after="0"/>
              <w:rPr>
                <w:sz w:val="20"/>
                <w:szCs w:val="20"/>
                <w:color w:val="auto"/>
              </w:rPr>
            </w:pPr>
            <w:r>
              <w:rPr>
                <w:rFonts w:ascii="Arial" w:cs="Arial" w:eastAsia="Arial" w:hAnsi="Arial"/>
                <w:sz w:val="17"/>
                <w:szCs w:val="17"/>
                <w:color w:val="auto"/>
              </w:rPr>
              <w:t>Bank owned life insurance</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243</w:t>
            </w:r>
          </w:p>
        </w:tc>
      </w:tr>
      <w:tr>
        <w:trPr>
          <w:trHeight w:val="245"/>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9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2,257</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4,083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3,744</w:t>
            </w:r>
          </w:p>
        </w:tc>
      </w:tr>
      <w:tr>
        <w:trPr>
          <w:trHeight w:val="230"/>
        </w:trPr>
        <w:tc>
          <w:tcPr>
            <w:tcW w:w="5040" w:type="dxa"/>
            <w:vAlign w:val="bottom"/>
            <w:gridSpan w:val="2"/>
          </w:tcPr>
          <w:p>
            <w:pPr>
              <w:ind w:left="180"/>
              <w:spacing w:after="0"/>
              <w:rPr>
                <w:sz w:val="20"/>
                <w:szCs w:val="20"/>
                <w:color w:val="auto"/>
              </w:rPr>
            </w:pPr>
            <w:r>
              <w:rPr>
                <w:rFonts w:ascii="Arial" w:cs="Arial" w:eastAsia="Arial" w:hAnsi="Arial"/>
                <w:sz w:val="17"/>
                <w:szCs w:val="17"/>
                <w:color w:val="auto"/>
              </w:rPr>
              <w:t>Total non-interest income</w:t>
            </w:r>
          </w:p>
        </w:tc>
        <w:tc>
          <w:tcPr>
            <w:tcW w:w="920" w:type="dxa"/>
            <w:vAlign w:val="bottom"/>
          </w:tcPr>
          <w:p>
            <w:pPr>
              <w:jc w:val="right"/>
              <w:ind w:right="73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15,417</w:t>
            </w:r>
          </w:p>
        </w:tc>
        <w:tc>
          <w:tcPr>
            <w:tcW w:w="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14,632</w:t>
            </w:r>
          </w:p>
        </w:tc>
        <w:tc>
          <w:tcPr>
            <w:tcW w:w="6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25,968</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33,580</w:t>
            </w:r>
          </w:p>
        </w:tc>
      </w:tr>
      <w:tr>
        <w:trPr>
          <w:trHeight w:val="27"/>
        </w:trPr>
        <w:tc>
          <w:tcPr>
            <w:tcW w:w="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reflected in the table below, the sale of mortgage loans dropped significantly on a quarterly basis in 2023 compared to 2022. Mortgage loan activity is summarized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20" w:type="dxa"/>
            <w:vAlign w:val="bottom"/>
          </w:tcPr>
          <w:p>
            <w:pPr>
              <w:spacing w:after="0"/>
              <w:rPr>
                <w:sz w:val="20"/>
                <w:szCs w:val="20"/>
                <w:color w:val="auto"/>
              </w:rPr>
            </w:pPr>
            <w:r>
              <w:rPr>
                <w:rFonts w:ascii="Arial" w:cs="Arial" w:eastAsia="Arial" w:hAnsi="Arial"/>
                <w:sz w:val="17"/>
                <w:szCs w:val="17"/>
                <w:b w:val="1"/>
                <w:bCs w:val="1"/>
                <w:color w:val="auto"/>
              </w:rPr>
              <w:t>Mortgage Loan Activity</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25"/>
        </w:trPr>
        <w:tc>
          <w:tcPr>
            <w:tcW w:w="4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3"/>
          </w:tcPr>
          <w:p>
            <w:pPr>
              <w:jc w:val="right"/>
              <w:ind w:right="534"/>
              <w:spacing w:after="0"/>
              <w:rPr>
                <w:sz w:val="20"/>
                <w:szCs w:val="20"/>
                <w:color w:val="auto"/>
              </w:rPr>
            </w:pPr>
            <w:r>
              <w:rPr>
                <w:rFonts w:ascii="Arial" w:cs="Arial" w:eastAsia="Arial" w:hAnsi="Arial"/>
                <w:sz w:val="17"/>
                <w:szCs w:val="17"/>
                <w:color w:val="auto"/>
                <w:w w:val="99"/>
              </w:rPr>
              <w:t>Three Months Ended June 30,</w:t>
            </w:r>
          </w:p>
        </w:tc>
        <w:tc>
          <w:tcPr>
            <w:tcW w:w="400" w:type="dxa"/>
            <w:vAlign w:val="bottom"/>
          </w:tcPr>
          <w:p>
            <w:pPr>
              <w:spacing w:after="0"/>
              <w:rPr>
                <w:sz w:val="24"/>
                <w:szCs w:val="24"/>
                <w:color w:val="auto"/>
              </w:rPr>
            </w:pPr>
          </w:p>
        </w:tc>
        <w:tc>
          <w:tcPr>
            <w:tcW w:w="2860" w:type="dxa"/>
            <w:vAlign w:val="bottom"/>
            <w:gridSpan w:val="3"/>
          </w:tcPr>
          <w:p>
            <w:pPr>
              <w:jc w:val="right"/>
              <w:ind w:right="574"/>
              <w:spacing w:after="0"/>
              <w:rPr>
                <w:sz w:val="20"/>
                <w:szCs w:val="20"/>
                <w:color w:val="auto"/>
              </w:rPr>
            </w:pPr>
            <w:r>
              <w:rPr>
                <w:rFonts w:ascii="Arial" w:cs="Arial" w:eastAsia="Arial" w:hAnsi="Arial"/>
                <w:sz w:val="17"/>
                <w:szCs w:val="17"/>
                <w:color w:val="auto"/>
              </w:rPr>
              <w:t>Six Months Ended June 30,</w:t>
            </w:r>
          </w:p>
        </w:tc>
      </w:tr>
      <w:tr>
        <w:trPr>
          <w:trHeight w:val="265"/>
        </w:trPr>
        <w:tc>
          <w:tcPr>
            <w:tcW w:w="47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2023</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2022</w:t>
            </w:r>
          </w:p>
        </w:tc>
        <w:tc>
          <w:tcPr>
            <w:tcW w:w="4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color w:val="auto"/>
              </w:rPr>
              <w:t>2023</w:t>
            </w: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r>
      <w:tr>
        <w:trPr>
          <w:trHeight w:val="230"/>
        </w:trPr>
        <w:tc>
          <w:tcPr>
            <w:tcW w:w="4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900" w:type="dxa"/>
            <w:vAlign w:val="bottom"/>
            <w:gridSpan w:val="3"/>
          </w:tcPr>
          <w:p>
            <w:pPr>
              <w:jc w:val="right"/>
              <w:ind w:right="814"/>
              <w:spacing w:after="0"/>
              <w:rPr>
                <w:sz w:val="20"/>
                <w:szCs w:val="20"/>
                <w:color w:val="auto"/>
              </w:rPr>
            </w:pPr>
            <w:r>
              <w:rPr>
                <w:rFonts w:ascii="Arial" w:cs="Arial" w:eastAsia="Arial" w:hAnsi="Arial"/>
                <w:sz w:val="17"/>
                <w:szCs w:val="17"/>
                <w:color w:val="auto"/>
              </w:rPr>
              <w:t>(Dollars in thousands)</w:t>
            </w: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5"/>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Mortgage loans originated</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160,515</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317,683</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273,536</w:t>
            </w:r>
          </w:p>
        </w:tc>
        <w:tc>
          <w:tcPr>
            <w:tcW w:w="4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587,877</w:t>
            </w:r>
          </w:p>
        </w:tc>
      </w:tr>
      <w:tr>
        <w:trPr>
          <w:trHeight w:val="238"/>
        </w:trPr>
        <w:tc>
          <w:tcPr>
            <w:tcW w:w="4720" w:type="dxa"/>
            <w:vAlign w:val="bottom"/>
          </w:tcPr>
          <w:p>
            <w:pPr>
              <w:ind w:left="20"/>
              <w:spacing w:after="0"/>
              <w:rPr>
                <w:sz w:val="20"/>
                <w:szCs w:val="20"/>
                <w:color w:val="auto"/>
              </w:rPr>
            </w:pPr>
            <w:r>
              <w:rPr>
                <w:rFonts w:ascii="Arial" w:cs="Arial" w:eastAsia="Arial" w:hAnsi="Arial"/>
                <w:sz w:val="17"/>
                <w:szCs w:val="17"/>
                <w:color w:val="auto"/>
              </w:rPr>
              <w:t>Mortgage loans sold</w:t>
            </w:r>
          </w:p>
        </w:tc>
        <w:tc>
          <w:tcPr>
            <w:tcW w:w="340" w:type="dxa"/>
            <w:vAlign w:val="bottom"/>
          </w:tcPr>
          <w:p>
            <w:pPr>
              <w:spacing w:after="0"/>
              <w:rPr>
                <w:sz w:val="20"/>
                <w:szCs w:val="20"/>
                <w:color w:val="auto"/>
              </w:rPr>
            </w:pPr>
          </w:p>
        </w:tc>
        <w:tc>
          <w:tcPr>
            <w:tcW w:w="1280" w:type="dxa"/>
            <w:vAlign w:val="bottom"/>
          </w:tcPr>
          <w:p>
            <w:pPr>
              <w:jc w:val="right"/>
              <w:ind w:right="174"/>
              <w:spacing w:after="0"/>
              <w:rPr>
                <w:sz w:val="20"/>
                <w:szCs w:val="20"/>
                <w:color w:val="auto"/>
              </w:rPr>
            </w:pPr>
            <w:r>
              <w:rPr>
                <w:rFonts w:ascii="Arial" w:cs="Arial" w:eastAsia="Arial" w:hAnsi="Arial"/>
                <w:sz w:val="17"/>
                <w:szCs w:val="17"/>
                <w:color w:val="auto"/>
              </w:rPr>
              <w:t>99,025</w:t>
            </w:r>
          </w:p>
        </w:tc>
        <w:tc>
          <w:tcPr>
            <w:tcW w:w="400" w:type="dxa"/>
            <w:vAlign w:val="bottom"/>
          </w:tcPr>
          <w:p>
            <w:pPr>
              <w:spacing w:after="0"/>
              <w:rPr>
                <w:sz w:val="20"/>
                <w:szCs w:val="20"/>
                <w:color w:val="auto"/>
              </w:rPr>
            </w:pPr>
          </w:p>
        </w:tc>
        <w:tc>
          <w:tcPr>
            <w:tcW w:w="1240" w:type="dxa"/>
            <w:vAlign w:val="bottom"/>
          </w:tcPr>
          <w:p>
            <w:pPr>
              <w:jc w:val="right"/>
              <w:ind w:right="154"/>
              <w:spacing w:after="0"/>
              <w:rPr>
                <w:sz w:val="20"/>
                <w:szCs w:val="20"/>
                <w:color w:val="auto"/>
              </w:rPr>
            </w:pPr>
            <w:r>
              <w:rPr>
                <w:rFonts w:ascii="Arial" w:cs="Arial" w:eastAsia="Arial" w:hAnsi="Arial"/>
                <w:sz w:val="17"/>
                <w:szCs w:val="17"/>
                <w:color w:val="auto"/>
              </w:rPr>
              <w:t>142,977</w:t>
            </w:r>
          </w:p>
        </w:tc>
        <w:tc>
          <w:tcPr>
            <w:tcW w:w="400" w:type="dxa"/>
            <w:vAlign w:val="bottom"/>
          </w:tcPr>
          <w:p>
            <w:pPr>
              <w:spacing w:after="0"/>
              <w:rPr>
                <w:sz w:val="20"/>
                <w:szCs w:val="20"/>
                <w:color w:val="auto"/>
              </w:rPr>
            </w:pPr>
          </w:p>
        </w:tc>
        <w:tc>
          <w:tcPr>
            <w:tcW w:w="1260" w:type="dxa"/>
            <w:vAlign w:val="bottom"/>
          </w:tcPr>
          <w:p>
            <w:pPr>
              <w:jc w:val="right"/>
              <w:ind w:right="174"/>
              <w:spacing w:after="0"/>
              <w:rPr>
                <w:sz w:val="20"/>
                <w:szCs w:val="20"/>
                <w:color w:val="auto"/>
              </w:rPr>
            </w:pPr>
            <w:r>
              <w:rPr>
                <w:rFonts w:ascii="Arial" w:cs="Arial" w:eastAsia="Arial" w:hAnsi="Arial"/>
                <w:sz w:val="17"/>
                <w:szCs w:val="17"/>
                <w:color w:val="auto"/>
              </w:rPr>
              <w:t>205,871</w:t>
            </w:r>
          </w:p>
        </w:tc>
        <w:tc>
          <w:tcPr>
            <w:tcW w:w="400" w:type="dxa"/>
            <w:vAlign w:val="bottom"/>
          </w:tcPr>
          <w:p>
            <w:pPr>
              <w:spacing w:after="0"/>
              <w:rPr>
                <w:sz w:val="20"/>
                <w:szCs w:val="20"/>
                <w:color w:val="auto"/>
              </w:rPr>
            </w:pP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364,702</w:t>
            </w:r>
          </w:p>
        </w:tc>
      </w:tr>
      <w:tr>
        <w:trPr>
          <w:trHeight w:val="252"/>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gains on mortgage loans</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2,120</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1,253</w:t>
            </w: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3,376</w:t>
            </w: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2,088</w:t>
            </w:r>
          </w:p>
        </w:tc>
      </w:tr>
      <w:tr>
        <w:trPr>
          <w:trHeight w:val="220"/>
        </w:trPr>
        <w:tc>
          <w:tcPr>
            <w:tcW w:w="4720" w:type="dxa"/>
            <w:vAlign w:val="bottom"/>
          </w:tcPr>
          <w:p>
            <w:pPr>
              <w:ind w:left="20"/>
              <w:spacing w:after="0"/>
              <w:rPr>
                <w:sz w:val="20"/>
                <w:szCs w:val="20"/>
                <w:color w:val="auto"/>
              </w:rPr>
            </w:pPr>
            <w:r>
              <w:rPr>
                <w:rFonts w:ascii="Arial" w:cs="Arial" w:eastAsia="Arial" w:hAnsi="Arial"/>
                <w:sz w:val="17"/>
                <w:szCs w:val="17"/>
                <w:color w:val="auto"/>
              </w:rPr>
              <w:t>Net gains as a percent of mortgage loans sold ("Loan Sales</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7"/>
        </w:trPr>
        <w:tc>
          <w:tcPr>
            <w:tcW w:w="4720" w:type="dxa"/>
            <w:vAlign w:val="bottom"/>
          </w:tcPr>
          <w:p>
            <w:pPr>
              <w:ind w:left="100"/>
              <w:spacing w:after="0"/>
              <w:rPr>
                <w:sz w:val="20"/>
                <w:szCs w:val="20"/>
                <w:color w:val="auto"/>
              </w:rPr>
            </w:pPr>
            <w:r>
              <w:rPr>
                <w:rFonts w:ascii="Arial" w:cs="Arial" w:eastAsia="Arial" w:hAnsi="Arial"/>
                <w:sz w:val="17"/>
                <w:szCs w:val="17"/>
                <w:color w:val="auto"/>
              </w:rPr>
              <w:t>Margin")</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2.14 %</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0.88 %</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1.64 %</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0.57 %</w:t>
            </w:r>
          </w:p>
        </w:tc>
      </w:tr>
      <w:tr>
        <w:trPr>
          <w:trHeight w:val="265"/>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adjustments included in the Loan Sales Margin</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1.03</w:t>
            </w:r>
          </w:p>
        </w:tc>
        <w:tc>
          <w:tcPr>
            <w:tcW w:w="4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(0.27)</w:t>
            </w: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1.12</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(1.24)</w:t>
            </w:r>
          </w:p>
        </w:tc>
      </w:tr>
    </w:tbl>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Mortgage loans originated decreased in 2023 as compared to 2022 due primarily to a decrease in mortgage loan refinance volumes. Mortgage loan refinance volumes declined in 2023 as compared to 2022 as higher mortgage loan interest rates in 2023 reduced this activity. Mortgage loans sold decreased in 2023 as compared to 2022 due primarily to lower loan origination volume. Net gains on mortgage loans increased in 2023 as compared to 2022 primarily due to an increase in the Loan Sales Margin as discussed below.</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volume of loans sold is dependent upon our ability to originate mortgage loans as well as the demand for fixed-rate obligations and other loans that we choose to not put into portfolio because of our established interest-rate risk parameters. (See “Portfolio Loans and asset quality.”) Net gains on mortgage loans are also dependent upon economic and competitive factors as well as our ability to effectively manage exposure to changes in interest rates and thus can often be a volatile part of our overall revenues.</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Net gains on mortgage loans totaled $2.1 million and $1.3 million during the second quarters of 2023 and 2022, respectively. For the first six months of 2023 and 2022, net gains on mortgage loans totaled $3.4 million and $2.1 million, respectively. The increase from the prior year quarter, despite a decrease in mortgage loans sold, was primarily due to the impact of fair value adjustments on certain unhedged construction loans during the first half of 2022 as a result of the significant increase in interest rates during that period. During the the first half of 2023, interest rates were less volatile and these construction loans were fully hedged.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recorded a net loss of $0.2 million and a net loss $0.3 million on securities AFS for the first six months of 2023 and 2022, respectively. We recorded no credit related charges in either 2023 or 2022 on securities AFS. See “Securities” below and note #3 to the Condensed Consolidated Financial Statements.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Mortgage loan servicing, net, generated income of $3.7 million and $4.2 million in the second quarters of 2023 and 2022, respectively. For the first six months of 2023 and 2022, mortgage loan servicing, net, generated income of $4.4 million and $13.8 million, respectively. The significant variances in mortgage loan servicing, net are primarily due to changes in the fair value of capitalized mortgage loan servicing rights associated with changes in interest rates and the associated expected future prepayment levels and expected float rates.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Mortgage loan servicing, net activity is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80" w:type="dxa"/>
            <w:vAlign w:val="bottom"/>
          </w:tcPr>
          <w:p>
            <w:pPr>
              <w:spacing w:after="0"/>
              <w:rPr>
                <w:sz w:val="20"/>
                <w:szCs w:val="20"/>
                <w:color w:val="auto"/>
              </w:rPr>
            </w:pPr>
            <w:r>
              <w:rPr>
                <w:rFonts w:ascii="Arial" w:cs="Arial" w:eastAsia="Arial" w:hAnsi="Arial"/>
                <w:sz w:val="17"/>
                <w:szCs w:val="17"/>
                <w:b w:val="1"/>
                <w:bCs w:val="1"/>
                <w:color w:val="auto"/>
              </w:rPr>
              <w:t>Mortgage Servicing Revenue</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38"/>
        </w:trPr>
        <w:tc>
          <w:tcPr>
            <w:tcW w:w="4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4"/>
          </w:tcPr>
          <w:p>
            <w:pPr>
              <w:jc w:val="right"/>
              <w:ind w:right="394"/>
              <w:spacing w:after="0"/>
              <w:rPr>
                <w:sz w:val="20"/>
                <w:szCs w:val="20"/>
                <w:color w:val="auto"/>
              </w:rPr>
            </w:pPr>
            <w:r>
              <w:rPr>
                <w:rFonts w:ascii="Arial" w:cs="Arial" w:eastAsia="Arial" w:hAnsi="Arial"/>
                <w:sz w:val="17"/>
                <w:szCs w:val="17"/>
                <w:color w:val="auto"/>
                <w:w w:val="98"/>
              </w:rPr>
              <w:t>Three Months Ended June 30,</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80" w:type="dxa"/>
            <w:vAlign w:val="bottom"/>
            <w:gridSpan w:val="4"/>
          </w:tcPr>
          <w:p>
            <w:pPr>
              <w:ind w:left="100"/>
              <w:spacing w:after="0"/>
              <w:rPr>
                <w:sz w:val="20"/>
                <w:szCs w:val="20"/>
                <w:color w:val="auto"/>
              </w:rPr>
            </w:pPr>
            <w:r>
              <w:rPr>
                <w:rFonts w:ascii="Arial" w:cs="Arial" w:eastAsia="Arial" w:hAnsi="Arial"/>
                <w:sz w:val="17"/>
                <w:szCs w:val="17"/>
                <w:color w:val="auto"/>
              </w:rPr>
              <w:t>Six Months Ended June 30,</w:t>
            </w:r>
          </w:p>
        </w:tc>
      </w:tr>
      <w:tr>
        <w:trPr>
          <w:trHeight w:val="265"/>
        </w:trPr>
        <w:tc>
          <w:tcPr>
            <w:tcW w:w="48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c>
          <w:tcPr>
            <w:tcW w:w="2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2022</w:t>
            </w:r>
          </w:p>
        </w:tc>
      </w:tr>
      <w:tr>
        <w:trPr>
          <w:trHeight w:val="238"/>
        </w:trPr>
        <w:tc>
          <w:tcPr>
            <w:tcW w:w="4880" w:type="dxa"/>
            <w:vAlign w:val="bottom"/>
          </w:tcPr>
          <w:p>
            <w:pPr>
              <w:ind w:left="20"/>
              <w:spacing w:after="0"/>
              <w:rPr>
                <w:sz w:val="20"/>
                <w:szCs w:val="20"/>
                <w:color w:val="auto"/>
              </w:rPr>
            </w:pPr>
            <w:r>
              <w:rPr>
                <w:rFonts w:ascii="Arial" w:cs="Arial" w:eastAsia="Arial" w:hAnsi="Arial"/>
                <w:sz w:val="17"/>
                <w:szCs w:val="17"/>
                <w:color w:val="auto"/>
              </w:rPr>
              <w:t>Mortgage loan servicing, net:</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60" w:type="dxa"/>
            <w:vAlign w:val="bottom"/>
            <w:gridSpan w:val="3"/>
          </w:tcPr>
          <w:p>
            <w:pPr>
              <w:jc w:val="right"/>
              <w:ind w:right="14"/>
              <w:spacing w:after="0"/>
              <w:rPr>
                <w:sz w:val="20"/>
                <w:szCs w:val="20"/>
                <w:color w:val="auto"/>
              </w:rPr>
            </w:pPr>
            <w:r>
              <w:rPr>
                <w:rFonts w:ascii="Arial" w:cs="Arial" w:eastAsia="Arial" w:hAnsi="Arial"/>
                <w:sz w:val="17"/>
                <w:szCs w:val="17"/>
                <w:color w:val="auto"/>
              </w:rPr>
              <w:t>(In thousands)</w:t>
            </w: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2"/>
        </w:trPr>
        <w:tc>
          <w:tcPr>
            <w:tcW w:w="4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Revenue, net</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w:t>
            </w:r>
          </w:p>
        </w:tc>
        <w:tc>
          <w:tcPr>
            <w:tcW w:w="420" w:type="dxa"/>
            <w:vAlign w:val="bottom"/>
            <w:gridSpan w:val="2"/>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center"/>
              <w:ind w:left="534"/>
              <w:spacing w:after="0"/>
              <w:rPr>
                <w:sz w:val="20"/>
                <w:szCs w:val="20"/>
                <w:color w:val="auto"/>
              </w:rPr>
            </w:pPr>
            <w:r>
              <w:rPr>
                <w:rFonts w:ascii="Arial" w:cs="Arial" w:eastAsia="Arial" w:hAnsi="Arial"/>
                <w:sz w:val="17"/>
                <w:szCs w:val="17"/>
                <w:color w:val="auto"/>
                <w:w w:val="93"/>
              </w:rPr>
              <w:t>2,124</w:t>
            </w:r>
          </w:p>
        </w:tc>
        <w:tc>
          <w:tcPr>
            <w:tcW w:w="720" w:type="dxa"/>
            <w:vAlign w:val="bottom"/>
            <w:gridSpan w:val="2"/>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center"/>
              <w:ind w:left="454"/>
              <w:spacing w:after="0"/>
              <w:rPr>
                <w:sz w:val="20"/>
                <w:szCs w:val="20"/>
                <w:color w:val="auto"/>
              </w:rPr>
            </w:pPr>
            <w:r>
              <w:rPr>
                <w:rFonts w:ascii="Arial" w:cs="Arial" w:eastAsia="Arial" w:hAnsi="Arial"/>
                <w:sz w:val="17"/>
                <w:szCs w:val="17"/>
                <w:color w:val="auto"/>
                <w:w w:val="89"/>
              </w:rPr>
              <w:t>4,415</w:t>
            </w:r>
          </w:p>
        </w:tc>
        <w:tc>
          <w:tcPr>
            <w:tcW w:w="4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4,207</w:t>
            </w:r>
          </w:p>
        </w:tc>
      </w:tr>
      <w:tr>
        <w:trPr>
          <w:trHeight w:val="238"/>
        </w:trPr>
        <w:tc>
          <w:tcPr>
            <w:tcW w:w="4880" w:type="dxa"/>
            <w:vAlign w:val="bottom"/>
          </w:tcPr>
          <w:p>
            <w:pPr>
              <w:ind w:left="180"/>
              <w:spacing w:after="0"/>
              <w:rPr>
                <w:sz w:val="20"/>
                <w:szCs w:val="20"/>
                <w:color w:val="auto"/>
              </w:rPr>
            </w:pPr>
            <w:r>
              <w:rPr>
                <w:rFonts w:ascii="Arial" w:cs="Arial" w:eastAsia="Arial" w:hAnsi="Arial"/>
                <w:sz w:val="17"/>
                <w:szCs w:val="17"/>
                <w:color w:val="auto"/>
              </w:rPr>
              <w:t>Fair value change due to price</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2,443</w:t>
            </w:r>
          </w:p>
        </w:tc>
        <w:tc>
          <w:tcPr>
            <w:tcW w:w="420" w:type="dxa"/>
            <w:vAlign w:val="bottom"/>
            <w:gridSpan w:val="2"/>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center"/>
              <w:ind w:left="534"/>
              <w:spacing w:after="0"/>
              <w:rPr>
                <w:sz w:val="20"/>
                <w:szCs w:val="20"/>
                <w:color w:val="auto"/>
              </w:rPr>
            </w:pPr>
            <w:r>
              <w:rPr>
                <w:rFonts w:ascii="Arial" w:cs="Arial" w:eastAsia="Arial" w:hAnsi="Arial"/>
                <w:sz w:val="17"/>
                <w:szCs w:val="17"/>
                <w:color w:val="auto"/>
                <w:w w:val="93"/>
              </w:rPr>
              <w:t>3,120</w:t>
            </w:r>
          </w:p>
        </w:tc>
        <w:tc>
          <w:tcPr>
            <w:tcW w:w="720" w:type="dxa"/>
            <w:vAlign w:val="bottom"/>
            <w:gridSpan w:val="2"/>
          </w:tcPr>
          <w:p>
            <w:pPr>
              <w:jc w:val="right"/>
              <w:ind w:right="274"/>
              <w:spacing w:after="0"/>
              <w:rPr>
                <w:sz w:val="20"/>
                <w:szCs w:val="20"/>
                <w:color w:val="auto"/>
              </w:rPr>
            </w:pPr>
            <w:r>
              <w:rPr>
                <w:rFonts w:ascii="Arial" w:cs="Arial" w:eastAsia="Arial" w:hAnsi="Arial"/>
                <w:sz w:val="17"/>
                <w:szCs w:val="17"/>
                <w:color w:val="auto"/>
              </w:rPr>
              <w:t>$</w:t>
            </w:r>
          </w:p>
        </w:tc>
        <w:tc>
          <w:tcPr>
            <w:tcW w:w="1080" w:type="dxa"/>
            <w:vAlign w:val="bottom"/>
          </w:tcPr>
          <w:p>
            <w:pPr>
              <w:jc w:val="center"/>
              <w:ind w:left="454"/>
              <w:spacing w:after="0"/>
              <w:rPr>
                <w:sz w:val="20"/>
                <w:szCs w:val="20"/>
                <w:color w:val="auto"/>
              </w:rPr>
            </w:pPr>
            <w:r>
              <w:rPr>
                <w:rFonts w:ascii="Arial" w:cs="Arial" w:eastAsia="Arial" w:hAnsi="Arial"/>
                <w:sz w:val="17"/>
                <w:szCs w:val="17"/>
                <w:color w:val="auto"/>
                <w:w w:val="89"/>
              </w:rPr>
              <w:t>1,808</w:t>
            </w:r>
          </w:p>
        </w:tc>
        <w:tc>
          <w:tcPr>
            <w:tcW w:w="42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11,572</w:t>
            </w:r>
          </w:p>
        </w:tc>
      </w:tr>
      <w:tr>
        <w:trPr>
          <w:trHeight w:val="258"/>
        </w:trPr>
        <w:tc>
          <w:tcPr>
            <w:tcW w:w="48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Fair value change due to pay-downs</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(962)</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7"/>
                <w:szCs w:val="17"/>
                <w:color w:val="auto"/>
                <w:w w:val="92"/>
              </w:rPr>
              <w:t>(1,082)</w:t>
            </w:r>
          </w:p>
        </w:tc>
        <w:tc>
          <w:tcPr>
            <w:tcW w:w="24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center"/>
              <w:ind w:left="414"/>
              <w:spacing w:after="0"/>
              <w:rPr>
                <w:sz w:val="20"/>
                <w:szCs w:val="20"/>
                <w:color w:val="auto"/>
              </w:rPr>
            </w:pPr>
            <w:r>
              <w:rPr>
                <w:rFonts w:ascii="Arial" w:cs="Arial" w:eastAsia="Arial" w:hAnsi="Arial"/>
                <w:sz w:val="17"/>
                <w:szCs w:val="17"/>
                <w:color w:val="auto"/>
                <w:w w:val="92"/>
              </w:rPr>
              <w:t>(1,823)</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(1,976)</w:t>
            </w:r>
          </w:p>
        </w:tc>
      </w:tr>
      <w:tr>
        <w:trPr>
          <w:trHeight w:val="245"/>
        </w:trPr>
        <w:tc>
          <w:tcPr>
            <w:tcW w:w="4880" w:type="dxa"/>
            <w:vAlign w:val="bottom"/>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3,674</w:t>
            </w:r>
          </w:p>
        </w:tc>
        <w:tc>
          <w:tcPr>
            <w:tcW w:w="420" w:type="dxa"/>
            <w:vAlign w:val="bottom"/>
            <w:gridSpan w:val="2"/>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center"/>
              <w:ind w:left="534"/>
              <w:spacing w:after="0"/>
              <w:rPr>
                <w:sz w:val="20"/>
                <w:szCs w:val="20"/>
                <w:color w:val="auto"/>
              </w:rPr>
            </w:pPr>
            <w:r>
              <w:rPr>
                <w:rFonts w:ascii="Arial" w:cs="Arial" w:eastAsia="Arial" w:hAnsi="Arial"/>
                <w:sz w:val="17"/>
                <w:szCs w:val="17"/>
                <w:color w:val="auto"/>
                <w:w w:val="93"/>
              </w:rPr>
              <w:t>4,162</w:t>
            </w:r>
          </w:p>
        </w:tc>
        <w:tc>
          <w:tcPr>
            <w:tcW w:w="720" w:type="dxa"/>
            <w:vAlign w:val="bottom"/>
            <w:gridSpan w:val="2"/>
          </w:tcPr>
          <w:p>
            <w:pPr>
              <w:jc w:val="right"/>
              <w:ind w:right="274"/>
              <w:spacing w:after="0"/>
              <w:rPr>
                <w:sz w:val="20"/>
                <w:szCs w:val="20"/>
                <w:color w:val="auto"/>
              </w:rPr>
            </w:pPr>
            <w:r>
              <w:rPr>
                <w:rFonts w:ascii="Arial" w:cs="Arial" w:eastAsia="Arial" w:hAnsi="Arial"/>
                <w:sz w:val="17"/>
                <w:szCs w:val="17"/>
                <w:color w:val="auto"/>
              </w:rPr>
              <w:t>$</w:t>
            </w:r>
          </w:p>
        </w:tc>
        <w:tc>
          <w:tcPr>
            <w:tcW w:w="1080" w:type="dxa"/>
            <w:vAlign w:val="bottom"/>
          </w:tcPr>
          <w:p>
            <w:pPr>
              <w:jc w:val="center"/>
              <w:ind w:left="454"/>
              <w:spacing w:after="0"/>
              <w:rPr>
                <w:sz w:val="20"/>
                <w:szCs w:val="20"/>
                <w:color w:val="auto"/>
              </w:rPr>
            </w:pPr>
            <w:r>
              <w:rPr>
                <w:rFonts w:ascii="Arial" w:cs="Arial" w:eastAsia="Arial" w:hAnsi="Arial"/>
                <w:sz w:val="17"/>
                <w:szCs w:val="17"/>
                <w:color w:val="auto"/>
                <w:w w:val="89"/>
              </w:rPr>
              <w:t>4,400</w:t>
            </w:r>
          </w:p>
        </w:tc>
        <w:tc>
          <w:tcPr>
            <w:tcW w:w="420" w:type="dxa"/>
            <w:vAlign w:val="bottom"/>
            <w:gridSpan w:val="2"/>
          </w:tcPr>
          <w:p>
            <w:pPr>
              <w:jc w:val="right"/>
              <w:ind w:right="13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13,803</w:t>
            </w:r>
          </w:p>
        </w:tc>
      </w:tr>
      <w:tr>
        <w:trPr>
          <w:trHeight w:val="20"/>
        </w:trPr>
        <w:tc>
          <w:tcPr>
            <w:tcW w:w="4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Activity related to capitalized mortgage loan servicing rights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80" w:type="dxa"/>
            <w:vAlign w:val="bottom"/>
          </w:tcPr>
          <w:p>
            <w:pPr>
              <w:spacing w:after="0"/>
              <w:rPr>
                <w:sz w:val="20"/>
                <w:szCs w:val="20"/>
                <w:color w:val="auto"/>
              </w:rPr>
            </w:pPr>
            <w:r>
              <w:rPr>
                <w:rFonts w:ascii="Arial" w:cs="Arial" w:eastAsia="Arial" w:hAnsi="Arial"/>
                <w:sz w:val="17"/>
                <w:szCs w:val="17"/>
                <w:b w:val="1"/>
                <w:bCs w:val="1"/>
                <w:color w:val="auto"/>
              </w:rPr>
              <w:t>Capitalized Mortgage Loan Servicing Rights</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38"/>
        </w:trPr>
        <w:tc>
          <w:tcPr>
            <w:tcW w:w="4880" w:type="dxa"/>
            <w:vAlign w:val="bottom"/>
          </w:tcPr>
          <w:p>
            <w:pPr>
              <w:spacing w:after="0"/>
              <w:rPr>
                <w:sz w:val="24"/>
                <w:szCs w:val="24"/>
                <w:color w:val="auto"/>
              </w:rPr>
            </w:pPr>
          </w:p>
        </w:tc>
        <w:tc>
          <w:tcPr>
            <w:tcW w:w="3060" w:type="dxa"/>
            <w:vAlign w:val="bottom"/>
            <w:gridSpan w:val="5"/>
          </w:tcPr>
          <w:p>
            <w:pPr>
              <w:jc w:val="right"/>
              <w:ind w:right="454"/>
              <w:spacing w:after="0"/>
              <w:rPr>
                <w:sz w:val="20"/>
                <w:szCs w:val="20"/>
                <w:color w:val="auto"/>
              </w:rPr>
            </w:pPr>
            <w:r>
              <w:rPr>
                <w:rFonts w:ascii="Arial" w:cs="Arial" w:eastAsia="Arial" w:hAnsi="Arial"/>
                <w:sz w:val="17"/>
                <w:szCs w:val="17"/>
                <w:color w:val="auto"/>
              </w:rPr>
              <w:t>Three months ended June 30,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gridSpan w:val="4"/>
          </w:tcPr>
          <w:p>
            <w:pPr>
              <w:jc w:val="right"/>
              <w:ind w:right="594"/>
              <w:spacing w:after="0"/>
              <w:rPr>
                <w:sz w:val="20"/>
                <w:szCs w:val="20"/>
                <w:color w:val="auto"/>
              </w:rPr>
            </w:pPr>
            <w:r>
              <w:rPr>
                <w:rFonts w:ascii="Arial" w:cs="Arial" w:eastAsia="Arial" w:hAnsi="Arial"/>
                <w:sz w:val="17"/>
                <w:szCs w:val="17"/>
                <w:color w:val="auto"/>
                <w:w w:val="94"/>
              </w:rPr>
              <w:t>Six months ended June 30,</w:t>
            </w:r>
          </w:p>
        </w:tc>
      </w:tr>
      <w:tr>
        <w:trPr>
          <w:trHeight w:val="265"/>
        </w:trPr>
        <w:tc>
          <w:tcPr>
            <w:tcW w:w="4880" w:type="dxa"/>
            <w:vAlign w:val="bottom"/>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w w:val="95"/>
              </w:rPr>
              <w:t>2023</w:t>
            </w: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r>
      <w:tr>
        <w:trPr>
          <w:trHeight w:val="238"/>
        </w:trPr>
        <w:tc>
          <w:tcPr>
            <w:tcW w:w="4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7"/>
                <w:szCs w:val="17"/>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2"/>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41,923</w:t>
            </w:r>
          </w:p>
        </w:tc>
        <w:tc>
          <w:tcPr>
            <w:tcW w:w="44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35,933</w:t>
            </w:r>
          </w:p>
        </w:tc>
        <w:tc>
          <w:tcPr>
            <w:tcW w:w="660" w:type="dxa"/>
            <w:vAlign w:val="bottom"/>
            <w:gridSpan w:val="2"/>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42,489</w:t>
            </w:r>
          </w:p>
        </w:tc>
        <w:tc>
          <w:tcPr>
            <w:tcW w:w="4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26,232</w:t>
            </w:r>
          </w:p>
        </w:tc>
      </w:tr>
      <w:tr>
        <w:trPr>
          <w:trHeight w:val="238"/>
        </w:trPr>
        <w:tc>
          <w:tcPr>
            <w:tcW w:w="4880" w:type="dxa"/>
            <w:vAlign w:val="bottom"/>
          </w:tcPr>
          <w:p>
            <w:pPr>
              <w:ind w:left="100"/>
              <w:spacing w:after="0"/>
              <w:rPr>
                <w:sz w:val="20"/>
                <w:szCs w:val="20"/>
                <w:color w:val="auto"/>
              </w:rPr>
            </w:pPr>
            <w:r>
              <w:rPr>
                <w:rFonts w:ascii="Arial" w:cs="Arial" w:eastAsia="Arial" w:hAnsi="Arial"/>
                <w:sz w:val="17"/>
                <w:szCs w:val="17"/>
                <w:color w:val="auto"/>
              </w:rPr>
              <w:t>Originated servicing rights capitalized</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1,023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1,506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3,649</w:t>
            </w:r>
          </w:p>
        </w:tc>
      </w:tr>
      <w:tr>
        <w:trPr>
          <w:trHeight w:val="265"/>
        </w:trPr>
        <w:tc>
          <w:tcPr>
            <w:tcW w:w="4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Change in fair value</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2,038</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9,596</w:t>
            </w:r>
          </w:p>
        </w:tc>
      </w:tr>
      <w:tr>
        <w:trPr>
          <w:trHeight w:val="231"/>
        </w:trPr>
        <w:tc>
          <w:tcPr>
            <w:tcW w:w="4880" w:type="dxa"/>
            <w:vAlign w:val="bottom"/>
          </w:tcPr>
          <w:p>
            <w:pPr>
              <w:ind w:left="20"/>
              <w:spacing w:after="0"/>
              <w:rPr>
                <w:sz w:val="20"/>
                <w:szCs w:val="20"/>
                <w:color w:val="auto"/>
              </w:rPr>
            </w:pPr>
            <w:r>
              <w:rPr>
                <w:rFonts w:ascii="Arial" w:cs="Arial" w:eastAsia="Arial" w:hAnsi="Arial"/>
                <w:sz w:val="17"/>
                <w:szCs w:val="17"/>
                <w:color w:val="auto"/>
              </w:rPr>
              <w:t>Balance at end of period</w:t>
            </w: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44,427</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39,477</w:t>
            </w:r>
          </w:p>
        </w:tc>
        <w:tc>
          <w:tcPr>
            <w:tcW w:w="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44,427</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39,477</w:t>
            </w:r>
          </w:p>
        </w:tc>
      </w:tr>
      <w:tr>
        <w:trPr>
          <w:trHeight w:val="26"/>
        </w:trPr>
        <w:tc>
          <w:tcPr>
            <w:tcW w:w="48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4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At June 30, 2023 we were servicing approximately $3.53 billion in mortgage loans for others on which servicing rights have been capitalized. This servicing portfolio had a weighted average coupon rate of 3.73% and a weighted average service fee of approximately 25.6 basis points. Capitalized mortgage loan servicing rights at June 30, 2023 totaled $44.4 million, representing approximately 125.9 basis points on the related amount of mortgage loans serviced for others.</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Investment and insurance commissions represent revenues generated on the sale or management of investments and insurance for our customers. These increased on both a quarterly and year-to-date basis in 2023 as compared to 2022, primarily due to growth in assets under management and in annuity sales (reflecting customers seeking alternatives to traditional fixed income products such as time deposits given the prolonged low interest rate environment).</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non-interest income increased on a comparative quarterly and year to date basis in 2023 as compared to 2022 due primarily to an increase in swap fee income.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Non-interest expense. </w:t>
      </w:r>
      <w:r>
        <w:rPr>
          <w:rFonts w:ascii="Arial" w:cs="Arial" w:eastAsia="Arial" w:hAnsi="Arial"/>
          <w:sz w:val="16"/>
          <w:szCs w:val="16"/>
          <w:color w:val="auto"/>
        </w:rPr>
        <w:t>Non-interest expense is an important component of our results of operations. We strive to efficiently manage our cost structure.</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Non-interest expense decreased by $0.2 million to $32.2 million and decreased by $0.7 million to $63.2 million during the three- and six-month periods ended June 30, 2023, respectively, compared to the same periods in 2022.</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95"/>
        </w:trPr>
        <w:tc>
          <w:tcPr>
            <w:tcW w:w="498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958"/>
        </w:trPr>
        <w:tc>
          <w:tcPr>
            <w:tcW w:w="4980" w:type="dxa"/>
            <w:vAlign w:val="bottom"/>
            <w:gridSpan w:val="2"/>
          </w:tcPr>
          <w:p>
            <w:pPr>
              <w:spacing w:after="0"/>
              <w:rPr>
                <w:sz w:val="20"/>
                <w:szCs w:val="20"/>
                <w:color w:val="auto"/>
              </w:rPr>
            </w:pPr>
            <w:r>
              <w:rPr>
                <w:rFonts w:ascii="Arial" w:cs="Arial" w:eastAsia="Arial" w:hAnsi="Arial"/>
                <w:sz w:val="17"/>
                <w:szCs w:val="17"/>
                <w:color w:val="auto"/>
              </w:rPr>
              <w:t>The components of non-interest expense are as follows: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7"/>
        </w:trPr>
        <w:tc>
          <w:tcPr>
            <w:tcW w:w="4980" w:type="dxa"/>
            <w:vAlign w:val="bottom"/>
            <w:gridSpan w:val="2"/>
          </w:tcPr>
          <w:p>
            <w:pPr>
              <w:spacing w:after="0"/>
              <w:rPr>
                <w:sz w:val="20"/>
                <w:szCs w:val="20"/>
                <w:color w:val="auto"/>
              </w:rPr>
            </w:pPr>
            <w:r>
              <w:rPr>
                <w:rFonts w:ascii="Arial" w:cs="Arial" w:eastAsia="Arial" w:hAnsi="Arial"/>
                <w:sz w:val="17"/>
                <w:szCs w:val="17"/>
                <w:b w:val="1"/>
                <w:bCs w:val="1"/>
                <w:color w:val="auto"/>
              </w:rPr>
              <w:t>Non-Interest Expense</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080" w:type="dxa"/>
            <w:vAlign w:val="bottom"/>
            <w:gridSpan w:val="5"/>
          </w:tcPr>
          <w:p>
            <w:pPr>
              <w:jc w:val="right"/>
              <w:ind w:right="414"/>
              <w:spacing w:after="0"/>
              <w:rPr>
                <w:sz w:val="20"/>
                <w:szCs w:val="20"/>
                <w:color w:val="auto"/>
              </w:rPr>
            </w:pPr>
            <w:r>
              <w:rPr>
                <w:rFonts w:ascii="Arial" w:cs="Arial" w:eastAsia="Arial" w:hAnsi="Arial"/>
                <w:sz w:val="17"/>
                <w:szCs w:val="17"/>
                <w:color w:val="auto"/>
              </w:rPr>
              <w:t>Three Months Ended June 30,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gridSpan w:val="4"/>
          </w:tcPr>
          <w:p>
            <w:pPr>
              <w:jc w:val="right"/>
              <w:ind w:right="514"/>
              <w:spacing w:after="0"/>
              <w:rPr>
                <w:sz w:val="20"/>
                <w:szCs w:val="20"/>
                <w:color w:val="auto"/>
              </w:rPr>
            </w:pPr>
            <w:r>
              <w:rPr>
                <w:rFonts w:ascii="Arial" w:cs="Arial" w:eastAsia="Arial" w:hAnsi="Arial"/>
                <w:sz w:val="17"/>
                <w:szCs w:val="17"/>
                <w:color w:val="auto"/>
                <w:w w:val="94"/>
              </w:rPr>
              <w:t>Six Months Ended June 30,</w:t>
            </w:r>
          </w:p>
        </w:tc>
      </w:tr>
      <w:tr>
        <w:trPr>
          <w:trHeight w:val="265"/>
        </w:trPr>
        <w:tc>
          <w:tcPr>
            <w:tcW w:w="38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r>
      <w:tr>
        <w:trPr>
          <w:trHeight w:val="238"/>
        </w:trPr>
        <w:tc>
          <w:tcPr>
            <w:tcW w:w="3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ind w:right="60"/>
              <w:spacing w:after="0"/>
              <w:rPr>
                <w:sz w:val="20"/>
                <w:szCs w:val="20"/>
                <w:color w:val="auto"/>
              </w:rPr>
            </w:pPr>
            <w:r>
              <w:rPr>
                <w:rFonts w:ascii="Arial" w:cs="Arial" w:eastAsia="Arial" w:hAnsi="Arial"/>
                <w:sz w:val="17"/>
                <w:szCs w:val="17"/>
                <w:color w:val="auto"/>
              </w:rPr>
              <w:t>(In 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5"/>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Compensation</w:t>
            </w:r>
          </w:p>
        </w:tc>
        <w:tc>
          <w:tcPr>
            <w:tcW w:w="94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8"/>
              </w:rPr>
              <w:t>13,523</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12,533</w:t>
            </w:r>
          </w:p>
        </w:tc>
        <w:tc>
          <w:tcPr>
            <w:tcW w:w="6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26,792</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24,968</w:t>
            </w:r>
          </w:p>
        </w:tc>
      </w:tr>
      <w:tr>
        <w:trPr>
          <w:trHeight w:val="238"/>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Performance-based compensation</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3,220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3,776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5,465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7,438</w:t>
            </w:r>
          </w:p>
        </w:tc>
      </w:tr>
      <w:tr>
        <w:trPr>
          <w:trHeight w:val="252"/>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Payroll taxes and employee benefits</w:t>
            </w:r>
          </w:p>
        </w:tc>
        <w:tc>
          <w:tcPr>
            <w:tcW w:w="9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3,859</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3,573</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7,606</w:t>
            </w:r>
          </w:p>
        </w:tc>
      </w:tr>
      <w:tr>
        <w:trPr>
          <w:trHeight w:val="231"/>
        </w:trPr>
        <w:tc>
          <w:tcPr>
            <w:tcW w:w="4980" w:type="dxa"/>
            <w:vAlign w:val="bottom"/>
            <w:gridSpan w:val="2"/>
          </w:tcPr>
          <w:p>
            <w:pPr>
              <w:ind w:left="180"/>
              <w:spacing w:after="0"/>
              <w:rPr>
                <w:sz w:val="20"/>
                <w:szCs w:val="20"/>
                <w:color w:val="auto"/>
              </w:rPr>
            </w:pPr>
            <w:r>
              <w:rPr>
                <w:rFonts w:ascii="Arial" w:cs="Arial" w:eastAsia="Arial" w:hAnsi="Arial"/>
                <w:sz w:val="17"/>
                <w:szCs w:val="17"/>
                <w:color w:val="auto"/>
              </w:rPr>
              <w:t>Compensation and employee benefits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8"/>
              </w:rPr>
              <w:t>20,602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19,882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39,941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40,012</w:t>
            </w:r>
          </w:p>
        </w:tc>
      </w:tr>
      <w:tr>
        <w:trPr>
          <w:trHeight w:val="252"/>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Data processing</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5,882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4,860</w:t>
            </w:r>
          </w:p>
        </w:tc>
      </w:tr>
      <w:tr>
        <w:trPr>
          <w:trHeight w:val="238"/>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Occupancy, net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1,845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2,077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4,620</w:t>
            </w:r>
          </w:p>
        </w:tc>
      </w:tr>
      <w:tr>
        <w:trPr>
          <w:trHeight w:val="245"/>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Interchange expense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1,054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2,273</w:t>
            </w:r>
          </w:p>
        </w:tc>
      </w:tr>
      <w:tr>
        <w:trPr>
          <w:trHeight w:val="238"/>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Furniture, fixtures and equipment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1,042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2,087</w:t>
            </w:r>
          </w:p>
        </w:tc>
      </w:tr>
      <w:tr>
        <w:trPr>
          <w:trHeight w:val="252"/>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FDIC deposit insurance</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r>
      <w:tr>
        <w:trPr>
          <w:trHeight w:val="238"/>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Communications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635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762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1,519</w:t>
            </w:r>
          </w:p>
        </w:tc>
      </w:tr>
      <w:tr>
        <w:trPr>
          <w:trHeight w:val="252"/>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Loan and collection</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w:t>
            </w:r>
          </w:p>
        </w:tc>
      </w:tr>
      <w:tr>
        <w:trPr>
          <w:trHeight w:val="230"/>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Legal and professional</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479</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972</w:t>
            </w:r>
          </w:p>
        </w:tc>
      </w:tr>
      <w:tr>
        <w:trPr>
          <w:trHeight w:val="27"/>
        </w:trPr>
        <w:tc>
          <w:tcPr>
            <w:tcW w:w="4980" w:type="dxa"/>
            <w:vAlign w:val="bottom"/>
            <w:gridSpan w:val="2"/>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Advertising</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w:t>
            </w:r>
          </w:p>
        </w:tc>
      </w:tr>
      <w:tr>
        <w:trPr>
          <w:trHeight w:val="238"/>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Amortization of intangible assets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465</w:t>
            </w:r>
          </w:p>
        </w:tc>
      </w:tr>
      <w:tr>
        <w:trPr>
          <w:trHeight w:val="252"/>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Supplies</w:t>
            </w:r>
          </w:p>
        </w:tc>
        <w:tc>
          <w:tcPr>
            <w:tcW w:w="9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w:t>
            </w:r>
          </w:p>
        </w:tc>
      </w:tr>
      <w:tr>
        <w:trPr>
          <w:trHeight w:val="238"/>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Correspondent bank service fees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157</w:t>
            </w:r>
          </w:p>
        </w:tc>
      </w:tr>
      <w:tr>
        <w:trPr>
          <w:trHeight w:val="245"/>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gains on other real estate and repossessed assets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w:t>
            </w:r>
          </w:p>
        </w:tc>
      </w:tr>
      <w:tr>
        <w:trPr>
          <w:trHeight w:val="238"/>
        </w:trPr>
        <w:tc>
          <w:tcPr>
            <w:tcW w:w="4980" w:type="dxa"/>
            <w:vAlign w:val="bottom"/>
            <w:gridSpan w:val="2"/>
          </w:tcPr>
          <w:p>
            <w:pPr>
              <w:ind w:left="20"/>
              <w:spacing w:after="0"/>
              <w:rPr>
                <w:sz w:val="20"/>
                <w:szCs w:val="20"/>
                <w:color w:val="auto"/>
              </w:rPr>
            </w:pPr>
            <w:r>
              <w:rPr>
                <w:rFonts w:ascii="Arial" w:cs="Arial" w:eastAsia="Arial" w:hAnsi="Arial"/>
                <w:sz w:val="17"/>
                <w:szCs w:val="17"/>
                <w:color w:val="auto"/>
              </w:rPr>
              <w:t>Provision for loss reimbursement on sold loans</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65"/>
        </w:trPr>
        <w:tc>
          <w:tcPr>
            <w:tcW w:w="4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Costs related to unfunded lending commitments</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r>
      <w:tr>
        <w:trPr>
          <w:trHeight w:val="238"/>
        </w:trPr>
        <w:tc>
          <w:tcPr>
            <w:tcW w:w="49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w:t>
            </w:r>
          </w:p>
        </w:tc>
        <w:tc>
          <w:tcPr>
            <w:tcW w:w="9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1,628</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3,067</w:t>
            </w:r>
          </w:p>
        </w:tc>
      </w:tr>
      <w:tr>
        <w:trPr>
          <w:trHeight w:val="258"/>
        </w:trPr>
        <w:tc>
          <w:tcPr>
            <w:tcW w:w="49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non-interest expense</w:t>
            </w: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32,248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32,434</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63,205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63,884</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Compensation and employee benefits expenses, in total, increased $0.7 million on a quarterly comparative basis and decreased $0.1 million for the first six months of 2023 compared to the same periods in 2022.</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Compensation expense increased by $1.0 million and $1.8 million in the second quarter and first six months of 2023, respectively, compared to the same periods in 2022. These comparative increases in 2023 were primarily due to salary increases that were predominantly effective on January 1, 2023, and a decreased level of compensation that was deferred as direct origination costs due to lower mortgage loan origination volume.</w:t>
      </w:r>
    </w:p>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Performance-based compensation decreased by $0.6 million and $2.0 million in the second quarter and first six months of 2023, respectively, compared to the same periods in 2022. The decrease is primarily due to lower expected incentive compensation payout for salaried and hourly employees and a decrease in mortgage lending related incentives attributed to the decline in mortgage lending</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Data processing expense increased by $0.2 million and $1.0 million in the second quarter and first six months of 2023, respectively, compared to the same prior year periods due primarily to core data processor annual asset growth and CPI related cost increases and lower net mortgage processing related cost deferrals due to lower mortgage loan volume as well as the prior year to date period including a credit from our core data processor related to certain expenses that had been previously paid and expensed.</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Occupancy, net expense decreased by $0.2 million and $0.6 million in the second quarter and first six months of 2023, respectively, compared to the same prior year periods due in part to lower number of properties being maintained due in part to branch and office closures as well as lower seasonal related maintenance costs.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FDIC deposit insurance expense increased by $0.3 million and $0.6 million in the second quarter and first six months of 2023, respectively, compared to the same prior year periods due primarily to the two basis point increase in the insurance assessment rate that was effective on January 1, 2023.</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(recoveries) related to unfunded lending commitments decreased by $0.5 million and $0.7 million in the second quarter and first six months of 2023, respectively, compared to the same prior year periods due primarily to a decrease in loss rates applied to lending commitments.</w:t>
      </w:r>
    </w:p>
    <w:p>
      <w:pPr>
        <w:spacing w:after="0" w:line="12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Income tax expense. </w:t>
      </w:r>
      <w:r>
        <w:rPr>
          <w:rFonts w:ascii="Arial" w:cs="Arial" w:eastAsia="Arial" w:hAnsi="Arial"/>
          <w:sz w:val="16"/>
          <w:szCs w:val="16"/>
          <w:color w:val="auto"/>
        </w:rPr>
        <w:t>We recorded an income tax expense of $3.4 million and $6.3 million in the second quarter and the first six months of 2023, respectively. This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compares to an income tax expense of $2.9 million and $7.0 million in the second quarter and the first six months of 2022, respectively. The changes in expense for the first six months of 2023 compared to the same period in 2022 is primarily due to changes in pretax income.</w:t>
      </w:r>
    </w:p>
    <w:p>
      <w:pPr>
        <w:spacing w:after="0" w:line="11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actual income tax expense is different than the amount computed by applying our statutory income tax rate to our income before income tax primarily due to tax-exempt interest income, tax-exempt income from the increase in the cash surrender value on life insurance, and differences in the value of stock awards that vest and stock options that are exercised as compared to the initial fair values that were expensed.</w:t>
      </w:r>
    </w:p>
    <w:p>
      <w:pPr>
        <w:spacing w:after="0" w:line="14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assess whether a valuation allowance should be established against our deferred tax assets based on the consideration of all available evidence using a “more likely than not” standard. The ultimate realization of this asset is primarily based on generating future income. We concluded at June 30, 2023 and 2022 and at December 31, 2022, that the realization of substantially all of our deferred tax assets continues to be more likely than not.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3"/>
          <w:szCs w:val="13"/>
          <w:b w:val="1"/>
          <w:bCs w:val="1"/>
          <w:color w:val="auto"/>
        </w:rPr>
        <w:t>INANCIAL</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ONDITION</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Summary. </w:t>
      </w:r>
      <w:r>
        <w:rPr>
          <w:rFonts w:ascii="Arial" w:cs="Arial" w:eastAsia="Arial" w:hAnsi="Arial"/>
          <w:sz w:val="17"/>
          <w:szCs w:val="17"/>
          <w:color w:val="auto"/>
        </w:rPr>
        <w:t>Our total assets increased by $135.8 million during the first six months of 2023. Loans, excluding loans held for sale, were $3.63 billion at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2023, compared to $3.47 billion at December 31, 2022. Commercial loans, mortgage loans and installment loans each increased during the first six months of 2023. (See “Portfolio Loans and asset quality.”)</w:t>
      </w:r>
    </w:p>
    <w:p>
      <w:pPr>
        <w:spacing w:after="0" w:line="146"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Deposits totaled $4.49 billion at June 30, 2023, an increase of $108.6 million from December 31, 2022. The increase in deposits from December 31, 2022, is due in part to the seasonal cash management needs of our business and municipal customers, new business customers and our increased use of brokered deposits.</w:t>
      </w:r>
    </w:p>
    <w:p>
      <w:pPr>
        <w:spacing w:after="0" w:line="7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Securities. </w:t>
      </w:r>
      <w:r>
        <w:rPr>
          <w:rFonts w:ascii="Arial" w:cs="Arial" w:eastAsia="Arial" w:hAnsi="Arial"/>
          <w:sz w:val="17"/>
          <w:szCs w:val="17"/>
          <w:color w:val="auto"/>
        </w:rPr>
        <w:t>We maintain diversified securities portfolios, which include obligations of U.S. government-sponsored agencies, securities issued by states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political subdivisions, residential and commercial mortgage-backed securities, asset-backed securities, corporate securities, trust preferred securities and foreign government securities (that are denominated in U.S. dollars). We regularly evaluate asset/liability management needs and attempt to maintain a portfolio structure that provides sufficient liquidity and cash flow.</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that the unrealized losses on securities AFS are temporary in nature and are expected to be recovered within a reasonable time period. Based upon our liquidity and capital resources (as explained in more detail below under "Liquidity and capital resources"), we believe that we have the ability to hold securities with unrealized losses to maturity or until such time as the unrealized losses reverse.(See “Asset/liability management.”)</w:t>
      </w:r>
    </w:p>
    <w:p>
      <w:pPr>
        <w:spacing w:after="0" w:line="14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On April 1, 2022, we transferred certain securities AFS with an amortized cost and unrealized loss at the date of transfer of $418.1 million and $26.5 million, respectively to securities HTM. The transfer was made at fair value, with the unrealized loss becoming part of the purchase discount which will be accreted over the remaining life of the securities. The other comprehensive loss component is separated from the remaining available for sale securities and is accreted over the remaining life of the securities transferred. Based upon our liquidity and capital resources (as explained in more detail below under "Liquidity and capital resources"), we believe that we have the ability and intent to hold these securities until they mature, at which time we would receive full value for these securities.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5"/>
        </w:trPr>
        <w:tc>
          <w:tcPr>
            <w:tcW w:w="218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8"/>
        </w:trPr>
        <w:tc>
          <w:tcPr>
            <w:tcW w:w="2180" w:type="dxa"/>
            <w:vAlign w:val="bottom"/>
            <w:gridSpan w:val="2"/>
          </w:tcPr>
          <w:p>
            <w:pPr>
              <w:spacing w:after="0"/>
              <w:rPr>
                <w:sz w:val="20"/>
                <w:szCs w:val="20"/>
                <w:color w:val="auto"/>
              </w:rPr>
            </w:pPr>
            <w:r>
              <w:rPr>
                <w:rFonts w:ascii="Arial" w:cs="Arial" w:eastAsia="Arial" w:hAnsi="Arial"/>
                <w:sz w:val="17"/>
                <w:szCs w:val="17"/>
                <w:b w:val="1"/>
                <w:bCs w:val="1"/>
                <w:color w:val="auto"/>
                <w:w w:val="94"/>
              </w:rPr>
              <w:t>Securities Available for Sale</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7"/>
                <w:szCs w:val="17"/>
                <w:color w:val="auto"/>
                <w:w w:val="94"/>
              </w:rPr>
              <w:t>Amortized</w:t>
            </w:r>
          </w:p>
        </w:tc>
        <w:tc>
          <w:tcPr>
            <w:tcW w:w="1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color w:val="auto"/>
              </w:rPr>
              <w:t>Unrealized</w:t>
            </w: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514"/>
              <w:spacing w:after="0"/>
              <w:rPr>
                <w:sz w:val="20"/>
                <w:szCs w:val="20"/>
                <w:color w:val="auto"/>
              </w:rPr>
            </w:pPr>
            <w:r>
              <w:rPr>
                <w:rFonts w:ascii="Arial" w:cs="Arial" w:eastAsia="Arial" w:hAnsi="Arial"/>
                <w:sz w:val="17"/>
                <w:szCs w:val="17"/>
                <w:color w:val="auto"/>
              </w:rPr>
              <w:t>Fair</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1"/>
              </w:rPr>
              <w:t>Cost</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Gains</w:t>
            </w:r>
          </w:p>
        </w:tc>
        <w:tc>
          <w:tcPr>
            <w:tcW w:w="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color w:val="auto"/>
              </w:rPr>
              <w:t>Value</w:t>
            </w:r>
          </w:p>
        </w:tc>
        <w:tc>
          <w:tcPr>
            <w:tcW w:w="0" w:type="dxa"/>
            <w:vAlign w:val="bottom"/>
          </w:tcPr>
          <w:p>
            <w:pPr>
              <w:spacing w:after="0"/>
              <w:rPr>
                <w:sz w:val="1"/>
                <w:szCs w:val="1"/>
                <w:color w:val="auto"/>
              </w:rPr>
            </w:pPr>
          </w:p>
        </w:tc>
      </w:tr>
      <w:tr>
        <w:trPr>
          <w:trHeight w:val="213"/>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Securities available for sale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7"/>
                <w:szCs w:val="17"/>
                <w:color w:val="auto"/>
                <w:w w:val="95"/>
              </w:rPr>
              <w:t>(In thousands)</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June 30, 2023</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804,808</w:t>
            </w:r>
          </w:p>
        </w:tc>
        <w:tc>
          <w:tcPr>
            <w:tcW w:w="900" w:type="dxa"/>
            <w:vAlign w:val="bottom"/>
            <w:gridSpan w:val="2"/>
            <w:shd w:val="clear" w:color="auto" w:fill="CCEEFF"/>
          </w:tcPr>
          <w:p>
            <w:pPr>
              <w:jc w:val="center"/>
              <w:ind w:right="414"/>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20"/>
                <w:szCs w:val="20"/>
                <w:color w:val="auto"/>
              </w:rPr>
            </w:pPr>
          </w:p>
        </w:tc>
        <w:tc>
          <w:tcPr>
            <w:tcW w:w="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514</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73,545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731,777</w:t>
            </w:r>
          </w:p>
        </w:tc>
        <w:tc>
          <w:tcPr>
            <w:tcW w:w="0" w:type="dxa"/>
            <w:vAlign w:val="bottom"/>
          </w:tcPr>
          <w:p>
            <w:pPr>
              <w:spacing w:after="0"/>
              <w:rPr>
                <w:sz w:val="1"/>
                <w:szCs w:val="1"/>
                <w:color w:val="auto"/>
              </w:rPr>
            </w:pPr>
          </w:p>
        </w:tc>
      </w:tr>
      <w:tr>
        <w:trPr>
          <w:trHeight w:val="218"/>
        </w:trPr>
        <w:tc>
          <w:tcPr>
            <w:tcW w:w="2180" w:type="dxa"/>
            <w:vAlign w:val="bottom"/>
            <w:gridSpan w:val="2"/>
          </w:tcPr>
          <w:p>
            <w:pPr>
              <w:ind w:left="180"/>
              <w:spacing w:after="0"/>
              <w:rPr>
                <w:sz w:val="20"/>
                <w:szCs w:val="20"/>
                <w:color w:val="auto"/>
              </w:rPr>
            </w:pPr>
            <w:r>
              <w:rPr>
                <w:rFonts w:ascii="Arial" w:cs="Arial" w:eastAsia="Arial" w:hAnsi="Arial"/>
                <w:sz w:val="17"/>
                <w:szCs w:val="17"/>
                <w:color w:val="auto"/>
              </w:rPr>
              <w:t>December 31, 2022</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87"/>
              </w:rPr>
              <w:t>866,363</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ind w:left="160"/>
              <w:spacing w:after="0"/>
              <w:rPr>
                <w:sz w:val="20"/>
                <w:szCs w:val="20"/>
                <w:color w:val="auto"/>
              </w:rPr>
            </w:pPr>
            <w:r>
              <w:rPr>
                <w:rFonts w:ascii="Arial" w:cs="Arial" w:eastAsia="Arial" w:hAnsi="Arial"/>
                <w:sz w:val="17"/>
                <w:szCs w:val="17"/>
                <w:color w:val="auto"/>
              </w:rPr>
              <w:t>329</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87,345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779,347</w:t>
            </w:r>
          </w:p>
        </w:tc>
        <w:tc>
          <w:tcPr>
            <w:tcW w:w="0" w:type="dxa"/>
            <w:vAlign w:val="bottom"/>
          </w:tcPr>
          <w:p>
            <w:pPr>
              <w:spacing w:after="0"/>
              <w:rPr>
                <w:sz w:val="1"/>
                <w:szCs w:val="1"/>
                <w:color w:val="auto"/>
              </w:rPr>
            </w:pPr>
          </w:p>
        </w:tc>
      </w:tr>
      <w:tr>
        <w:trPr>
          <w:trHeight w:val="464"/>
        </w:trPr>
        <w:tc>
          <w:tcPr>
            <w:tcW w:w="2180" w:type="dxa"/>
            <w:vAlign w:val="bottom"/>
            <w:gridSpan w:val="2"/>
          </w:tcPr>
          <w:p>
            <w:pPr>
              <w:spacing w:after="0"/>
              <w:rPr>
                <w:sz w:val="20"/>
                <w:szCs w:val="20"/>
                <w:color w:val="auto"/>
              </w:rPr>
            </w:pPr>
            <w:r>
              <w:rPr>
                <w:rFonts w:ascii="Arial" w:cs="Arial" w:eastAsia="Arial" w:hAnsi="Arial"/>
                <w:sz w:val="17"/>
                <w:szCs w:val="17"/>
                <w:b w:val="1"/>
                <w:bCs w:val="1"/>
                <w:color w:val="auto"/>
              </w:rPr>
              <w:t>Securities Held to Maturity</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center"/>
              <w:ind w:right="114"/>
              <w:spacing w:after="0"/>
              <w:rPr>
                <w:sz w:val="20"/>
                <w:szCs w:val="20"/>
                <w:color w:val="auto"/>
              </w:rPr>
            </w:pPr>
            <w:r>
              <w:rPr>
                <w:rFonts w:ascii="Arial" w:cs="Arial" w:eastAsia="Arial" w:hAnsi="Arial"/>
                <w:sz w:val="17"/>
                <w:szCs w:val="17"/>
                <w:color w:val="auto"/>
                <w:w w:val="88"/>
              </w:rPr>
              <w:t>Transferred</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auto"/>
                <w:w w:val="91"/>
              </w:rPr>
              <w:t>Unrealized</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94"/>
              <w:spacing w:after="0" w:line="173" w:lineRule="exact"/>
              <w:rPr>
                <w:sz w:val="20"/>
                <w:szCs w:val="20"/>
                <w:color w:val="auto"/>
              </w:rPr>
            </w:pPr>
            <w:r>
              <w:rPr>
                <w:rFonts w:ascii="Arial" w:cs="Arial" w:eastAsia="Arial" w:hAnsi="Arial"/>
                <w:sz w:val="17"/>
                <w:szCs w:val="17"/>
                <w:color w:val="auto"/>
              </w:rPr>
              <w:t>Carrying</w:t>
            </w:r>
          </w:p>
        </w:tc>
        <w:tc>
          <w:tcPr>
            <w:tcW w:w="240" w:type="dxa"/>
            <w:vAlign w:val="bottom"/>
          </w:tcPr>
          <w:p>
            <w:pPr>
              <w:spacing w:after="0"/>
              <w:rPr>
                <w:sz w:val="15"/>
                <w:szCs w:val="15"/>
                <w:color w:val="auto"/>
              </w:rPr>
            </w:pPr>
          </w:p>
        </w:tc>
        <w:tc>
          <w:tcPr>
            <w:tcW w:w="1100" w:type="dxa"/>
            <w:vAlign w:val="bottom"/>
          </w:tcPr>
          <w:p>
            <w:pPr>
              <w:jc w:val="center"/>
              <w:ind w:right="114"/>
              <w:spacing w:after="0" w:line="173" w:lineRule="exact"/>
              <w:rPr>
                <w:sz w:val="20"/>
                <w:szCs w:val="20"/>
                <w:color w:val="auto"/>
              </w:rPr>
            </w:pPr>
            <w:r>
              <w:rPr>
                <w:rFonts w:ascii="Arial" w:cs="Arial" w:eastAsia="Arial" w:hAnsi="Arial"/>
                <w:sz w:val="17"/>
                <w:szCs w:val="17"/>
                <w:color w:val="auto"/>
                <w:w w:val="91"/>
              </w:rPr>
              <w:t>Unrealized</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gridSpan w:val="3"/>
          </w:tcPr>
          <w:p>
            <w:pPr>
              <w:jc w:val="center"/>
              <w:spacing w:after="0" w:line="173" w:lineRule="exact"/>
              <w:rPr>
                <w:sz w:val="20"/>
                <w:szCs w:val="20"/>
                <w:color w:val="auto"/>
              </w:rPr>
            </w:pPr>
            <w:r>
              <w:rPr>
                <w:rFonts w:ascii="Arial" w:cs="Arial" w:eastAsia="Arial" w:hAnsi="Arial"/>
                <w:sz w:val="17"/>
                <w:szCs w:val="17"/>
                <w:color w:val="auto"/>
                <w:w w:val="96"/>
              </w:rPr>
              <w:t>Amortized</w:t>
            </w: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Value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4"/>
              </w:rPr>
              <w:t>Loss (1)</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ACL</w:t>
            </w: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434"/>
              <w:spacing w:after="0"/>
              <w:rPr>
                <w:sz w:val="20"/>
                <w:szCs w:val="20"/>
                <w:color w:val="auto"/>
              </w:rPr>
            </w:pPr>
            <w:r>
              <w:rPr>
                <w:rFonts w:ascii="Arial" w:cs="Arial" w:eastAsia="Arial" w:hAnsi="Arial"/>
                <w:sz w:val="17"/>
                <w:szCs w:val="17"/>
                <w:color w:val="auto"/>
                <w:w w:val="85"/>
              </w:rPr>
              <w:t>Cost</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w w:val="89"/>
              </w:rPr>
              <w:t>Gains</w:t>
            </w:r>
          </w:p>
        </w:tc>
        <w:tc>
          <w:tcPr>
            <w:tcW w:w="5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9"/>
              </w:rPr>
              <w:t>Losses</w:t>
            </w: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98"/>
              </w:rPr>
              <w:t>Fair Value</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3"/>
          </w:tcPr>
          <w:p>
            <w:pPr>
              <w:jc w:val="right"/>
              <w:ind w:right="94"/>
              <w:spacing w:after="0"/>
              <w:rPr>
                <w:sz w:val="20"/>
                <w:szCs w:val="20"/>
                <w:color w:val="auto"/>
              </w:rPr>
            </w:pPr>
            <w:r>
              <w:rPr>
                <w:rFonts w:ascii="Arial" w:cs="Arial" w:eastAsia="Arial" w:hAnsi="Arial"/>
                <w:sz w:val="17"/>
                <w:szCs w:val="17"/>
                <w:color w:val="auto"/>
              </w:rPr>
              <w:t>(In thousands)</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180" w:type="dxa"/>
            <w:vAlign w:val="bottom"/>
            <w:gridSpan w:val="2"/>
          </w:tcPr>
          <w:p>
            <w:pPr>
              <w:ind w:left="20"/>
              <w:spacing w:after="0"/>
              <w:rPr>
                <w:sz w:val="20"/>
                <w:szCs w:val="20"/>
                <w:color w:val="auto"/>
              </w:rPr>
            </w:pPr>
            <w:r>
              <w:rPr>
                <w:rFonts w:ascii="Arial" w:cs="Arial" w:eastAsia="Arial" w:hAnsi="Arial"/>
                <w:sz w:val="17"/>
                <w:szCs w:val="17"/>
                <w:color w:val="auto"/>
              </w:rPr>
              <w:t>Securities held to maturity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1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June 30, 2023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360,926</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21,280</w:t>
            </w:r>
          </w:p>
        </w:tc>
        <w:tc>
          <w:tcPr>
            <w:tcW w:w="3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center"/>
              <w:ind w:left="514"/>
              <w:spacing w:after="0"/>
              <w:rPr>
                <w:sz w:val="20"/>
                <w:szCs w:val="20"/>
                <w:color w:val="auto"/>
              </w:rPr>
            </w:pPr>
            <w:r>
              <w:rPr>
                <w:rFonts w:ascii="Arial" w:cs="Arial" w:eastAsia="Arial" w:hAnsi="Arial"/>
                <w:sz w:val="17"/>
                <w:szCs w:val="17"/>
                <w:color w:val="auto"/>
                <w:w w:val="91"/>
              </w:rPr>
              <w:t>160</w:t>
            </w:r>
          </w:p>
        </w:tc>
        <w:tc>
          <w:tcPr>
            <w:tcW w:w="5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382,366</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39</w:t>
            </w:r>
          </w:p>
        </w:tc>
        <w:tc>
          <w:tcPr>
            <w:tcW w:w="340" w:type="dxa"/>
            <w:vAlign w:val="bottom"/>
            <w:shd w:val="clear" w:color="auto" w:fill="BFE4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BFE4FF"/>
          </w:tcPr>
          <w:p>
            <w:pPr>
              <w:jc w:val="right"/>
              <w:spacing w:after="0"/>
              <w:rPr>
                <w:sz w:val="20"/>
                <w:szCs w:val="20"/>
                <w:color w:val="auto"/>
              </w:rPr>
            </w:pPr>
            <w:r>
              <w:rPr>
                <w:rFonts w:ascii="Arial" w:cs="Arial" w:eastAsia="Arial" w:hAnsi="Arial"/>
                <w:sz w:val="17"/>
                <w:szCs w:val="17"/>
                <w:color w:val="auto"/>
              </w:rPr>
              <w:t>60,545</w:t>
            </w:r>
          </w:p>
        </w:tc>
        <w:tc>
          <w:tcPr>
            <w:tcW w:w="80" w:type="dxa"/>
            <w:vAlign w:val="bottom"/>
            <w:shd w:val="clear" w:color="auto" w:fill="CCEEFF"/>
          </w:tcPr>
          <w:p>
            <w:pPr>
              <w:spacing w:after="0"/>
              <w:rPr>
                <w:sz w:val="19"/>
                <w:szCs w:val="19"/>
                <w:color w:val="auto"/>
              </w:rPr>
            </w:pPr>
          </w:p>
        </w:tc>
        <w:tc>
          <w:tcPr>
            <w:tcW w:w="20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BFE4FF"/>
          </w:tcPr>
          <w:p>
            <w:pPr>
              <w:jc w:val="right"/>
              <w:spacing w:after="0"/>
              <w:rPr>
                <w:sz w:val="20"/>
                <w:szCs w:val="20"/>
                <w:color w:val="auto"/>
              </w:rPr>
            </w:pPr>
            <w:r>
              <w:rPr>
                <w:rFonts w:ascii="Arial" w:cs="Arial" w:eastAsia="Arial" w:hAnsi="Arial"/>
                <w:sz w:val="17"/>
                <w:szCs w:val="17"/>
                <w:color w:val="auto"/>
              </w:rPr>
              <w:t>321,860</w:t>
            </w:r>
          </w:p>
        </w:tc>
        <w:tc>
          <w:tcPr>
            <w:tcW w:w="0" w:type="dxa"/>
            <w:vAlign w:val="bottom"/>
          </w:tcPr>
          <w:p>
            <w:pPr>
              <w:spacing w:after="0"/>
              <w:rPr>
                <w:sz w:val="1"/>
                <w:szCs w:val="1"/>
                <w:color w:val="auto"/>
              </w:rPr>
            </w:pPr>
          </w:p>
        </w:tc>
      </w:tr>
      <w:tr>
        <w:trPr>
          <w:trHeight w:val="218"/>
        </w:trPr>
        <w:tc>
          <w:tcPr>
            <w:tcW w:w="2180" w:type="dxa"/>
            <w:vAlign w:val="bottom"/>
            <w:gridSpan w:val="2"/>
          </w:tcPr>
          <w:p>
            <w:pPr>
              <w:ind w:left="180"/>
              <w:spacing w:after="0"/>
              <w:rPr>
                <w:sz w:val="20"/>
                <w:szCs w:val="20"/>
                <w:color w:val="auto"/>
              </w:rPr>
            </w:pPr>
            <w:r>
              <w:rPr>
                <w:rFonts w:ascii="Arial" w:cs="Arial" w:eastAsia="Arial" w:hAnsi="Arial"/>
                <w:sz w:val="17"/>
                <w:szCs w:val="17"/>
                <w:color w:val="auto"/>
              </w:rPr>
              <w:t>December 31, 2022</w:t>
            </w:r>
          </w:p>
        </w:tc>
        <w:tc>
          <w:tcPr>
            <w:tcW w:w="18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374,818</w:t>
            </w:r>
          </w:p>
        </w:tc>
        <w:tc>
          <w:tcPr>
            <w:tcW w:w="24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23,066</w:t>
            </w:r>
          </w:p>
        </w:tc>
        <w:tc>
          <w:tcPr>
            <w:tcW w:w="360" w:type="dxa"/>
            <w:vAlign w:val="bottom"/>
          </w:tcPr>
          <w:p>
            <w:pPr>
              <w:spacing w:after="0"/>
              <w:rPr>
                <w:sz w:val="18"/>
                <w:szCs w:val="18"/>
                <w:color w:val="auto"/>
              </w:rPr>
            </w:pPr>
          </w:p>
        </w:tc>
        <w:tc>
          <w:tcPr>
            <w:tcW w:w="860" w:type="dxa"/>
            <w:vAlign w:val="bottom"/>
          </w:tcPr>
          <w:p>
            <w:pPr>
              <w:jc w:val="center"/>
              <w:ind w:left="514"/>
              <w:spacing w:after="0"/>
              <w:rPr>
                <w:sz w:val="20"/>
                <w:szCs w:val="20"/>
                <w:color w:val="auto"/>
              </w:rPr>
            </w:pPr>
            <w:r>
              <w:rPr>
                <w:rFonts w:ascii="Arial" w:cs="Arial" w:eastAsia="Arial" w:hAnsi="Arial"/>
                <w:sz w:val="17"/>
                <w:szCs w:val="17"/>
                <w:color w:val="auto"/>
                <w:w w:val="91"/>
              </w:rPr>
              <w:t>168</w:t>
            </w:r>
          </w:p>
        </w:tc>
        <w:tc>
          <w:tcPr>
            <w:tcW w:w="580" w:type="dxa"/>
            <w:vAlign w:val="bottom"/>
          </w:tcPr>
          <w:p>
            <w:pPr>
              <w:spacing w:after="0"/>
              <w:rPr>
                <w:sz w:val="18"/>
                <w:szCs w:val="18"/>
                <w:color w:val="auto"/>
              </w:rPr>
            </w:pPr>
          </w:p>
        </w:tc>
        <w:tc>
          <w:tcPr>
            <w:tcW w:w="900" w:type="dxa"/>
            <w:vAlign w:val="bottom"/>
            <w:gridSpan w:val="2"/>
          </w:tcPr>
          <w:p>
            <w:pPr>
              <w:jc w:val="right"/>
              <w:ind w:right="74"/>
              <w:spacing w:after="0"/>
              <w:rPr>
                <w:sz w:val="20"/>
                <w:szCs w:val="20"/>
                <w:color w:val="auto"/>
              </w:rPr>
            </w:pPr>
            <w:r>
              <w:rPr>
                <w:rFonts w:ascii="Arial" w:cs="Arial" w:eastAsia="Arial" w:hAnsi="Arial"/>
                <w:sz w:val="17"/>
                <w:szCs w:val="17"/>
                <w:color w:val="auto"/>
              </w:rPr>
              <w:t>398,052</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jc w:val="right"/>
              <w:ind w:right="94"/>
              <w:spacing w:after="0"/>
              <w:rPr>
                <w:sz w:val="20"/>
                <w:szCs w:val="20"/>
                <w:color w:val="auto"/>
              </w:rPr>
            </w:pPr>
            <w:r>
              <w:rPr>
                <w:rFonts w:ascii="Arial" w:cs="Arial" w:eastAsia="Arial" w:hAnsi="Arial"/>
                <w:sz w:val="17"/>
                <w:szCs w:val="17"/>
                <w:color w:val="auto"/>
              </w:rPr>
              <w:t>11</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62,645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335,418</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(1) Represents the remaining unrealized loss to be accreted on securities that were transferred from AFS to HTM on April 1, 2022.</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Securities AFS in unrealized loss positions are evaluated quarterly for impairment related to credit losses. For securities AFS in an unrealized loss position, we first assess whether we intend to sell, or it is more likely than not that we will be required to sell the security before recovery of its amortized cost basis. If either of the criteria regarding intent or requirement to sell is met, the security’s amortized cost basis is written down to fair value through income. For securities AFS that do not meet this criteria, we evaluate whether the decline in fair value has resulted from credit losses or other factors. In making this assessment, we consider the extent to which fair value is less than amortized cost, adverse conditions specifically related to the security and the issuer and the impact of changes in market interest rates on the market value of the security, among other factors. If this assessment indicates that a credit loss exists, we compare the present value of cash flows expected to be collected from the security with the amortized cost basis of the security. If the present value of cash flows expected to be collected is less than the amortized cost basis for the security, a credit loss exists and an ACL is recorded, limited to the amount that the fair value of the security is less than its amortized cost basis. Any impairment that has not been recorded through an ACL is recognized in other comprehensive income (loss), net of applicable taxes. No ACL for securities AFS was needed at June 30, 2023. The decrease in unrealized losses during the first six months of 2023 is attributed to pay downs of security balances, improvements in pricing metrics of securities issued by states and political subdivisions and par reversion. See note #3 to the Condensed Consolidated Financial Statements included within this report for further discussion.</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For securities HTM an ACL is maintained at a level which represents our best estimate of expected credit losses. This ACL is a contra asset valuation account that is deducted from the carrying amount of securities HTM to present the net amount expected to be collected. Securities HTM are charged off against the ACL when deemed uncollectible. Adjustments to the ACL are reported in our Condensed Consolidated Statements of Operations in provision for credit loss. We measure expected credit losses on securities HTM on a collective basis by major security type with each type sharing similar risk characteristics, and considers historical credit loss information that is adjusted for current conditions and reasonable and supportable forecasts. With regard to U.S. Government-sponsored agency and mortgage-backed securities (residential and commercial), all these securities are issued by a U.S. government-sponsored entity and have an implicit or explicit government guarantee; therefore, no allowance for credit losses has been recorded for these securities. With regard to obligations of states and political subdivisions, private label-mortgage-backed, corporate and trust preferred securities HTM, we consider (1) issuer bond ratings, (2) long-term historical loss rates for given bond ratings, (3) the financial condition of the issuer, and (4) whether issuers continue to make timely principal and interest payments under the contractual terms of the securities. During the first quarter of 2023, one corporate security (Signature Bank) defaulted resulting in a $3.0 million provision for credit losses and a corresponding full charge-off during that period. Despite this lone security loss, the long-term historical loss rates associated with securities having similar grades as those in our portfolio have been insignificant. See note #3 to the Condensed Consolidated Financial Statements included within this report for further discussion.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95"/>
        </w:trPr>
        <w:tc>
          <w:tcPr>
            <w:tcW w:w="488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958"/>
        </w:trPr>
        <w:tc>
          <w:tcPr>
            <w:tcW w:w="4880" w:type="dxa"/>
            <w:vAlign w:val="bottom"/>
            <w:gridSpan w:val="2"/>
          </w:tcPr>
          <w:p>
            <w:pPr>
              <w:spacing w:after="0"/>
              <w:rPr>
                <w:sz w:val="20"/>
                <w:szCs w:val="20"/>
                <w:color w:val="auto"/>
              </w:rPr>
            </w:pPr>
            <w:r>
              <w:rPr>
                <w:rFonts w:ascii="Arial" w:cs="Arial" w:eastAsia="Arial" w:hAnsi="Arial"/>
                <w:sz w:val="17"/>
                <w:szCs w:val="17"/>
                <w:color w:val="auto"/>
              </w:rPr>
              <w:t>Sales of securities were as follows (See “Non-interest income.”):</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87"/>
        </w:trPr>
        <w:tc>
          <w:tcPr>
            <w:tcW w:w="4880" w:type="dxa"/>
            <w:vAlign w:val="bottom"/>
            <w:gridSpan w:val="2"/>
          </w:tcPr>
          <w:p>
            <w:pPr>
              <w:spacing w:after="0"/>
              <w:rPr>
                <w:sz w:val="20"/>
                <w:szCs w:val="20"/>
                <w:color w:val="auto"/>
              </w:rPr>
            </w:pPr>
            <w:r>
              <w:rPr>
                <w:rFonts w:ascii="Arial" w:cs="Arial" w:eastAsia="Arial" w:hAnsi="Arial"/>
                <w:sz w:val="17"/>
                <w:szCs w:val="17"/>
                <w:b w:val="1"/>
                <w:bCs w:val="1"/>
                <w:color w:val="auto"/>
              </w:rPr>
              <w:t>Sales of Securities</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25"/>
        </w:trPr>
        <w:tc>
          <w:tcPr>
            <w:tcW w:w="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3060" w:type="dxa"/>
            <w:vAlign w:val="bottom"/>
            <w:gridSpan w:val="5"/>
          </w:tcPr>
          <w:p>
            <w:pPr>
              <w:jc w:val="center"/>
              <w:spacing w:after="0"/>
              <w:rPr>
                <w:sz w:val="20"/>
                <w:szCs w:val="20"/>
                <w:color w:val="auto"/>
              </w:rPr>
            </w:pPr>
            <w:r>
              <w:rPr>
                <w:rFonts w:ascii="Arial" w:cs="Arial" w:eastAsia="Arial" w:hAnsi="Arial"/>
                <w:sz w:val="17"/>
                <w:szCs w:val="17"/>
                <w:color w:val="auto"/>
                <w:w w:val="90"/>
              </w:rPr>
              <w:t>Three Months Ended June 30,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right"/>
              <w:ind w:right="574"/>
              <w:spacing w:after="0"/>
              <w:rPr>
                <w:sz w:val="20"/>
                <w:szCs w:val="20"/>
                <w:color w:val="auto"/>
              </w:rPr>
            </w:pPr>
            <w:r>
              <w:rPr>
                <w:rFonts w:ascii="Arial" w:cs="Arial" w:eastAsia="Arial" w:hAnsi="Arial"/>
                <w:sz w:val="17"/>
                <w:szCs w:val="17"/>
                <w:color w:val="auto"/>
              </w:rPr>
              <w:t>Six Months Ended June 30,</w:t>
            </w:r>
          </w:p>
        </w:tc>
      </w:tr>
      <w:tr>
        <w:trPr>
          <w:trHeight w:val="246"/>
        </w:trPr>
        <w:tc>
          <w:tcPr>
            <w:tcW w:w="38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2023</w:t>
            </w:r>
          </w:p>
        </w:tc>
        <w:tc>
          <w:tcPr>
            <w:tcW w:w="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2022</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2022</w:t>
            </w:r>
          </w:p>
        </w:tc>
      </w:tr>
      <w:tr>
        <w:trPr>
          <w:trHeight w:val="218"/>
        </w:trPr>
        <w:tc>
          <w:tcPr>
            <w:tcW w:w="38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7"/>
                <w:szCs w:val="17"/>
                <w:color w:val="auto"/>
                <w:w w:val="90"/>
              </w:rPr>
              <w:t>(in thousands)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gridSpan w:val="3"/>
          </w:tcPr>
          <w:p>
            <w:pPr>
              <w:jc w:val="right"/>
              <w:ind w:right="80"/>
              <w:spacing w:after="0"/>
              <w:rPr>
                <w:sz w:val="20"/>
                <w:szCs w:val="20"/>
                <w:color w:val="auto"/>
              </w:rPr>
            </w:pPr>
            <w:r>
              <w:rPr>
                <w:rFonts w:ascii="Arial" w:cs="Arial" w:eastAsia="Arial" w:hAnsi="Arial"/>
                <w:sz w:val="17"/>
                <w:szCs w:val="17"/>
                <w:color w:val="auto"/>
              </w:rPr>
              <w:t>(In thousands)</w:t>
            </w:r>
          </w:p>
        </w:tc>
        <w:tc>
          <w:tcPr>
            <w:tcW w:w="1040" w:type="dxa"/>
            <w:vAlign w:val="bottom"/>
          </w:tcPr>
          <w:p>
            <w:pPr>
              <w:spacing w:after="0"/>
              <w:rPr>
                <w:sz w:val="19"/>
                <w:szCs w:val="19"/>
                <w:color w:val="auto"/>
              </w:rPr>
            </w:pPr>
          </w:p>
        </w:tc>
      </w:tr>
      <w:tr>
        <w:trPr>
          <w:trHeight w:val="226"/>
        </w:trPr>
        <w:tc>
          <w:tcPr>
            <w:tcW w:w="4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66,128</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6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70,523</w:t>
            </w:r>
          </w:p>
        </w:tc>
      </w:tr>
      <w:tr>
        <w:trPr>
          <w:trHeight w:val="218"/>
        </w:trPr>
        <w:tc>
          <w:tcPr>
            <w:tcW w:w="4880" w:type="dxa"/>
            <w:vAlign w:val="bottom"/>
            <w:gridSpan w:val="2"/>
          </w:tcPr>
          <w:p>
            <w:pPr>
              <w:ind w:left="100"/>
              <w:spacing w:after="0"/>
              <w:rPr>
                <w:sz w:val="20"/>
                <w:szCs w:val="20"/>
                <w:color w:val="auto"/>
              </w:rPr>
            </w:pPr>
            <w:r>
              <w:rPr>
                <w:rFonts w:ascii="Arial" w:cs="Arial" w:eastAsia="Arial" w:hAnsi="Arial"/>
                <w:sz w:val="17"/>
                <w:szCs w:val="17"/>
                <w:color w:val="auto"/>
              </w:rPr>
              <w:t>Gross gains</w:t>
            </w:r>
          </w:p>
        </w:tc>
        <w:tc>
          <w:tcPr>
            <w:tcW w:w="960" w:type="dxa"/>
            <w:vAlign w:val="bottom"/>
          </w:tcPr>
          <w:p>
            <w:pPr>
              <w:spacing w:after="0"/>
              <w:rPr>
                <w:sz w:val="18"/>
                <w:szCs w:val="18"/>
                <w:color w:val="auto"/>
              </w:rPr>
            </w:pPr>
          </w:p>
        </w:tc>
        <w:tc>
          <w:tcPr>
            <w:tcW w:w="500" w:type="dxa"/>
            <w:vAlign w:val="bottom"/>
          </w:tcPr>
          <w:p>
            <w:pPr>
              <w:ind w:lef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164</w:t>
            </w:r>
          </w:p>
        </w:tc>
      </w:tr>
      <w:tr>
        <w:trPr>
          <w:trHeight w:val="232"/>
        </w:trPr>
        <w:tc>
          <w:tcPr>
            <w:tcW w:w="48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Gross losses</w:t>
            </w:r>
          </w:p>
        </w:tc>
        <w:tc>
          <w:tcPr>
            <w:tcW w:w="9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w:t>
            </w:r>
          </w:p>
        </w:tc>
      </w:tr>
      <w:tr>
        <w:trPr>
          <w:trHeight w:val="213"/>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Net gains (losses)</w:t>
            </w:r>
          </w:p>
        </w:tc>
        <w:tc>
          <w:tcPr>
            <w:tcW w:w="960" w:type="dxa"/>
            <w:vAlign w:val="bottom"/>
          </w:tcPr>
          <w:p>
            <w:pPr>
              <w:jc w:val="right"/>
              <w:ind w:right="774"/>
              <w:spacing w:after="0"/>
              <w:rPr>
                <w:sz w:val="20"/>
                <w:szCs w:val="20"/>
                <w:color w:val="auto"/>
              </w:rPr>
            </w:pPr>
            <w:r>
              <w:rPr>
                <w:rFonts w:ascii="Arial" w:cs="Arial" w:eastAsia="Arial" w:hAnsi="Arial"/>
                <w:sz w:val="17"/>
                <w:szCs w:val="17"/>
                <w:color w:val="auto"/>
                <w:w w:val="84"/>
              </w:rPr>
              <w:t>$</w:t>
            </w:r>
          </w:p>
        </w:tc>
        <w:tc>
          <w:tcPr>
            <w:tcW w:w="500" w:type="dxa"/>
            <w:vAlign w:val="bottom"/>
          </w:tcPr>
          <w:p>
            <w:pPr>
              <w:ind w:left="26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(345)</w:t>
            </w:r>
          </w:p>
        </w:tc>
        <w:tc>
          <w:tcPr>
            <w:tcW w:w="4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(222)</w:t>
            </w:r>
          </w:p>
        </w:tc>
        <w:tc>
          <w:tcPr>
            <w:tcW w:w="62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(275)</w:t>
            </w:r>
          </w:p>
        </w:tc>
      </w:tr>
      <w:tr>
        <w:trPr>
          <w:trHeight w:val="20"/>
        </w:trPr>
        <w:tc>
          <w:tcPr>
            <w:tcW w:w="3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Portfolio Loans and asset quality. </w:t>
      </w:r>
      <w:r>
        <w:rPr>
          <w:rFonts w:ascii="Arial" w:cs="Arial" w:eastAsia="Arial" w:hAnsi="Arial"/>
          <w:sz w:val="17"/>
          <w:szCs w:val="17"/>
          <w:color w:val="auto"/>
        </w:rPr>
        <w:t>In addition to the communities served by our Bank branch and loan production office network, our principal lending markets</w:t>
      </w:r>
      <w:r>
        <w:rPr>
          <w:rFonts w:ascii="Arial" w:cs="Arial" w:eastAsia="Arial" w:hAnsi="Arial"/>
          <w:sz w:val="17"/>
          <w:szCs w:val="17"/>
          <w:b w:val="1"/>
          <w:bCs w:val="1"/>
          <w:color w:val="auto"/>
        </w:rPr>
        <w:t xml:space="preserve"> </w:t>
      </w:r>
      <w:r>
        <w:rPr>
          <w:rFonts w:ascii="Arial" w:cs="Arial" w:eastAsia="Arial" w:hAnsi="Arial"/>
          <w:sz w:val="17"/>
          <w:szCs w:val="17"/>
          <w:color w:val="auto"/>
        </w:rPr>
        <w:t>also include nearby communities and metropolitan areas. Subject to established underwriting criteria, we also may participate in commercial lending transactions with certain non-affiliated banks and make whole loan purchases from other financial institutions.</w:t>
      </w:r>
    </w:p>
    <w:p>
      <w:pPr>
        <w:spacing w:after="0" w:line="13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senior management and board of directors of our Bank retain authority and responsibility for credit decisions and we have adopted uniform underwriting standards. Our loan committee structure and the loan review process attempt to provide requisite controls and promote compliance with such established underwriting standards. However, there can be no assurance that our lending procedures and the use of uniform underwriting standards will prevent us from incurring significant credit losses in our lending activities.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generally retain loans that may be profitably funded within established risk parameters. (See “Asset/liability management.”) As a result, we may hold adjustable-rate and fixed rate jumbo mortgage loans as Portfolio Loans, while 15- and 30-year fixed-rate non-jumbo mortgage loans are generally sold to mitigate exposure to changes in interest rates. (See “Non-interest income.”) The retention of newly originated fixed rate jumbo mortgage loans has declined relative to the prior year as the growth in mortgage loans during the first six months of 2023 has primarily been attributed to the origination of adjustable-rate mortgage loans as well as the continued advances on legacy fixed rate construction mortgage loans. (See “Asset/liability management.”).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tcPr>
          <w:p>
            <w:pPr>
              <w:spacing w:after="0"/>
              <w:rPr>
                <w:sz w:val="20"/>
                <w:szCs w:val="20"/>
                <w:color w:val="auto"/>
              </w:rPr>
            </w:pPr>
            <w:r>
              <w:rPr>
                <w:rFonts w:ascii="Arial" w:cs="Arial" w:eastAsia="Arial" w:hAnsi="Arial"/>
                <w:sz w:val="17"/>
                <w:szCs w:val="17"/>
                <w:color w:val="auto"/>
              </w:rPr>
              <w:t>A summary of our Portfolio Loans follows: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76"/>
        </w:trPr>
        <w:tc>
          <w:tcPr>
            <w:tcW w:w="8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374"/>
              <w:spacing w:after="0"/>
              <w:rPr>
                <w:sz w:val="20"/>
                <w:szCs w:val="20"/>
                <w:color w:val="auto"/>
              </w:rPr>
            </w:pPr>
            <w:r>
              <w:rPr>
                <w:rFonts w:ascii="Arial" w:cs="Arial" w:eastAsia="Arial" w:hAnsi="Arial"/>
                <w:sz w:val="17"/>
                <w:szCs w:val="17"/>
                <w:color w:val="auto"/>
              </w:rPr>
              <w:t>June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Arial" w:cs="Arial" w:eastAsia="Arial" w:hAnsi="Arial"/>
                <w:sz w:val="17"/>
                <w:szCs w:val="17"/>
                <w:color w:val="auto"/>
                <w:w w:val="95"/>
              </w:rPr>
              <w:t>December 31,</w:t>
            </w:r>
          </w:p>
        </w:tc>
      </w:tr>
      <w:tr>
        <w:trPr>
          <w:trHeight w:val="218"/>
        </w:trPr>
        <w:tc>
          <w:tcPr>
            <w:tcW w:w="8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r>
      <w:tr>
        <w:trPr>
          <w:trHeight w:val="211"/>
        </w:trPr>
        <w:tc>
          <w:tcPr>
            <w:tcW w:w="8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954"/>
              <w:spacing w:after="0"/>
              <w:rPr>
                <w:sz w:val="20"/>
                <w:szCs w:val="20"/>
                <w:color w:val="auto"/>
              </w:rPr>
            </w:pPr>
            <w:r>
              <w:rPr>
                <w:rFonts w:ascii="Arial" w:cs="Arial" w:eastAsia="Arial" w:hAnsi="Arial"/>
                <w:sz w:val="17"/>
                <w:szCs w:val="17"/>
                <w:color w:val="auto"/>
              </w:rPr>
              <w:t>(In thousands)</w:t>
            </w:r>
          </w:p>
        </w:tc>
      </w:tr>
      <w:tr>
        <w:trPr>
          <w:trHeight w:val="226"/>
        </w:trPr>
        <w:tc>
          <w:tcPr>
            <w:tcW w:w="8160" w:type="dxa"/>
            <w:vAlign w:val="bottom"/>
          </w:tcPr>
          <w:p>
            <w:pPr>
              <w:ind w:left="20"/>
              <w:spacing w:after="0"/>
              <w:rPr>
                <w:sz w:val="20"/>
                <w:szCs w:val="20"/>
                <w:color w:val="auto"/>
              </w:rPr>
            </w:pPr>
            <w:r>
              <w:rPr>
                <w:rFonts w:ascii="Arial" w:cs="Arial" w:eastAsia="Arial" w:hAnsi="Arial"/>
                <w:sz w:val="17"/>
                <w:szCs w:val="17"/>
                <w:color w:val="auto"/>
              </w:rPr>
              <w:t>Real estate(1)</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6"/>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Residential first mortgages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1,185,873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1,081,359</w:t>
            </w:r>
          </w:p>
        </w:tc>
      </w:tr>
      <w:tr>
        <w:trPr>
          <w:trHeight w:val="218"/>
        </w:trPr>
        <w:tc>
          <w:tcPr>
            <w:tcW w:w="8160" w:type="dxa"/>
            <w:vAlign w:val="bottom"/>
          </w:tcPr>
          <w:p>
            <w:pPr>
              <w:ind w:left="220"/>
              <w:spacing w:after="0"/>
              <w:rPr>
                <w:sz w:val="20"/>
                <w:szCs w:val="20"/>
                <w:color w:val="auto"/>
              </w:rPr>
            </w:pPr>
            <w:r>
              <w:rPr>
                <w:rFonts w:ascii="Arial" w:cs="Arial" w:eastAsia="Arial" w:hAnsi="Arial"/>
                <w:sz w:val="17"/>
                <w:szCs w:val="17"/>
                <w:color w:val="auto"/>
              </w:rPr>
              <w:t>Residential home equity and other junior mortgages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152,218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138,944</w:t>
            </w:r>
          </w:p>
        </w:tc>
      </w:tr>
      <w:tr>
        <w:trPr>
          <w:trHeight w:val="233"/>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Construction and land development</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254,948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319,157</w:t>
            </w:r>
          </w:p>
        </w:tc>
      </w:tr>
      <w:tr>
        <w:trPr>
          <w:trHeight w:val="218"/>
        </w:trPr>
        <w:tc>
          <w:tcPr>
            <w:tcW w:w="8160" w:type="dxa"/>
            <w:vAlign w:val="bottom"/>
          </w:tcPr>
          <w:p>
            <w:pPr>
              <w:ind w:left="220"/>
              <w:spacing w:after="0"/>
              <w:rPr>
                <w:sz w:val="20"/>
                <w:szCs w:val="20"/>
                <w:color w:val="auto"/>
              </w:rPr>
            </w:pPr>
            <w:r>
              <w:rPr>
                <w:rFonts w:ascii="Arial" w:cs="Arial" w:eastAsia="Arial" w:hAnsi="Arial"/>
                <w:sz w:val="17"/>
                <w:szCs w:val="17"/>
                <w:color w:val="auto"/>
              </w:rPr>
              <w:t>Other(2)</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954,350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874,019</w:t>
            </w: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Consumer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645,340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624,047</w:t>
            </w:r>
          </w:p>
        </w:tc>
      </w:tr>
      <w:tr>
        <w:trPr>
          <w:trHeight w:val="225"/>
        </w:trPr>
        <w:tc>
          <w:tcPr>
            <w:tcW w:w="8160" w:type="dxa"/>
            <w:vAlign w:val="bottom"/>
          </w:tcPr>
          <w:p>
            <w:pPr>
              <w:ind w:left="20"/>
              <w:spacing w:after="0"/>
              <w:rPr>
                <w:sz w:val="20"/>
                <w:szCs w:val="20"/>
                <w:color w:val="auto"/>
              </w:rPr>
            </w:pPr>
            <w:r>
              <w:rPr>
                <w:rFonts w:ascii="Arial" w:cs="Arial" w:eastAsia="Arial" w:hAnsi="Arial"/>
                <w:sz w:val="17"/>
                <w:szCs w:val="17"/>
                <w:color w:val="auto"/>
              </w:rPr>
              <w:t>Commercial</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433,763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423,055</w:t>
            </w:r>
          </w:p>
        </w:tc>
      </w:tr>
      <w:tr>
        <w:trPr>
          <w:trHeight w:val="226"/>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Agricultural</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4,771</w:t>
            </w:r>
          </w:p>
        </w:tc>
      </w:tr>
      <w:tr>
        <w:trPr>
          <w:trHeight w:val="213"/>
        </w:trPr>
        <w:tc>
          <w:tcPr>
            <w:tcW w:w="8160" w:type="dxa"/>
            <w:vAlign w:val="bottom"/>
          </w:tcPr>
          <w:p>
            <w:pPr>
              <w:ind w:left="220"/>
              <w:spacing w:after="0"/>
              <w:rPr>
                <w:sz w:val="20"/>
                <w:szCs w:val="20"/>
                <w:color w:val="auto"/>
              </w:rPr>
            </w:pPr>
            <w:r>
              <w:rPr>
                <w:rFonts w:ascii="Arial" w:cs="Arial" w:eastAsia="Arial" w:hAnsi="Arial"/>
                <w:sz w:val="17"/>
                <w:szCs w:val="17"/>
                <w:color w:val="auto"/>
              </w:rPr>
              <w:t>Total loans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3,631,114</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3,465,352</w:t>
            </w:r>
          </w:p>
        </w:tc>
      </w:tr>
      <w:tr>
        <w:trPr>
          <w:trHeight w:val="20"/>
        </w:trPr>
        <w:tc>
          <w:tcPr>
            <w:tcW w:w="8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178" w:lineRule="exact"/>
        <w:rPr>
          <w:sz w:val="20"/>
          <w:szCs w:val="20"/>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both residential and non-residential commercial loans secured by real estate.</w:t>
      </w:r>
    </w:p>
    <w:p>
      <w:pPr>
        <w:spacing w:after="0" w:line="21" w:lineRule="exact"/>
        <w:rPr>
          <w:rFonts w:ascii="Arial" w:cs="Arial" w:eastAsia="Arial" w:hAnsi="Arial"/>
          <w:sz w:val="17"/>
          <w:szCs w:val="17"/>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Includes loans secured by multi-family residential and non-farm, non-residential property.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95"/>
        </w:trPr>
        <w:tc>
          <w:tcPr>
            <w:tcW w:w="796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958"/>
        </w:trPr>
        <w:tc>
          <w:tcPr>
            <w:tcW w:w="7960" w:type="dxa"/>
            <w:vAlign w:val="bottom"/>
            <w:gridSpan w:val="2"/>
          </w:tcPr>
          <w:p>
            <w:pPr>
              <w:spacing w:after="0"/>
              <w:rPr>
                <w:sz w:val="20"/>
                <w:szCs w:val="20"/>
                <w:color w:val="auto"/>
              </w:rPr>
            </w:pPr>
            <w:r>
              <w:rPr>
                <w:rFonts w:ascii="Arial" w:cs="Arial" w:eastAsia="Arial" w:hAnsi="Arial"/>
                <w:sz w:val="17"/>
                <w:szCs w:val="17"/>
                <w:b w:val="1"/>
                <w:bCs w:val="1"/>
                <w:color w:val="auto"/>
              </w:rPr>
              <w:t>Non-performing assets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76"/>
        </w:trPr>
        <w:tc>
          <w:tcPr>
            <w:tcW w:w="3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right"/>
              <w:ind w:right="434"/>
              <w:spacing w:after="0"/>
              <w:rPr>
                <w:sz w:val="20"/>
                <w:szCs w:val="20"/>
                <w:color w:val="auto"/>
              </w:rPr>
            </w:pPr>
            <w:r>
              <w:rPr>
                <w:rFonts w:ascii="Arial" w:cs="Arial" w:eastAsia="Arial" w:hAnsi="Arial"/>
                <w:sz w:val="17"/>
                <w:szCs w:val="17"/>
                <w:color w:val="auto"/>
              </w:rPr>
              <w:t>June 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234"/>
              <w:spacing w:after="0"/>
              <w:rPr>
                <w:sz w:val="20"/>
                <w:szCs w:val="20"/>
                <w:color w:val="auto"/>
              </w:rPr>
            </w:pPr>
            <w:r>
              <w:rPr>
                <w:rFonts w:ascii="Arial" w:cs="Arial" w:eastAsia="Arial" w:hAnsi="Arial"/>
                <w:sz w:val="17"/>
                <w:szCs w:val="17"/>
                <w:color w:val="auto"/>
                <w:w w:val="97"/>
              </w:rPr>
              <w:t>December 31,</w:t>
            </w:r>
          </w:p>
        </w:tc>
      </w:tr>
      <w:tr>
        <w:trPr>
          <w:trHeight w:val="218"/>
        </w:trPr>
        <w:tc>
          <w:tcPr>
            <w:tcW w:w="3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2022</w:t>
            </w:r>
          </w:p>
        </w:tc>
      </w:tr>
      <w:tr>
        <w:trPr>
          <w:trHeight w:val="219"/>
        </w:trPr>
        <w:tc>
          <w:tcPr>
            <w:tcW w:w="38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gridSpan w:val="4"/>
          </w:tcPr>
          <w:p>
            <w:pPr>
              <w:jc w:val="right"/>
              <w:ind w:right="794"/>
              <w:spacing w:after="0"/>
              <w:rPr>
                <w:sz w:val="20"/>
                <w:szCs w:val="20"/>
                <w:color w:val="auto"/>
              </w:rPr>
            </w:pPr>
            <w:r>
              <w:rPr>
                <w:rFonts w:ascii="Arial" w:cs="Arial" w:eastAsia="Arial" w:hAnsi="Arial"/>
                <w:sz w:val="17"/>
                <w:szCs w:val="17"/>
                <w:color w:val="auto"/>
              </w:rPr>
              <w:t>(Dollars in thousands)</w:t>
            </w:r>
          </w:p>
        </w:tc>
      </w:tr>
      <w:tr>
        <w:trPr>
          <w:trHeight w:val="226"/>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Non-accrual loans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6,876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5,381</w:t>
            </w:r>
          </w:p>
        </w:tc>
      </w:tr>
      <w:tr>
        <w:trPr>
          <w:trHeight w:val="218"/>
        </w:trPr>
        <w:tc>
          <w:tcPr>
            <w:tcW w:w="7960" w:type="dxa"/>
            <w:vAlign w:val="bottom"/>
            <w:gridSpan w:val="2"/>
          </w:tcPr>
          <w:p>
            <w:pPr>
              <w:ind w:left="20"/>
              <w:spacing w:after="0"/>
              <w:rPr>
                <w:sz w:val="20"/>
                <w:szCs w:val="20"/>
                <w:color w:val="auto"/>
              </w:rPr>
            </w:pPr>
            <w:r>
              <w:rPr>
                <w:rFonts w:ascii="Arial" w:cs="Arial" w:eastAsia="Arial" w:hAnsi="Arial"/>
                <w:sz w:val="17"/>
                <w:szCs w:val="17"/>
                <w:color w:val="auto"/>
              </w:rPr>
              <w:t>Loans 90 days or more past due and still accruing interest</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r>
      <w:tr>
        <w:trPr>
          <w:trHeight w:val="226"/>
        </w:trPr>
        <w:tc>
          <w:tcPr>
            <w:tcW w:w="380" w:type="dxa"/>
            <w:vAlign w:val="bottom"/>
            <w:shd w:val="clear" w:color="auto" w:fill="CCEEFF"/>
          </w:tcPr>
          <w:p>
            <w:pPr>
              <w:spacing w:after="0"/>
              <w:rPr>
                <w:sz w:val="19"/>
                <w:szCs w:val="19"/>
                <w:color w:val="auto"/>
              </w:rPr>
            </w:pPr>
          </w:p>
        </w:tc>
        <w:tc>
          <w:tcPr>
            <w:tcW w:w="75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Subtotal</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6,876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5,381</w:t>
            </w:r>
          </w:p>
        </w:tc>
      </w:tr>
      <w:tr>
        <w:trPr>
          <w:trHeight w:val="218"/>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Less: Government guaranteed loans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2,882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1,660</w:t>
            </w:r>
          </w:p>
        </w:tc>
      </w:tr>
      <w:tr>
        <w:trPr>
          <w:trHeight w:val="213"/>
        </w:trPr>
        <w:tc>
          <w:tcPr>
            <w:tcW w:w="380" w:type="dxa"/>
            <w:vAlign w:val="bottom"/>
            <w:shd w:val="clear" w:color="auto" w:fill="CCEEFF"/>
          </w:tcPr>
          <w:p>
            <w:pPr>
              <w:spacing w:after="0"/>
              <w:rPr>
                <w:sz w:val="18"/>
                <w:szCs w:val="18"/>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non-performing loans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3,994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3,721</w:t>
            </w:r>
          </w:p>
        </w:tc>
      </w:tr>
      <w:tr>
        <w:trPr>
          <w:trHeight w:val="231"/>
        </w:trPr>
        <w:tc>
          <w:tcPr>
            <w:tcW w:w="79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real estate and repossessed assets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658</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455</w:t>
            </w:r>
          </w:p>
        </w:tc>
      </w:tr>
      <w:tr>
        <w:trPr>
          <w:trHeight w:val="233"/>
        </w:trPr>
        <w:tc>
          <w:tcPr>
            <w:tcW w:w="380" w:type="dxa"/>
            <w:vAlign w:val="bottom"/>
            <w:shd w:val="clear" w:color="auto" w:fill="CCEEFF"/>
          </w:tcPr>
          <w:p>
            <w:pPr>
              <w:spacing w:after="0"/>
              <w:rPr>
                <w:sz w:val="20"/>
                <w:szCs w:val="20"/>
                <w:color w:val="auto"/>
              </w:rPr>
            </w:pPr>
          </w:p>
        </w:tc>
        <w:tc>
          <w:tcPr>
            <w:tcW w:w="7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non-performing assets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4,652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4,176</w:t>
            </w:r>
          </w:p>
        </w:tc>
      </w:tr>
      <w:tr>
        <w:trPr>
          <w:trHeight w:val="20"/>
        </w:trPr>
        <w:tc>
          <w:tcPr>
            <w:tcW w:w="796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38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 a percent of Portfolio Loans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5"/>
        </w:trPr>
        <w:tc>
          <w:tcPr>
            <w:tcW w:w="7960" w:type="dxa"/>
            <w:vAlign w:val="bottom"/>
            <w:gridSpan w:val="2"/>
          </w:tcPr>
          <w:p>
            <w:pPr>
              <w:ind w:left="120"/>
              <w:spacing w:after="0"/>
              <w:rPr>
                <w:sz w:val="20"/>
                <w:szCs w:val="20"/>
                <w:color w:val="auto"/>
              </w:rPr>
            </w:pPr>
            <w:r>
              <w:rPr>
                <w:rFonts w:ascii="Arial" w:cs="Arial" w:eastAsia="Arial" w:hAnsi="Arial"/>
                <w:sz w:val="17"/>
                <w:szCs w:val="17"/>
                <w:color w:val="auto"/>
              </w:rPr>
              <w:t>Non-performing loans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0.11 %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0.11 %</w:t>
            </w:r>
          </w:p>
        </w:tc>
      </w:tr>
      <w:tr>
        <w:trPr>
          <w:trHeight w:val="226"/>
        </w:trPr>
        <w:tc>
          <w:tcPr>
            <w:tcW w:w="79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Allowance for credit losses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1.51</w:t>
            </w:r>
          </w:p>
        </w:tc>
      </w:tr>
      <w:tr>
        <w:trPr>
          <w:trHeight w:val="218"/>
        </w:trPr>
        <w:tc>
          <w:tcPr>
            <w:tcW w:w="7960" w:type="dxa"/>
            <w:vAlign w:val="bottom"/>
            <w:gridSpan w:val="2"/>
          </w:tcPr>
          <w:p>
            <w:pPr>
              <w:ind w:left="20"/>
              <w:spacing w:after="0"/>
              <w:rPr>
                <w:sz w:val="20"/>
                <w:szCs w:val="20"/>
                <w:color w:val="auto"/>
              </w:rPr>
            </w:pPr>
            <w:r>
              <w:rPr>
                <w:rFonts w:ascii="Arial" w:cs="Arial" w:eastAsia="Arial" w:hAnsi="Arial"/>
                <w:sz w:val="17"/>
                <w:szCs w:val="17"/>
                <w:color w:val="auto"/>
              </w:rPr>
              <w:t>Non-performing assets to total assets</w:t>
            </w:r>
          </w:p>
        </w:tc>
        <w:tc>
          <w:tcPr>
            <w:tcW w:w="300" w:type="dxa"/>
            <w:vAlign w:val="bottom"/>
          </w:tcPr>
          <w:p>
            <w:pPr>
              <w:spacing w:after="0"/>
              <w:rPr>
                <w:sz w:val="18"/>
                <w:szCs w:val="18"/>
                <w:color w:val="auto"/>
              </w:rPr>
            </w:pPr>
          </w:p>
        </w:tc>
        <w:tc>
          <w:tcPr>
            <w:tcW w:w="1300" w:type="dxa"/>
            <w:vAlign w:val="bottom"/>
          </w:tcPr>
          <w:p>
            <w:pPr>
              <w:jc w:val="right"/>
              <w:ind w:right="134"/>
              <w:spacing w:after="0"/>
              <w:rPr>
                <w:sz w:val="20"/>
                <w:szCs w:val="20"/>
                <w:color w:val="auto"/>
              </w:rPr>
            </w:pPr>
            <w:r>
              <w:rPr>
                <w:rFonts w:ascii="Arial" w:cs="Arial" w:eastAsia="Arial" w:hAnsi="Arial"/>
                <w:sz w:val="17"/>
                <w:szCs w:val="17"/>
                <w:color w:val="auto"/>
              </w:rPr>
              <w:t>0.09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14"/>
              <w:spacing w:after="0"/>
              <w:rPr>
                <w:sz w:val="20"/>
                <w:szCs w:val="20"/>
                <w:color w:val="auto"/>
              </w:rPr>
            </w:pPr>
            <w:r>
              <w:rPr>
                <w:rFonts w:ascii="Arial" w:cs="Arial" w:eastAsia="Arial" w:hAnsi="Arial"/>
                <w:sz w:val="17"/>
                <w:szCs w:val="17"/>
                <w:color w:val="auto"/>
              </w:rPr>
              <w:t>0.08</w:t>
            </w:r>
          </w:p>
        </w:tc>
      </w:tr>
      <w:tr>
        <w:trPr>
          <w:trHeight w:val="233"/>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Allowance for credit losses as a percent of non-performing loans</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1351.13 %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1409.16</w:t>
            </w:r>
          </w:p>
        </w:tc>
      </w:tr>
    </w:tbl>
    <w:p>
      <w:pPr>
        <w:spacing w:after="0" w:line="245" w:lineRule="exact"/>
        <w:rPr>
          <w:sz w:val="20"/>
          <w:szCs w:val="20"/>
          <w:color w:val="auto"/>
        </w:rPr>
      </w:pPr>
    </w:p>
    <w:p>
      <w:pPr>
        <w:spacing w:after="0"/>
        <w:rPr>
          <w:sz w:val="20"/>
          <w:szCs w:val="20"/>
          <w:color w:val="auto"/>
        </w:rPr>
      </w:pPr>
      <w:r>
        <w:rPr>
          <w:rFonts w:ascii="Arial" w:cs="Arial" w:eastAsia="Arial" w:hAnsi="Arial"/>
          <w:sz w:val="15"/>
          <w:szCs w:val="15"/>
          <w:color w:val="auto"/>
        </w:rPr>
        <w:t>Non-performing loans have remained relatively stable since year-end 2022, reflecting generally improving economic conditions and our ongoing collection efforts.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Our collection and resolution efforts have generally resulted in a positive trend in non-performing loans.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Other real estate and repossessed assets totaled $0.66 million and $0.46 million at June 30, 2023, and December 31, 2022, respectively.</w:t>
      </w:r>
    </w:p>
    <w:p>
      <w:pPr>
        <w:spacing w:after="0" w:line="178" w:lineRule="exact"/>
        <w:rPr>
          <w:sz w:val="20"/>
          <w:szCs w:val="20"/>
          <w:color w:val="auto"/>
        </w:rPr>
      </w:pPr>
    </w:p>
    <w:p>
      <w:pPr>
        <w:jc w:val="both"/>
        <w:spacing w:after="0" w:line="349" w:lineRule="auto"/>
        <w:rPr>
          <w:sz w:val="20"/>
          <w:szCs w:val="20"/>
          <w:color w:val="auto"/>
        </w:rPr>
      </w:pPr>
      <w:r>
        <w:rPr>
          <w:rFonts w:ascii="Arial" w:cs="Arial" w:eastAsia="Arial" w:hAnsi="Arial"/>
          <w:sz w:val="15"/>
          <w:szCs w:val="15"/>
          <w:color w:val="auto"/>
        </w:rPr>
        <w:t>We will place a loan that is 90 days or more past due on non-accrual, unless we believe the loan is both well secured and in the process of collection. Accordingly, we have determined that the collection of the accrued and unpaid interest on any loans that are 90 days or more past due and still accruing interest is probable.</w:t>
      </w:r>
    </w:p>
    <w:p>
      <w:pPr>
        <w:spacing w:after="0" w:line="91" w:lineRule="exact"/>
        <w:rPr>
          <w:sz w:val="20"/>
          <w:szCs w:val="20"/>
          <w:color w:val="auto"/>
        </w:rPr>
      </w:pPr>
    </w:p>
    <w:p>
      <w:pPr>
        <w:ind w:right="900"/>
        <w:spacing w:after="0" w:line="482" w:lineRule="auto"/>
        <w:rPr>
          <w:sz w:val="20"/>
          <w:szCs w:val="20"/>
          <w:color w:val="auto"/>
        </w:rPr>
      </w:pPr>
      <w:r>
        <w:rPr>
          <w:rFonts w:ascii="Arial" w:cs="Arial" w:eastAsia="Arial" w:hAnsi="Arial"/>
          <w:sz w:val="17"/>
          <w:szCs w:val="17"/>
          <w:color w:val="auto"/>
        </w:rPr>
        <w:t xml:space="preserve">The following tables reflect activity in our ACL on loans, securities and unfunded lending commitments as well as the allocation of our ACL on loans. </w:t>
      </w:r>
      <w:r>
        <w:rPr>
          <w:rFonts w:ascii="Arial" w:cs="Arial" w:eastAsia="Arial" w:hAnsi="Arial"/>
          <w:sz w:val="17"/>
          <w:szCs w:val="17"/>
          <w:b w:val="1"/>
          <w:bCs w:val="1"/>
          <w:color w:val="auto"/>
        </w:rPr>
        <w:t>Allowance for credit losses on loans and unfunded lending commitments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4"/>
          </w:tcPr>
          <w:p>
            <w:pPr>
              <w:jc w:val="right"/>
              <w:ind w:right="274"/>
              <w:spacing w:after="0"/>
              <w:rPr>
                <w:sz w:val="20"/>
                <w:szCs w:val="20"/>
                <w:color w:val="auto"/>
              </w:rPr>
            </w:pPr>
            <w:r>
              <w:rPr>
                <w:rFonts w:ascii="Arial" w:cs="Arial" w:eastAsia="Arial" w:hAnsi="Arial"/>
                <w:sz w:val="17"/>
                <w:szCs w:val="17"/>
                <w:color w:val="auto"/>
              </w:rPr>
              <w:t>Six months ended June 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2022</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314"/>
              <w:spacing w:after="0"/>
              <w:rPr>
                <w:sz w:val="20"/>
                <w:szCs w:val="20"/>
                <w:color w:val="auto"/>
              </w:rPr>
            </w:pPr>
            <w:r>
              <w:rPr>
                <w:rFonts w:ascii="Arial" w:cs="Arial" w:eastAsia="Arial" w:hAnsi="Arial"/>
                <w:sz w:val="17"/>
                <w:szCs w:val="17"/>
                <w:color w:val="auto"/>
              </w:rPr>
              <w:t>Loans</w:t>
            </w:r>
          </w:p>
        </w:tc>
        <w:tc>
          <w:tcPr>
            <w:tcW w:w="10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color w:val="auto"/>
              </w:rPr>
              <w:t>Securities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74"/>
              <w:spacing w:after="0" w:line="162" w:lineRule="exact"/>
              <w:rPr>
                <w:sz w:val="20"/>
                <w:szCs w:val="20"/>
                <w:color w:val="auto"/>
              </w:rPr>
            </w:pPr>
            <w:r>
              <w:rPr>
                <w:rFonts w:ascii="Arial" w:cs="Arial" w:eastAsia="Arial" w:hAnsi="Arial"/>
                <w:sz w:val="17"/>
                <w:szCs w:val="17"/>
                <w:color w:val="auto"/>
              </w:rPr>
              <w:t>Unfunded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ind w:right="314"/>
              <w:spacing w:after="0"/>
              <w:rPr>
                <w:sz w:val="20"/>
                <w:szCs w:val="20"/>
                <w:color w:val="auto"/>
              </w:rPr>
            </w:pPr>
            <w:r>
              <w:rPr>
                <w:rFonts w:ascii="Arial" w:cs="Arial" w:eastAsia="Arial" w:hAnsi="Arial"/>
                <w:sz w:val="17"/>
                <w:szCs w:val="17"/>
                <w:color w:val="auto"/>
              </w:rPr>
              <w:t>Loans</w:t>
            </w:r>
          </w:p>
        </w:tc>
        <w:tc>
          <w:tcPr>
            <w:tcW w:w="100" w:type="dxa"/>
            <w:vAlign w:val="bottom"/>
          </w:tcPr>
          <w:p>
            <w:pPr>
              <w:spacing w:after="0"/>
              <w:rPr>
                <w:sz w:val="14"/>
                <w:szCs w:val="14"/>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7"/>
                <w:szCs w:val="17"/>
                <w:color w:val="auto"/>
              </w:rPr>
              <w:t>Securities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94"/>
              <w:spacing w:after="0" w:line="162" w:lineRule="exact"/>
              <w:rPr>
                <w:sz w:val="20"/>
                <w:szCs w:val="20"/>
                <w:color w:val="auto"/>
              </w:rPr>
            </w:pPr>
            <w:r>
              <w:rPr>
                <w:rFonts w:ascii="Arial" w:cs="Arial" w:eastAsia="Arial" w:hAnsi="Arial"/>
                <w:sz w:val="17"/>
                <w:szCs w:val="17"/>
                <w:color w:val="auto"/>
              </w:rPr>
              <w:t>Unfunded</w:t>
            </w:r>
          </w:p>
        </w:tc>
        <w:tc>
          <w:tcPr>
            <w:tcW w:w="0" w:type="dxa"/>
            <w:vAlign w:val="bottom"/>
          </w:tcPr>
          <w:p>
            <w:pPr>
              <w:spacing w:after="0"/>
              <w:rPr>
                <w:sz w:val="1"/>
                <w:szCs w:val="1"/>
                <w:color w:val="auto"/>
              </w:rPr>
            </w:pPr>
          </w:p>
        </w:tc>
      </w:tr>
      <w:tr>
        <w:trPr>
          <w:trHeight w:val="224"/>
        </w:trPr>
        <w:tc>
          <w:tcPr>
            <w:tcW w:w="34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7"/>
              </w:rPr>
              <w:t>Commitments</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7"/>
              </w:rPr>
              <w:t>Commitments</w:t>
            </w: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4"/>
          </w:tcPr>
          <w:p>
            <w:pPr>
              <w:jc w:val="right"/>
              <w:ind w:right="434"/>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period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52,435</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47,252</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4,481</w:t>
            </w:r>
          </w:p>
        </w:tc>
        <w:tc>
          <w:tcPr>
            <w:tcW w:w="0" w:type="dxa"/>
            <w:vAlign w:val="bottom"/>
          </w:tcPr>
          <w:p>
            <w:pPr>
              <w:spacing w:after="0"/>
              <w:rPr>
                <w:sz w:val="1"/>
                <w:szCs w:val="1"/>
                <w:color w:val="auto"/>
              </w:rPr>
            </w:pPr>
          </w:p>
        </w:tc>
      </w:tr>
      <w:tr>
        <w:trPr>
          <w:trHeight w:val="225"/>
        </w:trPr>
        <w:tc>
          <w:tcPr>
            <w:tcW w:w="3420" w:type="dxa"/>
            <w:vAlign w:val="bottom"/>
          </w:tcPr>
          <w:p>
            <w:pPr>
              <w:ind w:left="20"/>
              <w:spacing w:after="0"/>
              <w:rPr>
                <w:sz w:val="20"/>
                <w:szCs w:val="20"/>
                <w:color w:val="auto"/>
              </w:rPr>
            </w:pPr>
            <w:r>
              <w:rPr>
                <w:rFonts w:ascii="Arial" w:cs="Arial" w:eastAsia="Arial" w:hAnsi="Arial"/>
                <w:sz w:val="17"/>
                <w:szCs w:val="17"/>
                <w:color w:val="auto"/>
              </w:rPr>
              <w:t>Additions (deductions)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Provision for credit losses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420" w:type="dxa"/>
            <w:vAlign w:val="bottom"/>
          </w:tcPr>
          <w:p>
            <w:pPr>
              <w:ind w:left="120"/>
              <w:spacing w:after="0"/>
              <w:rPr>
                <w:sz w:val="20"/>
                <w:szCs w:val="20"/>
                <w:color w:val="auto"/>
              </w:rPr>
            </w:pPr>
            <w:r>
              <w:rPr>
                <w:rFonts w:ascii="Arial" w:cs="Arial" w:eastAsia="Arial" w:hAnsi="Arial"/>
                <w:sz w:val="17"/>
                <w:szCs w:val="17"/>
                <w:color w:val="auto"/>
              </w:rPr>
              <w:t>Recoveries credited to allowance</w:t>
            </w:r>
          </w:p>
        </w:tc>
        <w:tc>
          <w:tcPr>
            <w:tcW w:w="2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1,325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1,274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3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Assets charged against the allowance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(2,281)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(1,291)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Additions included in non-interest expense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33"/>
        </w:trPr>
        <w:tc>
          <w:tcPr>
            <w:tcW w:w="3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end of period</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53,964</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47,883</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4,775</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42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Net loans charged (recovered) against the</w:t>
            </w: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0.00 %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4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allowance to average Portfolio Loans</w:t>
            </w:r>
          </w:p>
        </w:tc>
        <w:tc>
          <w:tcPr>
            <w:tcW w:w="26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62"/>
        </w:trPr>
        <w:tc>
          <w:tcPr>
            <w:tcW w:w="3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95"/>
        </w:trPr>
        <w:tc>
          <w:tcPr>
            <w:tcW w:w="816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58"/>
        </w:trPr>
        <w:tc>
          <w:tcPr>
            <w:tcW w:w="8160" w:type="dxa"/>
            <w:vAlign w:val="bottom"/>
            <w:gridSpan w:val="2"/>
          </w:tcPr>
          <w:p>
            <w:pPr>
              <w:spacing w:after="0"/>
              <w:rPr>
                <w:sz w:val="20"/>
                <w:szCs w:val="20"/>
                <w:color w:val="auto"/>
              </w:rPr>
            </w:pPr>
            <w:r>
              <w:rPr>
                <w:rFonts w:ascii="Arial" w:cs="Arial" w:eastAsia="Arial" w:hAnsi="Arial"/>
                <w:sz w:val="17"/>
                <w:szCs w:val="17"/>
                <w:b w:val="1"/>
                <w:bCs w:val="1"/>
                <w:color w:val="auto"/>
              </w:rPr>
              <w:t>Allocation of the Allowance for Credit Losses on Loans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6"/>
        </w:trPr>
        <w:tc>
          <w:tcPr>
            <w:tcW w:w="3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374"/>
              <w:spacing w:after="0"/>
              <w:rPr>
                <w:sz w:val="20"/>
                <w:szCs w:val="20"/>
                <w:color w:val="auto"/>
              </w:rPr>
            </w:pPr>
            <w:r>
              <w:rPr>
                <w:rFonts w:ascii="Arial" w:cs="Arial" w:eastAsia="Arial" w:hAnsi="Arial"/>
                <w:sz w:val="17"/>
                <w:szCs w:val="17"/>
                <w:color w:val="auto"/>
              </w:rPr>
              <w:t>June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Arial" w:cs="Arial" w:eastAsia="Arial" w:hAnsi="Arial"/>
                <w:sz w:val="17"/>
                <w:szCs w:val="17"/>
                <w:color w:val="auto"/>
                <w:w w:val="95"/>
              </w:rPr>
              <w:t>December 31,</w:t>
            </w:r>
          </w:p>
        </w:tc>
      </w:tr>
      <w:tr>
        <w:trPr>
          <w:trHeight w:val="218"/>
        </w:trPr>
        <w:tc>
          <w:tcPr>
            <w:tcW w:w="38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r>
      <w:tr>
        <w:trPr>
          <w:trHeight w:val="218"/>
        </w:trPr>
        <w:tc>
          <w:tcPr>
            <w:tcW w:w="38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0" w:type="dxa"/>
            <w:vAlign w:val="bottom"/>
            <w:gridSpan w:val="4"/>
          </w:tcPr>
          <w:p>
            <w:pPr>
              <w:jc w:val="right"/>
              <w:ind w:right="694"/>
              <w:spacing w:after="0"/>
              <w:rPr>
                <w:sz w:val="20"/>
                <w:szCs w:val="20"/>
                <w:color w:val="auto"/>
              </w:rPr>
            </w:pPr>
            <w:r>
              <w:rPr>
                <w:rFonts w:ascii="Arial" w:cs="Arial" w:eastAsia="Arial" w:hAnsi="Arial"/>
                <w:sz w:val="17"/>
                <w:szCs w:val="17"/>
                <w:color w:val="auto"/>
              </w:rPr>
              <w:t>(Dollars in thousands)</w:t>
            </w:r>
          </w:p>
        </w:tc>
      </w:tr>
      <w:tr>
        <w:trPr>
          <w:trHeight w:val="226"/>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Specific allocations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2,078</w:t>
            </w:r>
          </w:p>
        </w:tc>
      </w:tr>
      <w:tr>
        <w:trPr>
          <w:trHeight w:val="218"/>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Pooled analysis allocations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38,265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37,662</w:t>
            </w:r>
          </w:p>
        </w:tc>
      </w:tr>
      <w:tr>
        <w:trPr>
          <w:trHeight w:val="232"/>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Additional allocations based on subjective factors</w:t>
            </w: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13,283</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12,695</w:t>
            </w:r>
          </w:p>
        </w:tc>
      </w:tr>
      <w:tr>
        <w:trPr>
          <w:trHeight w:val="213"/>
        </w:trPr>
        <w:tc>
          <w:tcPr>
            <w:tcW w:w="816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53,964</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52,435</w:t>
            </w:r>
          </w:p>
        </w:tc>
      </w:tr>
      <w:tr>
        <w:trPr>
          <w:trHeight w:val="20"/>
        </w:trPr>
        <w:tc>
          <w:tcPr>
            <w:tcW w:w="38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Some loans will not be repaid in full. Therefore, an ACL on loans is maintained at a level which represents our best estimate of expected credit losses. Our ACL on loans is comprised of three principal elements: (i) specific analysis of individual loans identified during the review of the loan portfolio, (ii) pooled analysis of loans with similar risk characteristics based on historical experience, adjusted for current conditions, reasonable and supportable forecasts, and expected prepayments, and (iii) additional allowances based on subjective factors, including local and general economic business factors and trends, portfolio concentrations and changes in the size and/or the general terms of the loan portfolios. See note #4 to the Condensed Consolidated Financial Statements included within this report for further discussion on the ACL on loans.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we use relevant information to recognize losses on loans, additional provisions for related losses may be necessary based on changes in economic conditions, customer circumstances and other credit risk factors.</w:t>
      </w:r>
    </w:p>
    <w:p>
      <w:pPr>
        <w:spacing w:after="0" w:line="1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ACL increased $1.5 million to $54.0 million at June 30, 2023 from $52.4 million at December 31, 2022, and was equal to 1.49% and 1.51% of total Portfolio Loans at June 30, 2023, and December 31, 2022, respectively.</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Since December 31, 2022, the ACL related to specific loans increased $0.3 million due primarily to one commercial loan addition in the second quarter that was partially offset by a partial charge-off of a different commercial loan during the first quarter. The ACL related to pooled analysis of loans increased $0.6 million due primarily to loan growth. The ACL related to subjective factors increased $0.6 million also reflecting loan growth.</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Deposits and borrowings. </w:t>
      </w:r>
      <w:r>
        <w:rPr>
          <w:rFonts w:ascii="Arial" w:cs="Arial" w:eastAsia="Arial" w:hAnsi="Arial"/>
          <w:sz w:val="16"/>
          <w:szCs w:val="16"/>
          <w:color w:val="auto"/>
        </w:rPr>
        <w:t>Historically, the loyalty of our customer base has allowed us to price deposits competitively, contributing to a net interest margin that</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compares favorably to our peers. However, we still face a significant amount of competition for deposits within many of the markets served by our branch network, which limits our ability to materially increase deposits without adversely impacting the weighted-average cost of core deposits.</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To attract new core deposits, we have implemented various account acquisition strategies as well as branch staff sales training. Account acquisition initiatives have historically generated increases in customer relationships. Over the past several years, we have also expanded our treasury management products and services for commercial businesses and municipalities or other governmental units and have also increased our sales calling efforts in order to attract additional deposit relationships from these sectors. We view long-term core deposit growth as an important objective. Core deposits generally provide a more stable and lower cost source of funds than alternative sources such as short-term borrowings. (See “Liquidity and capital resources.”)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Deposits totaled $4.49 billion and $4.38 billion at June 30, 2023, and December 31, 2022, respectively. The increase in deposits is primarily due to growth in reciprocal deposits, time deposits and brokered time deposits that were partially offset by decreases in non-interest bearing and savings and interest-bearing checking deposits. Reciprocal deposits totaled $721.0 million and $602.6 million at June 30, 2023 and December 31, 2022, respectively. These deposits represent demand, money market and time deposits from our customers that have been placed through IntraFi Network. This service allows our customers to access multi-million dollar FDIC deposit insurance on deposit balances greater than the standard FDIC insurance maximum.</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auto"/>
        </w:rPr>
        <w:t>We cannot be sure that we will be able to maintain our current level of core deposits. In particular, those deposits that are uninsured may be susceptible to outflow.</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Data relating to our our deposit portfolios (excluding brokered time) follows: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tcPr>
          <w:p>
            <w:pPr>
              <w:jc w:val="right"/>
              <w:ind w:right="614"/>
              <w:spacing w:after="0"/>
              <w:rPr>
                <w:sz w:val="20"/>
                <w:szCs w:val="20"/>
                <w:color w:val="auto"/>
              </w:rPr>
            </w:pPr>
            <w:r>
              <w:rPr>
                <w:rFonts w:ascii="Arial" w:cs="Arial" w:eastAsia="Arial" w:hAnsi="Arial"/>
                <w:sz w:val="17"/>
                <w:szCs w:val="17"/>
                <w:color w:val="auto"/>
              </w:rPr>
              <w:t>June 30,</w:t>
            </w:r>
          </w:p>
        </w:tc>
        <w:tc>
          <w:tcPr>
            <w:tcW w:w="320" w:type="dxa"/>
            <w:vAlign w:val="bottom"/>
          </w:tcPr>
          <w:p>
            <w:pPr>
              <w:spacing w:after="0"/>
              <w:rPr>
                <w:sz w:val="16"/>
                <w:szCs w:val="16"/>
                <w:color w:val="auto"/>
              </w:rPr>
            </w:pPr>
          </w:p>
        </w:tc>
        <w:tc>
          <w:tcPr>
            <w:tcW w:w="1580" w:type="dxa"/>
            <w:vAlign w:val="bottom"/>
          </w:tcPr>
          <w:p>
            <w:pPr>
              <w:jc w:val="right"/>
              <w:ind w:right="354"/>
              <w:spacing w:after="0"/>
              <w:rPr>
                <w:sz w:val="20"/>
                <w:szCs w:val="20"/>
                <w:color w:val="auto"/>
              </w:rPr>
            </w:pPr>
            <w:r>
              <w:rPr>
                <w:rFonts w:ascii="Arial" w:cs="Arial" w:eastAsia="Arial" w:hAnsi="Arial"/>
                <w:sz w:val="17"/>
                <w:szCs w:val="17"/>
                <w:color w:val="auto"/>
              </w:rPr>
              <w:t>December 31,</w:t>
            </w:r>
          </w:p>
        </w:tc>
      </w:tr>
      <w:tr>
        <w:trPr>
          <w:trHeight w:val="218"/>
        </w:trPr>
        <w:tc>
          <w:tcPr>
            <w:tcW w:w="7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rPr>
              <w:t>2023</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color w:val="auto"/>
              </w:rPr>
              <w:t>2022</w:t>
            </w:r>
          </w:p>
        </w:tc>
      </w:tr>
      <w:tr>
        <w:trPr>
          <w:trHeight w:val="212"/>
        </w:trPr>
        <w:tc>
          <w:tcPr>
            <w:tcW w:w="7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40" w:type="dxa"/>
            <w:vAlign w:val="bottom"/>
            <w:gridSpan w:val="3"/>
          </w:tcPr>
          <w:p>
            <w:pPr>
              <w:jc w:val="right"/>
              <w:ind w:right="1054"/>
              <w:spacing w:after="0"/>
              <w:rPr>
                <w:sz w:val="20"/>
                <w:szCs w:val="20"/>
                <w:color w:val="auto"/>
              </w:rPr>
            </w:pPr>
            <w:r>
              <w:rPr>
                <w:rFonts w:ascii="Arial" w:cs="Arial" w:eastAsia="Arial" w:hAnsi="Arial"/>
                <w:sz w:val="17"/>
                <w:szCs w:val="17"/>
                <w:color w:val="auto"/>
              </w:rPr>
              <w:t>(Dollars in thousands)</w:t>
            </w:r>
          </w:p>
        </w:tc>
      </w:tr>
      <w:tr>
        <w:trPr>
          <w:trHeight w:val="233"/>
        </w:trPr>
        <w:tc>
          <w:tcPr>
            <w:tcW w:w="7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Uninsured deposits (1)</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918,461</w:t>
            </w:r>
          </w:p>
        </w:tc>
        <w:tc>
          <w:tcPr>
            <w:tcW w:w="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975,938</w:t>
            </w:r>
          </w:p>
        </w:tc>
      </w:tr>
      <w:tr>
        <w:trPr>
          <w:trHeight w:val="218"/>
        </w:trPr>
        <w:tc>
          <w:tcPr>
            <w:tcW w:w="7360" w:type="dxa"/>
            <w:vAlign w:val="bottom"/>
          </w:tcPr>
          <w:p>
            <w:pPr>
              <w:ind w:left="60"/>
              <w:spacing w:after="0"/>
              <w:rPr>
                <w:sz w:val="20"/>
                <w:szCs w:val="20"/>
                <w:color w:val="auto"/>
              </w:rPr>
            </w:pPr>
            <w:r>
              <w:rPr>
                <w:rFonts w:ascii="Arial" w:cs="Arial" w:eastAsia="Arial" w:hAnsi="Arial"/>
                <w:sz w:val="17"/>
                <w:szCs w:val="17"/>
                <w:color w:val="auto"/>
              </w:rPr>
              <w:t>Uninsured deposits as a percentage of deposits</w:t>
            </w:r>
          </w:p>
        </w:tc>
        <w:tc>
          <w:tcPr>
            <w:tcW w:w="3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21.7 %</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23.4 %</w:t>
            </w:r>
          </w:p>
        </w:tc>
      </w:tr>
      <w:tr>
        <w:trPr>
          <w:trHeight w:val="220"/>
        </w:trPr>
        <w:tc>
          <w:tcPr>
            <w:tcW w:w="7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Average deposit account size</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19.26</w:t>
            </w:r>
          </w:p>
        </w:tc>
        <w:tc>
          <w:tcPr>
            <w:tcW w:w="32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19.33</w:t>
            </w:r>
          </w:p>
        </w:tc>
      </w:tr>
      <w:tr>
        <w:trPr>
          <w:trHeight w:val="225"/>
        </w:trPr>
        <w:tc>
          <w:tcPr>
            <w:tcW w:w="7360" w:type="dxa"/>
            <w:vAlign w:val="bottom"/>
          </w:tcPr>
          <w:p>
            <w:pPr>
              <w:ind w:left="60"/>
              <w:spacing w:after="0"/>
              <w:rPr>
                <w:sz w:val="20"/>
                <w:szCs w:val="20"/>
                <w:color w:val="auto"/>
              </w:rPr>
            </w:pPr>
            <w:r>
              <w:rPr>
                <w:rFonts w:ascii="Arial" w:cs="Arial" w:eastAsia="Arial" w:hAnsi="Arial"/>
                <w:sz w:val="17"/>
                <w:szCs w:val="17"/>
                <w:color w:val="auto"/>
              </w:rPr>
              <w:t>Balance of top 100 largest depositors</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540" w:type="dxa"/>
            <w:vAlign w:val="bottom"/>
          </w:tcPr>
          <w:p>
            <w:pPr>
              <w:jc w:val="right"/>
              <w:ind w:right="174"/>
              <w:spacing w:after="0"/>
              <w:rPr>
                <w:sz w:val="20"/>
                <w:szCs w:val="20"/>
                <w:color w:val="auto"/>
              </w:rPr>
            </w:pPr>
            <w:r>
              <w:rPr>
                <w:rFonts w:ascii="Arial" w:cs="Arial" w:eastAsia="Arial" w:hAnsi="Arial"/>
                <w:sz w:val="17"/>
                <w:szCs w:val="17"/>
                <w:color w:val="auto"/>
              </w:rPr>
              <w:t>808,980</w:t>
            </w:r>
          </w:p>
        </w:tc>
        <w:tc>
          <w:tcPr>
            <w:tcW w:w="32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14"/>
              <w:spacing w:after="0"/>
              <w:rPr>
                <w:sz w:val="20"/>
                <w:szCs w:val="20"/>
                <w:color w:val="auto"/>
              </w:rPr>
            </w:pPr>
            <w:r>
              <w:rPr>
                <w:rFonts w:ascii="Arial" w:cs="Arial" w:eastAsia="Arial" w:hAnsi="Arial"/>
                <w:sz w:val="17"/>
                <w:szCs w:val="17"/>
                <w:color w:val="auto"/>
              </w:rPr>
              <w:t>752,924</w:t>
            </w:r>
          </w:p>
        </w:tc>
      </w:tr>
      <w:tr>
        <w:trPr>
          <w:trHeight w:val="226"/>
        </w:trPr>
        <w:tc>
          <w:tcPr>
            <w:tcW w:w="7360" w:type="dxa"/>
            <w:vAlign w:val="bottom"/>
            <w:shd w:val="clear" w:color="auto" w:fill="CCEEFF"/>
          </w:tcPr>
          <w:p>
            <w:pPr>
              <w:ind w:left="60"/>
              <w:spacing w:after="0"/>
              <w:rPr>
                <w:sz w:val="20"/>
                <w:szCs w:val="20"/>
                <w:color w:val="auto"/>
              </w:rPr>
            </w:pPr>
            <w:r>
              <w:rPr>
                <w:rFonts w:ascii="Arial" w:cs="Arial" w:eastAsia="Arial" w:hAnsi="Arial"/>
                <w:sz w:val="17"/>
                <w:szCs w:val="17"/>
                <w:color w:val="auto"/>
              </w:rPr>
              <w:t>Balance of top 100 depositors as a percentage of deposits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19.1 %</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18.1 %</w:t>
            </w:r>
          </w:p>
        </w:tc>
      </w:tr>
    </w:tbl>
    <w:p>
      <w:pPr>
        <w:spacing w:after="0" w:line="245" w:lineRule="exact"/>
        <w:rPr>
          <w:sz w:val="20"/>
          <w:szCs w:val="20"/>
          <w:color w:val="auto"/>
        </w:rPr>
      </w:pPr>
    </w:p>
    <w:p>
      <w:pPr>
        <w:ind w:firstLine="3"/>
        <w:spacing w:after="0" w:line="279" w:lineRule="auto"/>
        <w:tabs>
          <w:tab w:leader="none" w:pos="24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These amounts exclude intercompany related deposits of $52.0 million and $55.2 million, respectively. Uninsured deposits reported in our our CALL report at June 30, 2023 and December 31, 2022 totaled $970.4 million and $1,031.2 million, respectively.</w:t>
      </w:r>
    </w:p>
    <w:p>
      <w:pPr>
        <w:spacing w:after="0" w:line="12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also implemented strategies that incorporate using federal funds purchased, other borrowings and Brokered CDs to fund a portion of our interest-earning assets. The use of such alternate sources of funds supplements our core deposits and is also an integral part of our asset/liability management efforts.</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borrowings, comprised primarily of FRB and FHLB borrowings, totaled $90.0 million and $86.0 million at June 30, 2023, and December 31, 2022, respectively.</w:t>
      </w:r>
    </w:p>
    <w:p>
      <w:pPr>
        <w:spacing w:after="0" w:line="126"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As described above, we have utilized wholesale funding, including federal funds purchased, FHLB and FRB borrowings and Brokered CDs to augment our core deposits and fund a portion of our assets. At June 30, 2023, our use of such wholesale funding sources (including reciprocal deposits) amounted to approximately $1.06 billion, or 23.2% of total funding (deposits and all borrowings, excluding subordinated debt and debentures). Because wholesale funding sources are affected by general market conditions, the availability of such funding may be dependent on the confidence these sources have in our financial condition and operations. The continued availability to us of these funding sources is not certain, and Brokered CDs may be difficult for us to retain or replace at attractive rates as they mature. Our liquidity may be constrained if we are unable to renew our wholesale funding sources or if adequate financing is not available in the future at acceptable rates of interest or at all. Our financial performance could also be affected if we are unable to maintain our access to funding sources or if we are required to rely more heavily on more expensive funding sources. In such case, our net interest income and results of operations could be adversely affected.</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historically employed derivative financial instruments to manage our exposure to changes in interest rates. During the first six months of 2023 and 2022, we entered into $57.4 million and $18.5 million (aggregate notional amounts), respectively, of interest rate swaps with commercial loan customers, which were offset with interest rate swaps that the Bank entered into with a broker-dealer. We recorded $1.0 million and $0.2 million of fee income related to these transactions during the first six months of 2023 and 2022, respectively. See note #6 to the Condensed Consolidated Financial Statements included within this report for more information on our derivative financial instruments.</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b w:val="1"/>
          <w:bCs w:val="1"/>
          <w:color w:val="auto"/>
        </w:rPr>
        <w:t xml:space="preserve">Liquidity and capital resources. </w:t>
      </w:r>
      <w:r>
        <w:rPr>
          <w:rFonts w:ascii="Arial" w:cs="Arial" w:eastAsia="Arial" w:hAnsi="Arial"/>
          <w:sz w:val="17"/>
          <w:szCs w:val="17"/>
          <w:color w:val="auto"/>
        </w:rPr>
        <w:t>Liquidity risk is the risk of being unable to timely meet obligations as they come due at a reasonable funding cost or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incurring unacceptable losses. Our liquidity management involves the measurement and monitoring of a variety of sources and uses of funds. Our Condensed Consolidated Statements of Cash Flows categorize these sources and uses into operating, investing and financing activities. We primarily focus our liquidity management on maintaining adequate levels of liquid assets (primarily funds on deposit with the FRB and certain securities AFS) as well as developing access to a variety of borrowing sources to supplement our deposit gathering activities and provide funds for purchasing securities or originating Portfolio Loans as well as to be able to respond to unforeseen liquidity needs.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primary sources of funds include our deposit base, secured advances from the FHLB and FRB, federal funds purchased borrowing facilities with other banks, and access to the capital markets (for Brokered CDs). At June 30, 2023, in addition to liquidity available from our normal operating, funding and investing activities we had unused credit lines with the FHLB and FRB of approximately $926.9 million and $476.5 million, respectively. We also had approximately $866.9 million in fair value of unpledged securities AFS and HTM at June 30, 2023, which could be pledged for an estimated additional borrowing capacity at the FHLB and FRB of approximately $800.1 million.</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At June 30, 2023, we had $731.7 million of time deposits that mature in the next 12 months. Historically, a majority of these maturing time deposits are renewed by our customers. Additionally, $3.71 billion of our deposits at June 30, 2023, were in account types from which the customer could withdraw the funds on demand. Changes in the balances of deposits that can be withdrawn upon demand are usually predictable and the total balances of these accounts have generally grown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or have been stable over time as a result of our marketing and promotional activities. However, there can be no assurance that historical patterns of renewing time deposits or overall growth or stability in deposits will continue in the future.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developed contingency funding plans that stress test our liquidity needs that may arise from certain events such as an adverse change in our financial metrics (for example, credit quality or regulatory capital ratios). Our liquidity management also includes periodic monitoring that measures quick assets (defined generally as highly liquid or short-term assets) to total assets, short-term liability dependence and basic surplus (defined as quick assets less volatile liabilities to total assets). Policy limits have been established for our various liquidity measurements and are monitored on a quarterly basis. In addition, we also prepare cash flow forecasts that include a variety of different scenarios.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currently have adequate liquidity at our Bank because of our cash and cash equivalents, our portfolio of securities AFS, our access to secured advances from the FHLB and FRB and our ability to issue Brokered CDs.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believe that the available cash on hand at the parent company (including time deposits) of approximately $47.3 million as of June 30, 2023, provides sufficient liquidity resources at the parent company to meet operating expenses, to make interest payments on the subordinated debt and debentures, and, along with dividends from the Bank, to pay projected cash dividends on our common stock.</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management of capital resources is critical to our mission to create value for our shareholders. In addition to common stock, our capital structure also currently includes subordinated debt and cumulative trust preferred securities.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60" w:type="dxa"/>
            <w:vAlign w:val="bottom"/>
          </w:tcPr>
          <w:p>
            <w:pPr>
              <w:spacing w:after="0"/>
              <w:rPr>
                <w:sz w:val="20"/>
                <w:szCs w:val="20"/>
                <w:color w:val="auto"/>
              </w:rPr>
            </w:pPr>
            <w:r>
              <w:rPr>
                <w:rFonts w:ascii="Arial" w:cs="Arial" w:eastAsia="Arial" w:hAnsi="Arial"/>
                <w:sz w:val="17"/>
                <w:szCs w:val="17"/>
                <w:b w:val="1"/>
                <w:bCs w:val="1"/>
                <w:color w:val="auto"/>
              </w:rPr>
              <w:t>Capitalization</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6"/>
        </w:trPr>
        <w:tc>
          <w:tcPr>
            <w:tcW w:w="8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374"/>
              <w:spacing w:after="0"/>
              <w:rPr>
                <w:sz w:val="20"/>
                <w:szCs w:val="20"/>
                <w:color w:val="auto"/>
              </w:rPr>
            </w:pPr>
            <w:r>
              <w:rPr>
                <w:rFonts w:ascii="Arial" w:cs="Arial" w:eastAsia="Arial" w:hAnsi="Arial"/>
                <w:sz w:val="17"/>
                <w:szCs w:val="17"/>
                <w:color w:val="auto"/>
              </w:rPr>
              <w:t>June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174"/>
              <w:spacing w:after="0"/>
              <w:rPr>
                <w:sz w:val="20"/>
                <w:szCs w:val="20"/>
                <w:color w:val="auto"/>
              </w:rPr>
            </w:pPr>
            <w:r>
              <w:rPr>
                <w:rFonts w:ascii="Arial" w:cs="Arial" w:eastAsia="Arial" w:hAnsi="Arial"/>
                <w:sz w:val="17"/>
                <w:szCs w:val="17"/>
                <w:color w:val="auto"/>
                <w:w w:val="95"/>
              </w:rPr>
              <w:t>December 31,</w:t>
            </w:r>
          </w:p>
        </w:tc>
      </w:tr>
      <w:tr>
        <w:trPr>
          <w:trHeight w:val="218"/>
        </w:trPr>
        <w:tc>
          <w:tcPr>
            <w:tcW w:w="8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color w:val="auto"/>
              </w:rPr>
              <w:t>2023</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color w:val="auto"/>
              </w:rPr>
              <w:t>2022</w:t>
            </w:r>
          </w:p>
        </w:tc>
      </w:tr>
      <w:tr>
        <w:trPr>
          <w:trHeight w:val="212"/>
        </w:trPr>
        <w:tc>
          <w:tcPr>
            <w:tcW w:w="8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954"/>
              <w:spacing w:after="0"/>
              <w:rPr>
                <w:sz w:val="20"/>
                <w:szCs w:val="20"/>
                <w:color w:val="auto"/>
              </w:rPr>
            </w:pPr>
            <w:r>
              <w:rPr>
                <w:rFonts w:ascii="Arial" w:cs="Arial" w:eastAsia="Arial" w:hAnsi="Arial"/>
                <w:sz w:val="17"/>
                <w:szCs w:val="17"/>
                <w:color w:val="auto"/>
              </w:rPr>
              <w:t>(In thousands)</w:t>
            </w:r>
          </w:p>
        </w:tc>
      </w:tr>
      <w:tr>
        <w:trPr>
          <w:trHeight w:val="233"/>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Subordinated debt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39,472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39,433</w:t>
            </w:r>
          </w:p>
        </w:tc>
      </w:tr>
      <w:tr>
        <w:trPr>
          <w:trHeight w:val="218"/>
        </w:trPr>
        <w:tc>
          <w:tcPr>
            <w:tcW w:w="8160" w:type="dxa"/>
            <w:vAlign w:val="bottom"/>
          </w:tcPr>
          <w:p>
            <w:pPr>
              <w:ind w:left="20"/>
              <w:spacing w:after="0"/>
              <w:rPr>
                <w:sz w:val="20"/>
                <w:szCs w:val="20"/>
                <w:color w:val="auto"/>
              </w:rPr>
            </w:pPr>
            <w:r>
              <w:rPr>
                <w:rFonts w:ascii="Arial" w:cs="Arial" w:eastAsia="Arial" w:hAnsi="Arial"/>
                <w:sz w:val="17"/>
                <w:szCs w:val="17"/>
                <w:color w:val="auto"/>
              </w:rPr>
              <w:t>Subordinated debentures</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39,694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39,660</w:t>
            </w:r>
          </w:p>
        </w:tc>
      </w:tr>
      <w:tr>
        <w:trPr>
          <w:trHeight w:val="219"/>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Amount not qualifying as regulatory capital</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(657)</w:t>
            </w:r>
          </w:p>
        </w:tc>
      </w:tr>
      <w:tr>
        <w:trPr>
          <w:trHeight w:val="225"/>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Amount qualifying as regulatory capital</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78,470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78,436</w:t>
            </w:r>
          </w:p>
        </w:tc>
      </w:tr>
      <w:tr>
        <w:trPr>
          <w:trHeight w:val="20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5"/>
        </w:trPr>
        <w:tc>
          <w:tcPr>
            <w:tcW w:w="8160" w:type="dxa"/>
            <w:vAlign w:val="bottom"/>
          </w:tcPr>
          <w:p>
            <w:pPr>
              <w:ind w:left="220"/>
              <w:spacing w:after="0"/>
              <w:rPr>
                <w:sz w:val="20"/>
                <w:szCs w:val="20"/>
                <w:color w:val="auto"/>
              </w:rPr>
            </w:pPr>
            <w:r>
              <w:rPr>
                <w:rFonts w:ascii="Arial" w:cs="Arial" w:eastAsia="Arial" w:hAnsi="Arial"/>
                <w:sz w:val="17"/>
                <w:szCs w:val="17"/>
                <w:color w:val="auto"/>
              </w:rPr>
              <w:t>Common stock</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318,241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320,991</w:t>
            </w:r>
          </w:p>
        </w:tc>
      </w:tr>
      <w:tr>
        <w:trPr>
          <w:trHeight w:val="226"/>
        </w:trPr>
        <w:tc>
          <w:tcPr>
            <w:tcW w:w="81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119,368</w:t>
            </w:r>
          </w:p>
        </w:tc>
      </w:tr>
      <w:tr>
        <w:trPr>
          <w:trHeight w:val="219"/>
        </w:trPr>
        <w:tc>
          <w:tcPr>
            <w:tcW w:w="816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(loss)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(80,510)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(92,763)</w:t>
            </w:r>
          </w:p>
        </w:tc>
      </w:tr>
      <w:tr>
        <w:trPr>
          <w:trHeight w:val="224"/>
        </w:trPr>
        <w:tc>
          <w:tcPr>
            <w:tcW w:w="8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375,162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347,596</w:t>
            </w:r>
          </w:p>
        </w:tc>
      </w:tr>
      <w:tr>
        <w:trPr>
          <w:trHeight w:val="213"/>
        </w:trPr>
        <w:tc>
          <w:tcPr>
            <w:tcW w:w="8160" w:type="dxa"/>
            <w:vAlign w:val="bottom"/>
          </w:tcPr>
          <w:p>
            <w:pPr>
              <w:ind w:left="440"/>
              <w:spacing w:after="0"/>
              <w:rPr>
                <w:sz w:val="20"/>
                <w:szCs w:val="20"/>
                <w:color w:val="auto"/>
              </w:rPr>
            </w:pPr>
            <w:r>
              <w:rPr>
                <w:rFonts w:ascii="Arial" w:cs="Arial" w:eastAsia="Arial" w:hAnsi="Arial"/>
                <w:sz w:val="17"/>
                <w:szCs w:val="17"/>
                <w:color w:val="auto"/>
              </w:rPr>
              <w:t>Total capitalization</w:t>
            </w: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453,632</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426,032</w:t>
            </w:r>
          </w:p>
        </w:tc>
      </w:tr>
      <w:tr>
        <w:trPr>
          <w:trHeight w:val="20"/>
        </w:trPr>
        <w:tc>
          <w:tcPr>
            <w:tcW w:w="8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May 2020, we issued $40.0 million of fixed to floating subordinated notes with a ten year maturity and a five year call option. The initial coupon rate is 5.95% fixed for five years and then floats at the Secured Overnight Financing Rate (“SOFR”) plus 5.825%. These notes are presented in the Condensed Consolidated Statement of Financial Condition under the caption “Subordinated debt” and the June 30, 2023, balance of $39.5 million is net of remaining unamortized deferred issuance costs of approximately $0.5 million that are being amortized through the maturity date into interest expense on other borrowings and subordinated debt and debentures in our Condensed Consolidated Statements of Operations.</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currently have four special purpose entities with $39.7 million of outstanding cumulative trust preferred securities as of June 30, 2023. These special purpose entities issued common securities and provided cash to our parent company that in turn issued subordinated debentures to these special purpose entities equal to the trust preferred securities and common securities. The subordinated debentures represent the sole asset of the special purpose entities. The common securities and subordinated debentures are included in our Condensed Consolidated Statements of Financial Condition.</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FRB has issued rules regarding trust preferred securities as a component of the Tier 1 capital of bank holding companies. The aggregate amount of trust preferred securities (and certain other capital elements) are limited to 25 percent of Tier 1 capital elements, net of goodwill (net of any associated deferred tax liability). The amount of trust preferred securities and certain other elements in excess of the limit can be included in Tier 2 capital, subject to restrictions. At the parent company, all of these securities qualified as Tier 1 capital at June 30, 2023, and December 31, 2022.</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Common shareholders’ equity increased to $375.2 million at June 30, 2023, from $347.6 million at December 31, 2022. The increase is primarily due to earnings retention as well as a $12.3 million decrease in accumulated other comprehensive loss related to unrealized losses on securities AFS that were partially offset by share repurchases. Our tangible common equity (“TCE”) totaled $344.6 million and $316.7 million, respectively, at those same dates. Our ratio of TCE to tangible assets was 6.75% and 6.37% at June 30, 2023, and December 31, 2022, respectively. TCE and the ratio of TCE to tangible assets are non-GAAP measures. TCE represents total common equity less goodwill and other intangible assets.</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December 2022, our Board of Directors authorized a 2023 share repurchase plan. Under the terms of the 2023 share repurchase plan, we are authorized to buy back up to 1,100,000, or approximately 5% of our outstanding common stock. During the first six months of 2023 repurchases were made totaling 200,000 shares of common stock, for an aggregate purchase price of $3.3 million.</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pay a quarterly cash dividend on our common stock. These dividends totaled $0.46 per share and $0.44 per share in the first six months of 2023 and 2022, respectively. We generally favor a dividend payout ratio between 30% and 50% of net income.</w:t>
      </w:r>
    </w:p>
    <w:p>
      <w:pPr>
        <w:spacing w:after="0" w:line="1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2023 and December 31, 2022, our Bank (and holding company) continued to meet the requirements to be considered “well-capitalized” under federal regulatory standards (also see note #10 to the Condensed Consolidated Financial Statements included within this report).</w:t>
      </w:r>
    </w:p>
    <w:p>
      <w:pPr>
        <w:spacing w:after="0" w:line="133"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color w:val="auto"/>
        </w:rPr>
        <w:t xml:space="preserve">Asset/liability management. </w:t>
      </w:r>
      <w:r>
        <w:rPr>
          <w:rFonts w:ascii="Arial" w:cs="Arial" w:eastAsia="Arial" w:hAnsi="Arial"/>
          <w:sz w:val="16"/>
          <w:szCs w:val="16"/>
          <w:color w:val="auto"/>
        </w:rPr>
        <w:t>Interest-rate risk is created by differences in the cash flow characteristics of our assets and liabilities. Options embedded in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instruments, including caps on adjustable-rate loans as well as borrowers’ rights to prepay fixed-rate loans, also create interest-rate risk.</w:t>
      </w:r>
    </w:p>
    <w:p>
      <w:pPr>
        <w:spacing w:after="0" w:line="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asset/liability management efforts identify and evaluate opportunities to structure our assets and liabilities in a manner that is consistent with our mission to maintain profitable financial leverage within established risk parameters. We evaluate various opportunities and alternate asset/liability management strategies carefully and consider the likely impact on our risk profile as well as the anticipated contribution to earnings. The marginal cost of funds is a principal consideration in the implementation of our asset/liability management strategies, but such evaluations further consider interest-rate and liquidity risk as well as other pertinent factors. We have established parameters for interest-rate risk. We regularly monitor our interest-rate risk and report at least quarterly to our board of directors.</w:t>
      </w:r>
    </w:p>
    <w:p>
      <w:pPr>
        <w:spacing w:after="0" w:line="14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employ simulation analyses to monitor our interest-rate risk profile and evaluate potential changes in our net interest income and market value of portfolio equity that result from changes in interest rates. The purpose of these simulations is to identify sources of interest-rate risk. The simulations do not anticipate any actions that we might initiate in response to changes in interest rates and, accordingly, the simulations do not provide a reliable forecast of anticipated results. The simulations are predicated on immediate, permanent and parallel shifts in interest rates and generally assume that current loan and deposit pricing relationships remain constant. The simulations further incorporate assumptions relating to changes in customer behavior, including changes in prepayment rates on certain assets and liabilities. At June 30, 2023, both our interest rate risk profile as measured by our short term earnings simulation and our longer term interest rate risk measure based on changes in economic value indicates exposure to rising rates. These measures have increased modestly from December 31, 2022 as an adverse impact of changes in our deposit mix were largely offset by a favorable impact of additional hedging and term funding transactions. In addition, at June 30, 2023 our simulation base-rate scenario declined from December 31, 2022 due primarily to the changes in our funding mix and change in deposit pricing betas. We are carefully monitoring the change in our funding mix as well as the composition of our earning assets and the impact of potential future changes in interest rates on our changes in market value of portfolio equity and changes in net interest income. As a result, we may add some longer-term borrowings, may utilize derivatives (interest rate swaps and interest rate caps) to manage interest rate risk and may continue to sell some fixed rate jumbo and other portfolio mortgage loans in the future.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5"/>
        </w:trPr>
        <w:tc>
          <w:tcPr>
            <w:tcW w:w="4820" w:type="dxa"/>
            <w:vAlign w:val="bottom"/>
            <w:gridSpan w:val="2"/>
          </w:tcPr>
          <w:p>
            <w:pPr>
              <w:spacing w:after="0"/>
              <w:rPr>
                <w:sz w:val="20"/>
                <w:szCs w:val="20"/>
                <w:color w:val="auto"/>
              </w:rPr>
            </w:pPr>
            <w:r>
              <w:rPr>
                <w:rFonts w:ascii="Arial" w:cs="Arial" w:eastAsia="Arial" w:hAnsi="Arial"/>
                <w:sz w:val="17"/>
                <w:szCs w:val="17"/>
                <w:i w:val="1"/>
                <w:iCs w:val="1"/>
                <w:color w:val="0000FF"/>
              </w:rPr>
              <w:t>Index</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8"/>
        </w:trPr>
        <w:tc>
          <w:tcPr>
            <w:tcW w:w="8080" w:type="dxa"/>
            <w:vAlign w:val="bottom"/>
            <w:gridSpan w:val="6"/>
          </w:tcPr>
          <w:p>
            <w:pPr>
              <w:spacing w:after="0"/>
              <w:rPr>
                <w:sz w:val="20"/>
                <w:szCs w:val="20"/>
                <w:color w:val="auto"/>
              </w:rPr>
            </w:pPr>
            <w:r>
              <w:rPr>
                <w:rFonts w:ascii="Arial" w:cs="Arial" w:eastAsia="Arial" w:hAnsi="Arial"/>
                <w:sz w:val="17"/>
                <w:szCs w:val="17"/>
                <w:b w:val="1"/>
                <w:bCs w:val="1"/>
                <w:color w:val="auto"/>
              </w:rPr>
              <w:t>CHANGES IN MARKET VALUE OF PORTFOLIO EQUITY AND NET INTEREST INCOME</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jc w:val="center"/>
              <w:ind w:right="414"/>
              <w:spacing w:after="0"/>
              <w:rPr>
                <w:sz w:val="20"/>
                <w:szCs w:val="20"/>
                <w:color w:val="auto"/>
              </w:rPr>
            </w:pPr>
            <w:r>
              <w:rPr>
                <w:rFonts w:ascii="Arial" w:cs="Arial" w:eastAsia="Arial" w:hAnsi="Arial"/>
                <w:sz w:val="17"/>
                <w:szCs w:val="17"/>
                <w:b w:val="1"/>
                <w:bCs w:val="1"/>
                <w:color w:val="auto"/>
                <w:w w:val="98"/>
              </w:rPr>
              <w:t>Market</w:t>
            </w: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center"/>
              <w:ind w:right="394"/>
              <w:spacing w:after="0"/>
              <w:rPr>
                <w:sz w:val="20"/>
                <w:szCs w:val="20"/>
                <w:color w:val="auto"/>
              </w:rPr>
            </w:pPr>
            <w:r>
              <w:rPr>
                <w:rFonts w:ascii="Arial" w:cs="Arial" w:eastAsia="Arial" w:hAnsi="Arial"/>
                <w:sz w:val="17"/>
                <w:szCs w:val="17"/>
                <w:b w:val="1"/>
                <w:bCs w:val="1"/>
                <w:color w:val="auto"/>
                <w:w w:val="90"/>
              </w:rPr>
              <w:t>Value of</w:t>
            </w: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center"/>
              <w:ind w:right="414"/>
              <w:spacing w:after="0"/>
              <w:rPr>
                <w:sz w:val="20"/>
                <w:szCs w:val="20"/>
                <w:color w:val="auto"/>
              </w:rPr>
            </w:pPr>
            <w:r>
              <w:rPr>
                <w:rFonts w:ascii="Arial" w:cs="Arial" w:eastAsia="Arial" w:hAnsi="Arial"/>
                <w:sz w:val="17"/>
                <w:szCs w:val="17"/>
                <w:b w:val="1"/>
                <w:bCs w:val="1"/>
                <w:color w:val="auto"/>
                <w:w w:val="94"/>
              </w:rPr>
              <w:t>Net</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jc w:val="center"/>
              <w:ind w:right="414"/>
              <w:spacing w:after="0"/>
              <w:rPr>
                <w:sz w:val="20"/>
                <w:szCs w:val="20"/>
                <w:color w:val="auto"/>
              </w:rPr>
            </w:pPr>
            <w:r>
              <w:rPr>
                <w:rFonts w:ascii="Arial" w:cs="Arial" w:eastAsia="Arial" w:hAnsi="Arial"/>
                <w:sz w:val="17"/>
                <w:szCs w:val="17"/>
                <w:b w:val="1"/>
                <w:bCs w:val="1"/>
                <w:color w:val="auto"/>
                <w:w w:val="94"/>
              </w:rPr>
              <w:t>Portfolio</w:t>
            </w:r>
          </w:p>
        </w:tc>
        <w:tc>
          <w:tcPr>
            <w:tcW w:w="1460" w:type="dxa"/>
            <w:vAlign w:val="bottom"/>
          </w:tcPr>
          <w:p>
            <w:pPr>
              <w:jc w:val="right"/>
              <w:ind w:right="474"/>
              <w:spacing w:after="0"/>
              <w:rPr>
                <w:sz w:val="20"/>
                <w:szCs w:val="20"/>
                <w:color w:val="auto"/>
              </w:rPr>
            </w:pPr>
            <w:r>
              <w:rPr>
                <w:rFonts w:ascii="Arial" w:cs="Arial" w:eastAsia="Arial" w:hAnsi="Arial"/>
                <w:sz w:val="17"/>
                <w:szCs w:val="17"/>
                <w:b w:val="1"/>
                <w:bCs w:val="1"/>
                <w:color w:val="auto"/>
              </w:rPr>
              <w:t>Percent</w:t>
            </w:r>
          </w:p>
        </w:tc>
        <w:tc>
          <w:tcPr>
            <w:tcW w:w="280" w:type="dxa"/>
            <w:vAlign w:val="bottom"/>
          </w:tcPr>
          <w:p>
            <w:pPr>
              <w:spacing w:after="0"/>
              <w:rPr>
                <w:sz w:val="17"/>
                <w:szCs w:val="17"/>
                <w:color w:val="auto"/>
              </w:rPr>
            </w:pPr>
          </w:p>
        </w:tc>
        <w:tc>
          <w:tcPr>
            <w:tcW w:w="1480" w:type="dxa"/>
            <w:vAlign w:val="bottom"/>
          </w:tcPr>
          <w:p>
            <w:pPr>
              <w:jc w:val="center"/>
              <w:ind w:right="414"/>
              <w:spacing w:after="0"/>
              <w:rPr>
                <w:sz w:val="20"/>
                <w:szCs w:val="20"/>
                <w:color w:val="auto"/>
              </w:rPr>
            </w:pPr>
            <w:r>
              <w:rPr>
                <w:rFonts w:ascii="Arial" w:cs="Arial" w:eastAsia="Arial" w:hAnsi="Arial"/>
                <w:sz w:val="17"/>
                <w:szCs w:val="17"/>
                <w:b w:val="1"/>
                <w:bCs w:val="1"/>
                <w:color w:val="auto"/>
                <w:w w:val="94"/>
              </w:rPr>
              <w:t>Interest</w:t>
            </w:r>
          </w:p>
        </w:tc>
        <w:tc>
          <w:tcPr>
            <w:tcW w:w="1400" w:type="dxa"/>
            <w:vAlign w:val="bottom"/>
          </w:tcPr>
          <w:p>
            <w:pPr>
              <w:ind w:left="340"/>
              <w:spacing w:after="0"/>
              <w:rPr>
                <w:sz w:val="20"/>
                <w:szCs w:val="20"/>
                <w:color w:val="auto"/>
              </w:rPr>
            </w:pPr>
            <w:r>
              <w:rPr>
                <w:rFonts w:ascii="Arial" w:cs="Arial" w:eastAsia="Arial" w:hAnsi="Arial"/>
                <w:sz w:val="17"/>
                <w:szCs w:val="17"/>
                <w:b w:val="1"/>
                <w:bCs w:val="1"/>
                <w:color w:val="auto"/>
              </w:rPr>
              <w:t>Percent</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Change in Interest Rates</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414"/>
              <w:spacing w:after="0"/>
              <w:rPr>
                <w:sz w:val="20"/>
                <w:szCs w:val="20"/>
                <w:color w:val="auto"/>
              </w:rPr>
            </w:pPr>
            <w:r>
              <w:rPr>
                <w:rFonts w:ascii="Arial" w:cs="Arial" w:eastAsia="Arial" w:hAnsi="Arial"/>
                <w:sz w:val="17"/>
                <w:szCs w:val="17"/>
                <w:b w:val="1"/>
                <w:bCs w:val="1"/>
                <w:color w:val="auto"/>
                <w:w w:val="96"/>
              </w:rPr>
              <w:t>Equity(1)</w:t>
            </w:r>
          </w:p>
        </w:tc>
        <w:tc>
          <w:tcPr>
            <w:tcW w:w="14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Change</w:t>
            </w: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414"/>
              <w:spacing w:after="0"/>
              <w:rPr>
                <w:sz w:val="20"/>
                <w:szCs w:val="20"/>
                <w:color w:val="auto"/>
              </w:rPr>
            </w:pPr>
            <w:r>
              <w:rPr>
                <w:rFonts w:ascii="Arial" w:cs="Arial" w:eastAsia="Arial" w:hAnsi="Arial"/>
                <w:sz w:val="17"/>
                <w:szCs w:val="17"/>
                <w:b w:val="1"/>
                <w:bCs w:val="1"/>
                <w:color w:val="auto"/>
                <w:w w:val="92"/>
              </w:rPr>
              <w:t>Income(2)</w:t>
            </w: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223"/>
        </w:trPr>
        <w:tc>
          <w:tcPr>
            <w:tcW w:w="48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June 30, 2023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20" w:type="dxa"/>
            <w:vAlign w:val="bottom"/>
            <w:gridSpan w:val="3"/>
          </w:tcPr>
          <w:p>
            <w:pPr>
              <w:jc w:val="right"/>
              <w:ind w:right="874"/>
              <w:spacing w:after="0"/>
              <w:rPr>
                <w:sz w:val="20"/>
                <w:szCs w:val="20"/>
                <w:color w:val="auto"/>
              </w:rPr>
            </w:pPr>
            <w:r>
              <w:rPr>
                <w:rFonts w:ascii="Arial" w:cs="Arial" w:eastAsia="Arial" w:hAnsi="Arial"/>
                <w:sz w:val="17"/>
                <w:szCs w:val="17"/>
                <w:b w:val="1"/>
                <w:bCs w:val="1"/>
                <w:color w:val="auto"/>
              </w:rPr>
              <w:t>(Dollars in thousands)</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200 basis point rise</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416,900</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w:t>
            </w:r>
          </w:p>
        </w:tc>
        <w:tc>
          <w:tcPr>
            <w:tcW w:w="2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161,800</w:t>
            </w:r>
          </w:p>
        </w:tc>
        <w:tc>
          <w:tcPr>
            <w:tcW w:w="1400" w:type="dxa"/>
            <w:vAlign w:val="bottom"/>
            <w:shd w:val="clear" w:color="auto" w:fill="CCEEFF"/>
          </w:tcPr>
          <w:p>
            <w:pPr>
              <w:ind w:left="820"/>
              <w:spacing w:after="0"/>
              <w:rPr>
                <w:sz w:val="20"/>
                <w:szCs w:val="20"/>
                <w:color w:val="auto"/>
              </w:rPr>
            </w:pPr>
            <w:r>
              <w:rPr>
                <w:rFonts w:ascii="Arial" w:cs="Arial" w:eastAsia="Arial" w:hAnsi="Arial"/>
                <w:sz w:val="17"/>
                <w:szCs w:val="17"/>
                <w:color w:val="auto"/>
                <w:w w:val="94"/>
              </w:rPr>
              <w:t>(2.12)%</w:t>
            </w:r>
          </w:p>
        </w:tc>
        <w:tc>
          <w:tcPr>
            <w:tcW w:w="0" w:type="dxa"/>
            <w:vAlign w:val="bottom"/>
          </w:tcPr>
          <w:p>
            <w:pPr>
              <w:spacing w:after="0"/>
              <w:rPr>
                <w:sz w:val="1"/>
                <w:szCs w:val="1"/>
                <w:color w:val="auto"/>
              </w:rPr>
            </w:pPr>
          </w:p>
        </w:tc>
      </w:tr>
      <w:tr>
        <w:trPr>
          <w:trHeight w:val="218"/>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100 basis point rise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254"/>
              <w:spacing w:after="0"/>
              <w:rPr>
                <w:sz w:val="20"/>
                <w:szCs w:val="20"/>
                <w:color w:val="auto"/>
              </w:rPr>
            </w:pPr>
            <w:r>
              <w:rPr>
                <w:rFonts w:ascii="Arial" w:cs="Arial" w:eastAsia="Arial" w:hAnsi="Arial"/>
                <w:sz w:val="17"/>
                <w:szCs w:val="17"/>
                <w:color w:val="auto"/>
              </w:rPr>
              <w:t>465,800</w:t>
            </w:r>
          </w:p>
        </w:tc>
        <w:tc>
          <w:tcPr>
            <w:tcW w:w="1460" w:type="dxa"/>
            <w:vAlign w:val="bottom"/>
          </w:tcPr>
          <w:p>
            <w:pPr>
              <w:jc w:val="right"/>
              <w:ind w:right="134"/>
              <w:spacing w:after="0"/>
              <w:rPr>
                <w:sz w:val="20"/>
                <w:szCs w:val="20"/>
                <w:color w:val="auto"/>
              </w:rPr>
            </w:pPr>
            <w:r>
              <w:rPr>
                <w:rFonts w:ascii="Arial" w:cs="Arial" w:eastAsia="Arial" w:hAnsi="Arial"/>
                <w:sz w:val="17"/>
                <w:szCs w:val="17"/>
                <w:color w:val="auto"/>
              </w:rPr>
              <w:t>(9.45)</w:t>
            </w:r>
          </w:p>
        </w:tc>
        <w:tc>
          <w:tcPr>
            <w:tcW w:w="280" w:type="dxa"/>
            <w:vAlign w:val="bottom"/>
          </w:tcPr>
          <w:p>
            <w:pPr>
              <w:spacing w:after="0"/>
              <w:rPr>
                <w:sz w:val="18"/>
                <w:szCs w:val="18"/>
                <w:color w:val="auto"/>
              </w:rPr>
            </w:pPr>
          </w:p>
        </w:tc>
        <w:tc>
          <w:tcPr>
            <w:tcW w:w="1480" w:type="dxa"/>
            <w:vAlign w:val="bottom"/>
          </w:tcPr>
          <w:p>
            <w:pPr>
              <w:jc w:val="right"/>
              <w:ind w:right="254"/>
              <w:spacing w:after="0"/>
              <w:rPr>
                <w:sz w:val="20"/>
                <w:szCs w:val="20"/>
                <w:color w:val="auto"/>
              </w:rPr>
            </w:pPr>
            <w:r>
              <w:rPr>
                <w:rFonts w:ascii="Arial" w:cs="Arial" w:eastAsia="Arial" w:hAnsi="Arial"/>
                <w:sz w:val="17"/>
                <w:szCs w:val="17"/>
                <w:color w:val="auto"/>
              </w:rPr>
              <w:t>164,100</w:t>
            </w:r>
          </w:p>
        </w:tc>
        <w:tc>
          <w:tcPr>
            <w:tcW w:w="1400" w:type="dxa"/>
            <w:vAlign w:val="bottom"/>
          </w:tcPr>
          <w:p>
            <w:pPr>
              <w:ind w:left="820"/>
              <w:spacing w:after="0"/>
              <w:rPr>
                <w:sz w:val="20"/>
                <w:szCs w:val="20"/>
                <w:color w:val="auto"/>
              </w:rPr>
            </w:pPr>
            <w:r>
              <w:rPr>
                <w:rFonts w:ascii="Arial" w:cs="Arial" w:eastAsia="Arial" w:hAnsi="Arial"/>
                <w:sz w:val="17"/>
                <w:szCs w:val="17"/>
                <w:color w:val="auto"/>
              </w:rPr>
              <w:t>(0.73)</w:t>
            </w:r>
          </w:p>
        </w:tc>
        <w:tc>
          <w:tcPr>
            <w:tcW w:w="0" w:type="dxa"/>
            <w:vAlign w:val="bottom"/>
          </w:tcPr>
          <w:p>
            <w:pPr>
              <w:spacing w:after="0"/>
              <w:rPr>
                <w:sz w:val="1"/>
                <w:szCs w:val="1"/>
                <w:color w:val="auto"/>
              </w:rPr>
            </w:pPr>
          </w:p>
        </w:tc>
      </w:tr>
      <w:tr>
        <w:trPr>
          <w:trHeight w:val="220"/>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Base-rate scenario</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514,400</w:t>
            </w:r>
          </w:p>
        </w:tc>
        <w:tc>
          <w:tcPr>
            <w:tcW w:w="14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165,300</w:t>
            </w:r>
          </w:p>
        </w:tc>
        <w:tc>
          <w:tcPr>
            <w:tcW w:w="14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5"/>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100 basis point decline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254"/>
              <w:spacing w:after="0"/>
              <w:rPr>
                <w:sz w:val="20"/>
                <w:szCs w:val="20"/>
                <w:color w:val="auto"/>
              </w:rPr>
            </w:pPr>
            <w:r>
              <w:rPr>
                <w:rFonts w:ascii="Arial" w:cs="Arial" w:eastAsia="Arial" w:hAnsi="Arial"/>
                <w:sz w:val="17"/>
                <w:szCs w:val="17"/>
                <w:color w:val="auto"/>
              </w:rPr>
              <w:t>560,400</w:t>
            </w:r>
          </w:p>
        </w:tc>
        <w:tc>
          <w:tcPr>
            <w:tcW w:w="1460" w:type="dxa"/>
            <w:vAlign w:val="bottom"/>
          </w:tcPr>
          <w:p>
            <w:pPr>
              <w:jc w:val="right"/>
              <w:ind w:right="174"/>
              <w:spacing w:after="0"/>
              <w:rPr>
                <w:sz w:val="20"/>
                <w:szCs w:val="20"/>
                <w:color w:val="auto"/>
              </w:rPr>
            </w:pPr>
            <w:r>
              <w:rPr>
                <w:rFonts w:ascii="Arial" w:cs="Arial" w:eastAsia="Arial" w:hAnsi="Arial"/>
                <w:sz w:val="17"/>
                <w:szCs w:val="17"/>
                <w:color w:val="auto"/>
              </w:rPr>
              <w:t>8.94</w:t>
            </w:r>
          </w:p>
        </w:tc>
        <w:tc>
          <w:tcPr>
            <w:tcW w:w="280" w:type="dxa"/>
            <w:vAlign w:val="bottom"/>
          </w:tcPr>
          <w:p>
            <w:pPr>
              <w:spacing w:after="0"/>
              <w:rPr>
                <w:sz w:val="19"/>
                <w:szCs w:val="19"/>
                <w:color w:val="auto"/>
              </w:rPr>
            </w:pPr>
          </w:p>
        </w:tc>
        <w:tc>
          <w:tcPr>
            <w:tcW w:w="1480" w:type="dxa"/>
            <w:vAlign w:val="bottom"/>
          </w:tcPr>
          <w:p>
            <w:pPr>
              <w:jc w:val="right"/>
              <w:ind w:right="254"/>
              <w:spacing w:after="0"/>
              <w:rPr>
                <w:sz w:val="20"/>
                <w:szCs w:val="20"/>
                <w:color w:val="auto"/>
              </w:rPr>
            </w:pPr>
            <w:r>
              <w:rPr>
                <w:rFonts w:ascii="Arial" w:cs="Arial" w:eastAsia="Arial" w:hAnsi="Arial"/>
                <w:sz w:val="17"/>
                <w:szCs w:val="17"/>
                <w:color w:val="auto"/>
              </w:rPr>
              <w:t>164,900</w:t>
            </w:r>
          </w:p>
        </w:tc>
        <w:tc>
          <w:tcPr>
            <w:tcW w:w="1400" w:type="dxa"/>
            <w:vAlign w:val="bottom"/>
          </w:tcPr>
          <w:p>
            <w:pPr>
              <w:ind w:left="820"/>
              <w:spacing w:after="0"/>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2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200 basis point decline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583,500</w:t>
            </w:r>
          </w:p>
        </w:tc>
        <w:tc>
          <w:tcPr>
            <w:tcW w:w="14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13.43</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163,400</w:t>
            </w:r>
          </w:p>
        </w:tc>
        <w:tc>
          <w:tcPr>
            <w:tcW w:w="1400" w:type="dxa"/>
            <w:vAlign w:val="bottom"/>
            <w:shd w:val="clear" w:color="auto" w:fill="CCEEFF"/>
          </w:tcPr>
          <w:p>
            <w:pPr>
              <w:ind w:left="82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58"/>
        </w:trPr>
        <w:tc>
          <w:tcPr>
            <w:tcW w:w="482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200 basis point rise</w:t>
            </w: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254"/>
              <w:spacing w:after="0"/>
              <w:rPr>
                <w:sz w:val="20"/>
                <w:szCs w:val="20"/>
                <w:color w:val="auto"/>
              </w:rPr>
            </w:pPr>
            <w:r>
              <w:rPr>
                <w:rFonts w:ascii="Arial" w:cs="Arial" w:eastAsia="Arial" w:hAnsi="Arial"/>
                <w:sz w:val="17"/>
                <w:szCs w:val="17"/>
                <w:color w:val="auto"/>
              </w:rPr>
              <w:t>457,800</w:t>
            </w:r>
          </w:p>
        </w:tc>
        <w:tc>
          <w:tcPr>
            <w:tcW w:w="1460" w:type="dxa"/>
            <w:vAlign w:val="bottom"/>
          </w:tcPr>
          <w:p>
            <w:pPr>
              <w:jc w:val="right"/>
              <w:spacing w:after="0"/>
              <w:rPr>
                <w:sz w:val="20"/>
                <w:szCs w:val="20"/>
                <w:color w:val="auto"/>
              </w:rPr>
            </w:pPr>
            <w:r>
              <w:rPr>
                <w:rFonts w:ascii="Arial" w:cs="Arial" w:eastAsia="Arial" w:hAnsi="Arial"/>
                <w:sz w:val="17"/>
                <w:szCs w:val="17"/>
                <w:color w:val="auto"/>
              </w:rPr>
              <w:t>(15.86)%</w:t>
            </w:r>
          </w:p>
        </w:tc>
        <w:tc>
          <w:tcPr>
            <w:tcW w:w="28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254"/>
              <w:spacing w:after="0"/>
              <w:rPr>
                <w:sz w:val="20"/>
                <w:szCs w:val="20"/>
                <w:color w:val="auto"/>
              </w:rPr>
            </w:pPr>
            <w:r>
              <w:rPr>
                <w:rFonts w:ascii="Arial" w:cs="Arial" w:eastAsia="Arial" w:hAnsi="Arial"/>
                <w:sz w:val="17"/>
                <w:szCs w:val="17"/>
                <w:color w:val="auto"/>
              </w:rPr>
              <w:t>165,800</w:t>
            </w:r>
          </w:p>
        </w:tc>
        <w:tc>
          <w:tcPr>
            <w:tcW w:w="1400" w:type="dxa"/>
            <w:vAlign w:val="bottom"/>
          </w:tcPr>
          <w:p>
            <w:pPr>
              <w:ind w:left="820"/>
              <w:spacing w:after="0"/>
              <w:rPr>
                <w:sz w:val="20"/>
                <w:szCs w:val="20"/>
                <w:color w:val="auto"/>
              </w:rPr>
            </w:pPr>
            <w:r>
              <w:rPr>
                <w:rFonts w:ascii="Arial" w:cs="Arial" w:eastAsia="Arial" w:hAnsi="Arial"/>
                <w:sz w:val="17"/>
                <w:szCs w:val="17"/>
                <w:color w:val="auto"/>
                <w:w w:val="94"/>
              </w:rPr>
              <w:t>(0.90)%</w:t>
            </w:r>
          </w:p>
        </w:tc>
        <w:tc>
          <w:tcPr>
            <w:tcW w:w="0" w:type="dxa"/>
            <w:vAlign w:val="bottom"/>
          </w:tcPr>
          <w:p>
            <w:pPr>
              <w:spacing w:after="0"/>
              <w:rPr>
                <w:sz w:val="1"/>
                <w:szCs w:val="1"/>
                <w:color w:val="auto"/>
              </w:rPr>
            </w:pPr>
          </w:p>
        </w:tc>
      </w:tr>
      <w:tr>
        <w:trPr>
          <w:trHeight w:val="22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100 basis point rise</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500,700</w:t>
            </w:r>
          </w:p>
        </w:tc>
        <w:tc>
          <w:tcPr>
            <w:tcW w:w="14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(7.98)</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167,000</w:t>
            </w:r>
          </w:p>
        </w:tc>
        <w:tc>
          <w:tcPr>
            <w:tcW w:w="1400" w:type="dxa"/>
            <w:vAlign w:val="bottom"/>
            <w:shd w:val="clear" w:color="auto" w:fill="CCEEFF"/>
          </w:tcPr>
          <w:p>
            <w:pPr>
              <w:ind w:left="820"/>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18"/>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Base-rate scenario</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254"/>
              <w:spacing w:after="0"/>
              <w:rPr>
                <w:sz w:val="20"/>
                <w:szCs w:val="20"/>
                <w:color w:val="auto"/>
              </w:rPr>
            </w:pPr>
            <w:r>
              <w:rPr>
                <w:rFonts w:ascii="Arial" w:cs="Arial" w:eastAsia="Arial" w:hAnsi="Arial"/>
                <w:sz w:val="17"/>
                <w:szCs w:val="17"/>
                <w:color w:val="auto"/>
              </w:rPr>
              <w:t>544,100</w:t>
            </w:r>
          </w:p>
        </w:tc>
        <w:tc>
          <w:tcPr>
            <w:tcW w:w="146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480" w:type="dxa"/>
            <w:vAlign w:val="bottom"/>
          </w:tcPr>
          <w:p>
            <w:pPr>
              <w:jc w:val="right"/>
              <w:ind w:right="254"/>
              <w:spacing w:after="0"/>
              <w:rPr>
                <w:sz w:val="20"/>
                <w:szCs w:val="20"/>
                <w:color w:val="auto"/>
              </w:rPr>
            </w:pPr>
            <w:r>
              <w:rPr>
                <w:rFonts w:ascii="Arial" w:cs="Arial" w:eastAsia="Arial" w:hAnsi="Arial"/>
                <w:sz w:val="17"/>
                <w:szCs w:val="17"/>
                <w:color w:val="auto"/>
              </w:rPr>
              <w:t>167,300</w:t>
            </w:r>
          </w:p>
        </w:tc>
        <w:tc>
          <w:tcPr>
            <w:tcW w:w="140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100 basis point decline</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586,400</w:t>
            </w:r>
          </w:p>
        </w:tc>
        <w:tc>
          <w:tcPr>
            <w:tcW w:w="14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7.77</w:t>
            </w: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166,600</w:t>
            </w:r>
          </w:p>
        </w:tc>
        <w:tc>
          <w:tcPr>
            <w:tcW w:w="1400" w:type="dxa"/>
            <w:vAlign w:val="bottom"/>
            <w:shd w:val="clear" w:color="auto" w:fill="CCEEFF"/>
          </w:tcPr>
          <w:p>
            <w:pPr>
              <w:ind w:left="820"/>
              <w:spacing w:after="0"/>
              <w:rPr>
                <w:sz w:val="20"/>
                <w:szCs w:val="20"/>
                <w:color w:val="auto"/>
              </w:rPr>
            </w:pPr>
            <w:r>
              <w:rPr>
                <w:rFonts w:ascii="Arial" w:cs="Arial" w:eastAsia="Arial" w:hAnsi="Arial"/>
                <w:sz w:val="17"/>
                <w:szCs w:val="17"/>
                <w:color w:val="auto"/>
              </w:rPr>
              <w:t>(0.42)</w:t>
            </w:r>
          </w:p>
        </w:tc>
        <w:tc>
          <w:tcPr>
            <w:tcW w:w="0" w:type="dxa"/>
            <w:vAlign w:val="bottom"/>
          </w:tcPr>
          <w:p>
            <w:pPr>
              <w:spacing w:after="0"/>
              <w:rPr>
                <w:sz w:val="1"/>
                <w:szCs w:val="1"/>
                <w:color w:val="auto"/>
              </w:rPr>
            </w:pPr>
          </w:p>
        </w:tc>
      </w:tr>
      <w:tr>
        <w:trPr>
          <w:trHeight w:val="218"/>
        </w:trPr>
        <w:tc>
          <w:tcPr>
            <w:tcW w:w="4820" w:type="dxa"/>
            <w:vAlign w:val="bottom"/>
            <w:gridSpan w:val="2"/>
          </w:tcPr>
          <w:p>
            <w:pPr>
              <w:ind w:left="20"/>
              <w:spacing w:after="0"/>
              <w:rPr>
                <w:sz w:val="20"/>
                <w:szCs w:val="20"/>
                <w:color w:val="auto"/>
              </w:rPr>
            </w:pPr>
            <w:r>
              <w:rPr>
                <w:rFonts w:ascii="Arial" w:cs="Arial" w:eastAsia="Arial" w:hAnsi="Arial"/>
                <w:sz w:val="17"/>
                <w:szCs w:val="17"/>
                <w:color w:val="auto"/>
              </w:rPr>
              <w:t>200 basis point decline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ind w:right="254"/>
              <w:spacing w:after="0"/>
              <w:rPr>
                <w:sz w:val="20"/>
                <w:szCs w:val="20"/>
                <w:color w:val="auto"/>
              </w:rPr>
            </w:pPr>
            <w:r>
              <w:rPr>
                <w:rFonts w:ascii="Arial" w:cs="Arial" w:eastAsia="Arial" w:hAnsi="Arial"/>
                <w:sz w:val="17"/>
                <w:szCs w:val="17"/>
                <w:color w:val="auto"/>
              </w:rPr>
              <w:t>608,800</w:t>
            </w:r>
          </w:p>
        </w:tc>
        <w:tc>
          <w:tcPr>
            <w:tcW w:w="1460" w:type="dxa"/>
            <w:vAlign w:val="bottom"/>
          </w:tcPr>
          <w:p>
            <w:pPr>
              <w:jc w:val="right"/>
              <w:ind w:right="174"/>
              <w:spacing w:after="0"/>
              <w:rPr>
                <w:sz w:val="20"/>
                <w:szCs w:val="20"/>
                <w:color w:val="auto"/>
              </w:rPr>
            </w:pPr>
            <w:r>
              <w:rPr>
                <w:rFonts w:ascii="Arial" w:cs="Arial" w:eastAsia="Arial" w:hAnsi="Arial"/>
                <w:sz w:val="17"/>
                <w:szCs w:val="17"/>
                <w:color w:val="auto"/>
              </w:rPr>
              <w:t>11.89</w:t>
            </w:r>
          </w:p>
        </w:tc>
        <w:tc>
          <w:tcPr>
            <w:tcW w:w="280" w:type="dxa"/>
            <w:vAlign w:val="bottom"/>
          </w:tcPr>
          <w:p>
            <w:pPr>
              <w:spacing w:after="0"/>
              <w:rPr>
                <w:sz w:val="18"/>
                <w:szCs w:val="18"/>
                <w:color w:val="auto"/>
              </w:rPr>
            </w:pPr>
          </w:p>
        </w:tc>
        <w:tc>
          <w:tcPr>
            <w:tcW w:w="1480" w:type="dxa"/>
            <w:vAlign w:val="bottom"/>
          </w:tcPr>
          <w:p>
            <w:pPr>
              <w:jc w:val="right"/>
              <w:ind w:right="254"/>
              <w:spacing w:after="0"/>
              <w:rPr>
                <w:sz w:val="20"/>
                <w:szCs w:val="20"/>
                <w:color w:val="auto"/>
              </w:rPr>
            </w:pPr>
            <w:r>
              <w:rPr>
                <w:rFonts w:ascii="Arial" w:cs="Arial" w:eastAsia="Arial" w:hAnsi="Arial"/>
                <w:sz w:val="17"/>
                <w:szCs w:val="17"/>
                <w:color w:val="auto"/>
              </w:rPr>
              <w:t>164,000</w:t>
            </w:r>
          </w:p>
        </w:tc>
        <w:tc>
          <w:tcPr>
            <w:tcW w:w="1400" w:type="dxa"/>
            <w:vAlign w:val="bottom"/>
          </w:tcPr>
          <w:p>
            <w:pPr>
              <w:ind w:left="820"/>
              <w:spacing w:after="0"/>
              <w:rPr>
                <w:sz w:val="20"/>
                <w:szCs w:val="20"/>
                <w:color w:val="auto"/>
              </w:rPr>
            </w:pPr>
            <w:r>
              <w:rPr>
                <w:rFonts w:ascii="Arial" w:cs="Arial" w:eastAsia="Arial" w:hAnsi="Arial"/>
                <w:sz w:val="17"/>
                <w:szCs w:val="17"/>
                <w:color w:val="auto"/>
              </w:rPr>
              <w:t>(1.97)</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w:t>
      </w:r>
    </w:p>
    <w:p>
      <w:pPr>
        <w:spacing w:after="0" w:line="178" w:lineRule="exact"/>
        <w:rPr>
          <w:sz w:val="20"/>
          <w:szCs w:val="20"/>
          <w:color w:val="auto"/>
        </w:rPr>
      </w:pPr>
    </w:p>
    <w:p>
      <w:pPr>
        <w:jc w:val="both"/>
        <w:ind w:left="320" w:hanging="317"/>
        <w:spacing w:after="0" w:line="257"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Simulation analyses calculate the change in the net present value of our assets and liabilities, including debt and related financial derivative instruments, under parallel shifts in interest rates by discounting the estimated future cash flows using a market-based discount rate. Cash flow estimates incorporate anticipated changes in prepayment speeds and other embedded options.</w:t>
      </w:r>
    </w:p>
    <w:p>
      <w:pPr>
        <w:spacing w:after="0" w:line="1" w:lineRule="exact"/>
        <w:rPr>
          <w:rFonts w:ascii="Arial" w:cs="Arial" w:eastAsia="Arial" w:hAnsi="Arial"/>
          <w:sz w:val="17"/>
          <w:szCs w:val="17"/>
          <w:color w:val="auto"/>
        </w:rPr>
      </w:pPr>
    </w:p>
    <w:p>
      <w:pPr>
        <w:ind w:left="320" w:hanging="317"/>
        <w:spacing w:after="0" w:line="298" w:lineRule="auto"/>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Simulation analyses calculate the change in net interest income under immediate parallel shifts in interest rates over the next twelve months, based upon a static statement of financial condition, which includes debt and related financial derivative instruments, and do not consider loan fees.</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 xml:space="preserve">Accounting standards update. </w:t>
      </w:r>
      <w:r>
        <w:rPr>
          <w:rFonts w:ascii="Arial" w:cs="Arial" w:eastAsia="Arial" w:hAnsi="Arial"/>
          <w:sz w:val="17"/>
          <w:szCs w:val="17"/>
          <w:color w:val="auto"/>
        </w:rPr>
        <w:t>See note #2 to the Condensed Consolidated Financial Statements included elsewhere in this report for details on recently issued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pronouncements and their impact on our interim condensed consolidated financial statements.</w:t>
      </w:r>
    </w:p>
    <w:p>
      <w:pPr>
        <w:spacing w:after="0" w:line="126" w:lineRule="exact"/>
        <w:rPr>
          <w:sz w:val="20"/>
          <w:szCs w:val="20"/>
          <w:color w:val="auto"/>
        </w:rPr>
      </w:pPr>
    </w:p>
    <w:p>
      <w:pPr>
        <w:jc w:val="both"/>
        <w:spacing w:after="0" w:line="322" w:lineRule="auto"/>
        <w:rPr>
          <w:sz w:val="20"/>
          <w:szCs w:val="20"/>
          <w:color w:val="auto"/>
        </w:rPr>
      </w:pPr>
      <w:r>
        <w:rPr>
          <w:rFonts w:ascii="Arial" w:cs="Arial" w:eastAsia="Arial" w:hAnsi="Arial"/>
          <w:sz w:val="15"/>
          <w:szCs w:val="15"/>
          <w:b w:val="1"/>
          <w:bCs w:val="1"/>
          <w:color w:val="auto"/>
        </w:rPr>
        <w:t xml:space="preserve">Fair valuation of financial instruments. </w:t>
      </w:r>
      <w:r>
        <w:rPr>
          <w:rFonts w:ascii="Arial" w:cs="Arial" w:eastAsia="Arial" w:hAnsi="Arial"/>
          <w:sz w:val="15"/>
          <w:szCs w:val="15"/>
          <w:color w:val="auto"/>
        </w:rPr>
        <w:t>Financial Accounting Standards Board (“FASB”) Accounting Standards Codification (“ASC”) Topic 820 - “Fair Value</w:t>
      </w:r>
      <w:r>
        <w:rPr>
          <w:rFonts w:ascii="Arial" w:cs="Arial" w:eastAsia="Arial" w:hAnsi="Arial"/>
          <w:sz w:val="15"/>
          <w:szCs w:val="15"/>
          <w:b w:val="1"/>
          <w:bCs w:val="1"/>
          <w:color w:val="auto"/>
        </w:rPr>
        <w:t xml:space="preserve"> </w:t>
      </w:r>
      <w:r>
        <w:rPr>
          <w:rFonts w:ascii="Arial" w:cs="Arial" w:eastAsia="Arial" w:hAnsi="Arial"/>
          <w:sz w:val="15"/>
          <w:szCs w:val="15"/>
          <w:color w:val="auto"/>
        </w:rPr>
        <w:t>Measurements and Disclosures” (“FASB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utilize fair value measurements to record fair value adjustments to certain financial instruments and to determine fair value disclosures. FASB ASC Topic 820 differentiates between those assets and liabilities required to be carried at fair value at every reporting period (“recurring”) and those assets and liabilities that are only required to be adjusted to fair value under certain circumstances (“nonrecurring”). Securities AFS, loans held for sale, carried at fair value, derivatives and capitalized mortgage loan servicing rights are financial instruments recorded at fair value on a recurring basis. Additionally, from time to time, we may be required to record at fair value other financial assets on a nonrecurring basis, such as loans held for investment and certain other assets. These nonrecurring fair value adjustments typically involve application of lower of cost or fair value accounting or write-downs of individual assets. See note #11 to the Condensed Consolidated Financial Statements included within this report for a complete discussion on our use of fair valuation of financial instruments and the related measurement techniques.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w:t>
      </w:r>
      <w:r>
        <w:rPr>
          <w:rFonts w:ascii="Arial" w:cs="Arial" w:eastAsia="Arial" w:hAnsi="Arial"/>
          <w:sz w:val="13"/>
          <w:szCs w:val="13"/>
          <w:b w:val="1"/>
          <w:bCs w:val="1"/>
          <w:color w:val="auto"/>
        </w:rPr>
        <w:t>ITIGATION</w:t>
      </w:r>
      <w:r>
        <w:rPr>
          <w:rFonts w:ascii="Arial" w:cs="Arial" w:eastAsia="Arial" w:hAnsi="Arial"/>
          <w:sz w:val="17"/>
          <w:szCs w:val="17"/>
          <w:b w:val="1"/>
          <w:bCs w:val="1"/>
          <w:color w:val="auto"/>
        </w:rPr>
        <w:t xml:space="preserve"> M</w:t>
      </w:r>
      <w:r>
        <w:rPr>
          <w:rFonts w:ascii="Arial" w:cs="Arial" w:eastAsia="Arial" w:hAnsi="Arial"/>
          <w:sz w:val="13"/>
          <w:szCs w:val="13"/>
          <w:b w:val="1"/>
          <w:bCs w:val="1"/>
          <w:color w:val="auto"/>
        </w:rPr>
        <w:t>ATTERS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amount we have accrued for losses we consider probable as a result of litigation matters is immaterial. However, because of the inherent uncertainty of outcomes from any litigation matter, we believe it is reasonably possible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may incur losses in addition to the amounts we have accrued. At this time, we estimate the maximum amount of additional losses that are reasonably possible is insignificant. However, because of a number of factors, including the fact that certain of these litigation matters are still in their early stages, this maximum amount may change in the future.</w:t>
      </w:r>
    </w:p>
    <w:p>
      <w:pPr>
        <w:spacing w:after="0" w:line="14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litigation matters described in the preceding paragraph primarily include claims that have been brought against us for damages, but do not include litigation matters where we seek to collect amounts owed to us by third parties (such as litigation initiated to collect delinquent loans). These excluded, collection-related matters may involve claims or counterclaims by the opposing party or parties, but we have excluded such matters from the disclosure contained in the preceding paragraph in all cases where we believe the possibility of us paying damages to any opposing party is remote.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RITICAL</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CCOUNTING</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OLICIES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accounting and reporting policies are in accordance with accounting principles generally accepted in the United States of America and conform to general practices within the banking industry. Accounting and reporting policies for the ACL and capitalized mortgage loan servicing rights are deemed critical since they involve the use of estimates and require significant management judgments. Application of assumptions different than those that we have used could result in material changes in our consolidated financial position or results of operations. There have been no material changes to our critical accounting policies as disclosed in our Annual Report on Form 10-K for the year ended December 31, 2022.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Item 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w:t>
      </w:r>
      <w:r>
        <w:rPr>
          <w:rFonts w:ascii="Arial" w:cs="Arial" w:eastAsia="Arial" w:hAnsi="Arial"/>
          <w:sz w:val="13"/>
          <w:szCs w:val="13"/>
          <w:b w:val="1"/>
          <w:bCs w:val="1"/>
          <w:color w:val="auto"/>
        </w:rPr>
        <w:t>UANTITATIVE AND</w:t>
      </w:r>
      <w:r>
        <w:rPr>
          <w:rFonts w:ascii="Arial" w:cs="Arial" w:eastAsia="Arial" w:hAnsi="Arial"/>
          <w:sz w:val="17"/>
          <w:szCs w:val="17"/>
          <w:b w:val="1"/>
          <w:bCs w:val="1"/>
          <w:color w:val="auto"/>
        </w:rPr>
        <w:t xml:space="preserve"> Q</w:t>
      </w:r>
      <w:r>
        <w:rPr>
          <w:rFonts w:ascii="Arial" w:cs="Arial" w:eastAsia="Arial" w:hAnsi="Arial"/>
          <w:sz w:val="13"/>
          <w:szCs w:val="13"/>
          <w:b w:val="1"/>
          <w:bCs w:val="1"/>
          <w:color w:val="auto"/>
        </w:rPr>
        <w:t>UALITATIVE</w:t>
      </w:r>
      <w:r>
        <w:rPr>
          <w:rFonts w:ascii="Arial" w:cs="Arial" w:eastAsia="Arial" w:hAnsi="Arial"/>
          <w:sz w:val="17"/>
          <w:szCs w:val="17"/>
          <w:b w:val="1"/>
          <w:bCs w:val="1"/>
          <w:color w:val="auto"/>
        </w:rPr>
        <w:t xml:space="preserve"> D</w:t>
      </w:r>
      <w:r>
        <w:rPr>
          <w:rFonts w:ascii="Arial" w:cs="Arial" w:eastAsia="Arial" w:hAnsi="Arial"/>
          <w:sz w:val="13"/>
          <w:szCs w:val="13"/>
          <w:b w:val="1"/>
          <w:bCs w:val="1"/>
          <w:color w:val="auto"/>
        </w:rPr>
        <w:t>ISCLOSURES ABOUT</w:t>
      </w:r>
      <w:r>
        <w:rPr>
          <w:rFonts w:ascii="Arial" w:cs="Arial" w:eastAsia="Arial" w:hAnsi="Arial"/>
          <w:sz w:val="17"/>
          <w:szCs w:val="17"/>
          <w:b w:val="1"/>
          <w:bCs w:val="1"/>
          <w:color w:val="auto"/>
        </w:rPr>
        <w:t xml:space="preserve"> M</w:t>
      </w:r>
      <w:r>
        <w:rPr>
          <w:rFonts w:ascii="Arial" w:cs="Arial" w:eastAsia="Arial" w:hAnsi="Arial"/>
          <w:sz w:val="13"/>
          <w:szCs w:val="13"/>
          <w:b w:val="1"/>
          <w:bCs w:val="1"/>
          <w:color w:val="auto"/>
        </w:rPr>
        <w:t>ARKET</w:t>
      </w:r>
      <w:r>
        <w:rPr>
          <w:rFonts w:ascii="Arial" w:cs="Arial" w:eastAsia="Arial" w:hAnsi="Arial"/>
          <w:sz w:val="17"/>
          <w:szCs w:val="17"/>
          <w:b w:val="1"/>
          <w:bCs w:val="1"/>
          <w:color w:val="auto"/>
        </w:rPr>
        <w:t xml:space="preserve"> R</w:t>
      </w:r>
      <w:r>
        <w:rPr>
          <w:rFonts w:ascii="Arial" w:cs="Arial" w:eastAsia="Arial" w:hAnsi="Arial"/>
          <w:sz w:val="13"/>
          <w:szCs w:val="13"/>
          <w:b w:val="1"/>
          <w:bCs w:val="1"/>
          <w:color w:val="auto"/>
        </w:rPr>
        <w:t>ISK</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See applicable disclosures set forth in “Management’s Discussion and Analysis of Financial Condition and Results of Operations” in Item 2 under the caption “Asset/liability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Item 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ONTROLS AND</w:t>
      </w:r>
      <w:r>
        <w:rPr>
          <w:rFonts w:ascii="Arial" w:cs="Arial" w:eastAsia="Arial" w:hAnsi="Arial"/>
          <w:sz w:val="17"/>
          <w:szCs w:val="17"/>
          <w:b w:val="1"/>
          <w:bCs w:val="1"/>
          <w:color w:val="auto"/>
        </w:rPr>
        <w:t xml:space="preserve"> P</w:t>
      </w:r>
      <w:r>
        <w:rPr>
          <w:rFonts w:ascii="Arial" w:cs="Arial" w:eastAsia="Arial" w:hAnsi="Arial"/>
          <w:sz w:val="13"/>
          <w:szCs w:val="13"/>
          <w:b w:val="1"/>
          <w:bCs w:val="1"/>
          <w:color w:val="auto"/>
        </w:rPr>
        <w:t>ROCEDURES</w:t>
      </w:r>
    </w:p>
    <w:p>
      <w:pPr>
        <w:spacing w:after="0" w:line="184" w:lineRule="exact"/>
        <w:rPr>
          <w:sz w:val="20"/>
          <w:szCs w:val="20"/>
          <w:color w:val="auto"/>
        </w:rPr>
      </w:pPr>
    </w:p>
    <w:p>
      <w:pPr>
        <w:ind w:left="320" w:hanging="317"/>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Evaluation of Disclosure Controls and Procedures.</w:t>
      </w:r>
    </w:p>
    <w:p>
      <w:pPr>
        <w:spacing w:after="0" w:line="178" w:lineRule="exact"/>
        <w:rPr>
          <w:rFonts w:ascii="Arial" w:cs="Arial" w:eastAsia="Arial" w:hAnsi="Arial"/>
          <w:sz w:val="17"/>
          <w:szCs w:val="17"/>
          <w:color w:val="auto"/>
        </w:rPr>
      </w:pPr>
    </w:p>
    <w:p>
      <w:pPr>
        <w:jc w:val="both"/>
        <w:ind w:left="320"/>
        <w:spacing w:after="0" w:line="266" w:lineRule="auto"/>
        <w:rPr>
          <w:rFonts w:ascii="Arial" w:cs="Arial" w:eastAsia="Arial" w:hAnsi="Arial"/>
          <w:sz w:val="17"/>
          <w:szCs w:val="17"/>
          <w:color w:val="auto"/>
        </w:rPr>
      </w:pPr>
      <w:r>
        <w:rPr>
          <w:rFonts w:ascii="Arial" w:cs="Arial" w:eastAsia="Arial" w:hAnsi="Arial"/>
          <w:sz w:val="17"/>
          <w:szCs w:val="17"/>
          <w:color w:val="auto"/>
        </w:rPr>
        <w:t>With the participation of management, our chief executive officer and chief financial officer, after evaluating the effectiveness of our disclosure controls and procedures (as defined in Exchange Act Rules 13a – 15(e) and 15d – 15(e)) for the period ended June 30, 2023, have concluded that, as of such date, our disclosure controls and procedures were effective.</w:t>
      </w:r>
    </w:p>
    <w:p>
      <w:pPr>
        <w:spacing w:after="0" w:line="149" w:lineRule="exact"/>
        <w:rPr>
          <w:rFonts w:ascii="Arial" w:cs="Arial" w:eastAsia="Arial" w:hAnsi="Arial"/>
          <w:sz w:val="17"/>
          <w:szCs w:val="17"/>
          <w:color w:val="auto"/>
        </w:rPr>
      </w:pPr>
    </w:p>
    <w:p>
      <w:pPr>
        <w:ind w:left="320" w:hanging="317"/>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Internal Controls.</w:t>
      </w:r>
    </w:p>
    <w:p>
      <w:pPr>
        <w:spacing w:after="0" w:line="178" w:lineRule="exact"/>
        <w:rPr>
          <w:rFonts w:ascii="Arial" w:cs="Arial" w:eastAsia="Arial" w:hAnsi="Arial"/>
          <w:sz w:val="17"/>
          <w:szCs w:val="17"/>
          <w:color w:val="auto"/>
        </w:rPr>
      </w:pPr>
    </w:p>
    <w:p>
      <w:pPr>
        <w:ind w:left="320"/>
        <w:spacing w:after="0" w:line="279" w:lineRule="auto"/>
        <w:rPr>
          <w:rFonts w:ascii="Arial" w:cs="Arial" w:eastAsia="Arial" w:hAnsi="Arial"/>
          <w:sz w:val="17"/>
          <w:szCs w:val="17"/>
          <w:color w:val="auto"/>
        </w:rPr>
      </w:pPr>
      <w:r>
        <w:rPr>
          <w:rFonts w:ascii="Arial" w:cs="Arial" w:eastAsia="Arial" w:hAnsi="Arial"/>
          <w:sz w:val="17"/>
          <w:szCs w:val="17"/>
          <w:color w:val="auto"/>
        </w:rPr>
        <w:t>During the quarter ended June 30, 2023, there were no changes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Part II</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-115570</wp:posOffset>
            </wp:positionV>
            <wp:extent cx="581025" cy="1225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1025" cy="122555"/>
                    </a:xfrm>
                    <a:prstGeom prst="rect">
                      <a:avLst/>
                    </a:prstGeom>
                    <a:noFill/>
                  </pic:spPr>
                </pic:pic>
              </a:graphicData>
            </a:graphic>
          </wp:anchor>
        </w:drawing>
      </w:r>
    </w:p>
    <w:p>
      <w:pPr>
        <w:jc w:val="both"/>
        <w:spacing w:after="0" w:line="246" w:lineRule="auto"/>
        <w:rPr>
          <w:sz w:val="20"/>
          <w:szCs w:val="20"/>
          <w:color w:val="auto"/>
        </w:rPr>
      </w:pPr>
      <w:r>
        <w:rPr>
          <w:rFonts w:ascii="Arial" w:cs="Arial" w:eastAsia="Arial" w:hAnsi="Arial"/>
          <w:sz w:val="17"/>
          <w:szCs w:val="17"/>
          <w:color w:val="auto"/>
        </w:rPr>
        <w:t>In adition to the risk factors disclosed in Item 1A. Risk Factors of our Annual Report on Form 10-K for the year ended December 31, 2022 the following risk factors apply to the Company:</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Adverse developments affecting the financial services industry, including recent bank failures and the resulting liquidity concerns, may have a material effect on our business, financial condition, results of operations, or cash flows.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Recent developments and events, including the closures of Silicon Valley Bank and Signature Bank due to large-scale deposit withdrawals over a short period of time, created liquidity risks and concerns within the financial services industry, as well as decreased confidences in banks among depositors, investors, and other counterparties. In general, these events have caused volatility and disruption in the capital markets, as well as reduced valuations of equity and other securities of banks, which may increase the risk of a potential recession. These failures have also highlighted the importance of maintaining diversified funding sources. These market conditions and related factors may impact the competitive landscape for deposits in the financial services industry in an unpredictable manner.</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Specifically, these developments and events may materially adversely impact our business, financial condition, results of operations, and/or cash flows, including through potential liquidity pressures, reduced net interest margins, and potential increased credit losses. They may also adversely impact the market price and volatility of our common stock. Government responses to these events may also adversely impact us. Our deposits are insured up to applicable limits by FDIC and are subject to deposit insurance premiums and assessments. The FDIC may increase premiums or impose special assessments on all banks to replenish the Deposit Insurance Fund, which is being used to ensure that all depositors in Silicon Valley Bank and Signature Bank are made whole at no cost to taxpayers. The recent bank failures may also prompt changes to laws or regulations governing banks, which could impact our profitability and business.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 Unregistered Sales of Equity Securities and Use of Proceeds</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maintains a Deferred Compensation and Stock Purchase Plan for Non-Employee Directors (the "Plan") pursuant to which non-employee directors can elect to receive shares of the Company's common stock in lieu of fees otherwise payable to the director for his or her service as a director. A director can elect to receive shares on a current basis or to defer receipt of the shares, in which case the shares are issued to a trust to be held for the account of the director and then generally distributed to the director after his or her retirement from the Board. Pursuant to this Plan, during the second quarter of 2023, the Company issued 499 shares of common stock to non-employee directors on a current basis and 4,767 shares of common stock to the trust for distribution to directors on a deferred basis. These shares were issued on July 1, 2023 representing aggregate fees of $0.09 million. The shares on a current basis were issued at a price of $17.77 per share and the shares on a deferred basis were issued at a price of $15.99 per share, representing 90% of the fair value of the shares on the credit date. The price per share was the consolidated closing bid price per share of the Company's common stock as of the date of issuance, as determined in accordance with NASDAQ Marketplace Rules. The Company issued the shares pursuant to an exemption from registration under Section 4(2) of the Securities Act of 1933 due to the fact that the issuance of the shares was made on a private basis pursuant to the Plan.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certain information relating to repurchases of common stock for the three-months ended June 30,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3"/>
              </w:rPr>
              <w:t>Total Number of</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3"/>
              </w:rPr>
              <w:t>Remaining</w:t>
            </w:r>
          </w:p>
        </w:tc>
      </w:tr>
      <w:tr>
        <w:trPr>
          <w:trHeight w:val="206"/>
        </w:trPr>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5"/>
              </w:rPr>
              <w:t>Shares Purchased</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3"/>
              </w:rPr>
              <w:t>Number of</w:t>
            </w:r>
          </w:p>
        </w:tc>
      </w:tr>
      <w:tr>
        <w:trPr>
          <w:trHeight w:val="206"/>
        </w:trPr>
        <w:tc>
          <w:tcPr>
            <w:tcW w:w="514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5"/>
              </w:rPr>
              <w:t>Total Number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7"/>
              </w:rPr>
              <w:t>as Part of a</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0"/>
              </w:rPr>
              <w:t>Shares Authorized</w:t>
            </w:r>
          </w:p>
        </w:tc>
      </w:tr>
      <w:tr>
        <w:trPr>
          <w:trHeight w:val="206"/>
        </w:trPr>
        <w:tc>
          <w:tcPr>
            <w:tcW w:w="514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5"/>
              </w:rPr>
              <w:t>Shares Purchased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54"/>
              <w:spacing w:after="0"/>
              <w:rPr>
                <w:sz w:val="20"/>
                <w:szCs w:val="20"/>
                <w:color w:val="auto"/>
              </w:rPr>
            </w:pPr>
            <w:r>
              <w:rPr>
                <w:rFonts w:ascii="Arial" w:cs="Arial" w:eastAsia="Arial" w:hAnsi="Arial"/>
                <w:sz w:val="17"/>
                <w:szCs w:val="17"/>
                <w:color w:val="auto"/>
                <w:w w:val="97"/>
              </w:rPr>
              <w:t>Average Price</w:t>
            </w:r>
          </w:p>
        </w:tc>
        <w:tc>
          <w:tcPr>
            <w:tcW w:w="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5"/>
              </w:rPr>
              <w:t>Publicly</w:t>
            </w:r>
          </w:p>
        </w:tc>
        <w:tc>
          <w:tcPr>
            <w:tcW w:w="10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89"/>
              </w:rPr>
              <w:t>for Purchase</w:t>
            </w:r>
          </w:p>
        </w:tc>
      </w:tr>
      <w:tr>
        <w:trPr>
          <w:trHeight w:val="237"/>
        </w:trPr>
        <w:tc>
          <w:tcPr>
            <w:tcW w:w="5140" w:type="dxa"/>
            <w:vAlign w:val="bottom"/>
            <w:tcBorders>
              <w:bottom w:val="single" w:sz="8" w:color="auto"/>
            </w:tcBorders>
          </w:tcPr>
          <w:p>
            <w:pPr>
              <w:ind w:left="2340"/>
              <w:spacing w:after="0"/>
              <w:rPr>
                <w:sz w:val="20"/>
                <w:szCs w:val="20"/>
                <w:color w:val="auto"/>
              </w:rPr>
            </w:pPr>
            <w:r>
              <w:rPr>
                <w:rFonts w:ascii="Arial" w:cs="Arial" w:eastAsia="Arial" w:hAnsi="Arial"/>
                <w:sz w:val="17"/>
                <w:szCs w:val="17"/>
                <w:color w:val="auto"/>
              </w:rPr>
              <w:t>Period</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(1)</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91"/>
              </w:rPr>
              <w:t>Paid Per Share</w:t>
            </w:r>
          </w:p>
        </w:tc>
        <w:tc>
          <w:tcPr>
            <w:tcW w:w="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Announced Plan</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Under the Plan</w:t>
            </w: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April 2023</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1,100,000</w:t>
            </w:r>
          </w:p>
        </w:tc>
      </w:tr>
      <w:tr>
        <w:trPr>
          <w:trHeight w:val="218"/>
        </w:trPr>
        <w:tc>
          <w:tcPr>
            <w:tcW w:w="5140" w:type="dxa"/>
            <w:vAlign w:val="bottom"/>
          </w:tcPr>
          <w:p>
            <w:pPr>
              <w:ind w:left="20"/>
              <w:spacing w:after="0"/>
              <w:rPr>
                <w:sz w:val="20"/>
                <w:szCs w:val="20"/>
                <w:color w:val="auto"/>
              </w:rPr>
            </w:pPr>
            <w:r>
              <w:rPr>
                <w:rFonts w:ascii="Arial" w:cs="Arial" w:eastAsia="Arial" w:hAnsi="Arial"/>
                <w:sz w:val="17"/>
                <w:szCs w:val="17"/>
                <w:color w:val="auto"/>
              </w:rPr>
              <w:t>May 2023</w:t>
            </w:r>
          </w:p>
        </w:tc>
        <w:tc>
          <w:tcPr>
            <w:tcW w:w="1460" w:type="dxa"/>
            <w:vAlign w:val="bottom"/>
          </w:tcPr>
          <w:p>
            <w:pPr>
              <w:jc w:val="right"/>
              <w:spacing w:after="0"/>
              <w:rPr>
                <w:sz w:val="20"/>
                <w:szCs w:val="20"/>
                <w:color w:val="auto"/>
              </w:rPr>
            </w:pPr>
            <w:r>
              <w:rPr>
                <w:rFonts w:ascii="Arial" w:cs="Arial" w:eastAsia="Arial" w:hAnsi="Arial"/>
                <w:sz w:val="17"/>
                <w:szCs w:val="17"/>
                <w:color w:val="auto"/>
              </w:rPr>
              <w:t>186,316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16.32</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184,505</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915,495</w:t>
            </w:r>
          </w:p>
        </w:tc>
      </w:tr>
      <w:tr>
        <w:trPr>
          <w:trHeight w:val="232"/>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June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15,495</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16.68</w:t>
            </w:r>
          </w:p>
        </w:tc>
        <w:tc>
          <w:tcPr>
            <w:tcW w:w="80" w:type="dxa"/>
            <w:vAlign w:val="bottom"/>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15,495</w:t>
            </w:r>
          </w:p>
        </w:tc>
        <w:tc>
          <w:tcPr>
            <w:tcW w:w="100" w:type="dxa"/>
            <w:vAlign w:val="bottom"/>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900,000</w:t>
            </w:r>
          </w:p>
        </w:tc>
      </w:tr>
      <w:tr>
        <w:trPr>
          <w:trHeight w:val="213"/>
        </w:trPr>
        <w:tc>
          <w:tcPr>
            <w:tcW w:w="5140" w:type="dxa"/>
            <w:vAlign w:val="bottom"/>
          </w:tcPr>
          <w:p>
            <w:pPr>
              <w:ind w:left="220"/>
              <w:spacing w:after="0"/>
              <w:rPr>
                <w:sz w:val="20"/>
                <w:szCs w:val="20"/>
                <w:color w:val="auto"/>
              </w:rPr>
            </w:pPr>
            <w:r>
              <w:rPr>
                <w:rFonts w:ascii="Arial" w:cs="Arial" w:eastAsia="Arial" w:hAnsi="Arial"/>
                <w:sz w:val="17"/>
                <w:szCs w:val="17"/>
                <w:color w:val="auto"/>
              </w:rPr>
              <w:t>Total</w:t>
            </w:r>
          </w:p>
        </w:tc>
        <w:tc>
          <w:tcPr>
            <w:tcW w:w="1460" w:type="dxa"/>
            <w:vAlign w:val="bottom"/>
          </w:tcPr>
          <w:p>
            <w:pPr>
              <w:jc w:val="right"/>
              <w:spacing w:after="0"/>
              <w:rPr>
                <w:sz w:val="20"/>
                <w:szCs w:val="20"/>
                <w:color w:val="auto"/>
              </w:rPr>
            </w:pPr>
            <w:r>
              <w:rPr>
                <w:rFonts w:ascii="Arial" w:cs="Arial" w:eastAsia="Arial" w:hAnsi="Arial"/>
                <w:sz w:val="17"/>
                <w:szCs w:val="17"/>
                <w:color w:val="auto"/>
              </w:rPr>
              <w:t>202,398</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16.35</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200,000</w:t>
            </w:r>
          </w:p>
        </w:tc>
        <w:tc>
          <w:tcPr>
            <w:tcW w:w="1560" w:type="dxa"/>
            <w:vAlign w:val="bottom"/>
            <w:gridSpan w:val="2"/>
          </w:tcPr>
          <w:p>
            <w:pPr>
              <w:jc w:val="right"/>
              <w:spacing w:after="0"/>
              <w:rPr>
                <w:sz w:val="20"/>
                <w:szCs w:val="20"/>
                <w:color w:val="auto"/>
              </w:rPr>
            </w:pPr>
            <w:r>
              <w:rPr>
                <w:rFonts w:ascii="Arial" w:cs="Arial" w:eastAsia="Arial" w:hAnsi="Arial"/>
                <w:sz w:val="17"/>
                <w:szCs w:val="17"/>
                <w:color w:val="auto"/>
              </w:rPr>
              <w:t>900,000</w:t>
            </w:r>
          </w:p>
        </w:tc>
      </w:tr>
      <w:tr>
        <w:trPr>
          <w:trHeight w:val="20"/>
        </w:trPr>
        <w:tc>
          <w:tcPr>
            <w:tcW w:w="5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320" w:hanging="317"/>
        <w:spacing w:after="0" w:line="264" w:lineRule="auto"/>
        <w:tabs>
          <w:tab w:leader="none" w:pos="248"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April and May include 587 shares and 1,811 shares, respectively, withheld from the shares that would otherwise have been issued to certain officers in order to satisfy the the tax withholding obligations and stock option exercise price resulting from the exercise of stock options.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Other Information</w:t>
      </w:r>
    </w:p>
    <w:p>
      <w:pPr>
        <w:spacing w:after="0" w:line="165" w:lineRule="exact"/>
        <w:rPr>
          <w:sz w:val="20"/>
          <w:szCs w:val="20"/>
          <w:color w:val="auto"/>
        </w:rPr>
      </w:pPr>
    </w:p>
    <w:p>
      <w:pPr>
        <w:spacing w:after="0" w:line="206" w:lineRule="exact"/>
        <w:rPr>
          <w:sz w:val="20"/>
          <w:szCs w:val="20"/>
          <w:color w:val="auto"/>
        </w:rPr>
      </w:pPr>
      <w:r>
        <w:rPr>
          <w:rFonts w:ascii="Arial" w:cs="Arial" w:eastAsia="Arial" w:hAnsi="Arial"/>
          <w:sz w:val="17"/>
          <w:szCs w:val="17"/>
          <w:color w:val="auto"/>
        </w:rPr>
        <w:t>During the period covered by this Quarterly Report on Form 10-Q, no director or officer of the Company adopted or terminated a "Rule 10b5-1 Trading Arrangement" or "Non-Rule 10b5</w:t>
      </w:r>
      <w:r>
        <w:rPr>
          <w:rFonts w:ascii="MS PGothic" w:cs="MS PGothic" w:eastAsia="MS PGothic" w:hAnsi="MS PGothic"/>
          <w:sz w:val="17"/>
          <w:szCs w:val="17"/>
          <w:color w:val="auto"/>
        </w:rPr>
        <w:t>‑</w:t>
      </w:r>
      <w:r>
        <w:rPr>
          <w:rFonts w:ascii="Arial" w:cs="Arial" w:eastAsia="Arial" w:hAnsi="Arial"/>
          <w:sz w:val="17"/>
          <w:szCs w:val="17"/>
          <w:color w:val="auto"/>
        </w:rPr>
        <w:t>1 Trading Arrangement," as each term is defined in Item 408(a) of Regulation S-K.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Exhibits</w:t>
      </w:r>
    </w:p>
    <w:p>
      <w:pPr>
        <w:spacing w:after="0" w:line="230" w:lineRule="exact"/>
        <w:rPr>
          <w:sz w:val="20"/>
          <w:szCs w:val="20"/>
          <w:color w:val="auto"/>
        </w:rPr>
      </w:pPr>
    </w:p>
    <w:p>
      <w:pPr>
        <w:ind w:left="940" w:hanging="574"/>
        <w:spacing w:after="0"/>
        <w:tabs>
          <w:tab w:leader="none" w:pos="9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following exhibits (listed by number corresponding to the Exhibit Table as Item 601 in Regulation S-K) are filed with this report:</w:t>
      </w:r>
    </w:p>
    <w:p>
      <w:pPr>
        <w:spacing w:after="0" w:line="23" w:lineRule="exact"/>
        <w:rPr>
          <w:rFonts w:ascii="Arial" w:cs="Arial" w:eastAsia="Arial" w:hAnsi="Arial"/>
          <w:sz w:val="17"/>
          <w:szCs w:val="17"/>
          <w:color w:val="auto"/>
        </w:rPr>
      </w:pPr>
    </w:p>
    <w:p>
      <w:pPr>
        <w:ind w:left="1640" w:right="20" w:hanging="698"/>
        <w:spacing w:after="0" w:line="236" w:lineRule="auto"/>
        <w:rPr>
          <w:rFonts w:ascii="Arial" w:cs="Arial" w:eastAsia="Arial" w:hAnsi="Arial"/>
          <w:sz w:val="17"/>
          <w:szCs w:val="17"/>
          <w:color w:val="auto"/>
        </w:rPr>
      </w:pPr>
      <w:r>
        <w:rPr>
          <w:rFonts w:ascii="Arial" w:cs="Arial" w:eastAsia="Arial" w:hAnsi="Arial"/>
          <w:sz w:val="17"/>
          <w:szCs w:val="17"/>
          <w:u w:val="single" w:color="auto"/>
          <w:color w:val="0000FF"/>
        </w:rPr>
        <w:t>31.1</w:t>
      </w:r>
      <w:r>
        <w:rPr>
          <w:rFonts w:ascii="Arial" w:cs="Arial" w:eastAsia="Arial" w:hAnsi="Arial"/>
          <w:sz w:val="17"/>
          <w:szCs w:val="17"/>
          <w:color w:val="auto"/>
        </w:rPr>
        <w:t>Certificate of the Chief Executive Officer of Independent Bank Corporation pursuant to Section 302 of the Sarbanes-Oxley Act of 2002 (18 U.S.C. 1350).</w:t>
      </w:r>
    </w:p>
    <w:p>
      <w:pPr>
        <w:spacing w:after="0" w:line="15" w:lineRule="exact"/>
        <w:rPr>
          <w:rFonts w:ascii="Arial" w:cs="Arial" w:eastAsia="Arial" w:hAnsi="Arial"/>
          <w:sz w:val="17"/>
          <w:szCs w:val="17"/>
          <w:color w:val="auto"/>
        </w:rPr>
      </w:pPr>
    </w:p>
    <w:p>
      <w:pPr>
        <w:ind w:left="1640" w:right="20" w:hanging="698"/>
        <w:spacing w:after="0" w:line="236" w:lineRule="auto"/>
        <w:rPr>
          <w:rFonts w:ascii="Arial" w:cs="Arial" w:eastAsia="Arial" w:hAnsi="Arial"/>
          <w:sz w:val="17"/>
          <w:szCs w:val="17"/>
          <w:color w:val="auto"/>
        </w:rPr>
      </w:pPr>
      <w:r>
        <w:rPr>
          <w:rFonts w:ascii="Arial" w:cs="Arial" w:eastAsia="Arial" w:hAnsi="Arial"/>
          <w:sz w:val="17"/>
          <w:szCs w:val="17"/>
          <w:u w:val="single" w:color="auto"/>
          <w:color w:val="0000FF"/>
        </w:rPr>
        <w:t>31.2</w:t>
      </w:r>
      <w:r>
        <w:rPr>
          <w:rFonts w:ascii="Arial" w:cs="Arial" w:eastAsia="Arial" w:hAnsi="Arial"/>
          <w:sz w:val="17"/>
          <w:szCs w:val="17"/>
          <w:color w:val="auto"/>
        </w:rPr>
        <w:t>Certificate of the Chief Financial Officer of Independent Bank Corporation pursuant to Section 302 of the Sarbanes-Oxley Act of 2002 (18 U.S.C. 1350).</w:t>
      </w:r>
    </w:p>
    <w:p>
      <w:pPr>
        <w:spacing w:after="0" w:line="2" w:lineRule="exact"/>
        <w:rPr>
          <w:rFonts w:ascii="Arial" w:cs="Arial" w:eastAsia="Arial" w:hAnsi="Arial"/>
          <w:sz w:val="17"/>
          <w:szCs w:val="17"/>
          <w:color w:val="auto"/>
        </w:rPr>
      </w:pPr>
    </w:p>
    <w:p>
      <w:pPr>
        <w:ind w:left="1640" w:right="20" w:hanging="698"/>
        <w:spacing w:after="0" w:line="245" w:lineRule="auto"/>
        <w:rPr>
          <w:rFonts w:ascii="Arial" w:cs="Arial" w:eastAsia="Arial" w:hAnsi="Arial"/>
          <w:sz w:val="17"/>
          <w:szCs w:val="17"/>
          <w:color w:val="auto"/>
        </w:rPr>
      </w:pPr>
      <w:r>
        <w:rPr>
          <w:rFonts w:ascii="Arial" w:cs="Arial" w:eastAsia="Arial" w:hAnsi="Arial"/>
          <w:sz w:val="17"/>
          <w:szCs w:val="17"/>
          <w:u w:val="single" w:color="auto"/>
          <w:color w:val="0000FF"/>
        </w:rPr>
        <w:t>32.1</w:t>
      </w:r>
      <w:r>
        <w:rPr>
          <w:rFonts w:ascii="Arial" w:cs="Arial" w:eastAsia="Arial" w:hAnsi="Arial"/>
          <w:sz w:val="17"/>
          <w:szCs w:val="17"/>
          <w:color w:val="auto"/>
        </w:rPr>
        <w:t>Certificate of the Chief Executive Officer of Independent Bank Corporation pursuant to Section 906 of the Sarbanes-Oxley Act of 2002 (18 U.S.C. 1350).</w:t>
      </w:r>
    </w:p>
    <w:p>
      <w:pPr>
        <w:ind w:left="1640" w:right="20" w:hanging="698"/>
        <w:spacing w:after="0" w:line="236" w:lineRule="auto"/>
        <w:rPr>
          <w:rFonts w:ascii="Arial" w:cs="Arial" w:eastAsia="Arial" w:hAnsi="Arial"/>
          <w:sz w:val="17"/>
          <w:szCs w:val="17"/>
          <w:color w:val="auto"/>
        </w:rPr>
      </w:pPr>
      <w:r>
        <w:rPr>
          <w:rFonts w:ascii="Arial" w:cs="Arial" w:eastAsia="Arial" w:hAnsi="Arial"/>
          <w:sz w:val="17"/>
          <w:szCs w:val="17"/>
          <w:u w:val="single" w:color="auto"/>
          <w:color w:val="0000FF"/>
        </w:rPr>
        <w:t>32.2</w:t>
      </w:r>
      <w:r>
        <w:rPr>
          <w:rFonts w:ascii="Arial" w:cs="Arial" w:eastAsia="Arial" w:hAnsi="Arial"/>
          <w:sz w:val="17"/>
          <w:szCs w:val="17"/>
          <w:color w:val="auto"/>
        </w:rPr>
        <w:t>Certificate of the Chief Financial Officer of Independent Bank Corporation pursuant to Section 906 of the Sarbanes-Oxley Act of 2002 (18 U.S.C.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-996950</wp:posOffset>
            </wp:positionV>
            <wp:extent cx="7138670" cy="2540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-497840</wp:posOffset>
            </wp:positionV>
            <wp:extent cx="7138670" cy="2540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9525</wp:posOffset>
            </wp:positionV>
            <wp:extent cx="7138670" cy="2457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ind w:left="1640" w:right="20" w:hanging="704"/>
        <w:spacing w:after="0" w:line="236" w:lineRule="auto"/>
        <w:tabs>
          <w:tab w:leader="none" w:pos="16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INS Inline XBRL Instance Document (the instance document does not appear in the Interactive Data File because its XBRL tags are embedded within the Inline XBRL document)</w:t>
      </w:r>
    </w:p>
    <w:p>
      <w:pPr>
        <w:spacing w:after="0" w:line="2" w:lineRule="exact"/>
        <w:rPr>
          <w:sz w:val="20"/>
          <w:szCs w:val="20"/>
          <w:color w:val="auto"/>
        </w:rPr>
      </w:pPr>
    </w:p>
    <w:p>
      <w:pPr>
        <w:ind w:left="1640" w:hanging="704"/>
        <w:spacing w:after="0"/>
        <w:tabs>
          <w:tab w:leader="none" w:pos="16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139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7" w:lineRule="exact"/>
        <w:rPr>
          <w:sz w:val="20"/>
          <w:szCs w:val="20"/>
          <w:color w:val="auto"/>
        </w:rPr>
      </w:pPr>
    </w:p>
    <w:p>
      <w:pPr>
        <w:ind w:left="1640" w:hanging="704"/>
        <w:spacing w:after="0"/>
        <w:tabs>
          <w:tab w:leader="none" w:pos="16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CAL Inline XBRL Taxonomy Extension Calculation Linkbase Document</w:t>
      </w:r>
    </w:p>
    <w:p>
      <w:pPr>
        <w:spacing w:after="0" w:line="24" w:lineRule="exact"/>
        <w:rPr>
          <w:sz w:val="20"/>
          <w:szCs w:val="20"/>
          <w:color w:val="auto"/>
        </w:rPr>
      </w:pPr>
    </w:p>
    <w:p>
      <w:pPr>
        <w:ind w:left="1640" w:hanging="704"/>
        <w:spacing w:after="0"/>
        <w:tabs>
          <w:tab w:leader="none" w:pos="1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47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4" w:lineRule="exact"/>
        <w:rPr>
          <w:sz w:val="20"/>
          <w:szCs w:val="20"/>
          <w:color w:val="auto"/>
        </w:rPr>
      </w:pPr>
    </w:p>
    <w:p>
      <w:pPr>
        <w:ind w:left="1640" w:hanging="704"/>
        <w:spacing w:after="0"/>
        <w:tabs>
          <w:tab w:leader="none" w:pos="1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LAB Inline XBRL Taxonomy Extension Label Linkbase Document</w:t>
      </w:r>
    </w:p>
    <w:p>
      <w:pPr>
        <w:spacing w:after="0" w:line="37" w:lineRule="exact"/>
        <w:rPr>
          <w:sz w:val="20"/>
          <w:szCs w:val="20"/>
          <w:color w:val="auto"/>
        </w:rPr>
      </w:pPr>
    </w:p>
    <w:p>
      <w:pPr>
        <w:ind w:left="1640" w:hanging="704"/>
        <w:spacing w:after="0"/>
        <w:tabs>
          <w:tab w:leader="none" w:pos="1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1640" w:hanging="704"/>
        <w:spacing w:after="0"/>
        <w:tabs>
          <w:tab w:leader="none" w:pos="16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59055</wp:posOffset>
            </wp:positionV>
            <wp:extent cx="716407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SIGNATURES</w:t>
      </w:r>
    </w:p>
    <w:p>
      <w:pPr>
        <w:spacing w:after="0" w:line="19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20"/>
        <w:spacing w:after="0"/>
        <w:tabs>
          <w:tab w:leader="none" w:pos="2400" w:val="left"/>
          <w:tab w:leader="none" w:pos="6020" w:val="left"/>
          <w:tab w:leader="none" w:pos="82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August 4,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14605</wp:posOffset>
            </wp:positionV>
            <wp:extent cx="67703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70370" cy="8255"/>
                    </a:xfrm>
                    <a:prstGeom prst="rect">
                      <a:avLst/>
                    </a:prstGeom>
                    <a:noFill/>
                  </pic:spPr>
                </pic:pic>
              </a:graphicData>
            </a:graphic>
          </wp:anchor>
        </w:drawing>
      </w:r>
    </w:p>
    <w:p>
      <w:pPr>
        <w:spacing w:after="0" w:line="17"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Gavin A. Mohr, Principal Financial Officer</w:t>
      </w:r>
    </w:p>
    <w:p>
      <w:pPr>
        <w:spacing w:after="0" w:line="294" w:lineRule="exact"/>
        <w:rPr>
          <w:sz w:val="20"/>
          <w:szCs w:val="20"/>
          <w:color w:val="auto"/>
        </w:rPr>
      </w:pPr>
    </w:p>
    <w:p>
      <w:pPr>
        <w:ind w:left="20"/>
        <w:spacing w:after="0"/>
        <w:tabs>
          <w:tab w:leader="none" w:pos="2400" w:val="left"/>
          <w:tab w:leader="none" w:pos="6020" w:val="left"/>
          <w:tab w:leader="none" w:pos="800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August 4,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James J. Twarozynski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14605</wp:posOffset>
            </wp:positionV>
            <wp:extent cx="67703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70370" cy="8255"/>
                    </a:xfrm>
                    <a:prstGeom prst="rect">
                      <a:avLst/>
                    </a:prstGeom>
                    <a:noFill/>
                  </pic:spPr>
                </pic:pic>
              </a:graphicData>
            </a:graphic>
          </wp:anchor>
        </w:drawing>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James J. Twarozynski,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240"/>
          </w:cols>
          <w:pgMar w:left="320" w:top="127"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7"/>
          <w:szCs w:val="17"/>
          <w:color w:val="auto"/>
        </w:rPr>
        <w:t>EXHIBIT 31.1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 William B. Kessel, certify that:</w:t>
      </w:r>
    </w:p>
    <w:p>
      <w:pPr>
        <w:spacing w:after="0" w:line="178" w:lineRule="exact"/>
        <w:rPr>
          <w:sz w:val="20"/>
          <w:szCs w:val="20"/>
          <w:color w:val="auto"/>
        </w:rPr>
      </w:pPr>
    </w:p>
    <w:p>
      <w:pPr>
        <w:ind w:left="620" w:hanging="617"/>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Independent Bank Corporation;</w:t>
      </w:r>
    </w:p>
    <w:p>
      <w:pPr>
        <w:spacing w:after="0" w:line="21" w:lineRule="exact"/>
        <w:rPr>
          <w:rFonts w:ascii="Arial" w:cs="Arial" w:eastAsia="Arial" w:hAnsi="Arial"/>
          <w:sz w:val="17"/>
          <w:szCs w:val="17"/>
          <w:color w:val="auto"/>
        </w:rPr>
      </w:pPr>
    </w:p>
    <w:p>
      <w:pPr>
        <w:jc w:val="both"/>
        <w:ind w:left="620" w:hanging="617"/>
        <w:spacing w:after="0" w:line="253"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ind w:left="620" w:hanging="617"/>
        <w:spacing w:after="0" w:line="269"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20" w:hanging="617"/>
        <w:spacing w:after="0" w:line="253"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jc w:val="both"/>
        <w:ind w:left="1240" w:hanging="618"/>
        <w:spacing w:after="0" w:line="253" w:lineRule="auto"/>
        <w:tabs>
          <w:tab w:leader="none" w:pos="1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69" w:lineRule="auto"/>
        <w:tabs>
          <w:tab w:leader="none" w:pos="124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4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18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INDEPENDENT BANK CORPORATION</w:t>
      </w:r>
    </w:p>
    <w:p>
      <w:pPr>
        <w:spacing w:after="0" w:line="294" w:lineRule="exact"/>
        <w:rPr>
          <w:sz w:val="20"/>
          <w:szCs w:val="20"/>
          <w:color w:val="auto"/>
        </w:rPr>
      </w:pPr>
    </w:p>
    <w:p>
      <w:pPr>
        <w:ind w:left="20"/>
        <w:spacing w:after="0"/>
        <w:tabs>
          <w:tab w:leader="none" w:pos="6160" w:val="left"/>
        </w:tabs>
        <w:rPr>
          <w:sz w:val="20"/>
          <w:szCs w:val="20"/>
          <w:color w:val="auto"/>
        </w:rPr>
      </w:pPr>
      <w:r>
        <w:rPr>
          <w:rFonts w:ascii="Arial" w:cs="Arial" w:eastAsia="Arial" w:hAnsi="Arial"/>
          <w:sz w:val="17"/>
          <w:szCs w:val="17"/>
          <w:color w:val="auto"/>
        </w:rPr>
        <w:t>Date: August 4, 2023</w:t>
      </w:r>
      <w:r>
        <w:rPr>
          <w:sz w:val="20"/>
          <w:szCs w:val="20"/>
          <w:color w:val="auto"/>
        </w:rPr>
        <w:tab/>
      </w:r>
      <w:r>
        <w:rPr>
          <w:rFonts w:ascii="Arial" w:cs="Arial" w:eastAsia="Arial" w:hAnsi="Arial"/>
          <w:sz w:val="16"/>
          <w:szCs w:val="16"/>
          <w:color w:val="auto"/>
        </w:rPr>
        <w:t>/s/ William B. Kessel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31115</wp:posOffset>
            </wp:positionV>
            <wp:extent cx="32334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33420" cy="8255"/>
                    </a:xfrm>
                    <a:prstGeom prst="rect">
                      <a:avLst/>
                    </a:prstGeom>
                    <a:noFill/>
                  </pic:spPr>
                </pic:pic>
              </a:graphicData>
            </a:graphic>
          </wp:anchor>
        </w:drawing>
      </w:r>
    </w:p>
    <w:p>
      <w:pPr>
        <w:spacing w:after="0" w:line="42"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William B. Kessel</w:t>
      </w:r>
    </w:p>
    <w:p>
      <w:pPr>
        <w:spacing w:after="0" w:line="24" w:lineRule="exact"/>
        <w:rPr>
          <w:sz w:val="20"/>
          <w:szCs w:val="20"/>
          <w:color w:val="auto"/>
        </w:rPr>
      </w:pPr>
    </w:p>
    <w:p>
      <w:pPr>
        <w:ind w:left="678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106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7"/>
          <w:szCs w:val="17"/>
          <w:color w:val="auto"/>
        </w:rPr>
        <w:t>EXHIBIT 31.2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I, Gavin A. Mohr, certify that:</w:t>
      </w:r>
    </w:p>
    <w:p>
      <w:pPr>
        <w:spacing w:after="0" w:line="178" w:lineRule="exact"/>
        <w:rPr>
          <w:sz w:val="20"/>
          <w:szCs w:val="20"/>
          <w:color w:val="auto"/>
        </w:rPr>
      </w:pPr>
    </w:p>
    <w:p>
      <w:pPr>
        <w:ind w:left="620" w:hanging="61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Independent Bank Corporation;</w:t>
      </w:r>
    </w:p>
    <w:p>
      <w:pPr>
        <w:spacing w:after="0" w:line="21" w:lineRule="exact"/>
        <w:rPr>
          <w:rFonts w:ascii="Arial" w:cs="Arial" w:eastAsia="Arial" w:hAnsi="Arial"/>
          <w:sz w:val="17"/>
          <w:szCs w:val="17"/>
          <w:color w:val="auto"/>
        </w:rPr>
      </w:pPr>
    </w:p>
    <w:p>
      <w:pPr>
        <w:jc w:val="both"/>
        <w:ind w:left="620" w:hanging="617"/>
        <w:spacing w:after="0" w:line="253"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ind w:left="620" w:hanging="617"/>
        <w:spacing w:after="0" w:line="269" w:lineRule="auto"/>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620" w:hanging="617"/>
        <w:spacing w:after="0" w:line="253"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jc w:val="both"/>
        <w:ind w:left="1240" w:hanging="618"/>
        <w:spacing w:after="0" w:line="253" w:lineRule="auto"/>
        <w:tabs>
          <w:tab w:leader="none" w:pos="12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jc w:val="both"/>
        <w:ind w:left="1240" w:hanging="618"/>
        <w:spacing w:after="0" w:line="253" w:lineRule="auto"/>
        <w:tabs>
          <w:tab w:leader="none" w:pos="12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40" w:hanging="618"/>
        <w:spacing w:after="0" w:line="269" w:lineRule="auto"/>
        <w:tabs>
          <w:tab w:leader="none" w:pos="12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40" w:hanging="618"/>
        <w:spacing w:after="0" w:line="253" w:lineRule="auto"/>
        <w:tabs>
          <w:tab w:leader="none" w:pos="12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620" w:hanging="617"/>
        <w:spacing w:after="0" w:line="253"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40" w:hanging="618"/>
        <w:spacing w:after="0" w:line="253" w:lineRule="auto"/>
        <w:tabs>
          <w:tab w:leader="none" w:pos="12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618"/>
        <w:spacing w:after="0" w:line="266" w:lineRule="auto"/>
        <w:tabs>
          <w:tab w:leader="none" w:pos="12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controls over financial reporting.</w:t>
      </w:r>
    </w:p>
    <w:p>
      <w:pPr>
        <w:spacing w:after="0" w:line="188"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INDEPENDENT BANK CORPORATION</w:t>
      </w:r>
    </w:p>
    <w:p>
      <w:pPr>
        <w:spacing w:after="0" w:line="282"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7"/>
          <w:szCs w:val="17"/>
          <w:color w:val="auto"/>
        </w:rPr>
        <w:t>Date: August 4, 2023</w:t>
      </w:r>
      <w:r>
        <w:rPr>
          <w:sz w:val="20"/>
          <w:szCs w:val="20"/>
          <w:color w:val="auto"/>
        </w:rPr>
        <w:tab/>
      </w:r>
      <w:r>
        <w:rPr>
          <w:rFonts w:ascii="Arial" w:cs="Arial" w:eastAsia="Arial" w:hAnsi="Arial"/>
          <w:sz w:val="16"/>
          <w:szCs w:val="16"/>
          <w:color w:val="auto"/>
        </w:rPr>
        <w:t>/s/ Gavin A. Mohr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14605</wp:posOffset>
            </wp:positionV>
            <wp:extent cx="32175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17545" cy="825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Gavin A. Mohr</w:t>
      </w:r>
    </w:p>
    <w:p>
      <w:pPr>
        <w:spacing w:after="0" w:line="3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106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7"/>
          <w:szCs w:val="17"/>
          <w:color w:val="auto"/>
        </w:rPr>
        <w:t>EXHIBIT 32.1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CERTIFICATE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CHIEF EXECUTIVE OFFICER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Pursuant to Section 906 of the Sarbanes-Oxley Act of 2002 (18 U.S.C. 1350):</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 William B. Kessel, President and Chief Executive Officer of Independent Bank Corporation, certify, to the best of my knowledge and belief, pursuant to</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Section 906 of the Sarbanes-Oxley Act of 2002 (18 U.S.C. 1350) that:</w:t>
      </w:r>
    </w:p>
    <w:p>
      <w:pPr>
        <w:spacing w:after="0" w:line="180" w:lineRule="exact"/>
        <w:rPr>
          <w:sz w:val="20"/>
          <w:szCs w:val="20"/>
          <w:color w:val="auto"/>
        </w:rPr>
      </w:pPr>
    </w:p>
    <w:p>
      <w:pPr>
        <w:ind w:left="1240" w:hanging="618"/>
        <w:spacing w:after="0" w:line="279" w:lineRule="auto"/>
        <w:tabs>
          <w:tab w:leader="none" w:pos="12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quarterly report on Form 10-Q for the quarterly period ended June 30, 2023, which this statement accompanies, fully complies with requirements of Section 13(a) or 15(d) of the Securities Exchange Act of 1934 and;</w:t>
      </w:r>
    </w:p>
    <w:p>
      <w:pPr>
        <w:spacing w:after="0" w:line="125" w:lineRule="exact"/>
        <w:rPr>
          <w:rFonts w:ascii="Arial" w:cs="Arial" w:eastAsia="Arial" w:hAnsi="Arial"/>
          <w:sz w:val="17"/>
          <w:szCs w:val="17"/>
          <w:color w:val="auto"/>
        </w:rPr>
      </w:pPr>
    </w:p>
    <w:p>
      <w:pPr>
        <w:ind w:left="1240" w:hanging="618"/>
        <w:spacing w:after="0" w:line="279" w:lineRule="auto"/>
        <w:tabs>
          <w:tab w:leader="none" w:pos="12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June 30, 2023, fairly presents, in all material respects, the financial condition and results of operations of Independent Bank Corporation.</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16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INDEPENDENT BANK CORPORATION</w:t>
            </w:r>
          </w:p>
        </w:tc>
      </w:tr>
      <w:tr>
        <w:trPr>
          <w:trHeight w:val="491"/>
        </w:trPr>
        <w:tc>
          <w:tcPr>
            <w:tcW w:w="6160" w:type="dxa"/>
            <w:vAlign w:val="bottom"/>
          </w:tcPr>
          <w:p>
            <w:pPr>
              <w:spacing w:after="0"/>
              <w:rPr>
                <w:sz w:val="20"/>
                <w:szCs w:val="20"/>
                <w:color w:val="auto"/>
              </w:rPr>
            </w:pPr>
            <w:r>
              <w:rPr>
                <w:rFonts w:ascii="Arial" w:cs="Arial" w:eastAsia="Arial" w:hAnsi="Arial"/>
                <w:sz w:val="17"/>
                <w:szCs w:val="17"/>
                <w:color w:val="auto"/>
              </w:rPr>
              <w:t>Date: August 4, 2023</w:t>
            </w:r>
          </w:p>
        </w:tc>
        <w:tc>
          <w:tcPr>
            <w:tcW w:w="506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/s/ William B. Kessel</w:t>
            </w:r>
          </w:p>
        </w:tc>
      </w:tr>
      <w:tr>
        <w:trPr>
          <w:trHeight w:val="211"/>
        </w:trPr>
        <w:tc>
          <w:tcPr>
            <w:tcW w:w="6160" w:type="dxa"/>
            <w:vAlign w:val="bottom"/>
          </w:tcPr>
          <w:p>
            <w:pPr>
              <w:spacing w:after="0"/>
              <w:rPr>
                <w:sz w:val="18"/>
                <w:szCs w:val="18"/>
                <w:color w:val="auto"/>
              </w:rPr>
            </w:pPr>
          </w:p>
        </w:tc>
        <w:tc>
          <w:tcPr>
            <w:tcW w:w="5060" w:type="dxa"/>
            <w:vAlign w:val="bottom"/>
          </w:tcPr>
          <w:p>
            <w:pPr>
              <w:ind w:left="700"/>
              <w:spacing w:after="0"/>
              <w:rPr>
                <w:sz w:val="20"/>
                <w:szCs w:val="20"/>
                <w:color w:val="auto"/>
              </w:rPr>
            </w:pPr>
            <w:r>
              <w:rPr>
                <w:rFonts w:ascii="Arial" w:cs="Arial" w:eastAsia="Arial" w:hAnsi="Arial"/>
                <w:sz w:val="17"/>
                <w:szCs w:val="17"/>
                <w:color w:val="auto"/>
              </w:rPr>
              <w:t>William B. Kessel</w:t>
            </w:r>
          </w:p>
        </w:tc>
      </w:tr>
      <w:tr>
        <w:trPr>
          <w:trHeight w:val="219"/>
        </w:trPr>
        <w:tc>
          <w:tcPr>
            <w:tcW w:w="6160" w:type="dxa"/>
            <w:vAlign w:val="bottom"/>
          </w:tcPr>
          <w:p>
            <w:pPr>
              <w:spacing w:after="0"/>
              <w:rPr>
                <w:sz w:val="19"/>
                <w:szCs w:val="19"/>
                <w:color w:val="auto"/>
              </w:rPr>
            </w:pPr>
          </w:p>
        </w:tc>
        <w:tc>
          <w:tcPr>
            <w:tcW w:w="5060" w:type="dxa"/>
            <w:vAlign w:val="bottom"/>
          </w:tcPr>
          <w:p>
            <w:pPr>
              <w:ind w:left="700"/>
              <w:spacing w:after="0"/>
              <w:rPr>
                <w:sz w:val="20"/>
                <w:szCs w:val="20"/>
                <w:color w:val="auto"/>
              </w:rPr>
            </w:pPr>
            <w:r>
              <w:rPr>
                <w:rFonts w:ascii="Arial" w:cs="Arial" w:eastAsia="Arial" w:hAnsi="Arial"/>
                <w:sz w:val="17"/>
                <w:szCs w:val="17"/>
                <w:color w:val="auto"/>
              </w:rPr>
              <w:t>President and Chief Executive Officer</w:t>
            </w:r>
          </w:p>
        </w:tc>
      </w:tr>
    </w:tbl>
    <w:p>
      <w:pPr>
        <w:spacing w:after="0" w:line="2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p>
      <w:pPr>
        <w:sectPr>
          <w:pgSz w:w="11900" w:h="16838" w:orient="portrait"/>
          <w:cols w:equalWidth="0" w:num="1">
            <w:col w:w="11240"/>
          </w:cols>
          <w:pgMar w:left="320" w:top="106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7"/>
          <w:szCs w:val="17"/>
          <w:color w:val="auto"/>
        </w:rPr>
        <w:t>EXHIBIT 32.2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CERTIFICATE OF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CHIEF FINANCIAL OFFICER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INDEPENDENT BANK CORPORATION</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Pursuant to Section 906 of the Sarbanes-Oxley Act of 2002 (18 U.S.C. 1350):</w:t>
      </w:r>
    </w:p>
    <w:p>
      <w:pPr>
        <w:spacing w:after="0" w:line="178"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I, Gavin A. Mohr, Chief Financial Officer of Independent Bank Corporation, certify, to the best of my knowledge and belief, pursuant to Section 906 of the Sarbanes-Oxley Act of 2002 (18 U.S.C. 1350) that:</w:t>
      </w:r>
    </w:p>
    <w:p>
      <w:pPr>
        <w:spacing w:after="0" w:line="139" w:lineRule="exact"/>
        <w:rPr>
          <w:sz w:val="20"/>
          <w:szCs w:val="20"/>
          <w:color w:val="auto"/>
        </w:rPr>
      </w:pPr>
    </w:p>
    <w:p>
      <w:pPr>
        <w:ind w:left="1240" w:hanging="618"/>
        <w:spacing w:after="0" w:line="279" w:lineRule="auto"/>
        <w:tabs>
          <w:tab w:leader="none" w:pos="12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quarterly report on Form 10-Q for the quarterly period ended June 30, 2023, which this statement accompanies, fully complies with requirements of Section 13(a) or 15(d) of the Securities Exchange Act of 1934 and;</w:t>
      </w:r>
    </w:p>
    <w:p>
      <w:pPr>
        <w:spacing w:after="0" w:line="125" w:lineRule="exact"/>
        <w:rPr>
          <w:rFonts w:ascii="Arial" w:cs="Arial" w:eastAsia="Arial" w:hAnsi="Arial"/>
          <w:sz w:val="17"/>
          <w:szCs w:val="17"/>
          <w:color w:val="auto"/>
        </w:rPr>
      </w:pPr>
    </w:p>
    <w:p>
      <w:pPr>
        <w:ind w:left="1240" w:hanging="618"/>
        <w:spacing w:after="0" w:line="279" w:lineRule="auto"/>
        <w:tabs>
          <w:tab w:leader="none" w:pos="12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10-Q for the quarterly period ended June 30, 2023, fairly presents, in all material respects, the financial condition and results of operations of Independent Bank Corporation.</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16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7"/>
                <w:szCs w:val="17"/>
                <w:color w:val="auto"/>
              </w:rPr>
              <w:t>INDEPENDENT BANK CORPORATION</w:t>
            </w:r>
          </w:p>
        </w:tc>
      </w:tr>
      <w:tr>
        <w:trPr>
          <w:trHeight w:val="491"/>
        </w:trPr>
        <w:tc>
          <w:tcPr>
            <w:tcW w:w="6160" w:type="dxa"/>
            <w:vAlign w:val="bottom"/>
          </w:tcPr>
          <w:p>
            <w:pPr>
              <w:spacing w:after="0"/>
              <w:rPr>
                <w:sz w:val="20"/>
                <w:szCs w:val="20"/>
                <w:color w:val="auto"/>
              </w:rPr>
            </w:pPr>
            <w:r>
              <w:rPr>
                <w:rFonts w:ascii="Arial" w:cs="Arial" w:eastAsia="Arial" w:hAnsi="Arial"/>
                <w:sz w:val="17"/>
                <w:szCs w:val="17"/>
                <w:color w:val="auto"/>
              </w:rPr>
              <w:t>Date: August 4, 2023</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Gavin A. Mohr</w:t>
            </w:r>
          </w:p>
        </w:tc>
      </w:tr>
      <w:tr>
        <w:trPr>
          <w:trHeight w:val="211"/>
        </w:trPr>
        <w:tc>
          <w:tcPr>
            <w:tcW w:w="616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Arial" w:cs="Arial" w:eastAsia="Arial" w:hAnsi="Arial"/>
                <w:sz w:val="17"/>
                <w:szCs w:val="17"/>
                <w:color w:val="auto"/>
              </w:rPr>
              <w:t>Gavin A. Mohr</w:t>
            </w:r>
          </w:p>
        </w:tc>
      </w:tr>
      <w:tr>
        <w:trPr>
          <w:trHeight w:val="219"/>
        </w:trPr>
        <w:tc>
          <w:tcPr>
            <w:tcW w:w="6160" w:type="dxa"/>
            <w:vAlign w:val="bottom"/>
          </w:tcPr>
          <w:p>
            <w:pPr>
              <w:spacing w:after="0"/>
              <w:rPr>
                <w:sz w:val="19"/>
                <w:szCs w:val="19"/>
                <w:color w:val="auto"/>
              </w:rPr>
            </w:pPr>
          </w:p>
        </w:tc>
        <w:tc>
          <w:tcPr>
            <w:tcW w:w="5060" w:type="dxa"/>
            <w:vAlign w:val="bottom"/>
          </w:tcPr>
          <w:p>
            <w:pPr>
              <w:ind w:left="580"/>
              <w:spacing w:after="0"/>
              <w:rPr>
                <w:sz w:val="20"/>
                <w:szCs w:val="20"/>
                <w:color w:val="auto"/>
              </w:rPr>
            </w:pPr>
            <w:r>
              <w:rPr>
                <w:rFonts w:ascii="Arial" w:cs="Arial" w:eastAsia="Arial" w:hAnsi="Arial"/>
                <w:sz w:val="17"/>
                <w:szCs w:val="17"/>
                <w:color w:val="auto"/>
              </w:rPr>
              <w:t>Chief Financial Officer</w:t>
            </w:r>
          </w:p>
        </w:tc>
      </w:tr>
    </w:tbl>
    <w:p>
      <w:pPr>
        <w:spacing w:after="0" w:line="26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signed original of this written statement required by Section 906, or other document authenticating, acknowledging, or otherwise adopting the signature that appears in typed form within the electronic version of this written statement required by Section 906, has been provided to Independent Bank Corporation and will be retained by Independent Bank Corporation and furnished to the Securities and Exchange Commission or its staff upon request.</w:t>
      </w:r>
    </w:p>
    <w:sectPr>
      <w:pgSz w:w="11900" w:h="16838" w:orient="portrait"/>
      <w:cols w:equalWidth="0" w:num="1">
        <w:col w:w="11240"/>
      </w:cols>
      <w:pgMar w:left="320" w:top="10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decimal"/>
      <w:start w:val="1"/>
    </w:lvl>
  </w:abstractNum>
  <w:abstractNum w:abstractNumId="2">
    <w:nsid w:val="4353D0CD"/>
    <w:multiLevelType w:val="hybridMultilevel"/>
    <w:lvl w:ilvl="0">
      <w:lvlJc w:val="left"/>
      <w:lvlText w:val="%1."/>
      <w:numFmt w:val="decimal"/>
      <w:start w:val="2"/>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4"/>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5"/>
    </w:lvl>
  </w:abstractNum>
  <w:abstractNum w:abstractNumId="7">
    <w:nsid w:val="2CA88611"/>
    <w:multiLevelType w:val="hybridMultilevel"/>
    <w:lvl w:ilvl="0">
      <w:lvlJc w:val="left"/>
      <w:lvlText w:val="%1."/>
      <w:numFmt w:val="decimal"/>
      <w:start w:val="6"/>
    </w:lvl>
  </w:abstractNum>
  <w:abstractNum w:abstractNumId="8">
    <w:nsid w:val="836C40E"/>
    <w:multiLevelType w:val="hybridMultilevel"/>
    <w:lvl w:ilvl="0">
      <w:lvlJc w:val="left"/>
      <w:lvlText w:val="\endash "/>
      <w:numFmt w:val="bullet"/>
      <w:start w:val="1"/>
    </w:lvl>
  </w:abstractNum>
  <w:abstractNum w:abstractNumId="9">
    <w:nsid w:val="2901D82"/>
    <w:multiLevelType w:val="hybridMultilevel"/>
    <w:lvl w:ilvl="0">
      <w:lvlJc w:val="left"/>
      <w:lvlText w:val="%1."/>
      <w:numFmt w:val="decimal"/>
      <w:start w:val="8"/>
    </w:lvl>
  </w:abstractNum>
  <w:abstractNum w:abstractNumId="10">
    <w:nsid w:val="3A95F874"/>
    <w:multiLevelType w:val="hybridMultilevel"/>
    <w:lvl w:ilvl="0">
      <w:lvlJc w:val="left"/>
      <w:lvlText w:val="%1."/>
      <w:numFmt w:val="decimal"/>
      <w:start w:val="10"/>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lvl w:ilvl="1">
      <w:lvlJc w:val="left"/>
      <w:lvlText w:val="(%2)"/>
      <w:numFmt w:val="decimal"/>
      <w:start w:val="1"/>
    </w:lvl>
  </w:abstractNum>
  <w:abstractNum w:abstractNumId="13">
    <w:nsid w:val="7C3DBD3D"/>
    <w:multiLevelType w:val="hybridMultilevel"/>
    <w:lvl w:ilvl="0">
      <w:lvlJc w:val="left"/>
      <w:lvlText w:val="%1."/>
      <w:numFmt w:val="decimal"/>
      <w:start w:val="11"/>
    </w:lvl>
    <w:lvl w:ilvl="1">
      <w:lvlJc w:val="left"/>
      <w:lvlText w:val="%2"/>
      <w:numFmt w:val="decimal"/>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2"/>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3"/>
    </w:lvl>
  </w:abstractNum>
  <w:abstractNum w:abstractNumId="21">
    <w:nsid w:val="5577F8E1"/>
    <w:multiLevelType w:val="hybridMultilevel"/>
    <w:lvl w:ilvl="0">
      <w:lvlJc w:val="left"/>
      <w:lvlText w:val="%1."/>
      <w:numFmt w:val="decimal"/>
      <w:start w:val="14"/>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
      <w:numFmt w:val="bullet"/>
      <w:start w:val="1"/>
    </w:lvl>
    <w:lvl w:ilvl="1">
      <w:lvlJc w:val="left"/>
      <w:lvlText w:val="(%2)"/>
      <w:numFmt w:val="decimal"/>
      <w:start w:val="47"/>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lvl w:ilvl="1">
      <w:lvlJc w:val="left"/>
      <w:lvlText w:val="(%2)"/>
      <w:numFmt w:val="decimal"/>
      <w:start w:val="58"/>
    </w:lvl>
  </w:abstractNum>
  <w:abstractNum w:abstractNumId="26">
    <w:nsid w:val="7724C67E"/>
    <w:multiLevelType w:val="hybridMultilevel"/>
    <w:lvl w:ilvl="0">
      <w:lvlJc w:val="left"/>
      <w:lvlText w:val="%1."/>
      <w:numFmt w:val="decimal"/>
      <w:start w:val="15"/>
    </w:lvl>
  </w:abstractNum>
  <w:abstractNum w:abstractNumId="27">
    <w:nsid w:val="5C482A97"/>
    <w:multiLevelType w:val="hybridMultilevel"/>
    <w:lvl w:ilvl="0">
      <w:lvlJc w:val="left"/>
      <w:lvlText w:val="%1."/>
      <w:numFmt w:val="decimal"/>
      <w:start w:val="16"/>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decimal"/>
      <w:start w:val="101"/>
    </w:lvl>
  </w:abstractNum>
  <w:abstractNum w:abstractNumId="38">
    <w:nsid w:val="1D4ED43B"/>
    <w:multiLevelType w:val="hybridMultilevel"/>
    <w:lvl w:ilvl="0">
      <w:lvlJc w:val="left"/>
      <w:lvlText w:val="%1."/>
      <w:numFmt w:val="decimal"/>
      <w:start w:val="101"/>
    </w:lvl>
  </w:abstractNum>
  <w:abstractNum w:abstractNumId="39">
    <w:nsid w:val="725A06FB"/>
    <w:multiLevelType w:val="hybridMultilevel"/>
    <w:lvl w:ilvl="0">
      <w:lvlJc w:val="left"/>
      <w:lvlText w:val="%1."/>
      <w:numFmt w:val="decimal"/>
      <w:start w:val="101"/>
    </w:lvl>
  </w:abstractNum>
  <w:abstractNum w:abstractNumId="40">
    <w:nsid w:val="2CD89A32"/>
    <w:multiLevelType w:val="hybridMultilevel"/>
    <w:lvl w:ilvl="0">
      <w:lvlJc w:val="left"/>
      <w:lvlText w:val="%1."/>
      <w:numFmt w:val="decimal"/>
      <w:start w:val="101"/>
    </w:lvl>
  </w:abstractNum>
  <w:abstractNum w:abstractNumId="41">
    <w:nsid w:val="57E4CCAF"/>
    <w:multiLevelType w:val="hybridMultilevel"/>
    <w:lvl w:ilvl="0">
      <w:lvlJc w:val="left"/>
      <w:lvlText w:val="%1."/>
      <w:numFmt w:val="decimal"/>
      <w:start w:val="101"/>
    </w:lvl>
  </w:abstractNum>
  <w:abstractNum w:abstractNumId="42">
    <w:nsid w:val="7A6D8D3C"/>
    <w:multiLevelType w:val="hybridMultilevel"/>
    <w:lvl w:ilvl="0">
      <w:lvlJc w:val="left"/>
      <w:lvlText w:val="%1."/>
      <w:numFmt w:val="decimal"/>
      <w:start w:val="101"/>
    </w:lvl>
  </w:abstractNum>
  <w:abstractNum w:abstractNumId="43">
    <w:nsid w:val="4B588F54"/>
    <w:multiLevelType w:val="hybridMultilevel"/>
    <w:lvl w:ilvl="0">
      <w:lvlJc w:val="left"/>
      <w:lvlText w:val="%1"/>
      <w:numFmt w:val="decimal"/>
      <w:start w:val="104"/>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2023-08-04T08:43:11Z</dcterms:created>
  <dcterms:modified xsi:type="dcterms:W3CDTF">2023-08-04T08:43:11Z</dcterms:modified>
</cp:coreProperties>
</file>