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10-Q</w:t>
      </w:r>
    </w:p>
    <w:p>
      <w:pPr>
        <w:spacing w:after="0" w:line="20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2022</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409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c>
          <w:tcPr>
            <w:tcW w:w="100" w:type="dxa"/>
            <w:vAlign w:val="bottom"/>
          </w:tcPr>
          <w:p>
            <w:pPr>
              <w:spacing w:after="0"/>
              <w:rPr>
                <w:sz w:val="22"/>
                <w:szCs w:val="22"/>
                <w:color w:val="auto"/>
              </w:rPr>
            </w:pPr>
          </w:p>
        </w:tc>
        <w:tc>
          <w:tcPr>
            <w:tcW w:w="558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38-2032782</w:t>
            </w: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5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(616) 527-5820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address and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98"/>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which registered</w:t>
            </w:r>
          </w:p>
        </w:tc>
      </w:tr>
      <w:tr>
        <w:trPr>
          <w:trHeight w:val="243"/>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smaller reporting company or an emerging growth company.</w:t>
      </w:r>
    </w:p>
    <w:p>
      <w:pPr>
        <w:spacing w:after="0" w:line="20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5" w:lineRule="exact"/>
        <w:rPr>
          <w:sz w:val="24"/>
          <w:szCs w:val="24"/>
          <w:color w:val="auto"/>
        </w:r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0"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stock, no par value, 21,065,144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Number(s)</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7560" w:type="dxa"/>
            <w:vAlign w:val="bottom"/>
            <w:tcBorders>
              <w:bottom w:val="single" w:sz="8" w:color="0000FF"/>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Financial Condition September 30, 2022 and December 31, 2021</w:t>
            </w:r>
          </w:p>
        </w:tc>
        <w:tc>
          <w:tcPr>
            <w:tcW w:w="1540" w:type="dxa"/>
            <w:vAlign w:val="bottom"/>
            <w:tcBorders>
              <w:bottom w:val="single" w:sz="8" w:color="CCEEFF"/>
            </w:tcBorders>
            <w:gridSpan w:val="5"/>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1000" w:type="dxa"/>
            <w:vAlign w:val="bottom"/>
          </w:tcPr>
          <w:p>
            <w:pPr>
              <w:spacing w:after="0"/>
              <w:rPr>
                <w:sz w:val="17"/>
                <w:szCs w:val="17"/>
                <w:color w:val="auto"/>
              </w:rPr>
            </w:pPr>
          </w:p>
        </w:tc>
        <w:tc>
          <w:tcPr>
            <w:tcW w:w="91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Operations Three- and Nine-month periods ended September 30, 2022 and 2021</w:t>
            </w:r>
          </w:p>
        </w:tc>
        <w:tc>
          <w:tcPr>
            <w:tcW w:w="114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00" w:type="dxa"/>
            <w:vAlign w:val="bottom"/>
            <w:shd w:val="clear" w:color="auto" w:fill="CCEEFF"/>
          </w:tcPr>
          <w:p>
            <w:pPr>
              <w:spacing w:after="0"/>
              <w:rPr>
                <w:sz w:val="17"/>
                <w:szCs w:val="17"/>
                <w:color w:val="auto"/>
              </w:rPr>
            </w:pPr>
          </w:p>
        </w:tc>
        <w:tc>
          <w:tcPr>
            <w:tcW w:w="91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Three- and Nine-month periods ended September 30,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8800" w:type="dxa"/>
            <w:vAlign w:val="bottom"/>
            <w:tcBorders>
              <w:top w:val="single" w:sz="8" w:color="0000FF"/>
            </w:tcBorders>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2022 and 2021</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2"/>
        </w:trPr>
        <w:tc>
          <w:tcPr>
            <w:tcW w:w="1000" w:type="dxa"/>
            <w:vAlign w:val="bottom"/>
          </w:tcPr>
          <w:p>
            <w:pPr>
              <w:spacing w:after="0"/>
              <w:rPr>
                <w:sz w:val="17"/>
                <w:szCs w:val="17"/>
                <w:color w:val="auto"/>
              </w:rPr>
            </w:pPr>
          </w:p>
        </w:tc>
        <w:tc>
          <w:tcPr>
            <w:tcW w:w="7880" w:type="dxa"/>
            <w:vAlign w:val="bottom"/>
            <w:tcBorders>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Nine-month periods ended September 30, 2022 and 2021</w:t>
            </w:r>
          </w:p>
        </w:tc>
        <w:tc>
          <w:tcPr>
            <w:tcW w:w="106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14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48"/>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2"/>
        </w:trPr>
        <w:tc>
          <w:tcPr>
            <w:tcW w:w="1000" w:type="dxa"/>
            <w:vAlign w:val="bottom"/>
            <w:shd w:val="clear" w:color="auto" w:fill="CCEEFF"/>
          </w:tcPr>
          <w:p>
            <w:pPr>
              <w:spacing w:after="0"/>
              <w:rPr>
                <w:sz w:val="17"/>
                <w:szCs w:val="17"/>
                <w:color w:val="auto"/>
              </w:rPr>
            </w:pPr>
          </w:p>
        </w:tc>
        <w:tc>
          <w:tcPr>
            <w:tcW w:w="91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Three- and Nine-month periods ended September 30, 2022 and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4"/>
              </w:rPr>
              <w:t>2021</w:t>
            </w: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5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80" w:type="dxa"/>
            <w:vAlign w:val="bottom"/>
            <w:tcBorders>
              <w:top w:val="single" w:sz="8" w:color="0000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7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7</w:t>
            </w:r>
          </w:p>
        </w:tc>
      </w:tr>
      <w:tr>
        <w:trPr>
          <w:trHeight w:val="203"/>
        </w:trPr>
        <w:tc>
          <w:tcPr>
            <w:tcW w:w="1000" w:type="dxa"/>
            <w:vAlign w:val="bottom"/>
          </w:tcPr>
          <w:p>
            <w:pPr>
              <w:spacing w:after="0"/>
              <w:rPr>
                <w:sz w:val="17"/>
                <w:szCs w:val="17"/>
                <w:color w:val="auto"/>
              </w:rPr>
            </w:pPr>
          </w:p>
        </w:tc>
        <w:tc>
          <w:tcPr>
            <w:tcW w:w="910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Notes to Interim Condensed Consolidated Financial Statements</w:t>
            </w:r>
          </w:p>
        </w:tc>
        <w:tc>
          <w:tcPr>
            <w:tcW w:w="114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8-58</w:t>
            </w: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60" w:type="dxa"/>
            <w:vAlign w:val="bottom"/>
            <w:tcBorders>
              <w:bottom w:val="single" w:sz="8" w:color="CCEEFF"/>
            </w:tcBorders>
            <w:gridSpan w:val="6"/>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42-77</w:t>
            </w: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6"/>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270"/>
        </w:trPr>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r>
      <w:tr>
        <w:trPr>
          <w:trHeight w:val="237"/>
        </w:trPr>
        <w:tc>
          <w:tcPr>
            <w:tcW w:w="10100" w:type="dxa"/>
            <w:vAlign w:val="bottom"/>
            <w:gridSpan w:val="19"/>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PART II -   Other Information</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7780" w:type="dxa"/>
            <w:vAlign w:val="bottom"/>
            <w:tcBorders>
              <w:top w:val="single" w:sz="8" w:color="CCEEFF"/>
            </w:tcBorders>
            <w:gridSpan w:val="12"/>
          </w:tcPr>
          <w:p>
            <w:pPr>
              <w:spacing w:after="0"/>
              <w:rPr>
                <w:sz w:val="17"/>
                <w:szCs w:val="17"/>
                <w:color w:val="auto"/>
              </w:rPr>
            </w:pPr>
          </w:p>
        </w:tc>
        <w:tc>
          <w:tcPr>
            <w:tcW w:w="114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4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7"/>
          </w:tcPr>
          <w:p>
            <w:pPr>
              <w:spacing w:after="0"/>
              <w:rPr>
                <w:sz w:val="17"/>
                <w:szCs w:val="17"/>
                <w:color w:val="auto"/>
              </w:rPr>
            </w:pPr>
          </w:p>
        </w:tc>
        <w:tc>
          <w:tcPr>
            <w:tcW w:w="4760" w:type="dxa"/>
            <w:vAlign w:val="bottom"/>
            <w:tcBorders>
              <w:top w:val="single" w:sz="8" w:color="CCEEFF"/>
            </w:tcBorders>
            <w:gridSpan w:val="8"/>
          </w:tcPr>
          <w:p>
            <w:pPr>
              <w:spacing w:after="0"/>
              <w:rPr>
                <w:sz w:val="17"/>
                <w:szCs w:val="17"/>
                <w:color w:val="auto"/>
              </w:rPr>
            </w:pPr>
          </w:p>
        </w:tc>
        <w:tc>
          <w:tcPr>
            <w:tcW w:w="114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63</w:t>
            </w:r>
          </w:p>
        </w:tc>
      </w:tr>
      <w:tr>
        <w:trPr>
          <w:trHeight w:val="925"/>
        </w:trPr>
        <w:tc>
          <w:tcPr>
            <w:tcW w:w="1000" w:type="dxa"/>
            <w:vAlign w:val="bottom"/>
          </w:tcPr>
          <w:p>
            <w:pPr>
              <w:spacing w:after="0"/>
              <w:rPr>
                <w:sz w:val="24"/>
                <w:szCs w:val="24"/>
                <w:color w:val="auto"/>
              </w:rPr>
            </w:pPr>
          </w:p>
        </w:tc>
        <w:tc>
          <w:tcPr>
            <w:tcW w:w="6440" w:type="dxa"/>
            <w:vAlign w:val="bottom"/>
            <w:gridSpan w:val="12"/>
          </w:tcPr>
          <w:p>
            <w:pPr>
              <w:ind w:left="458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51" w:lineRule="exact"/>
        <w:rPr>
          <w:sz w:val="20"/>
          <w:szCs w:val="20"/>
          <w:color w:val="auto"/>
        </w:rPr>
      </w:pPr>
    </w:p>
    <w:p>
      <w:pPr>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 including the impact of the ongoing COVID-19 pandemic on each of these items;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2021,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 Item 1.</w:t>
            </w:r>
          </w:p>
        </w:tc>
        <w:tc>
          <w:tcPr>
            <w:tcW w:w="5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7"/>
        </w:trPr>
        <w:tc>
          <w:tcPr>
            <w:tcW w:w="2800" w:type="dxa"/>
            <w:vAlign w:val="bottom"/>
          </w:tcPr>
          <w:p>
            <w:pPr>
              <w:spacing w:after="0"/>
              <w:rPr>
                <w:sz w:val="24"/>
                <w:szCs w:val="24"/>
                <w:color w:val="auto"/>
              </w:rPr>
            </w:pPr>
          </w:p>
        </w:tc>
        <w:tc>
          <w:tcPr>
            <w:tcW w:w="5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Condensed Consolidated Statements of Financial Condition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3"/>
        </w:trPr>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3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30,</w:t>
            </w:r>
          </w:p>
        </w:tc>
        <w:tc>
          <w:tcPr>
            <w:tcW w:w="30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2021</w:t>
            </w:r>
          </w:p>
        </w:tc>
      </w:tr>
      <w:tr>
        <w:trPr>
          <w:trHeight w:val="196"/>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908"/>
              <w:spacing w:after="0"/>
              <w:rPr>
                <w:sz w:val="20"/>
                <w:szCs w:val="20"/>
                <w:color w:val="auto"/>
              </w:rPr>
            </w:pPr>
            <w:r>
              <w:rPr>
                <w:rFonts w:ascii="Times New Roman" w:cs="Times New Roman" w:eastAsia="Times New Roman" w:hAnsi="Times New Roman"/>
                <w:sz w:val="14"/>
                <w:szCs w:val="14"/>
                <w:color w:val="auto"/>
              </w:rPr>
              <w:t>(unaudited)</w:t>
            </w:r>
          </w:p>
        </w:tc>
        <w:tc>
          <w:tcPr>
            <w:tcW w:w="1180" w:type="dxa"/>
            <w:vAlign w:val="bottom"/>
            <w:tcBorders>
              <w:bottom w:val="single" w:sz="8" w:color="auto"/>
            </w:tcBorders>
          </w:tcPr>
          <w:p>
            <w:pPr>
              <w:spacing w:after="0"/>
              <w:rPr>
                <w:sz w:val="17"/>
                <w:szCs w:val="17"/>
                <w:color w:val="auto"/>
              </w:rPr>
            </w:pPr>
          </w:p>
        </w:tc>
      </w:tr>
      <w:tr>
        <w:trPr>
          <w:trHeight w:val="135"/>
        </w:trPr>
        <w:tc>
          <w:tcPr>
            <w:tcW w:w="2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60" w:type="dxa"/>
            <w:vAlign w:val="bottom"/>
            <w:gridSpan w:val="4"/>
          </w:tcPr>
          <w:p>
            <w:pPr>
              <w:jc w:val="center"/>
              <w:ind w:right="128"/>
              <w:spacing w:after="0" w:line="135" w:lineRule="exact"/>
              <w:rPr>
                <w:sz w:val="20"/>
                <w:szCs w:val="20"/>
                <w:color w:val="auto"/>
              </w:rPr>
            </w:pPr>
            <w:r>
              <w:rPr>
                <w:rFonts w:ascii="Times New Roman" w:cs="Times New Roman" w:eastAsia="Times New Roman" w:hAnsi="Times New Roman"/>
                <w:sz w:val="14"/>
                <w:szCs w:val="14"/>
                <w:color w:val="auto"/>
              </w:rPr>
              <w:t>(In thousands, except share</w:t>
            </w:r>
          </w:p>
        </w:tc>
      </w:tr>
      <w:tr>
        <w:trPr>
          <w:trHeight w:val="188"/>
        </w:trPr>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color w:val="auto"/>
              </w:rPr>
              <w:t>amounts)</w:t>
            </w:r>
          </w:p>
        </w:tc>
        <w:tc>
          <w:tcPr>
            <w:tcW w:w="1180" w:type="dxa"/>
            <w:vAlign w:val="bottom"/>
          </w:tcPr>
          <w:p>
            <w:pPr>
              <w:spacing w:after="0"/>
              <w:rPr>
                <w:sz w:val="16"/>
                <w:szCs w:val="16"/>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51,069</w:t>
            </w:r>
          </w:p>
        </w:tc>
      </w:tr>
      <w:tr>
        <w:trPr>
          <w:trHeight w:val="196"/>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58,404</w:t>
            </w:r>
          </w:p>
        </w:tc>
      </w:tr>
      <w:tr>
        <w:trPr>
          <w:trHeight w:val="203"/>
        </w:trPr>
        <w:tc>
          <w:tcPr>
            <w:tcW w:w="2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109,473</w:t>
            </w: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1,412,830</w:t>
            </w:r>
          </w:p>
        </w:tc>
      </w:tr>
      <w:tr>
        <w:trPr>
          <w:trHeight w:val="21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$341,129 at September 30, 2022 and zero at December 31, 2021)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55,470</w:t>
            </w:r>
          </w:p>
        </w:tc>
      </w:tr>
      <w:tr>
        <w:trPr>
          <w:trHeight w:val="195"/>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lower of cost or fair value</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34,811</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1,203,581</w:t>
            </w:r>
          </w:p>
        </w:tc>
      </w:tr>
      <w:tr>
        <w:trPr>
          <w:trHeight w:val="210"/>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1,139,659</w:t>
            </w:r>
          </w:p>
        </w:tc>
      </w:tr>
      <w:tr>
        <w:trPr>
          <w:trHeight w:val="196"/>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646,749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561,805</w:t>
            </w:r>
          </w:p>
        </w:tc>
      </w:tr>
      <w:tr>
        <w:trPr>
          <w:trHeight w:val="203"/>
        </w:trPr>
        <w:tc>
          <w:tcPr>
            <w:tcW w:w="2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Loans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3,409,858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2,905,045</w:t>
            </w:r>
          </w:p>
        </w:tc>
      </w:tr>
      <w:tr>
        <w:trPr>
          <w:trHeight w:val="196"/>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(47,252)</w:t>
            </w:r>
          </w:p>
        </w:tc>
      </w:tr>
      <w:tr>
        <w:trPr>
          <w:trHeight w:val="203"/>
        </w:trPr>
        <w:tc>
          <w:tcPr>
            <w:tcW w:w="2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Net Loans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3,358,716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2,857,793</w:t>
            </w: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36,404</w:t>
            </w: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55,279</w:t>
            </w:r>
          </w:p>
        </w:tc>
      </w:tr>
      <w:tr>
        <w:trPr>
          <w:trHeight w:val="21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26,232</w:t>
            </w: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6"/>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66,140</w:t>
            </w:r>
          </w:p>
        </w:tc>
      </w:tr>
      <w:tr>
        <w:trPr>
          <w:trHeight w:val="228"/>
        </w:trPr>
        <w:tc>
          <w:tcPr>
            <w:tcW w:w="28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4,931,377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4,704,740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1,376,765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1,321,601</w:t>
            </w:r>
          </w:p>
        </w:tc>
      </w:tr>
      <w:tr>
        <w:trPr>
          <w:trHeight w:val="19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1,957,421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1,897,487</w:t>
            </w:r>
          </w:p>
        </w:tc>
      </w:tr>
      <w:tr>
        <w:trPr>
          <w:trHeight w:val="210"/>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586,626</w:t>
            </w:r>
          </w:p>
        </w:tc>
      </w:tr>
      <w:tr>
        <w:trPr>
          <w:trHeight w:val="19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308,438</w:t>
            </w:r>
          </w:p>
        </w:tc>
      </w:tr>
      <w:tr>
        <w:trPr>
          <w:trHeight w:val="210"/>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r>
      <w:tr>
        <w:trPr>
          <w:trHeight w:val="189"/>
        </w:trPr>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Total Deposits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4,117,090</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30,009</w:t>
            </w: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39,357</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w:t>
            </w:r>
          </w:p>
        </w:tc>
      </w:tr>
      <w:tr>
        <w:trPr>
          <w:trHeight w:val="196"/>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80,208</w:t>
            </w:r>
          </w:p>
        </w:tc>
      </w:tr>
      <w:tr>
        <w:trPr>
          <w:trHeight w:val="196"/>
        </w:trPr>
        <w:tc>
          <w:tcPr>
            <w:tcW w:w="2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4,599,069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4,306,256</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9" w:lineRule="exact"/>
        <w:rPr>
          <w:sz w:val="20"/>
          <w:szCs w:val="20"/>
          <w:color w:val="auto"/>
        </w:rPr>
      </w:pPr>
    </w:p>
    <w:p>
      <w:pPr>
        <w:ind w:left="360" w:right="540" w:hanging="161"/>
        <w:spacing w:after="0" w:line="282" w:lineRule="auto"/>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21,063,954 shares at September 30, 2022 and 21,171,036 shares at December 31, 2021</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(loss)</w:t>
      </w:r>
    </w:p>
    <w:p>
      <w:pPr>
        <w:spacing w:after="0" w:line="6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660"/>
        <w:spacing w:after="0"/>
        <w:tabs>
          <w:tab w:leader="none" w:pos="8180" w:val="left"/>
        </w:tabs>
        <w:rPr>
          <w:sz w:val="20"/>
          <w:szCs w:val="20"/>
          <w:color w:val="auto"/>
        </w:rPr>
      </w:pPr>
      <w:r>
        <w:rPr>
          <w:rFonts w:ascii="Times New Roman" w:cs="Times New Roman" w:eastAsia="Times New Roman" w:hAnsi="Times New Roman"/>
          <w:sz w:val="14"/>
          <w:szCs w:val="14"/>
          <w:color w:val="auto"/>
        </w:rPr>
        <w:t>Total Liabilities and Shareholders’ Equity</w:t>
      </w:r>
      <w:r>
        <w:rPr>
          <w:sz w:val="20"/>
          <w:szCs w:val="20"/>
          <w:color w:val="auto"/>
        </w:rPr>
        <w:tab/>
      </w:r>
      <w:r>
        <w:rPr>
          <w:rFonts w:ascii="Times New Roman" w:cs="Times New Roman" w:eastAsia="Times New Roman" w:hAnsi="Times New Roman"/>
          <w:sz w:val="17"/>
          <w:szCs w:val="17"/>
          <w:color w:val="auto"/>
          <w:vertAlign w:val="superscript"/>
        </w:rPr>
        <w: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320,437</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323,401</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108,916</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74,582</w:t>
            </w:r>
          </w:p>
        </w:tc>
        <w:tc>
          <w:tcPr>
            <w:tcW w:w="0" w:type="dxa"/>
            <w:vAlign w:val="bottom"/>
          </w:tcPr>
          <w:p>
            <w:pPr>
              <w:spacing w:after="0"/>
              <w:rPr>
                <w:sz w:val="1"/>
                <w:szCs w:val="1"/>
                <w:color w:val="auto"/>
              </w:rPr>
            </w:pPr>
          </w:p>
        </w:tc>
      </w:tr>
      <w:tr>
        <w:trPr>
          <w:trHeight w:val="230"/>
        </w:trPr>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(97,045)</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4"/>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332,308</w:t>
            </w: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398,484</w:t>
            </w:r>
          </w:p>
        </w:tc>
        <w:tc>
          <w:tcPr>
            <w:tcW w:w="0" w:type="dxa"/>
            <w:vAlign w:val="bottom"/>
          </w:tcPr>
          <w:p>
            <w:pPr>
              <w:spacing w:after="0"/>
              <w:rPr>
                <w:sz w:val="1"/>
                <w:szCs w:val="1"/>
                <w:color w:val="auto"/>
              </w:rPr>
            </w:pPr>
          </w:p>
        </w:tc>
      </w:tr>
      <w:tr>
        <w:trPr>
          <w:trHeight w:val="196"/>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4,931,377</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4,704,740</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-8255</wp:posOffset>
            </wp:positionV>
            <wp:extent cx="942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-307975</wp:posOffset>
            </wp:positionV>
            <wp:extent cx="942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20"/>
          </w:cols>
          <w:pgMar w:left="320" w:top="11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9" w:right="3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30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tcPr>
          <w:p>
            <w:pPr>
              <w:spacing w:after="0"/>
              <w:rPr>
                <w:sz w:val="13"/>
                <w:szCs w:val="13"/>
                <w:color w:val="auto"/>
              </w:rPr>
            </w:pPr>
          </w:p>
        </w:tc>
      </w:tr>
      <w:tr>
        <w:trPr>
          <w:trHeight w:val="188"/>
        </w:trPr>
        <w:tc>
          <w:tcPr>
            <w:tcW w:w="5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Pr>
          <w:p>
            <w:pPr>
              <w:spacing w:after="0"/>
              <w:rPr>
                <w:sz w:val="16"/>
                <w:szCs w:val="16"/>
                <w:color w:val="auto"/>
              </w:rPr>
            </w:pPr>
          </w:p>
        </w:tc>
      </w:tr>
      <w:tr>
        <w:trPr>
          <w:trHeight w:val="193"/>
        </w:trPr>
        <w:tc>
          <w:tcPr>
            <w:tcW w:w="5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5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5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Borders>
              <w:bottom w:val="single" w:sz="8" w:color="auto"/>
            </w:tcBorders>
          </w:tcPr>
          <w:p>
            <w:pPr>
              <w:spacing w:after="0"/>
              <w:rPr>
                <w:sz w:val="16"/>
                <w:szCs w:val="16"/>
                <w:color w:val="auto"/>
              </w:rPr>
            </w:pPr>
          </w:p>
        </w:tc>
      </w:tr>
      <w:tr>
        <w:trPr>
          <w:trHeight w:val="188"/>
        </w:trPr>
        <w:tc>
          <w:tcPr>
            <w:tcW w:w="5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86,328</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on securities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Taxable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10,374</w:t>
            </w:r>
          </w:p>
        </w:tc>
      </w:tr>
      <w:tr>
        <w:trPr>
          <w:trHeight w:val="195"/>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Tax-exempt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9"/>
        </w:trPr>
        <w:tc>
          <w:tcPr>
            <w:tcW w:w="55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Total Interest Income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44,925</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118,030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101,856</w:t>
            </w:r>
          </w:p>
        </w:tc>
      </w:tr>
      <w:tr>
        <w:trPr>
          <w:trHeight w:val="18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r>
      <w:tr>
        <w:trPr>
          <w:trHeight w:val="190"/>
        </w:trPr>
        <w:tc>
          <w:tcPr>
            <w:tcW w:w="55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Total Interest Expense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6,376</w:t>
            </w:r>
          </w:p>
        </w:tc>
      </w:tr>
      <w:tr>
        <w:trPr>
          <w:trHeight w:val="203"/>
        </w:trPr>
        <w:tc>
          <w:tcPr>
            <w:tcW w:w="5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Net Interest Income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95,480</w:t>
            </w:r>
          </w:p>
        </w:tc>
      </w:tr>
      <w:tr>
        <w:trPr>
          <w:trHeight w:val="19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r>
      <w:tr>
        <w:trPr>
          <w:trHeight w:val="203"/>
        </w:trPr>
        <w:tc>
          <w:tcPr>
            <w:tcW w:w="5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36,752</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98,038</w:t>
            </w:r>
          </w:p>
        </w:tc>
      </w:tr>
      <w:tr>
        <w:trPr>
          <w:trHeight w:val="17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Interchange income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10,739</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Mortgage loans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30,280</w:t>
            </w:r>
          </w:p>
        </w:tc>
      </w:tr>
      <w:tr>
        <w:trPr>
          <w:trHeight w:val="21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w:t>
            </w:r>
          </w:p>
        </w:tc>
      </w:tr>
      <w:tr>
        <w:trPr>
          <w:trHeight w:val="190"/>
        </w:trPr>
        <w:tc>
          <w:tcPr>
            <w:tcW w:w="55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Total Non-interest Income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16,861</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60,872</w:t>
            </w:r>
          </w:p>
        </w:tc>
      </w:tr>
      <w:tr>
        <w:trPr>
          <w:trHeight w:val="18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60,064</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Data processing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7,972</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Occupancy,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Interchange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 and collection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r>
      <w:tr>
        <w:trPr>
          <w:trHeight w:val="19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FDIC deposit insurance</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21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Legal and professional</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r>
      <w:tr>
        <w:trPr>
          <w:trHeight w:val="206"/>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related to unfunded lending commitments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3"/>
        </w:trPr>
        <w:tc>
          <w:tcPr>
            <w:tcW w:w="5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related expenses</w:t>
            </w:r>
          </w:p>
        </w:tc>
        <w:tc>
          <w:tcPr>
            <w:tcW w:w="8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96"/>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5,463</w:t>
            </w:r>
          </w:p>
        </w:tc>
      </w:tr>
      <w:tr>
        <w:trPr>
          <w:trHeight w:val="203"/>
        </w:trPr>
        <w:tc>
          <w:tcPr>
            <w:tcW w:w="5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32,366</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97,069</w:t>
            </w:r>
          </w:p>
        </w:tc>
      </w:tr>
      <w:tr>
        <w:trPr>
          <w:trHeight w:val="189"/>
        </w:trPr>
        <w:tc>
          <w:tcPr>
            <w:tcW w:w="5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Income Before Income Tax</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59,199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61,841</w:t>
            </w: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w:t>
            </w:r>
          </w:p>
        </w:tc>
      </w:tr>
      <w:tr>
        <w:trPr>
          <w:trHeight w:val="203"/>
        </w:trPr>
        <w:tc>
          <w:tcPr>
            <w:tcW w:w="5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17,297</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48,265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50,387</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3"/>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w:t>
      </w:r>
    </w:p>
    <w:p>
      <w:pPr>
        <w:spacing w:after="0" w:line="234"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880" w:type="dxa"/>
            <w:vAlign w:val="bottom"/>
          </w:tcPr>
          <w:p>
            <w:pPr>
              <w:spacing w:after="0"/>
              <w:rPr>
                <w:sz w:val="20"/>
                <w:szCs w:val="20"/>
                <w:color w:val="auto"/>
              </w:rPr>
            </w:pPr>
          </w:p>
        </w:tc>
        <w:tc>
          <w:tcPr>
            <w:tcW w:w="19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September 30,</w:t>
            </w:r>
          </w:p>
        </w:tc>
        <w:tc>
          <w:tcPr>
            <w:tcW w:w="19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September 30,</w:t>
            </w:r>
          </w:p>
        </w:tc>
        <w:tc>
          <w:tcPr>
            <w:tcW w:w="880" w:type="dxa"/>
            <w:vAlign w:val="bottom"/>
          </w:tcPr>
          <w:p>
            <w:pPr>
              <w:spacing w:after="0"/>
              <w:rPr>
                <w:sz w:val="20"/>
                <w:szCs w:val="20"/>
                <w:color w:val="auto"/>
              </w:rPr>
            </w:pPr>
          </w:p>
        </w:tc>
      </w:tr>
      <w:tr>
        <w:trPr>
          <w:trHeight w:val="256"/>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9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8"/>
        </w:trPr>
        <w:tc>
          <w:tcPr>
            <w:tcW w:w="880" w:type="dxa"/>
            <w:vAlign w:val="bottom"/>
          </w:tcPr>
          <w:p>
            <w:pPr>
              <w:spacing w:after="0"/>
              <w:rPr>
                <w:sz w:val="19"/>
                <w:szCs w:val="19"/>
                <w:color w:val="auto"/>
              </w:rPr>
            </w:pPr>
          </w:p>
        </w:tc>
        <w:tc>
          <w:tcPr>
            <w:tcW w:w="39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(Unaudited - In thousands)</w:t>
            </w:r>
          </w:p>
        </w:tc>
        <w:tc>
          <w:tcPr>
            <w:tcW w:w="8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60" w:lineRule="exact"/>
        <w:rPr>
          <w:sz w:val="20"/>
          <w:szCs w:val="20"/>
          <w:color w:val="auto"/>
        </w:rPr>
      </w:pPr>
    </w:p>
    <w:p>
      <w:pPr>
        <w:ind w:left="20"/>
        <w:spacing w:after="0"/>
        <w:tabs>
          <w:tab w:leader="none" w:pos="55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Unrealized losses arising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unrealized loss at time of transfer on securities available for sale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transferred to held to maturity</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earnings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Unrealized losses recognized in other comprehensive loss on securities</w:t>
      </w:r>
    </w:p>
    <w:p>
      <w:pPr>
        <w:ind w:left="4180"/>
        <w:spacing w:after="0"/>
        <w:rPr>
          <w:sz w:val="20"/>
          <w:szCs w:val="20"/>
          <w:color w:val="auto"/>
        </w:rPr>
      </w:pPr>
      <w:r>
        <w:rPr>
          <w:rFonts w:ascii="Times New Roman" w:cs="Times New Roman" w:eastAsia="Times New Roman" w:hAnsi="Times New Roman"/>
          <w:sz w:val="18"/>
          <w:szCs w:val="18"/>
          <w:color w:val="auto"/>
        </w:rPr>
        <w:t>available for sale</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17,297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w:t>
            </w:r>
          </w:p>
        </w:tc>
      </w:tr>
      <w:tr>
        <w:trPr>
          <w:trHeight w:val="688"/>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(16,320)</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486"/>
        </w:trPr>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1,079</w:t>
            </w:r>
          </w:p>
        </w:tc>
        <w:tc>
          <w:tcPr>
            <w:tcW w:w="4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39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(15,241)</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3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(3,199)</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-410845</wp:posOffset>
            </wp:positionV>
            <wp:extent cx="857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40" w:space="600"/>
            <w:col w:w="500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52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Unrealized losses recognized in other comprehensive loss on securities</w:t>
            </w: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43"/>
        </w:trPr>
        <w:tc>
          <w:tcPr>
            <w:tcW w:w="59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available for sale,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(1,318)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(2,926)</w:t>
            </w:r>
          </w:p>
        </w:tc>
      </w:tr>
      <w:tr>
        <w:trPr>
          <w:trHeight w:val="223"/>
        </w:trPr>
        <w:tc>
          <w:tcPr>
            <w:tcW w:w="55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(1,318)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(2,926)</w:t>
            </w:r>
          </w:p>
        </w:tc>
      </w:tr>
      <w:tr>
        <w:trPr>
          <w:trHeight w:val="223"/>
        </w:trPr>
        <w:tc>
          <w:tcPr>
            <w:tcW w:w="5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47,461</w:t>
            </w: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306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spacing w:after="0"/>
              <w:rPr>
                <w:sz w:val="16"/>
                <w:szCs w:val="16"/>
                <w:color w:val="auto"/>
              </w:rPr>
            </w:pPr>
          </w:p>
        </w:tc>
        <w:tc>
          <w:tcPr>
            <w:tcW w:w="24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(Unaudited - In thousands)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50,387</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432,185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986,440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(381,421)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(952,038)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costs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losses on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accrued expenses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47,103</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95,368</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55,912</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137,605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(648,113)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(521,282)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(142,164)</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(382,361)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(395,609)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209,938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374,713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248,152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346,613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118,705</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of securities available for sale to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391,618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securities available for sale not yet settled</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28,078</w:t>
            </w: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Shareholders’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Comprehensive</w:t>
            </w:r>
          </w:p>
        </w:tc>
        <w:tc>
          <w:tcPr>
            <w:tcW w:w="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Income (Loss)</w:t>
            </w:r>
          </w:p>
        </w:tc>
        <w:tc>
          <w:tcPr>
            <w:tcW w:w="220" w:type="dxa"/>
            <w:vAlign w:val="bottom"/>
          </w:tcPr>
          <w:p>
            <w:pPr>
              <w:spacing w:after="0"/>
              <w:rPr>
                <w:sz w:val="17"/>
                <w:szCs w:val="17"/>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2022</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331,134</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2022</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$0.22 per share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zero shares of common stock</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17,900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zero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1,666 shares of</w:t>
            </w: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2022</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2021</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395,974</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2021</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$0.21 per share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315,345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1,200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6,268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3,943 shares of</w:t>
            </w: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227"/>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2021</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398,484</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2022</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$0.66 per share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181,586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39,532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62,856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27,884 shares of</w:t>
            </w: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(97,546)</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2022</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389,522</w:t>
            </w:r>
          </w:p>
        </w:tc>
        <w:tc>
          <w:tcPr>
            <w:tcW w:w="0" w:type="dxa"/>
            <w:vAlign w:val="bottom"/>
          </w:tcPr>
          <w:p>
            <w:pPr>
              <w:spacing w:after="0"/>
              <w:rPr>
                <w:sz w:val="1"/>
                <w:szCs w:val="1"/>
                <w:color w:val="auto"/>
              </w:rPr>
            </w:pPr>
          </w:p>
        </w:tc>
      </w:tr>
      <w:tr>
        <w:trPr>
          <w:trHeight w:val="196"/>
        </w:trPr>
        <w:tc>
          <w:tcPr>
            <w:tcW w:w="4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Adoption of ASU 2016-13</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 as adjusted</w:t>
            </w: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379,219</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2021</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$0.63 per share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659,350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38,650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124,214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36,222 shares of</w:t>
            </w: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2021</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2021 included in our Annual Report on Form 10-K.</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contain all the adjustments necessary to present fairly our consolidated financial condition as of September 30, 2022 and December 31, 2021, and the results of operations for the three and nine-month periods ended September 30, 2022 and 2021. The results of operations for the three and nine-month periods ended September 30, 2022,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2021 Annual Report on Form 10-K for a disclosure of our accounting policies.</w:t>
      </w:r>
    </w:p>
    <w:p>
      <w:pPr>
        <w:spacing w:after="0" w:line="16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Standards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the FASB issued ASU 2022-01, “Derivative and Hedging (Topic 815): Fair Value Hedging – Portfolio Layer Method”. This ASU expands the current “last-of-layer” hedge method to allow multiple hedged layers of a single closed portfolio as well as to include non prepayable financial assets. This ASU also provides additional guidance on the accounting for and disclosure of certain hedge basis adjustments and specifies how hedge basis adjustments should be considered when determining credit losses for assets included in a closed portfolio. This ASU is required in reporting periods beginning after December 15, 2022, with early adoption permitted. We early adopted this ASU in the second quarter of 2022 with no material impact to our Condensed Consolidated Financial Statements.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formed a cross-functional project team to lead this transition from LIBOR to a planned adoption of reference rates which could include Secured Overnight Financing Rate (“SOFR”), amongst others. We utilized the timeline guidance published by the Alternative Reference Rates Committee to develop and achieve internal milestones during this transitional period. We have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2022. We expect to adopt the LIBOR transition relief allowed under this standard.</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We are currently assessing the impact of this ASU on our Condensed Consolidated Financial Statements.</w:t>
      </w:r>
    </w:p>
    <w:p>
      <w:pPr>
        <w:spacing w:after="0" w:line="14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available for sale (“AFS”)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Unrealized</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214,038</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294,629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307,985</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102,615</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149,959</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1,404,858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1,412,830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to maturity (“HTM”)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 (1)</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25,521</w:t>
            </w: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106,080</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152,564</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3"/>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403,669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for securities available for sale aggregated by investment type and length of time that individual securities have been at a continuous unrealized loss position follows:</w:t>
      </w:r>
    </w:p>
    <w:p>
      <w:pPr>
        <w:spacing w:after="0" w:line="175"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Less Than Twelve Months</w:t>
            </w:r>
          </w:p>
        </w:tc>
        <w:tc>
          <w:tcPr>
            <w:tcW w:w="2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Twelve Months or More</w:t>
            </w:r>
          </w:p>
        </w:tc>
        <w:tc>
          <w:tcPr>
            <w:tcW w:w="114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14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ind w:left="23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43"/>
        </w:trPr>
        <w:tc>
          <w:tcPr>
            <w:tcW w:w="1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Losses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6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0</wp:posOffset>
            </wp:positionV>
            <wp:extent cx="54432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19"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31"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8"/>
          <w:szCs w:val="18"/>
          <w:color w:val="auto"/>
        </w:rPr>
        <w:t>U.S. agency</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60" w:right="140" w:hanging="161"/>
        <w:spacing w:after="0" w:line="281" w:lineRule="auto"/>
        <w:rPr>
          <w:sz w:val="20"/>
          <w:szCs w:val="20"/>
          <w:color w:val="auto"/>
        </w:rPr>
      </w:pPr>
      <w:r>
        <w:rPr>
          <w:rFonts w:ascii="Times New Roman" w:cs="Times New Roman" w:eastAsia="Times New Roman" w:hAnsi="Times New Roman"/>
          <w:sz w:val="18"/>
          <w:szCs w:val="18"/>
          <w:color w:val="auto"/>
        </w:rPr>
        <w:t>U.S. agency residential mortgage-backed</w:t>
      </w:r>
    </w:p>
    <w:p>
      <w:pPr>
        <w:spacing w:after="0" w:line="1" w:lineRule="exact"/>
        <w:rPr>
          <w:sz w:val="20"/>
          <w:szCs w:val="20"/>
          <w:color w:val="auto"/>
        </w:rPr>
      </w:pPr>
    </w:p>
    <w:p>
      <w:pPr>
        <w:ind w:left="360" w:right="820" w:hanging="161"/>
        <w:spacing w:after="0" w:line="298"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400"/>
        <w:spacing w:after="0" w:line="313" w:lineRule="auto"/>
        <w:rPr>
          <w:sz w:val="20"/>
          <w:szCs w:val="20"/>
          <w:color w:val="auto"/>
        </w:rPr>
      </w:pPr>
      <w:r>
        <w:rPr>
          <w:rFonts w:ascii="Times New Roman" w:cs="Times New Roman" w:eastAsia="Times New Roman" w:hAnsi="Times New Roman"/>
          <w:sz w:val="18"/>
          <w:szCs w:val="18"/>
          <w:color w:val="auto"/>
        </w:rPr>
        <w:t>Private label mortgage-backed Other asset backed</w:t>
      </w:r>
    </w:p>
    <w:p>
      <w:pPr>
        <w:ind w:left="360" w:right="180" w:hanging="161"/>
        <w:spacing w:after="0" w:line="281"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Trust preferred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government</w:t>
      </w:r>
    </w:p>
    <w:p>
      <w:pPr>
        <w:spacing w:after="0" w:line="63" w:lineRule="exact"/>
        <w:rPr>
          <w:sz w:val="20"/>
          <w:szCs w:val="20"/>
          <w:color w:val="auto"/>
        </w:rPr>
      </w:pPr>
    </w:p>
    <w:p>
      <w:pPr>
        <w:jc w:val="both"/>
        <w:ind w:left="360"/>
        <w:spacing w:after="0"/>
        <w:tabs>
          <w:tab w:leader="none" w:pos="26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36"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8"/>
          <w:szCs w:val="18"/>
          <w:color w:val="auto"/>
        </w:rPr>
        <w:t>U.S. agency</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60" w:right="140" w:hanging="161"/>
        <w:spacing w:after="0" w:line="281" w:lineRule="auto"/>
        <w:rPr>
          <w:sz w:val="20"/>
          <w:szCs w:val="20"/>
          <w:color w:val="auto"/>
        </w:rPr>
      </w:pPr>
      <w:r>
        <w:rPr>
          <w:rFonts w:ascii="Times New Roman" w:cs="Times New Roman" w:eastAsia="Times New Roman" w:hAnsi="Times New Roman"/>
          <w:sz w:val="18"/>
          <w:szCs w:val="18"/>
          <w:color w:val="auto"/>
        </w:rPr>
        <w:t>U.S. agency residential mortgage-backed</w:t>
      </w:r>
    </w:p>
    <w:p>
      <w:pPr>
        <w:spacing w:after="0" w:line="1" w:lineRule="exact"/>
        <w:rPr>
          <w:sz w:val="20"/>
          <w:szCs w:val="20"/>
          <w:color w:val="auto"/>
        </w:rPr>
      </w:pPr>
    </w:p>
    <w:p>
      <w:pPr>
        <w:ind w:left="360" w:right="820" w:hanging="161"/>
        <w:spacing w:after="0" w:line="298"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400"/>
        <w:spacing w:after="0" w:line="313" w:lineRule="auto"/>
        <w:rPr>
          <w:sz w:val="20"/>
          <w:szCs w:val="20"/>
          <w:color w:val="auto"/>
        </w:rPr>
      </w:pPr>
      <w:r>
        <w:rPr>
          <w:rFonts w:ascii="Times New Roman" w:cs="Times New Roman" w:eastAsia="Times New Roman" w:hAnsi="Times New Roman"/>
          <w:sz w:val="18"/>
          <w:szCs w:val="18"/>
          <w:color w:val="auto"/>
        </w:rPr>
        <w:t>Private label mortgage-backed Other asset backed</w:t>
      </w:r>
    </w:p>
    <w:p>
      <w:pPr>
        <w:ind w:left="360" w:right="180" w:hanging="161"/>
        <w:spacing w:after="0" w:line="281"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Trust preferred</w:t>
      </w:r>
    </w:p>
    <w:p>
      <w:pPr>
        <w:spacing w:after="0" w:line="63" w:lineRule="exact"/>
        <w:rPr>
          <w:sz w:val="20"/>
          <w:szCs w:val="20"/>
          <w:color w:val="auto"/>
        </w:rPr>
      </w:pPr>
    </w:p>
    <w:p>
      <w:pPr>
        <w:jc w:val="both"/>
        <w:ind w:left="360"/>
        <w:spacing w:after="0"/>
        <w:tabs>
          <w:tab w:leader="none" w:pos="26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9,216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50,456</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6,328</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65,716</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203,307</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148,049</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35,467</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499</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519,038</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276,062</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795,100</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91,731</w:t>
            </w:r>
          </w:p>
        </w:tc>
      </w:tr>
      <w:tr>
        <w:trPr>
          <w:trHeight w:val="21"/>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3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11,986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171,398</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19,900</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64,408</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86,581</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178,484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75,166</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607,923</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641,453</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-4413885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-3933825</wp:posOffset>
            </wp:positionV>
            <wp:extent cx="71323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-3453765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-2973705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-2630805</wp:posOffset>
            </wp:positionV>
            <wp:extent cx="7132320" cy="263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580"/>
            <w:col w:w="7880"/>
          </w:cols>
          <w:pgMar w:left="320" w:top="119" w:right="339" w:bottom="1440" w:gutter="0" w:footer="0" w:header="0"/>
          <w:type w:val="continuous"/>
        </w:sectPr>
      </w:pP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2022. Accrued interest receivable on securities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AFS totaled $4.1 million and $6.0 million at September 30, 2022 and December 31, 2021, respectively, and is excluded from the estimate of credit losses and is included in accrued income and other assets in the Condensed Consolidated Statements of Financial Condition.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mortgage-backed securities — at September 30, 2022, we had 29 U.S. agency, 188 U.S. agency residential mortgage-backed and 16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Private label mortgage backed, other asset backed, corporate and foreign securities — at September 30, 2022, we had 93 private label mortgage backed, 138 other asset backed, 84 corporate and one foreign securities whose fair value is less than amortized cost. The unrealized losses are primarily due to credit spread widening and/or an increase in interest rates since acquisition.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of states and political subdivisions — at September 30, 2022, we had 351 municipal securities whose fair value is less than amortized cost. The unrealized losses are primarily due to an increase in interest rates since acquisition.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Trust preferred securities — at September 30, 2022,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management does not intend to liquidate any of the securities discussed above and it is more likely than not that we will not be required to sell these securities prior to recovery of these unrealized losses.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no credit related charges in our Condensed Consolidated Statements of Operations related to securities AFS during the three and nine month periods ended September 30, 2022 and 2021, respectively.</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totaled $2.1 million at September 30, 2022,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Furthermore, as of September 30, 2022, there were no past due principal and interest payments associated with these securities. An allowance for credit losses of $168,000 was recorded on non U.S. agency securities HTM based on applying the long-term historical credit loss rate, as published by Moody’s, for similarly rated securities.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aggregated by credit quality follow: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Private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Label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Mortgage-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Backed</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40,870</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credit losses by security HTM type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Private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Label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Mortgage-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2"/>
                <w:szCs w:val="22"/>
                <w:color w:val="auto"/>
              </w:rPr>
            </w:pPr>
          </w:p>
        </w:tc>
        <w:tc>
          <w:tcPr>
            <w:tcW w:w="11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Backed</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2022</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tcPr>
          <w:p>
            <w:pPr>
              <w:spacing w:after="0"/>
              <w:rPr>
                <w:sz w:val="23"/>
                <w:szCs w:val="2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tcPr>
          <w:p>
            <w:pPr>
              <w:spacing w:after="0"/>
              <w:rPr>
                <w:sz w:val="23"/>
                <w:szCs w:val="2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September 30, 2022, by contractual maturity, follow: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60" w:type="dxa"/>
            <w:vAlign w:val="bottom"/>
            <w:tcBorders>
              <w:bottom w:val="single" w:sz="8" w:color="auto"/>
            </w:tcBorders>
          </w:tcPr>
          <w:p>
            <w:pPr>
              <w:spacing w:after="0"/>
              <w:rPr>
                <w:sz w:val="20"/>
                <w:szCs w:val="20"/>
                <w:color w:val="auto"/>
              </w:rPr>
            </w:pPr>
          </w:p>
        </w:tc>
      </w:tr>
      <w:tr>
        <w:trPr>
          <w:trHeight w:val="169"/>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520" w:type="dxa"/>
            <w:vAlign w:val="bottom"/>
          </w:tcPr>
          <w:p>
            <w:pPr>
              <w:spacing w:after="0"/>
              <w:rPr>
                <w:sz w:val="14"/>
                <w:szCs w:val="14"/>
                <w:color w:val="auto"/>
              </w:rPr>
            </w:pPr>
          </w:p>
        </w:tc>
        <w:tc>
          <w:tcPr>
            <w:tcW w:w="960" w:type="dxa"/>
            <w:vAlign w:val="bottom"/>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8"/>
              </w:rPr>
              <w:t>Amortized</w:t>
            </w:r>
          </w:p>
        </w:tc>
        <w:tc>
          <w:tcPr>
            <w:tcW w:w="520" w:type="dxa"/>
            <w:vAlign w:val="bottom"/>
          </w:tcPr>
          <w:p>
            <w:pPr>
              <w:spacing w:after="0"/>
              <w:rPr>
                <w:sz w:val="14"/>
                <w:szCs w:val="14"/>
                <w:color w:val="auto"/>
              </w:rPr>
            </w:pPr>
          </w:p>
        </w:tc>
        <w:tc>
          <w:tcPr>
            <w:tcW w:w="9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Cost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7"/>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75,991</w:t>
            </w: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223,736</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106,080</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895,703</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403,669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341,129</w:t>
            </w:r>
          </w:p>
        </w:tc>
      </w:tr>
      <w:tr>
        <w:trPr>
          <w:trHeight w:val="21"/>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realized on the sale of securities AFS are determined using the specific identification method and are recognized on a trade-date basis. A summary of proceeds from the sale of securities AFS and gains and losses for the nine month periods ending September 30,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Realized</w:t>
            </w:r>
          </w:p>
        </w:tc>
        <w:tc>
          <w:tcPr>
            <w:tcW w:w="110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Gains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Losses</w:t>
            </w: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00" w:type="dxa"/>
            <w:vAlign w:val="bottom"/>
            <w:shd w:val="clear" w:color="auto" w:fill="CCEEFF"/>
          </w:tcPr>
          <w:p>
            <w:pPr>
              <w:jc w:val="right"/>
              <w:ind w:right="613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70,523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6600" w:type="dxa"/>
            <w:vAlign w:val="bottom"/>
          </w:tcPr>
          <w:p>
            <w:pPr>
              <w:jc w:val="right"/>
              <w:ind w:right="613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81,683</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4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TDR;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troubled debt restructuring (“TDR”) status and balance size. Commercial classes are additionally segmented by risk rating, and mortgage and installment loan classes by credit score tier, which are updated at least semi-annually.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our CECL Forecast Committee and as calculated through the Bank’s Asset and Liability Management program.</w:t>
      </w:r>
    </w:p>
    <w:p>
      <w:pPr>
        <w:sectPr>
          <w:pgSz w:w="11900" w:h="16838" w:orient="portrait"/>
          <w:cols w:equalWidth="0" w:num="1">
            <w:col w:w="11240"/>
          </w:cols>
          <w:pgMar w:left="320" w:top="119" w:right="339" w:bottom="63"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credit losses by portfolio segment for the three months ended September 30,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Subjective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Allocation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credit losses by portfolio segment for the nine months ended September 30,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Subjective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Allocation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3,749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1,203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1,228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(1,853)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4,327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1,112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360" w:right="1080"/>
        <w:spacing w:after="0" w:line="313" w:lineRule="auto"/>
        <w:rPr>
          <w:sz w:val="20"/>
          <w:szCs w:val="20"/>
          <w:color w:val="auto"/>
        </w:rPr>
      </w:pPr>
      <w:r>
        <w:rPr>
          <w:rFonts w:ascii="Times New Roman" w:cs="Times New Roman" w:eastAsia="Times New Roman" w:hAnsi="Times New Roman"/>
          <w:sz w:val="18"/>
          <w:szCs w:val="18"/>
          <w:color w:val="auto"/>
        </w:rPr>
        <w:t>Impact of adoption of ASC 326 Provision for credit losses</w:t>
      </w:r>
    </w:p>
    <w:p>
      <w:pPr>
        <w:ind w:left="520" w:right="360" w:hanging="161"/>
        <w:spacing w:after="0" w:line="281" w:lineRule="auto"/>
        <w:rPr>
          <w:sz w:val="20"/>
          <w:szCs w:val="20"/>
          <w:color w:val="auto"/>
        </w:rPr>
      </w:pPr>
      <w:r>
        <w:rPr>
          <w:rFonts w:ascii="Times New Roman" w:cs="Times New Roman" w:eastAsia="Times New Roman" w:hAnsi="Times New Roman"/>
          <w:sz w:val="18"/>
          <w:szCs w:val="18"/>
          <w:color w:val="auto"/>
        </w:rPr>
        <w:t>Initial allowance on loans purchased with credit deterioration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p>
      <w:pPr>
        <w:spacing w:after="0" w:line="63" w:lineRule="exact"/>
        <w:rPr>
          <w:sz w:val="20"/>
          <w:szCs w:val="20"/>
          <w:color w:val="auto"/>
        </w:rPr>
      </w:pPr>
    </w:p>
    <w:p>
      <w:pPr>
        <w:ind w:left="180"/>
        <w:spacing w:after="0"/>
        <w:tabs>
          <w:tab w:leader="none" w:pos="3500" w:val="left"/>
        </w:tabs>
        <w:rPr>
          <w:sz w:val="20"/>
          <w:szCs w:val="20"/>
          <w:color w:val="auto"/>
        </w:rPr>
      </w:pPr>
      <w:r>
        <w:rPr>
          <w:rFonts w:ascii="Times New Roman" w:cs="Times New Roman" w:eastAsia="Times New Roman" w:hAnsi="Times New Roman"/>
          <w:sz w:val="18"/>
          <w:szCs w:val="18"/>
          <w:color w:val="auto"/>
        </w:rPr>
        <w:t>Balance at end of period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2,551</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70"/>
        </w:trPr>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(2,591)</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486"/>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9,876</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46,799</w:t>
            </w:r>
          </w:p>
        </w:tc>
      </w:tr>
      <w:tr>
        <w:trPr>
          <w:trHeight w:val="20"/>
        </w:trPr>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-839470</wp:posOffset>
            </wp:positionV>
            <wp:extent cx="71323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-359410</wp:posOffset>
            </wp:positionV>
            <wp:extent cx="713232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6820"/>
          </w:cols>
          <w:pgMar w:left="320" w:top="121"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Accrual</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Accrual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with no</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with an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Allowance</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90+ and</w:t>
            </w: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Total Non-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 Credit</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 Credit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Still</w:t>
            </w: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Performing</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Accrual</w:t>
            </w:r>
          </w:p>
        </w:tc>
        <w:tc>
          <w:tcPr>
            <w:tcW w:w="2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Accruing</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$0.031 million and $0.047 million of government guaranteed loans at September 30, 2022 and December 31, 2021, respectively.</w:t>
      </w:r>
    </w:p>
    <w:p>
      <w:pPr>
        <w:ind w:left="3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$1.460 million and $0.388 million of government guaranteed loans at September 30, 2022 and December 31, 2021, respectively.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follows:</w:t>
      </w:r>
    </w:p>
    <w:p>
      <w:pPr>
        <w:sectPr>
          <w:pgSz w:w="11900" w:h="16838" w:orient="portrait"/>
          <w:cols w:equalWidth="0" w:num="1">
            <w:col w:w="11240"/>
          </w:cols>
          <w:pgMar w:left="320" w:top="17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w w:val="97"/>
              </w:rPr>
              <w:t>Collateral Type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Allowance</w:t>
            </w:r>
          </w:p>
        </w:tc>
        <w:tc>
          <w:tcPr>
            <w:tcW w:w="0" w:type="dxa"/>
            <w:vAlign w:val="bottom"/>
          </w:tcPr>
          <w:p>
            <w:pPr>
              <w:spacing w:after="0"/>
              <w:rPr>
                <w:sz w:val="1"/>
                <w:szCs w:val="1"/>
                <w:color w:val="auto"/>
              </w:rPr>
            </w:pPr>
          </w:p>
        </w:tc>
      </w:tr>
      <w:tr>
        <w:trPr>
          <w:trHeight w:val="45"/>
        </w:trPr>
        <w:tc>
          <w:tcPr>
            <w:tcW w:w="66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Real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Estate</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Credit Losses</w:t>
            </w:r>
          </w:p>
        </w:tc>
        <w:tc>
          <w:tcPr>
            <w:tcW w:w="0" w:type="dxa"/>
            <w:vAlign w:val="bottom"/>
          </w:tcPr>
          <w:p>
            <w:pPr>
              <w:spacing w:after="0"/>
              <w:rPr>
                <w:sz w:val="1"/>
                <w:szCs w:val="1"/>
                <w:color w:val="auto"/>
              </w:rPr>
            </w:pPr>
          </w:p>
        </w:tc>
      </w:tr>
      <w:tr>
        <w:trPr>
          <w:trHeight w:val="2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96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96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96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An aging analysis of loans by class follows: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Loans Past Due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Loans not</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Loans</w:t>
            </w:r>
          </w:p>
        </w:tc>
        <w:tc>
          <w:tcPr>
            <w:tcW w:w="0" w:type="dxa"/>
            <w:vAlign w:val="bottom"/>
          </w:tcPr>
          <w:p>
            <w:pPr>
              <w:spacing w:after="0"/>
              <w:rPr>
                <w:sz w:val="1"/>
                <w:szCs w:val="1"/>
                <w:color w:val="auto"/>
              </w:rPr>
            </w:pPr>
          </w:p>
        </w:tc>
      </w:tr>
      <w:tr>
        <w:trPr>
          <w:trHeight w:val="22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707,155</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701,075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714,012</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309,332</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186,428</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102,393</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258,853</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279,449</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108,447</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3,409,858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593,112</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541,023</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266,410</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194,852</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88,729</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228,140</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234,745</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98,920</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allocated $2.6 million and $3.6 million of reserves to customers whose loan terms have been modified as TDRs at September 30, 2022 and December 31, 2021,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TDRs follow:</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September 30, 2022</w:t>
            </w:r>
          </w:p>
        </w:tc>
        <w:tc>
          <w:tcPr>
            <w:tcW w:w="1160" w:type="dxa"/>
            <w:vAlign w:val="bottom"/>
            <w:tcBorders>
              <w:bottom w:val="single" w:sz="8" w:color="auto"/>
            </w:tcBorders>
          </w:tcPr>
          <w:p>
            <w:pPr>
              <w:spacing w:after="0"/>
              <w:rPr>
                <w:sz w:val="24"/>
                <w:szCs w:val="24"/>
                <w:color w:val="auto"/>
              </w:rPr>
            </w:pPr>
          </w:p>
        </w:tc>
      </w:tr>
      <w:tr>
        <w:trPr>
          <w:trHeight w:val="223"/>
        </w:trPr>
        <w:tc>
          <w:tcPr>
            <w:tcW w:w="6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Retail (1)</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28,071</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 (2)</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48"/>
        </w:trPr>
        <w:tc>
          <w:tcPr>
            <w:tcW w:w="6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2021</w:t>
            </w:r>
          </w:p>
        </w:tc>
        <w:tc>
          <w:tcPr>
            <w:tcW w:w="1160" w:type="dxa"/>
            <w:vAlign w:val="bottom"/>
            <w:tcBorders>
              <w:bottom w:val="single" w:sz="8" w:color="auto"/>
            </w:tcBorders>
          </w:tcPr>
          <w:p>
            <w:pPr>
              <w:spacing w:after="0"/>
              <w:rPr>
                <w:sz w:val="24"/>
                <w:szCs w:val="24"/>
                <w:color w:val="auto"/>
              </w:rPr>
            </w:pPr>
          </w:p>
        </w:tc>
      </w:tr>
      <w:tr>
        <w:trPr>
          <w:trHeight w:val="223"/>
        </w:trPr>
        <w:tc>
          <w:tcPr>
            <w:tcW w:w="6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Retail (1)</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 (2)</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6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terms of one loan was modified as a TDR. The modification of the terms of this loan included a reduction of the stated interest rate of the loan and a 34 month extension of the maturity date. The pre- and post-modification outstanding loan balances were both $0.3 million at September 30, 2022. This TDR increased the ACL by $0.03 million and resulted in zero charge-offs during the nine months ended September 30, 2022. There were no TDR modifications during the nine months ended September 30, 2021.</w:t>
      </w:r>
    </w:p>
    <w:p>
      <w:pPr>
        <w:sectPr>
          <w:pgSz w:w="11900" w:h="16838" w:orient="portrait"/>
          <w:cols w:equalWidth="0" w:num="1">
            <w:col w:w="11240"/>
          </w:cols>
          <w:pgMar w:left="320" w:top="202" w:right="339" w:bottom="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TDRs that subsequently defaulted within twelve months following the modification during the three and nine months periods ended September 30,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 is considered to be in payment default generally once it is 90 days contractually past due under the modified terms.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Paycheck Protection Program (“PPP”) due to COVID-19 - </w:t>
      </w:r>
      <w:r>
        <w:rPr>
          <w:rFonts w:ascii="Times New Roman" w:cs="Times New Roman" w:eastAsia="Times New Roman" w:hAnsi="Times New Roman"/>
          <w:sz w:val="18"/>
          <w:szCs w:val="18"/>
          <w:color w:val="auto"/>
        </w:rPr>
        <w:t>The 2020 CARES Act included a loan program administered through the U.S.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Administration (‘‘SBA’’) referred to as the PPP. Under the PPP, small businesses and other entities and individuals could apply for loans, subject to numerous limitations and eligibility criteria. We were a participating lender in the PPP. The PPP opened on April 3, 2020 providing American small businesses with cash-flow assistance through 100% federally guaranteed loans through the SBA. The PPP initially closed on August 8, 2020 (“Round 1”). In December, 2020, additional funding was allocated for the PPP (“Round 2”), whose loans were also eligible for forgiveness. Round 2 closed on May 31, 2021.</w:t>
      </w:r>
    </w:p>
    <w:p>
      <w:pPr>
        <w:spacing w:after="0" w:line="200" w:lineRule="exact"/>
        <w:rPr>
          <w:sz w:val="20"/>
          <w:szCs w:val="20"/>
          <w:color w:val="auto"/>
        </w:rPr>
      </w:pPr>
    </w:p>
    <w:p>
      <w:pPr>
        <w:spacing w:after="0" w:line="378" w:lineRule="exact"/>
        <w:rPr>
          <w:sz w:val="20"/>
          <w:szCs w:val="20"/>
          <w:color w:val="auto"/>
        </w:rPr>
      </w:pPr>
    </w:p>
    <w:p>
      <w:pPr>
        <w:jc w:val="both"/>
        <w:ind w:firstLine="8"/>
        <w:spacing w:after="0" w:line="255" w:lineRule="auto"/>
        <w:tabs>
          <w:tab w:leader="none" w:pos="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included in the commercial and industrial class of the commercial loan portfolio segment. As these loans are 100% guaranteed through the SBA the allowance for credit losses recorded on these loans is zero. PPP loans funded totaled zero and $135.5 million during the three and nine months ended September 30 2021, respectively. There were no PPP loans funded during 2022. There were no PPP loans and no unaccreted fees outstanding at September 30, 2022. At December 31, 2021 there were 186 PPP loans outstanding with a total principal balance of $26.4 million and $0.8 million of unaccreted net fees outstanding. Interest and fees on loans in our condensed consolidated statement of operations includes zero and $0.8 million during the three and nine month periods ended September 30, 2022, related to the accretion of net loan fees on PPP loans. Accretion of PPP net loan fees was $2.6 million and $6.5 million during the three and nine month periods ended September 30, 2021.</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12. A description of the general characteristics of the ratings follows: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 fundamentals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acceptable credit fundamentals.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Our doubtful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loan ratings by loan class for our commercial portfolio loan segment at September 30, 2022 and December 31, 2021:</w:t>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color w:val="auto"/>
              </w:rPr>
              <w:t>Commercial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Revolving</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18"/>
            <w:vMerge w:val="restart"/>
          </w:tcPr>
          <w:p>
            <w:pPr>
              <w:ind w:left="1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Loans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740" w:type="dxa"/>
            <w:vAlign w:val="bottom"/>
            <w:gridSpan w:val="18"/>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Amortized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Cost Basis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142,746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105,320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142,229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149,836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107,597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134,841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142,960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134,971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277,587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162,345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285,189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284,807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164,622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Revolving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18"/>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Loans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8"/>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Amortized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2017</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Cost Basis</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104,127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593,112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161,622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610,469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247,338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125,661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169,759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131,067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80,608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1,203,581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credit scores by loan class for our mortgage and installment loan portfolio segments at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ectPr>
          <w:pgSz w:w="11900" w:h="16838" w:orient="portrait"/>
          <w:cols w:equalWidth="0" w:num="1">
            <w:col w:w="11240"/>
          </w:cols>
          <w:pgMar w:left="320" w:top="1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jc w:val="center"/>
              <w:ind w:right="280"/>
              <w:spacing w:after="0" w:line="115"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2022</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73,625</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426,971</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139,273</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61,902</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309,908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114,984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87,799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714,012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38,090</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126,532</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73,878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41,459</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14,909</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0" w:type="dxa"/>
            <w:vAlign w:val="bottom"/>
          </w:tcPr>
          <w:p>
            <w:pPr>
              <w:spacing w:after="0"/>
              <w:rPr>
                <w:sz w:val="1"/>
                <w:szCs w:val="1"/>
                <w:color w:val="auto"/>
              </w:rPr>
            </w:pPr>
          </w:p>
        </w:tc>
      </w:tr>
      <w:tr>
        <w:trPr>
          <w:trHeight w:val="19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103,456</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27,391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186,428</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48,002</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27,756</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8"/>
          </w:tcPr>
          <w:p>
            <w:pPr>
              <w:jc w:val="center"/>
              <w:ind w:left="88"/>
              <w:spacing w:after="0"/>
              <w:rPr>
                <w:sz w:val="20"/>
                <w:szCs w:val="20"/>
                <w:color w:val="auto"/>
              </w:rPr>
            </w:pPr>
            <w:r>
              <w:rPr>
                <w:rFonts w:ascii="Times New Roman" w:cs="Times New Roman" w:eastAsia="Times New Roman" w:hAnsi="Times New Roman"/>
                <w:sz w:val="14"/>
                <w:szCs w:val="14"/>
                <w:color w:val="auto"/>
              </w:rPr>
              <w:t>Mortgage - continued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8"/>
            <w:vMerge w:val="restart"/>
          </w:tcPr>
          <w:p>
            <w:pPr>
              <w:ind w:left="1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Loans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8"/>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color w:val="auto"/>
              </w:rPr>
              <w:t>Amortized</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Prior</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Cost Basis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8"/>
          </w:tcPr>
          <w:p>
            <w:pPr>
              <w:jc w:val="center"/>
              <w:ind w:left="88"/>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2022 - continued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723,515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284,357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134,740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1,354,879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8"/>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Loans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8"/>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3"/>
            <w:vMerge w:val="restart"/>
          </w:tcPr>
          <w:p>
            <w:pPr>
              <w:jc w:val="center"/>
              <w:ind w:right="280"/>
              <w:spacing w:after="0" w:line="115" w:lineRule="exact"/>
              <w:rPr>
                <w:sz w:val="20"/>
                <w:szCs w:val="20"/>
                <w:color w:val="auto"/>
              </w:rPr>
            </w:pPr>
            <w:r>
              <w:rPr>
                <w:rFonts w:ascii="Times New Roman" w:cs="Times New Roman" w:eastAsia="Times New Roman" w:hAnsi="Times New Roman"/>
                <w:sz w:val="13"/>
                <w:szCs w:val="13"/>
                <w:color w:val="auto"/>
              </w:rPr>
              <w:t>Amortized</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2019</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8"/>
          </w:tcPr>
          <w:p>
            <w:pPr>
              <w:jc w:val="center"/>
              <w:ind w:left="108"/>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67,888</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281,955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255,101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159,738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58,281</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20,402</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541,023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34,423</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266,410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280"/>
              <w:spacing w:after="0" w:line="115" w:lineRule="exact"/>
              <w:rPr>
                <w:sz w:val="20"/>
                <w:szCs w:val="20"/>
                <w:color w:val="auto"/>
              </w:rPr>
            </w:pPr>
            <w:r>
              <w:rPr>
                <w:rFonts w:ascii="Times New Roman" w:cs="Times New Roman" w:eastAsia="Times New Roman" w:hAnsi="Times New Roman"/>
                <w:sz w:val="13"/>
                <w:szCs w:val="13"/>
                <w:color w:val="auto"/>
              </w:rPr>
              <w:t>Amortized</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30,832</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102,347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38,752</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82,835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34,655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194,852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48,645</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53,143</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6,907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147,475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546,207</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275,987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114,464</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1,139,659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ectPr>
          <w:pgSz w:w="11900" w:h="16838" w:orient="portrait"/>
          <w:cols w:equalWidth="0" w:num="1">
            <w:col w:w="11240"/>
          </w:cols>
          <w:pgMar w:left="320" w:top="15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Installment (1)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36,561</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57,453</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66,879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258,853</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158,035</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67,083</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279,449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30,183</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44,779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19,564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108,447</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2740" w:type="dxa"/>
            <w:vAlign w:val="bottom"/>
            <w:shd w:val="clear" w:color="auto" w:fill="CCEEFF"/>
          </w:tcPr>
          <w:p>
            <w:pPr>
              <w:jc w:val="center"/>
              <w:ind w:right="1328"/>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20,371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80,626</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348,228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150,556</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56,739</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r>
      <w:tr>
        <w:trPr>
          <w:trHeight w:val="228"/>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143,571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646,749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r>
      <w:tr>
        <w:trPr>
          <w:trHeight w:val="21"/>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57"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6"/>
          </w:tcPr>
          <w:p>
            <w:pPr>
              <w:jc w:val="center"/>
              <w:ind w:left="648"/>
              <w:spacing w:after="0"/>
              <w:rPr>
                <w:sz w:val="20"/>
                <w:szCs w:val="20"/>
                <w:color w:val="auto"/>
              </w:rPr>
            </w:pPr>
            <w:r>
              <w:rPr>
                <w:rFonts w:ascii="Times New Roman" w:cs="Times New Roman" w:eastAsia="Times New Roman" w:hAnsi="Times New Roman"/>
                <w:sz w:val="14"/>
                <w:szCs w:val="14"/>
                <w:color w:val="auto"/>
              </w:rPr>
              <w:t>Installment - continued (1)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31,621</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129,903</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51,696</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78,582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28,812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22,601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228,140</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3,594</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30,110</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130,762</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234,745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25,681</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49,118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98,920</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2740" w:type="dxa"/>
            <w:vAlign w:val="bottom"/>
            <w:shd w:val="clear" w:color="auto" w:fill="CCEEFF"/>
          </w:tcPr>
          <w:p>
            <w:pPr>
              <w:jc w:val="center"/>
              <w:ind w:right="1328"/>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8,722</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68,910</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297,844</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9,490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132,352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28"/>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561,805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Foreclosed residential real estate properties included in other real estate and repossessed assets on our Condensed Consolidated Statements of Financial Condition totaled $0.3 million and $0.2 million at September 30, 2022 and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2021, respectively. Retail mortgage loans secured by residential real estate properties for which formal foreclosure proceedings are in process according to local requirements totaled $0.6 million and $0.6 million at September 30, 2022 and December 31, 2021,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sold $56.2 million of portfolio residential fixed rate mortgage loans servicing retained to private investors and recognized a gain on sale of $0.25 million. These transactions were done primarily for asset/liability management purposes.</w:t>
      </w:r>
    </w:p>
    <w:p>
      <w:pPr>
        <w:spacing w:after="0" w:line="12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 and Earnings Per Common Share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17, 2021, our Board of Directors authorized a share repurchase plan (the “Repurchase Plan”) to buy back up to 1,100,000 shares of our outstanding common stock through December 31, 2022.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nine month periods ended September 30, 2022 and 2021 repurchases were made totaling 181,586 shares and 659,350 shares of common stock, respectively, for an aggregate purchase price of $4.0 million and $13.8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follows:</w:t>
      </w:r>
    </w:p>
    <w:p>
      <w:pPr>
        <w:sectPr>
          <w:pgSz w:w="11900" w:h="16838" w:orient="portrait"/>
          <w:cols w:equalWidth="0" w:num="1">
            <w:col w:w="11240"/>
          </w:cols>
          <w:pgMar w:left="320" w:top="157" w:right="33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25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5"/>
          </w:tcPr>
          <w:p>
            <w:pPr>
              <w:ind w:left="240"/>
              <w:spacing w:after="0" w:line="169" w:lineRule="exact"/>
              <w:rPr>
                <w:sz w:val="20"/>
                <w:szCs w:val="20"/>
                <w:color w:val="auto"/>
              </w:rPr>
            </w:pPr>
            <w:r>
              <w:rPr>
                <w:rFonts w:ascii="Times New Roman" w:cs="Times New Roman" w:eastAsia="Times New Roman" w:hAnsi="Times New Roman"/>
                <w:sz w:val="18"/>
                <w:szCs w:val="18"/>
                <w:color w:val="auto"/>
              </w:rPr>
              <w:t>(In thousands, except</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share data)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0" w:type="dxa"/>
            <w:vAlign w:val="bottom"/>
          </w:tcPr>
          <w:p>
            <w:pPr>
              <w:spacing w:after="0"/>
              <w:rPr>
                <w:sz w:val="1"/>
                <w:szCs w:val="1"/>
                <w:color w:val="auto"/>
              </w:rPr>
            </w:pPr>
          </w:p>
        </w:tc>
      </w:tr>
      <w:tr>
        <w:trPr>
          <w:trHeight w:val="176"/>
        </w:trPr>
        <w:tc>
          <w:tcPr>
            <w:tcW w:w="5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 units for deferred compensation plan for non-employee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stock options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56"/>
        </w:trPr>
        <w:tc>
          <w:tcPr>
            <w:tcW w:w="506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Weighted average shares outstanding for calculation of diluted</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Basic net income per common share includes weighted average common shares outstanding during the period and participating share awards.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the three and nine month periods ended September 30, 2022 and 2021, respectively.</w:t>
      </w:r>
    </w:p>
    <w:p>
      <w:pPr>
        <w:spacing w:after="0" w:line="13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 2022</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Notional</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155,386</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73,141</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258,686</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258,686</w:t>
            </w: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676,396</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Notional</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155,648</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129,846</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97,737</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741,743</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pay-fixed interest rate swaps to protect a portion of the fair value of certain securities AFS (‘‘Fair Value Hedge – AFS Securities’’). As a result, the change in the fair value of the pay-fixed interest rate swaps is expected to offset a portion of the change in the fair value of the fixed rate securities AFS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AFS)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tax-exempt in our Condensed Consolidated Statements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purchased swaption and pay-fixed interest rate swap agreements in an attempt to reduce the impact of price fluctuations of certain mortgage construction loans held for sale. The pay-fixed interest rate swap agreements are presented as “Interest rate swap agreements – mortgage” in the table above. The swaption agreement terminated during the first quarter of 2022. The changes in the fair value of the swaption and pay fixed interest rate swap agreements are recognized currently as part of net gains on mortgage loans in our Condensed Consolidated Statements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 hedge designation interest rate cap agreements in the table above had previously qualified for cash flow hedge accounting but were classified to a no hedge designation during 2020 and any changes in fair value since the transfers to the no hedge designation have been recognized in interest expense – other borrowings and subordinated debt and debentures in our Condensed Consolidated Statements of Operations. Also in 2020 it became probable that the forecasted transactions being hedged by these interest rate cap agreements would not occur by the end of the originally specified time period and all remaining unrealized losses included as a component of accumulated other comprehensive income (loss) were reclassified into earnings at that time. During the second quarter of 2022 we terminated $75.0 million of interest rate caps while $15.0 million matured.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Asset Derivatives</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Liability Derivatives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2100" w:type="dxa"/>
            <w:vAlign w:val="bottom"/>
            <w:gridSpan w:val="3"/>
          </w:tcPr>
          <w:p>
            <w:pPr>
              <w:jc w:val="right"/>
              <w:ind w:right="45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212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4"/>
                <w:szCs w:val="14"/>
                <w:color w:val="auto"/>
              </w:rPr>
            </w:pPr>
          </w:p>
        </w:tc>
        <w:tc>
          <w:tcPr>
            <w:tcW w:w="2120" w:type="dxa"/>
            <w:vAlign w:val="bottom"/>
            <w:gridSpan w:val="4"/>
          </w:tcPr>
          <w:p>
            <w:pPr>
              <w:ind w:left="54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2120" w:type="dxa"/>
            <w:vAlign w:val="bottom"/>
            <w:gridSpan w:val="4"/>
          </w:tcPr>
          <w:p>
            <w:pPr>
              <w:ind w:left="56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25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300" w:type="dxa"/>
            <w:vAlign w:val="bottom"/>
            <w:tcBorders>
              <w:top w:val="single" w:sz="8" w:color="auto"/>
            </w:tcBorders>
            <w:gridSpan w:val="2"/>
          </w:tcPr>
          <w:p>
            <w:pPr>
              <w:jc w:val="center"/>
              <w:ind w:right="23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1320" w:type="dxa"/>
            <w:vAlign w:val="bottom"/>
            <w:tcBorders>
              <w:top w:val="single" w:sz="8" w:color="auto"/>
            </w:tcBorders>
            <w:gridSpan w:val="2"/>
          </w:tcPr>
          <w:p>
            <w:pPr>
              <w:jc w:val="center"/>
              <w:ind w:right="25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ind w:left="7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center"/>
              <w:ind w:left="7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30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Location</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Location</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Location</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Location</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designated as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hedging instruments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agreements</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hedging instruments</w:t>
            </w: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Rate-lock mortgage loan</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Mandatory commitments to</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 mortgage loans</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2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agreements - mortgage</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Interest rate swaption</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agreements - commercial</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Pay-variable interest rate swap</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agreements - commercial</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2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1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Condensed Consolidated Statements of Operations follows:</w:t>
      </w:r>
    </w:p>
    <w:p>
      <w:pPr>
        <w:spacing w:after="0" w:line="2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Gain (Loss)</w:t>
      </w:r>
    </w:p>
    <w:p>
      <w:pPr>
        <w:jc w:val="center"/>
        <w:ind w:left="8160"/>
        <w:spacing w:after="0" w:line="203" w:lineRule="auto"/>
        <w:rPr>
          <w:sz w:val="20"/>
          <w:szCs w:val="20"/>
          <w:color w:val="auto"/>
        </w:rPr>
      </w:pPr>
      <w:r>
        <w:rPr>
          <w:rFonts w:ascii="Times New Roman" w:cs="Times New Roman" w:eastAsia="Times New Roman" w:hAnsi="Times New Roman"/>
          <w:sz w:val="18"/>
          <w:szCs w:val="18"/>
          <w:color w:val="auto"/>
        </w:rPr>
        <w:t>Recognized</w:t>
      </w:r>
    </w:p>
    <w:p>
      <w:pPr>
        <w:jc w:val="center"/>
        <w:ind w:left="8160"/>
        <w:spacing w:after="0"/>
        <w:rPr>
          <w:sz w:val="20"/>
          <w:szCs w:val="20"/>
          <w:color w:val="auto"/>
        </w:rPr>
      </w:pPr>
      <w:r>
        <w:rPr>
          <w:rFonts w:ascii="Times New Roman" w:cs="Times New Roman" w:eastAsia="Times New Roman" w:hAnsi="Times New Roman"/>
          <w:sz w:val="18"/>
          <w:szCs w:val="18"/>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w:t>
            </w:r>
          </w:p>
        </w:tc>
      </w:tr>
      <w:tr>
        <w:trPr>
          <w:trHeight w:val="175"/>
        </w:trPr>
        <w:tc>
          <w:tcPr>
            <w:tcW w:w="4020" w:type="dxa"/>
            <w:vAlign w:val="bottom"/>
          </w:tcPr>
          <w:p>
            <w:pPr>
              <w:spacing w:after="0"/>
              <w:rPr>
                <w:sz w:val="15"/>
                <w:szCs w:val="15"/>
                <w:color w:val="auto"/>
              </w:rPr>
            </w:pPr>
          </w:p>
        </w:tc>
        <w:tc>
          <w:tcPr>
            <w:tcW w:w="4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Gain (Loss)</w:t>
            </w:r>
          </w:p>
        </w:tc>
      </w:tr>
      <w:tr>
        <w:trPr>
          <w:trHeight w:val="184"/>
        </w:trPr>
        <w:tc>
          <w:tcPr>
            <w:tcW w:w="4020" w:type="dxa"/>
            <w:vAlign w:val="bottom"/>
          </w:tcPr>
          <w:p>
            <w:pPr>
              <w:spacing w:after="0"/>
              <w:rPr>
                <w:sz w:val="16"/>
                <w:szCs w:val="16"/>
                <w:color w:val="auto"/>
              </w:rPr>
            </w:pPr>
          </w:p>
        </w:tc>
        <w:tc>
          <w:tcPr>
            <w:tcW w:w="4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Recognized</w:t>
            </w:r>
          </w:p>
        </w:tc>
      </w:tr>
      <w:tr>
        <w:trPr>
          <w:trHeight w:val="234"/>
        </w:trPr>
        <w:tc>
          <w:tcPr>
            <w:tcW w:w="402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Income</w:t>
            </w:r>
          </w:p>
        </w:tc>
      </w:tr>
      <w:tr>
        <w:trPr>
          <w:trHeight w:val="21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4040" w:type="dxa"/>
            <w:vAlign w:val="bottom"/>
          </w:tcPr>
          <w:p>
            <w:pPr>
              <w:spacing w:after="0"/>
              <w:rPr>
                <w:sz w:val="18"/>
                <w:szCs w:val="18"/>
                <w:color w:val="auto"/>
              </w:rPr>
            </w:pP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r>
      <w:tr>
        <w:trPr>
          <w:trHeight w:val="180"/>
        </w:trPr>
        <w:tc>
          <w:tcPr>
            <w:tcW w:w="40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Pay-fixed interest rate swap agreement - securities</w:t>
            </w:r>
          </w:p>
        </w:tc>
        <w:tc>
          <w:tcPr>
            <w:tcW w:w="4040" w:type="dxa"/>
            <w:vAlign w:val="bottom"/>
          </w:tcPr>
          <w:p>
            <w:pPr>
              <w:spacing w:after="0"/>
              <w:rPr>
                <w:sz w:val="15"/>
                <w:szCs w:val="15"/>
                <w:color w:val="auto"/>
              </w:rPr>
            </w:pPr>
          </w:p>
        </w:tc>
      </w:tr>
      <w:tr>
        <w:trPr>
          <w:trHeight w:val="243"/>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securities available for sale - tax - exempt</w:t>
            </w:r>
          </w:p>
        </w:tc>
      </w:tr>
      <w:tr>
        <w:trPr>
          <w:trHeight w:val="265"/>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Pr>
          <w:p>
            <w:pPr>
              <w:spacing w:after="0"/>
              <w:rPr>
                <w:sz w:val="23"/>
                <w:szCs w:val="23"/>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4040" w:type="dxa"/>
            <w:vAlign w:val="bottom"/>
          </w:tcPr>
          <w:p>
            <w:pPr>
              <w:spacing w:after="0"/>
              <w:rPr>
                <w:sz w:val="19"/>
                <w:szCs w:val="19"/>
                <w:color w:val="auto"/>
              </w:rPr>
            </w:pP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180"/>
        </w:trPr>
        <w:tc>
          <w:tcPr>
            <w:tcW w:w="40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Pay-fixed interest rate swap agreements -</w:t>
            </w:r>
          </w:p>
        </w:tc>
        <w:tc>
          <w:tcPr>
            <w:tcW w:w="4040" w:type="dxa"/>
            <w:vAlign w:val="bottom"/>
          </w:tcPr>
          <w:p>
            <w:pPr>
              <w:spacing w:after="0"/>
              <w:rPr>
                <w:sz w:val="15"/>
                <w:szCs w:val="15"/>
                <w:color w:val="auto"/>
              </w:rPr>
            </w:pPr>
          </w:p>
        </w:tc>
      </w:tr>
      <w:tr>
        <w:trPr>
          <w:trHeight w:val="238"/>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180"/>
        </w:trPr>
        <w:tc>
          <w:tcPr>
            <w:tcW w:w="40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Pay-variable interest rate swap agreements -</w:t>
            </w:r>
          </w:p>
        </w:tc>
        <w:tc>
          <w:tcPr>
            <w:tcW w:w="4040" w:type="dxa"/>
            <w:vAlign w:val="bottom"/>
          </w:tcPr>
          <w:p>
            <w:pPr>
              <w:spacing w:after="0"/>
              <w:rPr>
                <w:sz w:val="15"/>
                <w:szCs w:val="15"/>
                <w:color w:val="auto"/>
              </w:rPr>
            </w:pPr>
          </w:p>
        </w:tc>
      </w:tr>
      <w:tr>
        <w:trPr>
          <w:trHeight w:val="238"/>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4"/>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7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-2185670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Three Month</w:t>
      </w:r>
    </w:p>
    <w:p>
      <w:pPr>
        <w:ind w:left="1000"/>
        <w:spacing w:after="0" w:line="203" w:lineRule="auto"/>
        <w:rPr>
          <w:sz w:val="20"/>
          <w:szCs w:val="20"/>
          <w:color w:val="auto"/>
        </w:rPr>
      </w:pPr>
      <w:r>
        <w:rPr>
          <w:rFonts w:ascii="Times New Roman" w:cs="Times New Roman" w:eastAsia="Times New Roman" w:hAnsi="Times New Roman"/>
          <w:sz w:val="18"/>
          <w:szCs w:val="18"/>
          <w:color w:val="auto"/>
        </w:rPr>
        <w:t>Periods Ended</w:t>
      </w:r>
    </w:p>
    <w:p>
      <w:pPr>
        <w:ind w:left="100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945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8"/>
                <w:szCs w:val="18"/>
                <w:color w:val="auto"/>
              </w:rPr>
            </w:pPr>
          </w:p>
        </w:tc>
      </w:tr>
      <w:tr>
        <w:trPr>
          <w:trHeight w:val="234"/>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8"/>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8"/>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414"/>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19"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w:t>
            </w:r>
          </w:p>
        </w:tc>
      </w:tr>
      <w:tr>
        <w:trPr>
          <w:trHeight w:val="180"/>
        </w:trPr>
        <w:tc>
          <w:tcPr>
            <w:tcW w:w="4020" w:type="dxa"/>
            <w:vAlign w:val="bottom"/>
          </w:tcPr>
          <w:p>
            <w:pPr>
              <w:spacing w:after="0"/>
              <w:rPr>
                <w:sz w:val="15"/>
                <w:szCs w:val="15"/>
                <w:color w:val="auto"/>
              </w:rPr>
            </w:pPr>
          </w:p>
        </w:tc>
        <w:tc>
          <w:tcPr>
            <w:tcW w:w="4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Gain (Loss)</w:t>
            </w:r>
          </w:p>
        </w:tc>
      </w:tr>
      <w:tr>
        <w:trPr>
          <w:trHeight w:val="176"/>
        </w:trPr>
        <w:tc>
          <w:tcPr>
            <w:tcW w:w="4020" w:type="dxa"/>
            <w:vAlign w:val="bottom"/>
          </w:tcPr>
          <w:p>
            <w:pPr>
              <w:spacing w:after="0"/>
              <w:rPr>
                <w:sz w:val="15"/>
                <w:szCs w:val="15"/>
                <w:color w:val="auto"/>
              </w:rPr>
            </w:pPr>
          </w:p>
        </w:tc>
        <w:tc>
          <w:tcPr>
            <w:tcW w:w="4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Recognized</w:t>
            </w:r>
          </w:p>
        </w:tc>
      </w:tr>
      <w:tr>
        <w:trPr>
          <w:trHeight w:val="229"/>
        </w:trPr>
        <w:tc>
          <w:tcPr>
            <w:tcW w:w="4020" w:type="dxa"/>
            <w:vAlign w:val="bottom"/>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Income</w:t>
            </w:r>
          </w:p>
        </w:tc>
      </w:tr>
      <w:tr>
        <w:trPr>
          <w:trHeight w:val="44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4040" w:type="dxa"/>
            <w:vAlign w:val="bottom"/>
          </w:tcPr>
          <w:p>
            <w:pPr>
              <w:spacing w:after="0"/>
              <w:rPr>
                <w:sz w:val="24"/>
                <w:szCs w:val="24"/>
                <w:color w:val="auto"/>
              </w:rPr>
            </w:pP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r>
      <w:tr>
        <w:trPr>
          <w:trHeight w:val="189"/>
        </w:trPr>
        <w:tc>
          <w:tcPr>
            <w:tcW w:w="4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Pay-fixed interest rate swap agreement - securities</w:t>
            </w:r>
          </w:p>
        </w:tc>
        <w:tc>
          <w:tcPr>
            <w:tcW w:w="4040" w:type="dxa"/>
            <w:vAlign w:val="bottom"/>
          </w:tcPr>
          <w:p>
            <w:pPr>
              <w:spacing w:after="0"/>
              <w:rPr>
                <w:sz w:val="16"/>
                <w:szCs w:val="16"/>
                <w:color w:val="auto"/>
              </w:rPr>
            </w:pPr>
          </w:p>
        </w:tc>
      </w:tr>
      <w:tr>
        <w:trPr>
          <w:trHeight w:val="234"/>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securities available for sale - tax - exempt</w:t>
            </w:r>
          </w:p>
        </w:tc>
      </w:tr>
      <w:tr>
        <w:trPr>
          <w:trHeight w:val="27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Pr>
          <w:p>
            <w:pPr>
              <w:spacing w:after="0"/>
              <w:rPr>
                <w:sz w:val="23"/>
                <w:szCs w:val="23"/>
                <w:color w:val="auto"/>
              </w:rPr>
            </w:pPr>
          </w:p>
        </w:tc>
      </w:tr>
      <w:tr>
        <w:trPr>
          <w:trHeight w:val="25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4040" w:type="dxa"/>
            <w:vAlign w:val="bottom"/>
          </w:tcPr>
          <w:p>
            <w:pPr>
              <w:spacing w:after="0"/>
              <w:rPr>
                <w:sz w:val="21"/>
                <w:szCs w:val="21"/>
                <w:color w:val="auto"/>
              </w:rPr>
            </w:pP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r>
      <w:tr>
        <w:trPr>
          <w:trHeight w:val="189"/>
        </w:trPr>
        <w:tc>
          <w:tcPr>
            <w:tcW w:w="4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Pay-fixed interest rate swap agreements -</w:t>
            </w:r>
          </w:p>
        </w:tc>
        <w:tc>
          <w:tcPr>
            <w:tcW w:w="4040" w:type="dxa"/>
            <w:vAlign w:val="bottom"/>
          </w:tcPr>
          <w:p>
            <w:pPr>
              <w:spacing w:after="0"/>
              <w:rPr>
                <w:sz w:val="16"/>
                <w:szCs w:val="16"/>
                <w:color w:val="auto"/>
              </w:rPr>
            </w:pPr>
          </w:p>
        </w:tc>
      </w:tr>
      <w:tr>
        <w:trPr>
          <w:trHeight w:val="23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189"/>
        </w:trPr>
        <w:tc>
          <w:tcPr>
            <w:tcW w:w="4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Pay-variable interest rate swap agreements -</w:t>
            </w:r>
          </w:p>
        </w:tc>
        <w:tc>
          <w:tcPr>
            <w:tcW w:w="4040" w:type="dxa"/>
            <w:vAlign w:val="bottom"/>
          </w:tcPr>
          <w:p>
            <w:pPr>
              <w:spacing w:after="0"/>
              <w:rPr>
                <w:sz w:val="16"/>
                <w:szCs w:val="16"/>
                <w:color w:val="auto"/>
              </w:rPr>
            </w:pPr>
          </w:p>
        </w:tc>
      </w:tr>
      <w:tr>
        <w:trPr>
          <w:trHeight w:val="23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229"/>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4"/>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7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-2614295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Gain (Loss)</w:t>
      </w:r>
    </w:p>
    <w:p>
      <w:pPr>
        <w:ind w:left="1100"/>
        <w:spacing w:after="0" w:line="205" w:lineRule="auto"/>
        <w:rPr>
          <w:sz w:val="20"/>
          <w:szCs w:val="20"/>
          <w:color w:val="auto"/>
        </w:rPr>
      </w:pPr>
      <w:r>
        <w:rPr>
          <w:rFonts w:ascii="Times New Roman" w:cs="Times New Roman" w:eastAsia="Times New Roman" w:hAnsi="Times New Roman"/>
          <w:sz w:val="18"/>
          <w:szCs w:val="18"/>
          <w:color w:val="auto"/>
        </w:rPr>
        <w:t>Recognized</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9456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Nine Month</w:t>
      </w:r>
    </w:p>
    <w:p>
      <w:pPr>
        <w:ind w:left="1000"/>
        <w:spacing w:after="0" w:line="205" w:lineRule="auto"/>
        <w:rPr>
          <w:sz w:val="20"/>
          <w:szCs w:val="20"/>
          <w:color w:val="auto"/>
        </w:rPr>
      </w:pPr>
      <w:r>
        <w:rPr>
          <w:rFonts w:ascii="Times New Roman" w:cs="Times New Roman" w:eastAsia="Times New Roman" w:hAnsi="Times New Roman"/>
          <w:sz w:val="18"/>
          <w:szCs w:val="18"/>
          <w:color w:val="auto"/>
        </w:rPr>
        <w:t>Periods Ended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945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3" w:lineRule="exact"/>
        <w:rPr>
          <w:sz w:val="20"/>
          <w:szCs w:val="20"/>
          <w:color w:val="auto"/>
        </w:rPr>
      </w:pPr>
    </w:p>
    <w:p>
      <w:pPr>
        <w:ind w:left="560"/>
        <w:spacing w:after="0"/>
        <w:tabs>
          <w:tab w:leader="none" w:pos="21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945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418"/>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8"/>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30"/>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9"/>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r>
      <w:tr>
        <w:trPr>
          <w:trHeight w:val="414"/>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r>
      <w:tr>
        <w:trPr>
          <w:trHeight w:val="229"/>
        </w:trPr>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19" w:right="339" w:bottom="1440" w:gutter="0" w:footer="0" w:header="0"/>
          <w:type w:val="continuous"/>
        </w:sectPr>
      </w:pPr>
    </w:p>
    <w:p>
      <w:pPr>
        <w:spacing w:after="0" w:line="5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of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4"/>
                <w:szCs w:val="14"/>
                <w:color w:val="auto"/>
              </w:rPr>
            </w:pPr>
          </w:p>
        </w:tc>
        <w:tc>
          <w:tcPr>
            <w:tcW w:w="12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Unamortized intangible assets - goodwill</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estimated core deposits intangible amortization at September 30, 2022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6"/>
        </w:trPr>
        <w:tc>
          <w:tcPr>
            <w:tcW w:w="9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70"/>
        </w:trPr>
        <w:tc>
          <w:tcPr>
            <w:tcW w:w="9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Based Compensation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September 30, 2022. The non-employee director stock purchase plan permits the issuance of additional share based payments for up to 0.1 million shares of common stock as of September 30, 2022. Share based awards and payments are measured at fair value at the date of grant and are expensed over the requisite service period. Common shares issued upon exercise of stock options come from currently authorized but unissued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performance stock units (“PSU”) granted pursuant to our long-term incentive plan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6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27"/>
        </w:trPr>
        <w:tc>
          <w:tcPr>
            <w:tcW w:w="5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0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w:t>
            </w: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0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PSU</w:t>
            </w: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19,748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23,981</w:t>
            </w:r>
          </w:p>
        </w:tc>
      </w:tr>
      <w:tr>
        <w:trPr>
          <w:trHeight w:val="20"/>
        </w:trPr>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nine month periods ended September 30, 2022 and 2021 we issued 0.013 million and 0.014 million shares, respectively and expensed their value during those same periods.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$0.4 million and $1.3 million during the three and nine month periods ended September 30, 2022, respectively, and was $0.4 million and $1.2 million during the same periods in 2021, respectively. The corresponding tax benefit relating to this expense was $0.1 million and $0.3 million for the three and nine month periods ended September 30, 2022, respectively and $0.1 million and $0.2 million for the same periods in 2021. Total expense recognized for non-employee director share based payments was $0.09 million and $0.28 million during the three and nine month periods ended September 30, 2022, respectively, and was $0.09 million and $0.28 million during the same periods in 2021, respectively. The corresponding tax benefit relating to this expense was $0.02 million and $0.06 million for the three and nine month periods ended September 30, 2022, respectively and $0.02 million and $0.06 million during the same periods in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2022, the total expected compensation cost related to non-vested restricted stock and PSUs not yet recognized was $2.8 million. The weighted-average period over which this amount will be recognized is 1.9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Number of</w:t>
            </w:r>
          </w:p>
        </w:tc>
        <w:tc>
          <w:tcPr>
            <w:tcW w:w="1080" w:type="dxa"/>
            <w:vAlign w:val="bottom"/>
          </w:tcPr>
          <w:p>
            <w:pPr>
              <w:jc w:val="center"/>
              <w:ind w:left="31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15"/>
                <w:szCs w:val="15"/>
                <w:color w:val="auto"/>
              </w:rPr>
            </w:pPr>
          </w:p>
        </w:tc>
        <w:tc>
          <w:tcPr>
            <w:tcW w:w="13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Aggregated</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8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Exercise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Price</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Term (Years)</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outstanding non-vested restricted stock and PSUs and related transactions follows: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Number</w:t>
            </w:r>
          </w:p>
        </w:tc>
        <w:tc>
          <w:tcPr>
            <w:tcW w:w="160" w:type="dxa"/>
            <w:vAlign w:val="bottom"/>
          </w:tcPr>
          <w:p>
            <w:pPr>
              <w:spacing w:after="0"/>
              <w:rPr>
                <w:sz w:val="15"/>
                <w:szCs w:val="15"/>
                <w:color w:val="auto"/>
              </w:rPr>
            </w:pPr>
          </w:p>
        </w:tc>
        <w:tc>
          <w:tcPr>
            <w:tcW w:w="13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of Shares</w:t>
            </w:r>
          </w:p>
        </w:tc>
        <w:tc>
          <w:tcPr>
            <w:tcW w:w="16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6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c>
          <w:tcPr>
            <w:tcW w:w="460" w:type="dxa"/>
            <w:vAlign w:val="bottom"/>
          </w:tcPr>
          <w:p>
            <w:pPr>
              <w:spacing w:after="0"/>
              <w:rPr>
                <w:sz w:val="18"/>
                <w:szCs w:val="18"/>
                <w:color w:val="auto"/>
              </w:rPr>
            </w:pPr>
          </w:p>
        </w:tc>
      </w:tr>
      <w:tr>
        <w:trPr>
          <w:trHeight w:val="239"/>
        </w:trPr>
        <w:tc>
          <w:tcPr>
            <w:tcW w:w="50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r>
      <w:tr>
        <w:trPr>
          <w:trHeight w:val="227"/>
        </w:trPr>
        <w:tc>
          <w:tcPr>
            <w:tcW w:w="50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proceeds received</w:t>
            </w:r>
          </w:p>
        </w:tc>
        <w:tc>
          <w:tcPr>
            <w:tcW w:w="960" w:type="dxa"/>
            <w:vAlign w:val="bottom"/>
            <w:tcBorders>
              <w:bottom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u w:val="single" w:color="auto"/>
          <w:color w:val="auto"/>
        </w:rPr>
        <w:t>Income Tax</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was $4.0 million and $3.7 million during the three month periods ended September 30, 2022 and 2021, respectively and $10.9 million and $11.5 million during the nine months ended September 30, 2022 and 2021,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2022 include reductions of $0.06 million and $0.14 million, respectively, of income tax expense related to the impact of the excess value of stock awards that vested and stock options that were exercised as compared to the initial fair values that were expensed. These amounts during the same periods in 2021 were $0.003 million and $0.168 million,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2022, September 30, 2021 and December 31, 2021 that the realization of substantially all of our deferred tax assets continues to be more likely than not.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September 30, 2022 and December 31, 2021, we had approximately $0.2 million, respectively, of gross unrecognized tax benefits. We do not expect the total amount of unrecognized tax benefits to significantly increase or decrease during the remainder of 2022.</w:t>
      </w:r>
    </w:p>
    <w:p>
      <w:pPr>
        <w:spacing w:after="0" w:line="121"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2022, the Bank had positive undivided profits of $127.0 million. It is not our intent to have dividends paid in amounts that would reduce the capital of our Bank to levels below those which we consider prudent or that would not be in accordance with guidelines of regulatory authorities.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2022 and December 31, 2021,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capital amounts and ratios follow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3"/>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Adequately Capitalized</w:t>
            </w:r>
          </w:p>
        </w:tc>
        <w:tc>
          <w:tcPr>
            <w:tcW w:w="220" w:type="dxa"/>
            <w:vAlign w:val="bottom"/>
          </w:tcPr>
          <w:p>
            <w:pPr>
              <w:spacing w:after="0"/>
              <w:rPr>
                <w:sz w:val="15"/>
                <w:szCs w:val="15"/>
                <w:color w:val="auto"/>
              </w:rPr>
            </w:pPr>
          </w:p>
        </w:tc>
        <w:tc>
          <w:tcPr>
            <w:tcW w:w="2620" w:type="dxa"/>
            <w:vAlign w:val="bottom"/>
            <w:gridSpan w:val="2"/>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9"/>
              </w:rPr>
              <w:t>Well-Capitalized</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Actual</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Institutions</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Institutions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7"/>
              </w:rPr>
              <w:t>Ratio</w:t>
            </w:r>
          </w:p>
        </w:tc>
        <w:tc>
          <w:tcPr>
            <w:tcW w:w="0" w:type="dxa"/>
            <w:vAlign w:val="bottom"/>
          </w:tcPr>
          <w:p>
            <w:pPr>
              <w:spacing w:after="0"/>
              <w:rPr>
                <w:sz w:val="1"/>
                <w:szCs w:val="1"/>
                <w:color w:val="auto"/>
              </w:rPr>
            </w:pPr>
          </w:p>
        </w:tc>
      </w:tr>
      <w:tr>
        <w:trPr>
          <w:trHeight w:val="228"/>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Total capital to risk-weighted</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524,440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309,062</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469,579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308,743</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385,929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Tier 1 capital to risk-weighted</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436,130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231,796</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421,318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231,558</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308,743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risk-weighted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397,711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173,847</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421,318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173,668</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250,854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436,130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198,874</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421,318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198,893</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248,616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capital to risk-weighted</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488,495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268,991</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438,352</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268,808</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336,011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Tier 1 capital to risk-weighted</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406,645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201,743</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396,351</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201,606</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268,808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risk-weighted 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368,277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151,307</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396,351</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151,205</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218,407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406,645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185,034</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396,351</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185,077</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231,347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ind w:right="2500" w:firstLine="26"/>
        <w:spacing w:after="0" w:line="407" w:lineRule="auto"/>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September 30, 2022 and December 31, 2021. NA - Not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24"/>
                <w:szCs w:val="24"/>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Independent Bank</w:t>
            </w:r>
          </w:p>
        </w:tc>
      </w:tr>
      <w:tr>
        <w:trPr>
          <w:trHeight w:val="169"/>
        </w:trPr>
        <w:tc>
          <w:tcPr>
            <w:tcW w:w="5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5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426,558</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50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 (loss) for regulatory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purposes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r>
      <w:tr>
        <w:trPr>
          <w:trHeight w:val="257"/>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CECL (1)</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23"/>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396,351</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Tier 1 capital</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436,130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421,318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396,351</w:t>
            </w:r>
          </w:p>
        </w:tc>
      </w:tr>
      <w:tr>
        <w:trPr>
          <w:trHeight w:val="25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0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5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42,001</w:t>
            </w:r>
          </w:p>
        </w:tc>
      </w:tr>
      <w:tr>
        <w:trPr>
          <w:trHeight w:val="248"/>
        </w:trPr>
        <w:tc>
          <w:tcPr>
            <w:tcW w:w="5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risk-based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80" w:hanging="554"/>
        <w:spacing w:after="0"/>
        <w:tabs>
          <w:tab w:leader="none" w:pos="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the three year CECL transition method for regulatory purposes.</w:t>
      </w:r>
    </w:p>
    <w:p>
      <w:pPr>
        <w:spacing w:after="0" w:line="29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w:t>
      </w:r>
    </w:p>
    <w:p>
      <w:pPr>
        <w:spacing w:after="0" w:line="3" w:lineRule="exact"/>
        <w:rPr>
          <w:sz w:val="20"/>
          <w:szCs w:val="20"/>
          <w:color w:val="auto"/>
        </w:rPr>
      </w:pPr>
    </w:p>
    <w:p>
      <w:pPr>
        <w:ind w:left="5540" w:right="3820" w:hanging="5532"/>
        <w:spacing w:after="0" w:line="949"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discounted cash flow analysis whose significant fair value inputs can generally be verified and do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 assets (recurring Level 2).</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Collateral dependent loans with specific loss allocations based on collateral value</w:t>
      </w:r>
      <w:r>
        <w:rPr>
          <w:rFonts w:ascii="Times New Roman" w:cs="Times New Roman" w:eastAsia="Times New Roman" w:hAnsi="Times New Roman"/>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real estate</w:t>
      </w:r>
      <w:r>
        <w:rPr>
          <w:rFonts w:ascii="Times New Roman" w:cs="Times New Roman" w:eastAsia="Times New Roman" w:hAnsi="Times New Roman"/>
          <w:sz w:val="18"/>
          <w:szCs w:val="18"/>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8"/>
          <w:szCs w:val="18"/>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highlight w:val="white"/>
        </w:rPr>
        <w:t>: The fair value of rate-lock mortgage loan commitments is based on agency cash window loan pricing for comparable assets and the fair value</w:t>
      </w:r>
      <w:r>
        <w:rPr>
          <w:rFonts w:ascii="Times New Roman" w:cs="Times New Roman" w:eastAsia="Times New Roman" w:hAnsi="Times New Roman"/>
          <w:sz w:val="18"/>
          <w:szCs w:val="18"/>
          <w:color w:val="auto"/>
        </w:rPr>
        <w:t xml:space="preserv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center"/>
              <w:ind w:left="290"/>
              <w:spacing w:after="0" w:line="169" w:lineRule="exact"/>
              <w:rPr>
                <w:sz w:val="20"/>
                <w:szCs w:val="20"/>
                <w:color w:val="auto"/>
              </w:rPr>
            </w:pPr>
            <w:r>
              <w:rPr>
                <w:rFonts w:ascii="Times New Roman" w:cs="Times New Roman" w:eastAsia="Times New Roman" w:hAnsi="Times New Roman"/>
                <w:sz w:val="18"/>
                <w:szCs w:val="18"/>
                <w:color w:val="auto"/>
              </w:rPr>
              <w:t>Quoted</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ind w:left="290"/>
              <w:spacing w:after="0" w:line="184" w:lineRule="exact"/>
              <w:rPr>
                <w:sz w:val="20"/>
                <w:szCs w:val="20"/>
                <w:color w:val="auto"/>
              </w:rPr>
            </w:pPr>
            <w:r>
              <w:rPr>
                <w:rFonts w:ascii="Times New Roman" w:cs="Times New Roman" w:eastAsia="Times New Roman" w:hAnsi="Times New Roman"/>
                <w:sz w:val="18"/>
                <w:szCs w:val="18"/>
                <w:color w:val="auto"/>
                <w:w w:val="99"/>
              </w:rPr>
              <w:t>in Active</w:t>
            </w: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81" w:lineRule="exact"/>
              <w:rPr>
                <w:sz w:val="20"/>
                <w:szCs w:val="20"/>
                <w:color w:val="auto"/>
              </w:rPr>
            </w:pPr>
            <w:r>
              <w:rPr>
                <w:rFonts w:ascii="Times New Roman" w:cs="Times New Roman" w:eastAsia="Times New Roman" w:hAnsi="Times New Roman"/>
                <w:sz w:val="18"/>
                <w:szCs w:val="18"/>
                <w:color w:val="auto"/>
                <w:w w:val="98"/>
              </w:rPr>
              <w:t>Markets</w:t>
            </w:r>
          </w:p>
        </w:tc>
        <w:tc>
          <w:tcPr>
            <w:tcW w:w="680" w:type="dxa"/>
            <w:vAlign w:val="bottom"/>
          </w:tcPr>
          <w:p>
            <w:pPr>
              <w:spacing w:after="0"/>
              <w:rPr>
                <w:sz w:val="15"/>
                <w:szCs w:val="15"/>
                <w:color w:val="auto"/>
              </w:rPr>
            </w:pPr>
          </w:p>
        </w:tc>
        <w:tc>
          <w:tcPr>
            <w:tcW w:w="12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Significant</w:t>
            </w:r>
          </w:p>
        </w:tc>
        <w:tc>
          <w:tcPr>
            <w:tcW w:w="420" w:type="dxa"/>
            <w:vAlign w:val="bottom"/>
          </w:tcPr>
          <w:p>
            <w:pPr>
              <w:spacing w:after="0"/>
              <w:rPr>
                <w:sz w:val="15"/>
                <w:szCs w:val="15"/>
                <w:color w:val="auto"/>
              </w:rPr>
            </w:pPr>
          </w:p>
        </w:tc>
        <w:tc>
          <w:tcPr>
            <w:tcW w:w="11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for</w:t>
            </w:r>
          </w:p>
        </w:tc>
        <w:tc>
          <w:tcPr>
            <w:tcW w:w="68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420" w:type="dxa"/>
            <w:vAlign w:val="bottom"/>
          </w:tcPr>
          <w:p>
            <w:pPr>
              <w:spacing w:after="0"/>
              <w:rPr>
                <w:sz w:val="15"/>
                <w:szCs w:val="15"/>
                <w:color w:val="auto"/>
              </w:rPr>
            </w:pPr>
          </w:p>
        </w:tc>
        <w:tc>
          <w:tcPr>
            <w:tcW w:w="11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color w:val="auto"/>
                <w:w w:val="99"/>
              </w:rPr>
              <w:t>Fair Value</w:t>
            </w:r>
          </w:p>
        </w:tc>
        <w:tc>
          <w:tcPr>
            <w:tcW w:w="112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w w:val="98"/>
              </w:rPr>
              <w:t>Identical</w:t>
            </w:r>
          </w:p>
        </w:tc>
        <w:tc>
          <w:tcPr>
            <w:tcW w:w="680" w:type="dxa"/>
            <w:vAlign w:val="bottom"/>
          </w:tcPr>
          <w:p>
            <w:pPr>
              <w:spacing w:after="0"/>
              <w:rPr>
                <w:sz w:val="16"/>
                <w:szCs w:val="16"/>
                <w:color w:val="auto"/>
              </w:rPr>
            </w:pPr>
          </w:p>
        </w:tc>
        <w:tc>
          <w:tcPr>
            <w:tcW w:w="12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420" w:type="dxa"/>
            <w:vAlign w:val="bottom"/>
          </w:tcPr>
          <w:p>
            <w:pPr>
              <w:spacing w:after="0"/>
              <w:rPr>
                <w:sz w:val="16"/>
                <w:szCs w:val="16"/>
                <w:color w:val="auto"/>
              </w:rPr>
            </w:pPr>
          </w:p>
        </w:tc>
        <w:tc>
          <w:tcPr>
            <w:tcW w:w="11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w w:val="99"/>
              </w:rPr>
              <w:t>Measure-</w:t>
            </w: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8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420" w:type="dxa"/>
            <w:vAlign w:val="bottom"/>
          </w:tcPr>
          <w:p>
            <w:pPr>
              <w:spacing w:after="0"/>
              <w:rPr>
                <w:sz w:val="15"/>
                <w:szCs w:val="15"/>
                <w:color w:val="auto"/>
              </w:rPr>
            </w:pPr>
          </w:p>
        </w:tc>
        <w:tc>
          <w:tcPr>
            <w:tcW w:w="11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ments</w:t>
            </w:r>
          </w:p>
        </w:tc>
        <w:tc>
          <w:tcPr>
            <w:tcW w:w="11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(Level 2)</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2"/>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12,461</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93,335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93,335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14,334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96,253</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96,253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214,038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214,038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294,629</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294,629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77,804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77,804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919</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Foreign government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9,091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43,158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(1)</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43,841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43,841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(2)</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24,932</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24,932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77" w:lineRule="exact"/>
              <w:rPr>
                <w:sz w:val="20"/>
                <w:szCs w:val="20"/>
                <w:color w:val="auto"/>
              </w:rPr>
            </w:pPr>
            <w:r>
              <w:rPr>
                <w:rFonts w:ascii="Times New Roman" w:cs="Times New Roman" w:eastAsia="Times New Roman" w:hAnsi="Times New Roman"/>
                <w:sz w:val="18"/>
                <w:szCs w:val="18"/>
                <w:color w:val="auto"/>
              </w:rPr>
              <w:t>Quoted</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70"/>
              <w:spacing w:after="0" w:line="181" w:lineRule="exact"/>
              <w:rPr>
                <w:sz w:val="20"/>
                <w:szCs w:val="20"/>
                <w:color w:val="auto"/>
              </w:rPr>
            </w:pPr>
            <w:r>
              <w:rPr>
                <w:rFonts w:ascii="Times New Roman" w:cs="Times New Roman" w:eastAsia="Times New Roman" w:hAnsi="Times New Roman"/>
                <w:sz w:val="18"/>
                <w:szCs w:val="18"/>
                <w:color w:val="auto"/>
                <w:w w:val="99"/>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9"/>
              </w:rPr>
              <w:t>in Active</w:t>
            </w:r>
          </w:p>
        </w:tc>
        <w:tc>
          <w:tcPr>
            <w:tcW w:w="680" w:type="dxa"/>
            <w:vAlign w:val="bottom"/>
          </w:tcPr>
          <w:p>
            <w:pPr>
              <w:spacing w:after="0"/>
              <w:rPr>
                <w:sz w:val="15"/>
                <w:szCs w:val="15"/>
                <w:color w:val="auto"/>
              </w:rPr>
            </w:pPr>
          </w:p>
        </w:tc>
        <w:tc>
          <w:tcPr>
            <w:tcW w:w="12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Significant</w:t>
            </w:r>
          </w:p>
        </w:tc>
        <w:tc>
          <w:tcPr>
            <w:tcW w:w="420" w:type="dxa"/>
            <w:vAlign w:val="bottom"/>
          </w:tcPr>
          <w:p>
            <w:pPr>
              <w:spacing w:after="0"/>
              <w:rPr>
                <w:sz w:val="15"/>
                <w:szCs w:val="15"/>
                <w:color w:val="auto"/>
              </w:rPr>
            </w:pPr>
          </w:p>
        </w:tc>
        <w:tc>
          <w:tcPr>
            <w:tcW w:w="11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ind w:left="290"/>
              <w:spacing w:after="0" w:line="184" w:lineRule="exact"/>
              <w:rPr>
                <w:sz w:val="20"/>
                <w:szCs w:val="20"/>
                <w:color w:val="auto"/>
              </w:rPr>
            </w:pPr>
            <w:r>
              <w:rPr>
                <w:rFonts w:ascii="Times New Roman" w:cs="Times New Roman" w:eastAsia="Times New Roman" w:hAnsi="Times New Roman"/>
                <w:sz w:val="18"/>
                <w:szCs w:val="18"/>
                <w:color w:val="auto"/>
                <w:w w:val="98"/>
              </w:rPr>
              <w:t>Markets</w:t>
            </w:r>
          </w:p>
        </w:tc>
        <w:tc>
          <w:tcPr>
            <w:tcW w:w="6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120" w:type="dxa"/>
            <w:vAlign w:val="bottom"/>
          </w:tcPr>
          <w:p>
            <w:pPr>
              <w:jc w:val="center"/>
              <w:ind w:left="290"/>
              <w:spacing w:after="0" w:line="181" w:lineRule="exact"/>
              <w:rPr>
                <w:sz w:val="20"/>
                <w:szCs w:val="20"/>
                <w:color w:val="auto"/>
              </w:rPr>
            </w:pPr>
            <w:r>
              <w:rPr>
                <w:rFonts w:ascii="Times New Roman" w:cs="Times New Roman" w:eastAsia="Times New Roman" w:hAnsi="Times New Roman"/>
                <w:sz w:val="18"/>
                <w:szCs w:val="18"/>
                <w:color w:val="auto"/>
              </w:rPr>
              <w:t>for</w:t>
            </w:r>
          </w:p>
        </w:tc>
        <w:tc>
          <w:tcPr>
            <w:tcW w:w="680" w:type="dxa"/>
            <w:vAlign w:val="bottom"/>
          </w:tcPr>
          <w:p>
            <w:pPr>
              <w:spacing w:after="0"/>
              <w:rPr>
                <w:sz w:val="15"/>
                <w:szCs w:val="15"/>
                <w:color w:val="auto"/>
              </w:rPr>
            </w:pPr>
          </w:p>
        </w:tc>
        <w:tc>
          <w:tcPr>
            <w:tcW w:w="12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420" w:type="dxa"/>
            <w:vAlign w:val="bottom"/>
          </w:tcPr>
          <w:p>
            <w:pPr>
              <w:spacing w:after="0"/>
              <w:rPr>
                <w:sz w:val="15"/>
                <w:szCs w:val="15"/>
                <w:color w:val="auto"/>
              </w:rPr>
            </w:pPr>
          </w:p>
        </w:tc>
        <w:tc>
          <w:tcPr>
            <w:tcW w:w="11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8"/>
              </w:rPr>
              <w:t>Identical</w:t>
            </w:r>
          </w:p>
        </w:tc>
        <w:tc>
          <w:tcPr>
            <w:tcW w:w="680" w:type="dxa"/>
            <w:vAlign w:val="bottom"/>
          </w:tcPr>
          <w:p>
            <w:pPr>
              <w:spacing w:after="0"/>
              <w:rPr>
                <w:sz w:val="15"/>
                <w:szCs w:val="15"/>
                <w:color w:val="auto"/>
              </w:rPr>
            </w:pPr>
          </w:p>
        </w:tc>
        <w:tc>
          <w:tcPr>
            <w:tcW w:w="12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420" w:type="dxa"/>
            <w:vAlign w:val="bottom"/>
          </w:tcPr>
          <w:p>
            <w:pPr>
              <w:spacing w:after="0"/>
              <w:rPr>
                <w:sz w:val="15"/>
                <w:szCs w:val="15"/>
                <w:color w:val="auto"/>
              </w:rPr>
            </w:pPr>
          </w:p>
        </w:tc>
        <w:tc>
          <w:tcPr>
            <w:tcW w:w="114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color w:val="auto"/>
                <w:w w:val="99"/>
              </w:rPr>
              <w:t>Measure-</w:t>
            </w:r>
          </w:p>
        </w:tc>
        <w:tc>
          <w:tcPr>
            <w:tcW w:w="112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680" w:type="dxa"/>
            <w:vAlign w:val="bottom"/>
          </w:tcPr>
          <w:p>
            <w:pPr>
              <w:spacing w:after="0"/>
              <w:rPr>
                <w:sz w:val="16"/>
                <w:szCs w:val="16"/>
                <w:color w:val="auto"/>
              </w:rPr>
            </w:pPr>
          </w:p>
        </w:tc>
        <w:tc>
          <w:tcPr>
            <w:tcW w:w="12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420" w:type="dxa"/>
            <w:vAlign w:val="bottom"/>
          </w:tcPr>
          <w:p>
            <w:pPr>
              <w:spacing w:after="0"/>
              <w:rPr>
                <w:sz w:val="16"/>
                <w:szCs w:val="16"/>
                <w:color w:val="auto"/>
              </w:rPr>
            </w:pPr>
          </w:p>
        </w:tc>
        <w:tc>
          <w:tcPr>
            <w:tcW w:w="114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ments</w:t>
            </w:r>
          </w:p>
        </w:tc>
        <w:tc>
          <w:tcPr>
            <w:tcW w:w="11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(Level 1)</w:t>
            </w: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(Level 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34,674</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307,985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307,985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22,926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102,615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102,615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216,170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216,170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576,076</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576,076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149,959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149,959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1,919</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Foreign government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55,470</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26,232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(1)</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12,283</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(2)</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values for financial assets which we have elected the fair value option for the periods presented were as follows:</w:t>
      </w:r>
    </w:p>
    <w:p>
      <w:pPr>
        <w:spacing w:after="0" w:line="2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Changes in Fair Values for the Nine-</w:t>
      </w:r>
    </w:p>
    <w:p>
      <w:pPr>
        <w:ind w:left="7480"/>
        <w:spacing w:after="0" w:line="203" w:lineRule="auto"/>
        <w:rPr>
          <w:sz w:val="20"/>
          <w:szCs w:val="20"/>
          <w:color w:val="auto"/>
        </w:rPr>
      </w:pPr>
      <w:r>
        <w:rPr>
          <w:rFonts w:ascii="Times New Roman" w:cs="Times New Roman" w:eastAsia="Times New Roman" w:hAnsi="Times New Roman"/>
          <w:sz w:val="18"/>
          <w:szCs w:val="18"/>
          <w:color w:val="auto"/>
        </w:rPr>
        <w:t>Month Periods Ended September 30 for</w:t>
      </w:r>
    </w:p>
    <w:p>
      <w:pPr>
        <w:ind w:left="7520"/>
        <w:spacing w:after="0" w:line="219" w:lineRule="auto"/>
        <w:rPr>
          <w:sz w:val="20"/>
          <w:szCs w:val="20"/>
          <w:color w:val="auto"/>
        </w:rPr>
      </w:pPr>
      <w:r>
        <w:rPr>
          <w:rFonts w:ascii="Times New Roman" w:cs="Times New Roman" w:eastAsia="Times New Roman" w:hAnsi="Times New Roman"/>
          <w:sz w:val="18"/>
          <w:szCs w:val="18"/>
          <w:color w:val="auto"/>
        </w:rPr>
        <w:t>items Measured at Fair Value Pursuant</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to Election of the Fair Value Option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in Fair</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 Gains</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5"/>
              </w:rPr>
              <w:t>Values</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vMerge w:val="restart"/>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Included</w:t>
            </w:r>
          </w:p>
        </w:tc>
        <w:tc>
          <w:tcPr>
            <w:tcW w:w="0" w:type="dxa"/>
            <w:vAlign w:val="bottom"/>
          </w:tcPr>
          <w:p>
            <w:pPr>
              <w:spacing w:after="0"/>
              <w:rPr>
                <w:sz w:val="1"/>
                <w:szCs w:val="1"/>
                <w:color w:val="auto"/>
              </w:rPr>
            </w:pPr>
          </w:p>
        </w:tc>
      </w:tr>
      <w:tr>
        <w:trPr>
          <w:trHeight w:val="68"/>
        </w:trPr>
        <w:tc>
          <w:tcPr>
            <w:tcW w:w="6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7"/>
              </w:rPr>
              <w:t>on Assets</w:t>
            </w:r>
          </w:p>
        </w:tc>
        <w:tc>
          <w:tcPr>
            <w:tcW w:w="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430"/>
              <w:spacing w:after="0" w:line="169" w:lineRule="exact"/>
              <w:rPr>
                <w:sz w:val="20"/>
                <w:szCs w:val="20"/>
                <w:color w:val="auto"/>
              </w:rPr>
            </w:pPr>
            <w:r>
              <w:rPr>
                <w:rFonts w:ascii="Times New Roman" w:cs="Times New Roman" w:eastAsia="Times New Roman" w:hAnsi="Times New Roman"/>
                <w:sz w:val="18"/>
                <w:szCs w:val="18"/>
                <w:color w:val="auto"/>
                <w:w w:val="99"/>
              </w:rPr>
              <w:t>Mortgage</w:t>
            </w:r>
          </w:p>
        </w:tc>
        <w:tc>
          <w:tcPr>
            <w:tcW w:w="12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7"/>
              </w:rPr>
              <w:t>in Current</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Mortgage</w:t>
            </w:r>
          </w:p>
        </w:tc>
        <w:tc>
          <w:tcPr>
            <w:tcW w:w="260" w:type="dxa"/>
            <w:vAlign w:val="bottom"/>
          </w:tcPr>
          <w:p>
            <w:pPr>
              <w:spacing w:after="0"/>
              <w:rPr>
                <w:sz w:val="14"/>
                <w:szCs w:val="14"/>
                <w:color w:val="auto"/>
              </w:rPr>
            </w:pPr>
          </w:p>
        </w:tc>
        <w:tc>
          <w:tcPr>
            <w:tcW w:w="1660" w:type="dxa"/>
            <w:vAlign w:val="bottom"/>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w w:val="97"/>
              </w:rPr>
              <w:t>Loan</w:t>
            </w:r>
          </w:p>
        </w:tc>
        <w:tc>
          <w:tcPr>
            <w:tcW w:w="12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Servicing, net</w:t>
            </w: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11,689</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11,689</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(1,333)</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three and nine month periods ended September 30, 2022 and 2021 relating to assets measured at fair value on a non-recurring basis:</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$1.4 million, which is net of a valuation allowance of $0.7 million at September 30, 2022, and had a carrying amount of $1.4 million, which is net of a valuation allowance of $0.6 million at December 31, 2021. The provision for credit losses included in our results of operations relating to collateral dependent loans was a net expense of $0.3 million and $0.2 million for the three month periods ending September 30, 2022 and 2021, respectively, and a net expense of $0.4 million and $0.2 million for the nine month periods ending September 30, 2022 and 2021, respectively.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real estate, which is measured using the fair value of the property, had a carrying amount of zero which is net of a valuation allowance of $0.03 million, at December 31, 2021. We did not have any other real estate measured using the fair value of property at September 30, 2022. Charges included in our results of operations relating to other real estate measured at fair value were all zero during the three and nine month periods ended September 30, 2022 and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for all assets measured at fair value on a recurring basis using significant unobservable inputs (Level 3)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w w:val="99"/>
              </w:rPr>
              <w:t>Capitalized Mortgage Loan Servicing Rights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440"/>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4"/>
                <w:szCs w:val="14"/>
                <w:color w:val="auto"/>
              </w:rPr>
            </w:pPr>
          </w:p>
        </w:tc>
        <w:tc>
          <w:tcPr>
            <w:tcW w:w="2720" w:type="dxa"/>
            <w:vAlign w:val="bottom"/>
            <w:gridSpan w:val="4"/>
          </w:tcPr>
          <w:p>
            <w:pPr>
              <w:jc w:val="right"/>
              <w:ind w:right="71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39,477</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gains (losses) realized and unrealized:</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of total gains (losses) for the period included in earnings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attributable to the change in unrealized gains (losses) relating to</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620" w:type="dxa"/>
            <w:vAlign w:val="bottom"/>
            <w:gridSpan w:val="2"/>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and liabilities still held at September 30</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w:t>
            </w:r>
          </w:p>
        </w:tc>
        <w:tc>
          <w:tcPr>
            <w:tcW w:w="17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Valuation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Unobservable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Fair</w:t>
            </w:r>
          </w:p>
        </w:tc>
        <w:tc>
          <w:tcPr>
            <w:tcW w:w="1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Technique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Inputs</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Range</w:t>
            </w:r>
          </w:p>
        </w:tc>
        <w:tc>
          <w:tcPr>
            <w:tcW w:w="2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2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Capitalized mortgage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revenue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15.39%</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 to $194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 to 31.31%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Capitalized mortgage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revenue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13.00%</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 to $281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 to 44.21%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904"/>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2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Valuation</w:t>
            </w:r>
          </w:p>
        </w:tc>
        <w:tc>
          <w:tcPr>
            <w:tcW w:w="2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Unobservable</w:t>
            </w:r>
          </w:p>
        </w:tc>
      </w:tr>
      <w:tr>
        <w:trPr>
          <w:trHeight w:val="234"/>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Technique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Inputs</w:t>
            </w:r>
          </w:p>
        </w:tc>
      </w:tr>
      <w:tr>
        <w:trPr>
          <w:trHeight w:val="27"/>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thousands)</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7"/>
        </w:trPr>
        <w:tc>
          <w:tcPr>
            <w:tcW w:w="22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September 30, 2022</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38"/>
        </w:trPr>
        <w:tc>
          <w:tcPr>
            <w:tcW w:w="22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Commercial</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48"/>
        </w:trPr>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225"/>
        </w:trPr>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61"/>
        </w:trPr>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527"/>
        </w:trPr>
        <w:tc>
          <w:tcPr>
            <w:tcW w:w="22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December 31, 2021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6"/>
        </w:trPr>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38"/>
        </w:trPr>
        <w:tc>
          <w:tcPr>
            <w:tcW w:w="22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Commercial</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48"/>
        </w:trPr>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225"/>
        </w:trPr>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61"/>
        </w:trPr>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18"/>
          <w:szCs w:val="18"/>
          <w:color w:val="auto"/>
        </w:rPr>
        <w:t>Range</w:t>
      </w:r>
      <w:r>
        <w:rPr>
          <w:sz w:val="20"/>
          <w:szCs w:val="20"/>
          <w:color w:val="auto"/>
        </w:rPr>
        <w:tab/>
      </w:r>
      <w:r>
        <w:rPr>
          <w:rFonts w:ascii="Times New Roman" w:cs="Times New Roman" w:eastAsia="Times New Roman" w:hAnsi="Times New Roman"/>
          <w:sz w:val="18"/>
          <w:szCs w:val="18"/>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22860</wp:posOffset>
            </wp:positionV>
            <wp:extent cx="2014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0.0% to 12.0%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499"/>
        </w:trPr>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(73.3) to 65.2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(12.5)% to 12.0%</w:t>
            </w: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1.5 %</w:t>
            </w:r>
          </w:p>
        </w:tc>
      </w:tr>
      <w:tr>
        <w:trPr>
          <w:trHeight w:val="486"/>
        </w:trPr>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(30.1) to 29.3</w:t>
            </w: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0" w:lineRule="exact"/>
        <w:rPr>
          <w:sz w:val="20"/>
          <w:szCs w:val="20"/>
          <w:color w:val="auto"/>
        </w:rPr>
      </w:pPr>
    </w:p>
    <w:p>
      <w:pPr>
        <w:sectPr>
          <w:pgSz w:w="11900" w:h="16838" w:orient="portrait"/>
          <w:cols w:equalWidth="0" w:num="2">
            <w:col w:w="7980" w:space="560"/>
            <w:col w:w="2700"/>
          </w:cols>
          <w:pgMar w:left="320" w:top="119" w:right="339" w:bottom="1440" w:gutter="0" w:footer="0" w:header="0"/>
          <w:type w:val="continuous"/>
        </w:sectPr>
      </w:pPr>
    </w:p>
    <w:p>
      <w:pPr>
        <w:spacing w:after="0" w:line="119" w:lineRule="exact"/>
        <w:rPr>
          <w:sz w:val="20"/>
          <w:szCs w:val="20"/>
          <w:color w:val="auto"/>
        </w:rPr>
      </w:pPr>
    </w:p>
    <w:p>
      <w:pPr>
        <w:jc w:val="both"/>
        <w:ind w:left="580" w:right="20" w:hanging="554"/>
        <w:spacing w:after="0" w:line="266"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September 30, 2022 and December 31, 2021 certain collateral dependent installment loans totaling approximately $0.16 million and $0.17 million, respectively, are secured by collateral other than real estate. For the majority of these loans, we apply internal discount rates to industry valuation guides.</w:t>
      </w: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Aggregate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Contractual</w:t>
            </w:r>
          </w:p>
        </w:tc>
      </w:tr>
      <w:tr>
        <w:trPr>
          <w:trHeight w:val="243"/>
        </w:trPr>
        <w:tc>
          <w:tcPr>
            <w:tcW w:w="6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Difference</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Principal</w:t>
            </w:r>
          </w:p>
        </w:tc>
      </w:tr>
      <w:tr>
        <w:trPr>
          <w:trHeight w:val="237"/>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55,470</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54,419</w:t>
            </w:r>
          </w:p>
        </w:tc>
      </w:tr>
    </w:tbl>
    <w:p>
      <w:pPr>
        <w:spacing w:after="0" w:line="265"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Values of Financial Instruments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recorded book balances and fair values follow: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Fair Value Using</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8"/>
              </w:rPr>
              <w:t>Quoted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Prices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in Active</w:t>
            </w:r>
          </w:p>
        </w:tc>
        <w:tc>
          <w:tcPr>
            <w:tcW w:w="220" w:type="dxa"/>
            <w:vAlign w:val="bottom"/>
          </w:tcPr>
          <w:p>
            <w:pPr>
              <w:spacing w:after="0"/>
              <w:rPr>
                <w:sz w:val="15"/>
                <w:szCs w:val="15"/>
                <w:color w:val="auto"/>
              </w:rPr>
            </w:pPr>
          </w:p>
        </w:tc>
        <w:tc>
          <w:tcPr>
            <w:tcW w:w="12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60" w:type="dxa"/>
            <w:vAlign w:val="bottom"/>
          </w:tcPr>
          <w:p>
            <w:pPr>
              <w:spacing w:after="0"/>
              <w:rPr>
                <w:sz w:val="15"/>
                <w:szCs w:val="15"/>
                <w:color w:val="auto"/>
              </w:rPr>
            </w:pPr>
          </w:p>
        </w:tc>
        <w:tc>
          <w:tcPr>
            <w:tcW w:w="11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rPr>
              <w:t>Markets</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Recorded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5"/>
              </w:rPr>
              <w:t>for</w:t>
            </w:r>
          </w:p>
        </w:tc>
        <w:tc>
          <w:tcPr>
            <w:tcW w:w="220" w:type="dxa"/>
            <w:vAlign w:val="bottom"/>
          </w:tcPr>
          <w:p>
            <w:pPr>
              <w:spacing w:after="0"/>
              <w:rPr>
                <w:sz w:val="15"/>
                <w:szCs w:val="15"/>
                <w:color w:val="auto"/>
              </w:rPr>
            </w:pPr>
          </w:p>
        </w:tc>
        <w:tc>
          <w:tcPr>
            <w:tcW w:w="122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5"/>
                <w:szCs w:val="15"/>
                <w:color w:val="auto"/>
              </w:rPr>
            </w:pPr>
          </w:p>
        </w:tc>
        <w:tc>
          <w:tcPr>
            <w:tcW w:w="11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Identical</w:t>
            </w:r>
          </w:p>
        </w:tc>
        <w:tc>
          <w:tcPr>
            <w:tcW w:w="220" w:type="dxa"/>
            <w:vAlign w:val="bottom"/>
          </w:tcPr>
          <w:p>
            <w:pPr>
              <w:spacing w:after="0"/>
              <w:rPr>
                <w:sz w:val="15"/>
                <w:szCs w:val="15"/>
                <w:color w:val="auto"/>
              </w:rPr>
            </w:pPr>
          </w:p>
        </w:tc>
        <w:tc>
          <w:tcPr>
            <w:tcW w:w="12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5"/>
                <w:szCs w:val="15"/>
                <w:color w:val="auto"/>
              </w:rPr>
            </w:pPr>
          </w:p>
        </w:tc>
        <w:tc>
          <w:tcPr>
            <w:tcW w:w="11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7"/>
              </w:rPr>
              <w:t>Book</w:t>
            </w:r>
          </w:p>
        </w:tc>
        <w:tc>
          <w:tcPr>
            <w:tcW w:w="280" w:type="dxa"/>
            <w:vAlign w:val="bottom"/>
          </w:tcPr>
          <w:p>
            <w:pPr>
              <w:spacing w:after="0"/>
              <w:rPr>
                <w:sz w:val="16"/>
                <w:szCs w:val="16"/>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16"/>
                <w:szCs w:val="16"/>
                <w:color w:val="auto"/>
              </w:rPr>
            </w:pPr>
          </w:p>
        </w:tc>
        <w:tc>
          <w:tcPr>
            <w:tcW w:w="13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6"/>
                <w:szCs w:val="16"/>
                <w:color w:val="auto"/>
              </w:rPr>
            </w:pPr>
          </w:p>
        </w:tc>
        <w:tc>
          <w:tcPr>
            <w:tcW w:w="122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260" w:type="dxa"/>
            <w:vAlign w:val="bottom"/>
          </w:tcPr>
          <w:p>
            <w:pPr>
              <w:spacing w:after="0"/>
              <w:rPr>
                <w:sz w:val="16"/>
                <w:szCs w:val="16"/>
                <w:color w:val="auto"/>
              </w:rPr>
            </w:pPr>
          </w:p>
        </w:tc>
        <w:tc>
          <w:tcPr>
            <w:tcW w:w="1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(In thousands)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13,573</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13,573</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13,573</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804,272</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804,272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804,272</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379,429</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341,129</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341,129</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Reserve Bank Stock</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17,653</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3,367,807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3,007,609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9,091</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2,998,518</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14,613</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14,613</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43,841</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43,841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43,841</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3,919,893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3,919,893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3,919,893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407,135</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400,149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400,149</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86,707</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86,707</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86,707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39,414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41,106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41,106</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Subordinated debentures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39,643</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39,245</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39,245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24,932</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24,932</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24,932</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51,069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51,069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58,404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58,404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58,404</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1,412,830</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1,412,830</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1,412,830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Reserve Bank Stock</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18,427</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2,948,074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2,931,079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35,233</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55,470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2,840,376</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12,865</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6,028</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12,283</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12,283</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12,283</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3,781,298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3,781,298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3,781,298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335,792</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336,006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336,006</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30,009</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30,155</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30,155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39,357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44,999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44,999</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Subordinated debentures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39,592</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33,866</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580" w:right="20" w:hanging="554"/>
        <w:spacing w:after="0" w:line="181" w:lineRule="auto"/>
        <w:tabs>
          <w:tab w:leader="none" w:pos="580" w:val="left"/>
        </w:tabs>
        <w:numPr>
          <w:ilvl w:val="0"/>
          <w:numId w:val="2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4"/>
          <w:szCs w:val="14"/>
          <w:color w:val="auto"/>
        </w:rPr>
        <w:t>Deposits with no stated maturity include reciprocal deposits with a recorded book balance of $585.707 million and $562.210 million at September 30, 2022 and December 31, 2021, respectively. Deposits with a stated maturity include reciprocal deposits with a recorded book balance of $30.728 million and $24.416 million at September 30, 2022 and December 31, 2021, respectively.</w:t>
      </w:r>
    </w:p>
    <w:p>
      <w:pPr>
        <w:sectPr>
          <w:pgSz w:w="11900" w:h="16838" w:orient="portrait"/>
          <w:cols w:equalWidth="0" w:num="1">
            <w:col w:w="11240"/>
          </w:cols>
          <w:pgMar w:left="320" w:top="119" w:right="339" w:bottom="7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70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35"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Pressures from heightened inflation, increased interest rates, rising energy prices, supply chain disruptions, concerns over the Russia-Ukraine war, and foreign currency exchange rate fluctuations have created, and continue to create, significant economic uncertainty. Inflation remains elevated, exceeding an annual rate of 8.0% in the third quarter of 2022, well above the Federal Reserve Board’s target inflation rate. In September 2022, the Federal Reserve Board raised interest rates by 75 basis points for the third consecutive time in order to combat inflation, and officials expect rates to continue to rise into 2023. Further, the Russia-Ukraine war and related events are likely to create additional pressure on inflation and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September 30, 2022, we had no commercial loans in forbearance. We continue to closely monitor and analyze the higher risk segments within our portfolio, and senior management is cautiously optimistic that we are positioned to continue managing the impact of the varied set of risks and uncertainties currently impacting the global economy. However, a high degree of uncertainty still exists with respect to the impact of the fluid global economic conditions on the future performance of our loan portfolio.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zero, representing cost basis less impairment. However, given the current conversion ratio of 1.6059 Class A shares for every 1 Class B share and the closing price of VISA Class A shares on October 27, 2022 of $204.29 per share, our 12,566 Class B shares would have a current “value” of approximately $4.1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right="6280" w:firstLine="8"/>
        <w:spacing w:after="0" w:line="493" w:lineRule="auto"/>
        <w:tabs>
          <w:tab w:leader="none" w:pos="4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Accumulated Other Comprehensive Income (Loss) (“AOCIL”) </w:t>
      </w:r>
      <w:r>
        <w:rPr>
          <w:rFonts w:ascii="Times New Roman" w:cs="Times New Roman" w:eastAsia="Times New Roman" w:hAnsi="Times New Roman"/>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Dispropor-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 on</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tionate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Tax Effects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Transferred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from</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to Securities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5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AFS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HTM (1)</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AFS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5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September 30, 2022</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(85,003)</w:t>
            </w:r>
          </w:p>
        </w:tc>
      </w:tr>
      <w:tr>
        <w:trPr>
          <w:trHeight w:val="250"/>
        </w:trPr>
        <w:tc>
          <w:tcPr>
            <w:tcW w:w="5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r>
      <w:tr>
        <w:trPr>
          <w:trHeight w:val="263"/>
        </w:trPr>
        <w:tc>
          <w:tcPr>
            <w:tcW w:w="5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r>
      <w:tr>
        <w:trPr>
          <w:trHeight w:val="275"/>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63"/>
        </w:trPr>
        <w:tc>
          <w:tcPr>
            <w:tcW w:w="5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50"/>
        </w:trPr>
        <w:tc>
          <w:tcPr>
            <w:tcW w:w="5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4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nine months ended September 30, 2022</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50"/>
        </w:trPr>
        <w:tc>
          <w:tcPr>
            <w:tcW w:w="5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(97,329)</w:t>
            </w:r>
          </w:p>
        </w:tc>
      </w:tr>
      <w:tr>
        <w:trPr>
          <w:trHeight w:val="263"/>
        </w:trPr>
        <w:tc>
          <w:tcPr>
            <w:tcW w:w="5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5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w:t>
            </w:r>
          </w:p>
        </w:tc>
      </w:tr>
      <w:tr>
        <w:trPr>
          <w:trHeight w:val="275"/>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r>
      <w:tr>
        <w:trPr>
          <w:trHeight w:val="263"/>
        </w:trPr>
        <w:tc>
          <w:tcPr>
            <w:tcW w:w="5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50"/>
        </w:trPr>
        <w:tc>
          <w:tcPr>
            <w:tcW w:w="5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57"/>
        </w:trPr>
        <w:tc>
          <w:tcPr>
            <w:tcW w:w="5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r>
      <w:tr>
        <w:trPr>
          <w:trHeight w:val="24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7"/>
        </w:trPr>
        <w:tc>
          <w:tcPr>
            <w:tcW w:w="5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three months ended September 30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c>
          <w:tcPr>
            <w:tcW w:w="47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Reclassified</w:t>
            </w:r>
          </w:p>
        </w:tc>
        <w:tc>
          <w:tcPr>
            <w:tcW w:w="47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Condensed</w:t>
            </w:r>
          </w:p>
        </w:tc>
      </w:tr>
      <w:tr>
        <w:trPr>
          <w:trHeight w:val="255"/>
        </w:trPr>
        <w:tc>
          <w:tcPr>
            <w:tcW w:w="48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AOCIL Component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AOCIL</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tc>
      </w:tr>
      <w:tr>
        <w:trPr>
          <w:trHeight w:val="234"/>
        </w:trPr>
        <w:tc>
          <w:tcPr>
            <w:tcW w:w="4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780" w:type="dxa"/>
            <w:vAlign w:val="bottom"/>
            <w:tcBorders>
              <w:top w:val="single" w:sz="8" w:color="auto"/>
            </w:tcBorders>
          </w:tcPr>
          <w:p>
            <w:pPr>
              <w:spacing w:after="0"/>
              <w:rPr>
                <w:sz w:val="20"/>
                <w:szCs w:val="20"/>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43" w:lineRule="exact"/>
        <w:rPr>
          <w:sz w:val="20"/>
          <w:szCs w:val="20"/>
          <w:color w:val="auto"/>
        </w:rPr>
      </w:pPr>
    </w:p>
    <w:p>
      <w:pPr>
        <w:ind w:left="6080" w:hanging="1208"/>
        <w:spacing w:after="0"/>
        <w:tabs>
          <w:tab w:leader="none" w:pos="6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880"/>
        <w:spacing w:after="0"/>
        <w:tabs>
          <w:tab w:leader="none" w:pos="6060" w:val="left"/>
          <w:tab w:leader="none" w:pos="6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1517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51435</wp:posOffset>
            </wp:positionV>
            <wp:extent cx="942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3" w:lineRule="exact"/>
        <w:rPr>
          <w:sz w:val="20"/>
          <w:szCs w:val="20"/>
          <w:color w:val="auto"/>
        </w:rPr>
      </w:pPr>
    </w:p>
    <w:p>
      <w:pPr>
        <w:ind w:left="6180" w:hanging="1308"/>
        <w:spacing w:after="0"/>
        <w:tabs>
          <w:tab w:leader="none" w:pos="6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880"/>
        <w:spacing w:after="0"/>
        <w:tabs>
          <w:tab w:leader="none" w:pos="6160" w:val="left"/>
          <w:tab w:leader="none" w:pos="6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51435</wp:posOffset>
            </wp:positionV>
            <wp:extent cx="9429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nine months ended September 30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c>
          <w:tcPr>
            <w:tcW w:w="47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Reclassified</w:t>
            </w:r>
          </w:p>
        </w:tc>
        <w:tc>
          <w:tcPr>
            <w:tcW w:w="47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Condensed</w:t>
            </w:r>
          </w:p>
        </w:tc>
      </w:tr>
      <w:tr>
        <w:trPr>
          <w:trHeight w:val="255"/>
        </w:trPr>
        <w:tc>
          <w:tcPr>
            <w:tcW w:w="48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AOCIL Component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AOCIL</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tc>
      </w:tr>
      <w:tr>
        <w:trPr>
          <w:trHeight w:val="234"/>
        </w:trPr>
        <w:tc>
          <w:tcPr>
            <w:tcW w:w="4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780" w:type="dxa"/>
            <w:vAlign w:val="bottom"/>
            <w:tcBorders>
              <w:top w:val="single" w:sz="8" w:color="auto"/>
            </w:tcBorders>
          </w:tcPr>
          <w:p>
            <w:pPr>
              <w:spacing w:after="0"/>
              <w:rPr>
                <w:sz w:val="20"/>
                <w:szCs w:val="20"/>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3" w:lineRule="exact"/>
        <w:rPr>
          <w:sz w:val="20"/>
          <w:szCs w:val="20"/>
          <w:color w:val="auto"/>
        </w:rPr>
      </w:pPr>
    </w:p>
    <w:p>
      <w:pPr>
        <w:ind w:left="5920" w:hanging="1048"/>
        <w:spacing w:after="0"/>
        <w:tabs>
          <w:tab w:leader="none" w:pos="5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460" w:hanging="447"/>
        <w:spacing w:after="0"/>
        <w:tabs>
          <w:tab w:leader="none" w:pos="64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880"/>
        <w:spacing w:after="0"/>
        <w:tabs>
          <w:tab w:leader="none" w:pos="5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1517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51435</wp:posOffset>
            </wp:positionV>
            <wp:extent cx="9429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43" w:lineRule="exact"/>
        <w:rPr>
          <w:sz w:val="20"/>
          <w:szCs w:val="20"/>
          <w:color w:val="auto"/>
        </w:rPr>
      </w:pPr>
    </w:p>
    <w:p>
      <w:pPr>
        <w:ind w:left="5860" w:hanging="988"/>
        <w:spacing w:after="0"/>
        <w:tabs>
          <w:tab w:leader="none" w:pos="5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880"/>
        <w:spacing w:after="0"/>
        <w:tabs>
          <w:tab w:leader="none" w:pos="5840" w:val="left"/>
          <w:tab w:leader="none" w:pos="6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51435</wp:posOffset>
            </wp:positionV>
            <wp:extent cx="9429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83.7% and 85.1% of total revenues for the nine month periods ending September 30, 2022 and 2021, respectively.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2022 and December 31, 2021.</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Service charges on deposit accounts and other deposit related income</w:t>
      </w:r>
      <w:r>
        <w:rPr>
          <w:rFonts w:ascii="Times New Roman" w:cs="Times New Roman" w:eastAsia="Times New Roman" w:hAnsi="Times New Roman"/>
          <w:sz w:val="18"/>
          <w:szCs w:val="18"/>
          <w:b w:val="1"/>
          <w:bCs w:val="1"/>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Revenues are earned on depository accounts for commercial and retail customers</w:t>
      </w:r>
      <w:r>
        <w:rPr>
          <w:rFonts w:ascii="Times New Roman" w:cs="Times New Roman" w:eastAsia="Times New Roman" w:hAnsi="Times New Roman"/>
          <w:sz w:val="18"/>
          <w:szCs w:val="18"/>
          <w:color w:val="auto"/>
        </w:rPr>
        <w:t xml:space="preserve">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Interchange income</w:t>
      </w:r>
      <w:r>
        <w:rPr>
          <w:rFonts w:ascii="Times New Roman" w:cs="Times New Roman" w:eastAsia="Times New Roman" w:hAnsi="Times New Roman"/>
          <w:sz w:val="18"/>
          <w:szCs w:val="18"/>
          <w:color w:val="auto"/>
          <w:highlight w:val="white"/>
        </w:rPr>
        <w:t>: Interchange income primarily includes debit card interchange and network revenues. Debit card interchange and network revenues are</w:t>
      </w:r>
      <w:r>
        <w:rPr>
          <w:rFonts w:ascii="Times New Roman" w:cs="Times New Roman" w:eastAsia="Times New Roman" w:hAnsi="Times New Roman"/>
          <w:sz w:val="18"/>
          <w:szCs w:val="18"/>
          <w:color w:val="auto"/>
        </w:rPr>
        <w:t xml:space="preserve"> earned on debit card transactions conducted through payment networks such as MasterCard, NYCE (during 2021)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and insurance commissions</w:t>
      </w:r>
      <w:r>
        <w:rPr>
          <w:rFonts w:ascii="Times New Roman" w:cs="Times New Roman" w:eastAsia="Times New Roman" w:hAnsi="Times New Roman"/>
          <w:sz w:val="18"/>
          <w:szCs w:val="18"/>
          <w:color w:val="auto"/>
          <w:highlight w:val="white"/>
        </w:rPr>
        <w:t>: Investment and insurance commissions include fees and commissions from asset management, custody,</w:t>
      </w:r>
      <w:r>
        <w:rPr>
          <w:rFonts w:ascii="Times New Roman" w:cs="Times New Roman" w:eastAsia="Times New Roman" w:hAnsi="Times New Roman"/>
          <w:sz w:val="18"/>
          <w:szCs w:val="18"/>
          <w:color w:val="auto"/>
        </w:rPr>
        <w:t xml:space="preserve">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Net (gains) losses on other real estate and repossessed assets</w:t>
      </w:r>
      <w:r>
        <w:rPr>
          <w:rFonts w:ascii="Times New Roman" w:cs="Times New Roman" w:eastAsia="Times New Roman" w:hAnsi="Times New Roman"/>
          <w:sz w:val="18"/>
          <w:szCs w:val="18"/>
          <w:color w:val="auto"/>
          <w:highlight w:val="white"/>
        </w:rPr>
        <w:t>: We record a gain or loss from the sale of other real estate when control of the property</w:t>
      </w:r>
      <w:r>
        <w:rPr>
          <w:rFonts w:ascii="Times New Roman" w:cs="Times New Roman" w:eastAsia="Times New Roman" w:hAnsi="Times New Roman"/>
          <w:sz w:val="18"/>
          <w:szCs w:val="18"/>
          <w:color w:val="auto"/>
        </w:rPr>
        <w:t xml:space="preserve">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2022 and 2021 that were financed by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ending September 30, 2022</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Service</w:t>
            </w: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Investment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Charges</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on Deposit</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Related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Interchange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Insurance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4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Accounts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Commissions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6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63"/>
        </w:trPr>
        <w:tc>
          <w:tcPr>
            <w:tcW w:w="40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82"/>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Condensed Consolidated Statement of</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63"/>
        </w:trPr>
        <w:tc>
          <w:tcPr>
            <w:tcW w:w="4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4"/>
        </w:trPr>
        <w:tc>
          <w:tcPr>
            <w:tcW w:w="4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5"/>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ending September 30, 2021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8"/>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Service</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Investment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Charges</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Deposit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 Deposit</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Related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Interchange</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3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Accounts</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Income</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5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5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7"/>
        </w:trPr>
        <w:tc>
          <w:tcPr>
            <w:tcW w:w="35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r>
      <w:tr>
        <w:trPr>
          <w:trHeight w:val="20"/>
        </w:trPr>
        <w:tc>
          <w:tcPr>
            <w:tcW w:w="50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7"/>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50"/>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63"/>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0"/>
        </w:trPr>
        <w:tc>
          <w:tcPr>
            <w:tcW w:w="3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81"/>
        </w:trPr>
        <w:tc>
          <w:tcPr>
            <w:tcW w:w="35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ending September 30, 2022</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Related</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Insurance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Commissions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57"/>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75"/>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30"/>
        </w:trPr>
        <w:tc>
          <w:tcPr>
            <w:tcW w:w="3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5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6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77"/>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7"/>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82"/>
        </w:trPr>
        <w:tc>
          <w:tcPr>
            <w:tcW w:w="3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ending September 30, 2021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 Deposit</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Related</w:t>
            </w: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Interchange</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Insurance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0"/>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Accounts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63"/>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82"/>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30"/>
        </w:trPr>
        <w:tc>
          <w:tcPr>
            <w:tcW w:w="3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5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6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83"/>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r>
      <w:tr>
        <w:trPr>
          <w:trHeight w:val="275"/>
        </w:trPr>
        <w:tc>
          <w:tcPr>
            <w:tcW w:w="3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198"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September 30, 2022).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7"/>
        </w:trPr>
        <w:tc>
          <w:tcPr>
            <w:tcW w:w="5040" w:type="dxa"/>
            <w:vAlign w:val="bottom"/>
          </w:tcPr>
          <w:p>
            <w:pPr>
              <w:spacing w:after="0"/>
              <w:rPr>
                <w:sz w:val="24"/>
                <w:szCs w:val="24"/>
                <w:color w:val="auto"/>
              </w:rPr>
            </w:pPr>
          </w:p>
        </w:tc>
        <w:tc>
          <w:tcPr>
            <w:tcW w:w="26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tcPr>
          <w:p>
            <w:pPr>
              <w:spacing w:after="0"/>
              <w:rPr>
                <w:sz w:val="20"/>
                <w:szCs w:val="20"/>
                <w:color w:val="auto"/>
              </w:rPr>
            </w:pPr>
          </w:p>
        </w:tc>
      </w:tr>
      <w:tr>
        <w:trPr>
          <w:trHeight w:val="277"/>
        </w:trPr>
        <w:tc>
          <w:tcPr>
            <w:tcW w:w="50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8"/>
              </w:rPr>
              <w:t>(In thousands)</w:t>
            </w:r>
          </w:p>
        </w:tc>
        <w:tc>
          <w:tcPr>
            <w:tcW w:w="96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7"/>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1"/>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1"/>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7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82"/>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6,602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our Condensed Consolidated Statements of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analysis of our lease liabilities at September 30, 2022 based on required contractual payments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97"/>
        </w:trPr>
        <w:tc>
          <w:tcPr>
            <w:tcW w:w="4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2022</w:t>
            </w:r>
          </w:p>
        </w:tc>
        <w:tc>
          <w:tcPr>
            <w:tcW w:w="5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54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5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w:t>
      </w:r>
      <w:r>
        <w:rPr>
          <w:rFonts w:ascii="Times New Roman" w:cs="Times New Roman" w:eastAsia="Times New Roman" w:hAnsi="Times New Roman"/>
          <w:sz w:val="18"/>
          <w:szCs w:val="18"/>
          <w:b w:val="1"/>
          <w:bCs w:val="1"/>
          <w:color w:val="auto"/>
        </w:rPr>
        <w:t xml:space="preserve"> 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following section presents additional information to assess the financial condition and results of operations of Independent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Condensed Consolidated Financial Statements. We also encourage you to read our 2021 Annual Report on Form 10-K filed with the U.S. Securities and Exchange Commission (“SEC”). That report includes a list of risk factors that you should consider in connection with any decision to buy or sell our securities.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Overview</w:t>
      </w:r>
      <w:r>
        <w:rPr>
          <w:rFonts w:ascii="Times New Roman" w:cs="Times New Roman" w:eastAsia="Times New Roman" w:hAnsi="Times New Roman"/>
          <w:sz w:val="18"/>
          <w:szCs w:val="18"/>
          <w:color w:val="auto"/>
        </w:rPr>
        <w:t>. We provide banking services to customers located primarily in Michigan’s Lower Peninsula. We also have a loan production office in Fairlawn,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Ohio. As a result, our success depends to a great extent upon the economic conditions in Michigan’s Lower Peninsula.</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Recent Developments. </w:t>
      </w:r>
      <w:r>
        <w:rPr>
          <w:rFonts w:ascii="Times New Roman" w:cs="Times New Roman" w:eastAsia="Times New Roman" w:hAnsi="Times New Roman"/>
          <w:sz w:val="18"/>
          <w:szCs w:val="18"/>
          <w:color w:val="auto"/>
        </w:rPr>
        <w:t>Pressures from heightened inflation, increased interest rates, rising energy prices, supply chain disruptions, concerns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Russia-Ukraine war, and foreign currency exchange rate fluctuations have created, and continue to create, significant economic uncertainty. Inflation remains elevated, exceeding an annual rate of 8.0% in the third quarter of 2022, well above the Federal Reserve Board’s target inflation rate. In September 2022, the Federal Reserve Board raised interest rates by 75 basis points for the third consecutive time in order to combat inflation, and officials expect rates to continue to rise into 2023. Further, the Russia-Ukraine war and related events are likely to create additional pressure on inflation and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the first three quarters of 2022 as compared to earlier periods.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We recorded net income of $17.3 million and $16.0 million during the three months ended September 30, 2022 and 2021,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2022 third quarter results as compared to 2021 is primarily due to an increase in net-interest income and a decrease in non-interest expense that were partially offset by a decrease in non-interest income and increases in the provision for credit losses and income tax expense.</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income of $48.3 million and $50.4 million during the nine months ended September 30, 2022 and 2021, respectively. The decrease in 2022 year-to-date results as compared to 2021 is primarily due to an increase in the provision for credit losses and a decrease in non-interest income that was partially offset by an increase in net-interest income and a decrease in non-interest expense and income tax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4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2"/>
                <w:szCs w:val="22"/>
                <w:color w:val="auto"/>
              </w:rPr>
            </w:pPr>
          </w:p>
        </w:tc>
        <w:tc>
          <w:tcPr>
            <w:tcW w:w="29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50"/>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(annualized) to</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5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17.32 %</w:t>
            </w:r>
          </w:p>
        </w:tc>
      </w:tr>
      <w:tr>
        <w:trPr>
          <w:trHeight w:val="277"/>
        </w:trPr>
        <w:tc>
          <w:tcPr>
            <w:tcW w:w="4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totaled $39.9 million during the third quarter of 2022, an increase of $6.1 million, or 18.0% from the year-ago period. This increase primarily reflects a $313.6 million increase in average interest-earning assets as well as a 31 basis point increase in our tax equivalent net interest income as a percent of average interest-earning assets (the “net interest margin”).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nine months of 2022, net interest income totaled $109.0 million, an increase of $13.5 million, or 14.1% from 2021. This increase primarily reflects a 342.4 million increase in average interest-earning assets and a 16 basis point increase in our net interest margin.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average interest-earning assets in 2022 as compared to 2021 primarily reflects growth in commercial, mortgage and installment loans funded from an increase in deposits.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fees on loans include zero and $0.8 million of accretion of net loan fees on PPP loans in the third quarter and first nine months of 2022, respectively, compared to $2.6 million and $6.5 million for the third quarter and first nine months of 2021, respectively.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In the third quarter and first nine months of 2022, non-accrual loans averaged $4.0 million and $4.6 million, respectively. In the third quarter and first nine months of 2021, non-accrual loans averaged $5.3 million and $6.4 million, respectively. In addition, in the third quarter and first nine months of 2022 we had net recoveries of $0.1 million and $0.4 million, respectively of unpaid interest on loans placed on or taken off non-accrual or on loans previously charged-off compared to net recoveries of $0.3 million and $0.9 million, respectively, during the same periods in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5"/>
                <w:szCs w:val="15"/>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7"/>
              </w:rPr>
              <w:t>4.39 %</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2,896,552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56"/>
        </w:trPr>
        <w:tc>
          <w:tcPr>
            <w:tcW w:w="26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Tax-exempt loans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2"/>
                <w:szCs w:val="22"/>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securities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Tax-exempt securities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3"/>
                <w:szCs w:val="23"/>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3"/>
                <w:szCs w:val="23"/>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4,610,307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4,884,841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checking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0.44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gridSpan w:val="2"/>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 as a Percent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Average Interest Earning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7"/>
              </w:rPr>
              <w:t>3.49 %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54"/>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98"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Average Balances and Tax Equivalent Rates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21"/>
                <w:szCs w:val="2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w:t>
            </w:r>
          </w:p>
        </w:tc>
        <w:tc>
          <w:tcPr>
            <w:tcW w:w="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Average</w:t>
            </w:r>
          </w:p>
        </w:tc>
        <w:tc>
          <w:tcPr>
            <w:tcW w:w="80" w:type="dxa"/>
            <w:vAlign w:val="bottom"/>
          </w:tcPr>
          <w:p>
            <w:pPr>
              <w:spacing w:after="0"/>
              <w:rPr>
                <w:sz w:val="21"/>
                <w:szCs w:val="21"/>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3"/>
              </w:rPr>
              <w:t xml:space="preserve">Rate </w:t>
            </w:r>
            <w:r>
              <w:rPr>
                <w:rFonts w:ascii="Times New Roman" w:cs="Times New Roman" w:eastAsia="Times New Roman" w:hAnsi="Times New Roman"/>
                <w:sz w:val="23"/>
                <w:szCs w:val="23"/>
                <w:color w:val="auto"/>
                <w:w w:val="93"/>
                <w:vertAlign w:val="superscript"/>
              </w:rPr>
              <w:t>(2)</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vMerge w:val="continue"/>
          </w:tcPr>
          <w:p>
            <w:pPr>
              <w:spacing w:after="0"/>
              <w:rPr>
                <w:sz w:val="20"/>
                <w:szCs w:val="20"/>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(Dollars in thousands)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loans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$3,155,410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4.09 %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$2,859,207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4.02 %</w:t>
            </w:r>
          </w:p>
        </w:tc>
        <w:tc>
          <w:tcPr>
            <w:tcW w:w="0" w:type="dxa"/>
            <w:vAlign w:val="bottom"/>
          </w:tcPr>
          <w:p>
            <w:pPr>
              <w:spacing w:after="0"/>
              <w:rPr>
                <w:sz w:val="1"/>
                <w:szCs w:val="1"/>
                <w:color w:val="auto"/>
              </w:rPr>
            </w:pPr>
          </w:p>
        </w:tc>
      </w:tr>
      <w:tr>
        <w:trPr>
          <w:trHeight w:val="257"/>
        </w:trPr>
        <w:tc>
          <w:tcPr>
            <w:tcW w:w="1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Tax-exempt loans </w:t>
            </w:r>
            <w:r>
              <w:rPr>
                <w:rFonts w:ascii="Times New Roman" w:cs="Times New Roman" w:eastAsia="Times New Roman" w:hAnsi="Times New Roman"/>
                <w:sz w:val="23"/>
                <w:szCs w:val="23"/>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2"/>
                <w:szCs w:val="2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5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securities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978,668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881,465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336,123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347,873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5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98"/>
        </w:trPr>
        <w:tc>
          <w:tcPr>
            <w:tcW w:w="1580" w:type="dxa"/>
            <w:vAlign w:val="bottom"/>
            <w:tcBorders>
              <w:top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Earning</w:t>
            </w: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4,532,690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119,455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4,190,306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55,883</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155,701</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$4,788,947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$4,401,890</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bearing checking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$2,528,655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$2,239,887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319,792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6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91"/>
        </w:trPr>
        <w:tc>
          <w:tcPr>
            <w:tcW w:w="158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Interest Bearing</w:t>
            </w: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3,010,674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2,668,545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8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1,279,006</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65,464</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347,764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388,875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liabilities and</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shareholders’</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$4,788,947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$4,401,890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equity</w:t>
            </w:r>
          </w:p>
        </w:tc>
        <w:tc>
          <w:tcPr>
            <w:tcW w:w="9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Interest</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110,384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7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 of</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Interest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3.25 %</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3.09 %</w:t>
            </w:r>
          </w:p>
        </w:tc>
        <w:tc>
          <w:tcPr>
            <w:tcW w:w="0" w:type="dxa"/>
            <w:vAlign w:val="bottom"/>
          </w:tcPr>
          <w:p>
            <w:pPr>
              <w:spacing w:after="0"/>
              <w:rPr>
                <w:sz w:val="1"/>
                <w:szCs w:val="1"/>
                <w:color w:val="auto"/>
              </w:rPr>
            </w:pPr>
          </w:p>
        </w:tc>
      </w:tr>
      <w:tr>
        <w:trPr>
          <w:trHeight w:val="254"/>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 Assets</w:t>
            </w: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98"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ectPr>
          <w:pgSz w:w="11900" w:h="16838" w:orient="portrait"/>
          <w:cols w:equalWidth="0" w:num="1">
            <w:col w:w="10500"/>
          </w:cols>
          <w:pgMar w:left="320" w:top="119" w:right="10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9" w:right="10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24"/>
                <w:szCs w:val="24"/>
                <w:color w:val="auto"/>
              </w:rPr>
            </w:pPr>
          </w:p>
        </w:tc>
        <w:tc>
          <w:tcPr>
            <w:tcW w:w="28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63"/>
        </w:trPr>
        <w:tc>
          <w:tcPr>
            <w:tcW w:w="4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Margin, Fully Taxable Equivalent ("FTE")</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3"/>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108,959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95,480</w:t>
            </w:r>
          </w:p>
        </w:tc>
      </w:tr>
      <w:tr>
        <w:trPr>
          <w:trHeight w:val="26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1,374</w:t>
            </w:r>
          </w:p>
        </w:tc>
      </w:tr>
      <w:tr>
        <w:trPr>
          <w:trHeight w:val="28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110,384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96,854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 (1)</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 (1)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Annualized.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Provision for credit losses. </w:t>
      </w:r>
      <w:r>
        <w:rPr>
          <w:rFonts w:ascii="Times New Roman" w:cs="Times New Roman" w:eastAsia="Times New Roman" w:hAnsi="Times New Roman"/>
          <w:sz w:val="18"/>
          <w:szCs w:val="18"/>
          <w:color w:val="auto"/>
        </w:rPr>
        <w:t>The provision for credit losses was an expense of $3.1 million and a credit of $0.7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and 2021, respectively. During the nine-month periods ended September 30, 2022 and 2021, the provision for credit losses was an expense of $4.0 million and a credit of $2.6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2022. The increase in the provision for credit losses expense from the prior year period is primarily due to a decrease in gross recoveries of previously charged-off commercial and retail loans, an increase in the adjustment to allocations based on subjective factors and an increase in net newly allocated losses in the commercial and retail loan portfolios primarily due to loan growth and change in mix.</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$16.9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2022 compared to $19.7 million in the third quarter of 2021. For the first nine months of 2022, non-interest income totaled $50.4 million compared to $60.9 million for the first nine months of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income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24"/>
                <w:szCs w:val="24"/>
                <w:color w:val="auto"/>
              </w:rPr>
            </w:pPr>
          </w:p>
        </w:tc>
        <w:tc>
          <w:tcPr>
            <w:tcW w:w="28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50"/>
        </w:trPr>
        <w:tc>
          <w:tcPr>
            <w:tcW w:w="5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60,872</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Interchange income decreased on a comparative quarterly and year-to-date basis in 2022 as compared to 2021. The quarterly and year-to-date decreases were due to lower rate earned on debit card transactions that was partially offset by an increase in volume of these transactions.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increased on a comparative quarterly and year-to-date basis in 2022 as compared to 2021. The quarterly and year-to-date increases were principally due to increases in non-sufficient funds occurrences (and related fees) and an increase in treasury management fees.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reflected in the table below, net gains on the sale of mortgage loans dropped significantly on both a quarterly and a year-to-date basis in 2022 compared to 2021. Mortgage loan activity is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4"/>
                <w:szCs w:val="24"/>
                <w:color w:val="auto"/>
              </w:rPr>
            </w:pPr>
          </w:p>
        </w:tc>
        <w:tc>
          <w:tcPr>
            <w:tcW w:w="30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7"/>
        </w:trPr>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4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209,041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453,752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796,918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1,436,497</w:t>
            </w:r>
          </w:p>
        </w:tc>
      </w:tr>
      <w:tr>
        <w:trPr>
          <w:trHeight w:val="25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sold</w:t>
            </w:r>
          </w:p>
        </w:tc>
        <w:tc>
          <w:tcPr>
            <w:tcW w:w="20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157,511</w:t>
            </w:r>
          </w:p>
        </w:tc>
        <w:tc>
          <w:tcPr>
            <w:tcW w:w="40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279,235</w:t>
            </w:r>
          </w:p>
        </w:tc>
        <w:tc>
          <w:tcPr>
            <w:tcW w:w="2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522,213</w:t>
            </w:r>
          </w:p>
        </w:tc>
        <w:tc>
          <w:tcPr>
            <w:tcW w:w="4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963,442</w:t>
            </w:r>
          </w:p>
        </w:tc>
      </w:tr>
      <w:tr>
        <w:trPr>
          <w:trHeight w:val="26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2,857</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8,361</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4,945</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30,280</w:t>
            </w:r>
          </w:p>
        </w:tc>
      </w:tr>
      <w:tr>
        <w:trPr>
          <w:trHeight w:val="22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Margin")</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0.95 %</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(0.40)</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originated decreased in 2022 as compared to 2021 due primarily to a decrease in mortgage loan refinance volumes. Mortgage loan refinance volumes declined in the third quarter of 2022 as compared to 2021 as higher mortgage loan interest rates in 2022 reduced this activity. Mortgage loans sold decreased in the third quarter of 2022 as compared to 2021 due primarily to lower loan origination volume. Net gains on mortgage loans decreased in 2022 as compared to 2021 primarily due to the decline in loan sale volume and a decrease in the Loan Sales Margin as discussed below.</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1.56% and 2.95% in the third quarters of 2022 and 2021, respectively, and 1.49% and 3.54% for the comparative 2022 and 2021 year-to-date periods, respectively. The decline in the Loan Sales Margin (excluding fair value adjustments) in the third quarter of 2022 was generally due to lower primary-to-secondary market pricing spreads as market interest rates rose in 2022 (relative to 2021) which were impacted by the decrease in salable mortgage loan volumes.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loss of $0.3 million and a net gain $1.4 million on securities AFS for the first nine months of 2022 and 2021, respectively. We recorded no credit related charges in either 2022 or 2021 on securities AFS. See “Securities” below and note #3 to the Condensed Consolidated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servicing, net, generated income of $4.3 million and $1.3 million in the third quarters of 2022 and 2021, respectively. For the first nine months of 2022 and 2021, mortgage loan servicing, net, generated income of $18.1 million and $4.5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loan servicing, net activity is summarized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Servicing Revenue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4"/>
                <w:szCs w:val="24"/>
                <w:color w:val="auto"/>
              </w:rPr>
            </w:pPr>
          </w:p>
        </w:tc>
        <w:tc>
          <w:tcPr>
            <w:tcW w:w="27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7"/>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2,190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5,809</w:t>
            </w: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3,203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2,813</w:t>
            </w:r>
          </w:p>
        </w:tc>
      </w:tr>
      <w:tr>
        <w:trPr>
          <w:trHeight w:val="257"/>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5"/>
              </w:rPr>
              <w:t>(1,110)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(4,146)</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4,283</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4,476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7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7"/>
        </w:trPr>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r>
      <w:tr>
        <w:trPr>
          <w:trHeight w:val="250"/>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r>
      <w:tr>
        <w:trPr>
          <w:trHeight w:val="263"/>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4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we were servicing approximately $3.50 billion in mortgage loans for others on which servicing rights have been capitalized. This servicing portfolio had a weighted average coupon rate of 3.55% and a weighted average service fee of approximately 26.0 basis points. Capitalized mortgage loan servicing rights at September 30, 2022 totaled $43.2 million, representing approximately 123.4 basis points on the related amount of mortgage loans serviced for others.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and insurance commissions represent revenues generated on the sale or management of investments and insurance for our customers. These increased on both a quarterly and year-to-date basis in 2022 as compared to 2021, primarily due to growth in assets under management and in annuity sales (reflecting customers seeking alternatives to traditional fixed income products such as time deposits given the prolonged low interest rate environment).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non-interest income decreased on a comparative quarterly basis in 2022 as compared to 2021 due primarily to prior year including a one-time fee reimbursement from our core data processing vendor for conversion related loss of revenues and a decrease in title revenue that was partially offset by an increase in swap fee income and the gain on the sale of one bank owned property of $0.1 million. The increase in other income on a comparative year to date basis in 2022 as compared to 2021 is due primarily to the gain on the sale of two bank owned properties of $1.1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decreased by $2.1 million to $32.4 million and decreased by $0.8 million to $96.3 million during the three- and nine-month periods ended September 30, 2022, respectively, compared to the same periods in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expense are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24"/>
                <w:szCs w:val="24"/>
                <w:color w:val="auto"/>
              </w:rPr>
            </w:pPr>
          </w:p>
        </w:tc>
        <w:tc>
          <w:tcPr>
            <w:tcW w:w="28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7"/>
        </w:trPr>
        <w:tc>
          <w:tcPr>
            <w:tcW w:w="5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50"/>
        </w:trPr>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32,764</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60,064</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7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other real estate and repossessed assets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97,069</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employee benefits expenses, in total, decreased $1.1 million on a quarterly comparative basis and increased $0.5 million for the first nine months of 2022 compared to the same periods in 2021.</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expense increased by $1.3 million and $5.0 million in the third quarter and first nine months of 2022, respectively, compared to the same periods in 2021. These comparative increases in 2022 were primarily due to salary increases that were predominantly effective on January 1, 2022 and a decreased level of compensation that was deferred as direct origination costs due to lower mortgage loan origination volume.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Performance-based compensation decreased by $2.0 million and $3.6 million in the third quarter and first nine months of 2022, respectively, compared to the same periods in 2021. The decreases are primarily due to lower expected incentive compensation payout for salaried and hourly employees and a decrease in mortgage lending related incentives attributed to the decline in mortgage lending volume.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Payroll taxes and employee benefits decreased by $0.4 million and $0.9 million in the third quarter and first nine months of 2022, respectively, compared to the same periods in 2021, due primarily to decreases in payroll taxes (reflecting lower performance-based compensation costs), our 401(k) plan match and other indirect costs related to mortgage lending.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Occupancy, net, furniture, fixtures and equipment, communications, legal and professional, amortization of intangible assets, supplies, correspondent bank service fees and provision for loss reimbursement on sold loans were each substantially the same on a comparative quarterly and year-to-date basis in 2022 as compared to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processing expense decreased by $0.4 million and 0.5 million in the third quarter and first nine months of 2022, respectively, compared to the same prior year periods due primarily to lower debit card production costs, lower net mortgage processing costs (lower volume) and a refund of previously expensed bill from our former core data processing provider.</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Interchange expense primarily represents our third-party cost to process debit card transactions. The decrease in this expense on both a comparative quarterly and year-to-date basis in 2022 as compared to 2021 is due principally to changes in transaction volume and transaction channel mix.</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and collection expense increased $0.04 million and decreased $0.38 million in the third quarter and first nine months of 2022, respectively, as compared to the same periods in 2021. The year-to-date decrease is due to recoveries of previously expensed amounts, an increase in the deferral of certain loan origination costs as well as lower other real estate holding costs.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expense decreased by $0.3 million and increased by $0.3 million in the third quarter and first nine months of 2022, respectively, as compared to the same periods in 2021. The quarterly comparative decrease is primarily due to a one-time marketing expense reimbursement from our third party debit card provider. The comparative year-to-date increase is primarily due to higher charitable donations and advertising related to a new branch opening.</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FDIC deposit insurance expense increased in 2022 on both a comparative quarterly and year-to-date basis as compared to 2021, due primarily to an increases in the assessment rate as well as the assessment base.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related to unfunded lending commitments increased $0.01 million and $0.3 million in the third quarter and first nine months of 2022, respectively, compared to the same prior year periods due primarily to changes in the amounts of such commitments to originate portfolio loans as well as (for commercial loan commitments) the grade (pursuant to our loan rating system) of such commitments.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Conversion related expenses declined as our conversion occurred during the second quarter of 2021 during which time we incurred a significant portion of related expense.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on other real estate and repossessed assets primarily represent the net gain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decreased $0.1 million and increased $0.3 million in the third quarter and first nine months of 2022, respectively, as compared to the same periods in 2021. The decrease on a comparative quarterly basis was primarily due to lower corporate state income tax expense. The comparative year-to-date increase is due in part to an increase in travel and entertainment related expenses (due in part to further easing of COVID-19 related restrictions as well as a general increase in the cost of such expenses).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We recorded an income tax expense of $4.0 million and $10.9 million in the third quarter and the first nine months of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This compares to an income tax expense of $3.7 million and $11.5 million in the third quarter and the first nine months of 2021, respectively. The increase in expense for the first nine months of 2022 compared to the same period in 2021 is primarily due to an increase in pretax income.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2022 and 2021 and at December 31, 2021 that the realization of substantially all of our deferred tax assets continues to be more likely than not.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Our total assets increased by $226.6 million during the first nine months of 2022. Loans, excluding loans held for sale, were $3.41 billion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compared to $2.91 billion at December 31, 2021. Commercial loans, mortgage loans and installment loans each increased during the first nine months of 2022. (See “Portfolio Loans and asset quality.”)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totaled $4.33 billion at September 30, 2022, an increase of $209.9 million from December 31, 2021 as all deposit types increased. The increase in deposits from December 31, 2021 is due in part to the seasonal cash management needs of our business and municipal customers. Overall deposit balances remain elevated, relative to historical levels, due to the significant liquidity that has been injected into the economy through government programs as well as by monetary actions by the Federal Reserve Bank, all in response to the COVID-19 pandemic.</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various government stimulus programs in response to the COVID-19 pandemic end or taper, it is unclear what the impact will be on our levels of Portfolio Loans and deposits. However, our liquidity and funding contingency plans take into account the possibility of reductions in commercial loans and deposits during 2022.</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reverse.(See “Asset/liability management.”)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will receive full value for these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Available for Sale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Unrealized</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Cost</w:t>
            </w:r>
          </w:p>
        </w:tc>
        <w:tc>
          <w:tcPr>
            <w:tcW w:w="4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93"/>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895,703</w:t>
            </w:r>
          </w:p>
        </w:tc>
        <w:tc>
          <w:tcPr>
            <w:tcW w:w="8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Borders>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804,272</w:t>
            </w: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1,404,858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16,594</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1,412,830</w:t>
            </w:r>
          </w:p>
        </w:tc>
        <w:tc>
          <w:tcPr>
            <w:tcW w:w="0" w:type="dxa"/>
            <w:vAlign w:val="bottom"/>
          </w:tcPr>
          <w:p>
            <w:pPr>
              <w:spacing w:after="0"/>
              <w:rPr>
                <w:sz w:val="1"/>
                <w:szCs w:val="1"/>
                <w:color w:val="auto"/>
              </w:rPr>
            </w:pPr>
          </w:p>
        </w:tc>
      </w:tr>
      <w:tr>
        <w:trPr>
          <w:trHeight w:val="481"/>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 to Maturity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Transferred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7"/>
                <w:szCs w:val="17"/>
                <w:color w:val="auto"/>
              </w:rPr>
            </w:pPr>
          </w:p>
        </w:tc>
        <w:tc>
          <w:tcPr>
            <w:tcW w:w="110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Unrealized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 (1)</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ACL</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8"/>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100" w:type="dxa"/>
            <w:vAlign w:val="bottom"/>
            <w:shd w:val="clear" w:color="auto" w:fill="CCEE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341,129</w:t>
            </w: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2022. The increase in unrealized losses during the third quarter and first nine months of 2022 is primarily attributed to an increase in interest rates since December 31, 2021. See note #3 to the Condensed Consolidated Financial Statements included within this report for further discussion.</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See note #3 to the Condensed Consolidated Financial Statements included within this report for further discussion.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of securities were as follows (See “Non-interest income.”):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of Securities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5160" w:type="dxa"/>
            <w:vAlign w:val="bottom"/>
          </w:tcPr>
          <w:p>
            <w:pPr>
              <w:spacing w:after="0"/>
              <w:rPr>
                <w:sz w:val="24"/>
                <w:szCs w:val="24"/>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60" w:type="dxa"/>
            <w:vAlign w:val="bottom"/>
          </w:tcPr>
          <w:p>
            <w:pPr>
              <w:spacing w:after="0"/>
              <w:rPr>
                <w:sz w:val="24"/>
                <w:szCs w:val="24"/>
                <w:color w:val="auto"/>
              </w:rPr>
            </w:pPr>
          </w:p>
        </w:tc>
        <w:tc>
          <w:tcPr>
            <w:tcW w:w="27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56"/>
        </w:trPr>
        <w:tc>
          <w:tcPr>
            <w:tcW w:w="5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81,683</w:t>
            </w:r>
          </w:p>
        </w:tc>
      </w:tr>
      <w:tr>
        <w:trPr>
          <w:trHeight w:val="230"/>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gains</w:t>
            </w:r>
          </w:p>
        </w:tc>
        <w:tc>
          <w:tcPr>
            <w:tcW w:w="96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30"/>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losses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loans as compared to past periods. These fixed rate mortgage loans generally have terms from 15 to 30 years, do not have prepayment penalties and expose us to more interest rate risk. (See “Asset/liability management.”).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PPP, is a short-term, forgivable loan program primarily intended to help businesses impacted by COVID-19 to continue paying their employees. See note #4 to the Condensed Consolidated Financial Statements included within this report for further discussion of the PPP.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our participation in the PPP (which ended on May 31, 2021 for new loans) follows: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Activity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40" w:type="dxa"/>
            <w:vAlign w:val="bottom"/>
          </w:tcPr>
          <w:p>
            <w:pPr>
              <w:spacing w:after="0"/>
              <w:rPr>
                <w:sz w:val="24"/>
                <w:szCs w:val="2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September 30, 2021</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Amount (#)</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 (#)</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and outstanding at quarter end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90,150</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fees accreted into interest income for the quarter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fees accreted into interest income year-to-date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0" w:type="dxa"/>
            <w:vAlign w:val="bottom"/>
          </w:tcPr>
          <w:p>
            <w:pPr>
              <w:spacing w:after="0"/>
              <w:rPr>
                <w:sz w:val="1"/>
                <w:szCs w:val="1"/>
                <w:color w:val="auto"/>
              </w:rPr>
            </w:pP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Unaccreted net fees remaining at quarter end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90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Portfolio Loans follows: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2"/>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estate(1)</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870,169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128,801</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278,992</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Other(2)</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726,224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555,696</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339,785</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3,409,858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5"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secured by multi-family residential and non-farm, non-residential property.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Non-performing assets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9"/>
        </w:trPr>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6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r>
      <w:tr>
        <w:trPr>
          <w:trHeight w:val="248"/>
        </w:trPr>
        <w:tc>
          <w:tcPr>
            <w:tcW w:w="6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a percent of non-performing loans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924.70</w:t>
            </w:r>
          </w:p>
        </w:tc>
      </w:tr>
      <w:tr>
        <w:trPr>
          <w:trHeight w:val="555"/>
        </w:trPr>
        <w:tc>
          <w:tcPr>
            <w:tcW w:w="63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Excludes loans classified as "troubled debt restructured" that are not past due.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Troubled debt restructurings ("TDR")</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6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3"/>
        </w:trPr>
        <w:tc>
          <w:tcPr>
            <w:tcW w:w="6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Retail (1)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 (2)</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1,063 </w:t>
            </w:r>
            <w:r>
              <w:rPr>
                <w:rFonts w:ascii="Times New Roman" w:cs="Times New Roman" w:eastAsia="Times New Roman" w:hAnsi="Times New Roman"/>
                <w:sz w:val="9"/>
                <w:szCs w:val="9"/>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48"/>
        </w:trPr>
        <w:tc>
          <w:tcPr>
            <w:tcW w:w="6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6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3"/>
        </w:trPr>
        <w:tc>
          <w:tcPr>
            <w:tcW w:w="6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Retail (1)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 (2)</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9"/>
                <w:szCs w:val="9"/>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6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assets table above.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decreased by $1.3 million since year-end 2021, reflecting improving economic conditions and our ongoing collection efforts. Our collection and resolution efforts have generally resulted in a positive trend in non-performing loans.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exclude performing loans that are classified as TDRs. Performing TDRs totaled $31.3 million, or 0.9% of total Portfolio Loans, and $36.1 million, or 1.2% of total Portfolio Loans, at September 30, 2022 and December 31, 2021, respectively. The decrease in the amount of performing TDRs in the first nine months of 2022 reflects a decrease in both commercial and retail performing TDRs.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real estate and repossessed assets totaled $0.3 million and $0.2 million at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49" w:lineRule="exact"/>
        <w:rPr>
          <w:sz w:val="20"/>
          <w:szCs w:val="20"/>
          <w:color w:val="auto"/>
        </w:rPr>
      </w:pPr>
    </w:p>
    <w:p>
      <w:pPr>
        <w:ind w:right="480"/>
        <w:spacing w:after="0" w:line="477" w:lineRule="auto"/>
        <w:rPr>
          <w:sz w:val="20"/>
          <w:szCs w:val="20"/>
          <w:color w:val="auto"/>
        </w:rPr>
      </w:pPr>
      <w:r>
        <w:rPr>
          <w:rFonts w:ascii="Times New Roman" w:cs="Times New Roman" w:eastAsia="Times New Roman" w:hAnsi="Times New Roman"/>
          <w:sz w:val="18"/>
          <w:szCs w:val="18"/>
          <w:color w:val="auto"/>
        </w:rPr>
        <w:t xml:space="preserve">The following tables reflect activity in our ACL on loans and ACL for unfunded lending commitments as well as the allocation of our ACL on loans. </w:t>
      </w:r>
      <w:r>
        <w:rPr>
          <w:rFonts w:ascii="Times New Roman" w:cs="Times New Roman" w:eastAsia="Times New Roman" w:hAnsi="Times New Roman"/>
          <w:sz w:val="18"/>
          <w:szCs w:val="18"/>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spacing w:after="0"/>
              <w:rPr>
                <w:sz w:val="20"/>
                <w:szCs w:val="20"/>
                <w:color w:val="auto"/>
              </w:rPr>
            </w:pPr>
          </w:p>
        </w:tc>
      </w:tr>
      <w:tr>
        <w:trPr>
          <w:trHeight w:val="178"/>
        </w:trPr>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Unfunded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9"/>
              </w:rPr>
              <w:t>Unfunded</w:t>
            </w:r>
          </w:p>
        </w:tc>
      </w:tr>
      <w:tr>
        <w:trPr>
          <w:trHeight w:val="234"/>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Commitments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Commitments</w:t>
            </w:r>
          </w:p>
        </w:tc>
      </w:tr>
      <w:tr>
        <w:trPr>
          <w:trHeight w:val="223"/>
        </w:trPr>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(deductions)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Initial allowance on loans purchased with credit deterioration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3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included in non-interest expense</w:t>
            </w:r>
          </w:p>
        </w:tc>
        <w:tc>
          <w:tcPr>
            <w:tcW w:w="3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4"/>
        </w:trPr>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loans charged (recovered) against the allowance to average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4"/>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Portfolio Loans</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 on Loans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9"/>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7"/>
        </w:trPr>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0"/>
        </w:trPr>
        <w:tc>
          <w:tcPr>
            <w:tcW w:w="4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increased $3.9 million to $51.1 million at September 30, 2022 from $47.3 million at December 31, 2021 and was equal to 1.50% and 1.63% of total Portfolio Loans at September 30, 2022 and December 31, 2021,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December 31, 2021 the ACL related to specific loans decreased $0.3 million due primarily to a $1.5 million decrease in the amount of such loans. The ACL related to subjective factors was nearly unchanged as lower reserve allocations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reflecting a decrease in risk related to the COVID-19 pandemic was offset by loan growth. The ACL related to pooled analysis of loans increased $4.2 million due primarily to loan growth and risk rating mix.</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Deposits and borrowings. </w:t>
      </w:r>
      <w:r>
        <w:rPr>
          <w:rFonts w:ascii="Times New Roman" w:cs="Times New Roman" w:eastAsia="Times New Roman" w:hAnsi="Times New Roman"/>
          <w:sz w:val="18"/>
          <w:szCs w:val="18"/>
          <w:color w:val="auto"/>
        </w:rPr>
        <w:t>Historically, the loyalty of our customer base has allowed us to price deposits competitively, contributing to a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Deposits totaled $4.33 billion and $4.12 billion at September 30, 2022 and December 31, 2021, respectively. The increase in deposits is primarily due to growth in non-interest bearing, savings and interest bearing checking deposits, reciprocal deposits and brokered deposits. Reciprocal deposits totaled $616.4 million and $586.6 million at September 30, 2022 and December 31, 2021,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At September 30, 2022, we had approximately $1.08 billion of uninsured deposits. A reduction in core deposits would likely increase our need to rely on wholesale funding sources.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borrowings, comprised primarily of FRB and FHLB borrowings, totaled $86.7 million and $30.0 million at September 30, 2022 and December 31, 2021, respectively.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we have utilized wholesale funding, including federal funds purchased, FHLB and FRB borrowings and Brokered CDs to augment our core deposits and fund a portion of our assets. At September 30, 2022, our use of such wholesale funding sources (including reciprocal deposits) amounted to approximately $771.3 million, or 17.5%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employed derivative financial instruments to manage our exposure to changes in interest rates. During the first nine months of 2022 and 2021, we entered into $74.1 million and $34.8 million (aggregate notional amounts), respectively, of interest rate swaps with commercial loan customers, which were offset with interest rate swaps that the Bank entered into with a broker-dealer. We recorded $0.9 million and $0.5 million of fee income related to these transactions during the first nine months of 2022 and 2021, respectively. See note #6 to the Condensed Consolidated Financial Statements included within this report for more information on our derivative financial instruments.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2022, we had $342.3 million of time deposits that mature in the next 12 months. Historically, a majority of these maturing time deposits are renewed by our customers. Additionally, $3.92 billion of our deposits at September 30, 2022,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$50.0 million as of September 30, 2022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78,368</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323,401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476,852</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September 30, 2022 balance of $39.4 million is net of remaining unamortized deferred issuance costs of approximately $0.6 million that are being amortized through the maturity date into interest expense on other borrowings and subordinated debt and debentures in our Condensed Consolidated Statements of Operations.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four special purpose entities with $39.6 million of outstanding cumulative trust preferred securities as of September 30, 2022. These special purpose entities issued common securities and provided cash to our parent company that in turn issued subordinated debentures to these special purpose entities equal to the trust preferred securities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securities. The subordinated debentures represent the sole asset of the special purpose entities. The common securities and subordinated debentures are included in our Condensed Consolidated Statements of Financial Condition.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2022 and December 31, 2021.</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shareholders’ equity decreased to $332.3 million at September 30, 2022, from $398.5 million at December 31, 2021. The decrease is primarily due to a $97.5 million decrease in accumulated other comprehensive income (loss) related to unrealized losses on securities AFS, share repurchases and cash dividend payments that were partially offset by net income. Our tangible common equity (“TCE”) totaled $301.3 million and $366.8 million, respectively, at those same dates. Our ratio of TCE to tangible assets was 6.15% and 7.85% at September 30, 2022, and December 31, 2021, respectively. TCE and the ratio of TCE to tangible assets are non-GAAP measures. TCE represents total common equity less goodwill and other intangible assets.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our Board of Directors authorized a 2022 share repurchase plan. Under the terms of the 2022 share repurchase plan, we are authorized to buy back up to 1,100,000, or approximately 5% of our outstanding common stock. During the first nine months of 2022, the Company repurchased 181,586 shares at a weighted average purchase price of $22.08 per share.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quarterly cash dividend on our common stock. These dividends totaled $0.66 per share and $0.63 per share in the first nine months of 2022 and 2021, respectively. We generally favor a dividend payout ratio between 30% and 50% of net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our Bank (and holding company) continued to meet the requirements to be considered “well-capitalized” under federal regulatory standards (also see note #10 to the Condensed Consolidated Financial Statements included within this report).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2022, both our interest rate risk profile as measured by our short term earnings simulation and our longer term interest rate risk measure based on changes in economic value indicates exposure to rising rates. The shift is primarily due to an increase in asset duration attributed to growth in portfolio mortgage loans combined with lower cash and security AFS and HTM balances. However, we are carefully monitoring the change in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15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Equity(1)</w:t>
            </w: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Income(2)</w:t>
            </w: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401,100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170,400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436,300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170,700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469,900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170,000</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498,900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167,800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512,300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164,100</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514,200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137,800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550,900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136,800</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546,200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133,400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473,000</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126,700</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98" w:lineRule="exact"/>
        <w:rPr>
          <w:sz w:val="20"/>
          <w:szCs w:val="20"/>
          <w:color w:val="auto"/>
        </w:rPr>
      </w:pPr>
    </w:p>
    <w:p>
      <w:pPr>
        <w:jc w:val="both"/>
        <w:ind w:left="340" w:hanging="332"/>
        <w:spacing w:after="0" w:line="257"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update. </w:t>
      </w:r>
      <w:r>
        <w:rPr>
          <w:rFonts w:ascii="Times New Roman" w:cs="Times New Roman" w:eastAsia="Times New Roman" w:hAnsi="Times New Roman"/>
          <w:sz w:val="18"/>
          <w:szCs w:val="18"/>
          <w:color w:val="auto"/>
        </w:rPr>
        <w:t>See note #2 to the Condensed Consolidated Financial Statements included elsewhere in this report for details on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accounting pronouncements and their impact on our interim condensed consolidated financial statements.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valuation of financial instruments. </w:t>
      </w:r>
      <w:r>
        <w:rPr>
          <w:rFonts w:ascii="Times New Roman" w:cs="Times New Roman" w:eastAsia="Times New Roman" w:hAnsi="Times New Roman"/>
          <w:sz w:val="18"/>
          <w:szCs w:val="18"/>
          <w:color w:val="auto"/>
        </w:rPr>
        <w:t>Financial Accounting Standards Board (“FASB”) Accounting Standards Codification (“ASC”) Topic 820 -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ITIGATION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losses that are reasonably possible is insignificant. However, because of a number of factors, including the fact that certain of these litigation matters are still in their early stages, this maximum amount may change in the future.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ISCLOSURES ABOUT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applicable disclosures set forth in “Management’s Discussion and Analysis of Financial Condition and Results of Operations” in Item 2 under the caption “Asset/liability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8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84"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2022, have concluded that, as of such date, our disclosure controls and procedures were effective.</w:t>
      </w:r>
    </w:p>
    <w:p>
      <w:pPr>
        <w:spacing w:after="0" w:line="14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184"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2022,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-119380</wp:posOffset>
            </wp:positionV>
            <wp:extent cx="60833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2022, the Company issued 427 shares of common stock to non-employee directors on a current basis and 4,495 shares of common stock to the trust for distribution to directors on a deferred basis. These shares were issued on July 1, 2022 representing aggregate fees of $0.09 million. The shares on a current basis were issued at a price of $19.28 per share and the shares on a deferred basis were issued at a price of $17.35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repurchases of common stock for the three-months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51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Authorized</w:t>
            </w:r>
          </w:p>
        </w:tc>
      </w:tr>
      <w:tr>
        <w:trPr>
          <w:trHeight w:val="216"/>
        </w:trPr>
        <w:tc>
          <w:tcPr>
            <w:tcW w:w="51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 Price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61"/>
        </w:trPr>
        <w:tc>
          <w:tcPr>
            <w:tcW w:w="5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Paid Per Share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includes 1,666 shares withheld from the shares that would otherwise have been issued to certain officers in order to satisfy the tax withholding obligations and stock option exercise price resulting from the exercise of stock options.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pacing w:after="0" w:line="239" w:lineRule="exact"/>
        <w:rPr>
          <w:sz w:val="20"/>
          <w:szCs w:val="20"/>
          <w:color w:val="auto"/>
        </w:rPr>
      </w:pPr>
    </w:p>
    <w:p>
      <w:pPr>
        <w:ind w:left="920" w:hanging="566"/>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8"/>
          <w:szCs w:val="18"/>
          <w:color w:val="auto"/>
        </w:rPr>
      </w:pPr>
    </w:p>
    <w:p>
      <w:pPr>
        <w:ind w:left="1600" w:hanging="68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 (18 U.S.C. 1350).</w:t>
      </w:r>
    </w:p>
    <w:p>
      <w:pPr>
        <w:spacing w:after="0" w:line="10" w:lineRule="exact"/>
        <w:rPr>
          <w:rFonts w:ascii="Times New Roman" w:cs="Times New Roman" w:eastAsia="Times New Roman" w:hAnsi="Times New Roman"/>
          <w:sz w:val="18"/>
          <w:szCs w:val="18"/>
          <w:color w:val="auto"/>
        </w:rPr>
      </w:pPr>
    </w:p>
    <w:p>
      <w:pPr>
        <w:ind w:left="160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 (18 U.S.C. 1350).</w:t>
      </w:r>
    </w:p>
    <w:p>
      <w:pPr>
        <w:spacing w:after="0" w:line="9" w:lineRule="exact"/>
        <w:rPr>
          <w:rFonts w:ascii="Times New Roman" w:cs="Times New Roman" w:eastAsia="Times New Roman" w:hAnsi="Times New Roman"/>
          <w:sz w:val="18"/>
          <w:szCs w:val="18"/>
          <w:color w:val="auto"/>
        </w:rPr>
      </w:pPr>
    </w:p>
    <w:p>
      <w:pPr>
        <w:ind w:left="160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 (18 U.S.C. 1350).</w:t>
      </w:r>
    </w:p>
    <w:p>
      <w:pPr>
        <w:spacing w:after="0" w:line="9" w:lineRule="exact"/>
        <w:rPr>
          <w:rFonts w:ascii="Times New Roman" w:cs="Times New Roman" w:eastAsia="Times New Roman" w:hAnsi="Times New Roman"/>
          <w:sz w:val="18"/>
          <w:szCs w:val="18"/>
          <w:color w:val="auto"/>
        </w:rPr>
      </w:pPr>
    </w:p>
    <w:p>
      <w:pPr>
        <w:ind w:left="160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600" w:hanging="683"/>
        <w:spacing w:after="0" w:line="237" w:lineRule="auto"/>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600" w:hanging="683"/>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600" w:hanging="683"/>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Inline XBRL Taxonomy Extension Calculation Linkbase Document</w:t>
      </w:r>
    </w:p>
    <w:p>
      <w:pPr>
        <w:spacing w:after="0" w:line="23" w:lineRule="exact"/>
        <w:rPr>
          <w:sz w:val="20"/>
          <w:szCs w:val="20"/>
          <w:color w:val="auto"/>
        </w:rPr>
      </w:pPr>
    </w:p>
    <w:p>
      <w:pPr>
        <w:ind w:left="1600" w:hanging="683"/>
        <w:spacing w:after="0"/>
        <w:tabs>
          <w:tab w:leader="none" w:pos="1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600" w:hanging="683"/>
        <w:spacing w:after="0"/>
        <w:tabs>
          <w:tab w:leader="none" w:pos="1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Inline XBRL Taxonomy Extension Label Linkbase Document</w:t>
      </w:r>
    </w:p>
    <w:p>
      <w:pPr>
        <w:spacing w:after="0" w:line="23" w:lineRule="exact"/>
        <w:rPr>
          <w:sz w:val="20"/>
          <w:szCs w:val="20"/>
          <w:color w:val="auto"/>
        </w:rPr>
      </w:pPr>
    </w:p>
    <w:p>
      <w:pPr>
        <w:ind w:left="1600" w:hanging="683"/>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600" w:hanging="683"/>
        <w:spacing w:after="0"/>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tabs>
          <w:tab w:leader="none" w:pos="2260" w:val="left"/>
          <w:tab w:leader="none" w:pos="602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7805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Gavin A. Mohr, Principal Financial Officer</w:t>
      </w:r>
    </w:p>
    <w:p>
      <w:pPr>
        <w:spacing w:after="0" w:line="293" w:lineRule="exact"/>
        <w:rPr>
          <w:sz w:val="20"/>
          <w:szCs w:val="20"/>
          <w:color w:val="auto"/>
        </w:rPr>
      </w:pPr>
    </w:p>
    <w:p>
      <w:pPr>
        <w:ind w:left="20"/>
        <w:spacing w:after="0"/>
        <w:tabs>
          <w:tab w:leader="none" w:pos="2260" w:val="left"/>
          <w:tab w:leader="none" w:pos="602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780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9" w:right="339" w:bottom="1440" w:gutter="0" w:footer="0" w:header="0"/>
        </w:sectPr>
      </w:pPr>
    </w:p>
    <w:bookmarkStart w:id="77" w:name="page78"/>
    <w:bookmarkEnd w:id="77"/>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18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306"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07" w:right="339" w:bottom="1440" w:gutter="0" w:footer="0" w:header="0"/>
        </w:sectPr>
      </w:pPr>
    </w:p>
    <w:bookmarkStart w:id="78" w:name="page79"/>
    <w:bookmarkEnd w:id="78"/>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18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Gavin A. Mohr</w:t>
            </w:r>
          </w:p>
        </w:tc>
      </w:tr>
      <w:tr>
        <w:trPr>
          <w:trHeight w:val="234"/>
        </w:trPr>
        <w:tc>
          <w:tcPr>
            <w:tcW w:w="616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135" w:lineRule="exact"/>
        <w:rPr>
          <w:sz w:val="20"/>
          <w:szCs w:val="20"/>
          <w:color w:val="auto"/>
        </w:rPr>
      </w:pPr>
    </w:p>
    <w:p>
      <w:pPr>
        <w:ind w:left="1300" w:hanging="644"/>
        <w:spacing w:after="0" w:line="282" w:lineRule="auto"/>
        <w:tabs>
          <w:tab w:leader="none" w:pos="12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2022, which this statement accompanies, fully complies with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30, 2022, fairly presents, in all material respects, the financial condition and results of operations of Independent Bank Corporation.</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B. Kessel</w:t>
            </w:r>
          </w:p>
        </w:tc>
      </w:tr>
      <w:tr>
        <w:trPr>
          <w:trHeight w:val="218"/>
        </w:trPr>
        <w:tc>
          <w:tcPr>
            <w:tcW w:w="616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6160" w:type="dxa"/>
            <w:vAlign w:val="bottom"/>
          </w:tcPr>
          <w:p>
            <w:pPr>
              <w:spacing w:after="0"/>
              <w:rPr>
                <w:sz w:val="20"/>
                <w:szCs w:val="20"/>
                <w:color w:val="auto"/>
              </w:rPr>
            </w:pPr>
          </w:p>
        </w:tc>
        <w:tc>
          <w:tcPr>
            <w:tcW w:w="5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to the best of my knowledge and belief, pursuant to Section 906 of the Sarbanes-Oxley Act of 2002 (18 U.S.C. 1350) that:</w:t>
      </w:r>
    </w:p>
    <w:p>
      <w:pPr>
        <w:spacing w:after="0" w:line="135" w:lineRule="exact"/>
        <w:rPr>
          <w:sz w:val="20"/>
          <w:szCs w:val="20"/>
          <w:color w:val="auto"/>
        </w:rPr>
      </w:pPr>
    </w:p>
    <w:p>
      <w:pPr>
        <w:ind w:left="1300" w:hanging="644"/>
        <w:spacing w:after="0" w:line="282" w:lineRule="auto"/>
        <w:tabs>
          <w:tab w:leader="none" w:pos="12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2022, which this statement accompanies, fully complies with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30, 2022, fairly presents, in all material respects, the financial condition and results of operations of Independent Bank Corporation.</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Gavin A. Mohr</w:t>
            </w:r>
          </w:p>
        </w:tc>
      </w:tr>
      <w:tr>
        <w:trPr>
          <w:trHeight w:val="234"/>
        </w:trPr>
        <w:tc>
          <w:tcPr>
            <w:tcW w:w="616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upperLetter"/>
      <w:start w:val="68"/>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lvl w:ilvl="1">
      <w:lvlJc w:val="left"/>
      <w:lvlText w:val="(%2)"/>
      <w:numFmt w:val="decimal"/>
      <w:start w:val="1"/>
    </w:lvl>
  </w:abstractNum>
  <w:abstractNum w:abstractNumId="15">
    <w:nsid w:val="3006C83E"/>
    <w:multiLevelType w:val="hybridMultilevel"/>
    <w:lvl w:ilvl="0">
      <w:lvlJc w:val="left"/>
      <w:lvlText w:val="%1."/>
      <w:numFmt w:val="decimal"/>
      <w:start w:val="11"/>
    </w:lvl>
    <w:lvl w:ilvl="1">
      <w:lvlJc w:val="left"/>
      <w:lvlText w:val="%2"/>
      <w:numFmt w:val="decimal"/>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3"/>
    </w:lvl>
  </w:abstractNum>
  <w:abstractNum w:abstractNumId="24">
    <w:nsid w:val="5C482A97"/>
    <w:multiLevelType w:val="hybridMultilevel"/>
    <w:lvl w:ilvl="0">
      <w:lvlJc w:val="left"/>
      <w:lvlText w:val="%1."/>
      <w:numFmt w:val="decimal"/>
      <w:start w:val="14"/>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lvl w:ilvl="1">
      <w:lvlJc w:val="left"/>
      <w:lvlText w:val="(%2)"/>
      <w:numFmt w:val="decimal"/>
      <w:start w:val="58"/>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5"/>
    </w:lvl>
  </w:abstractNum>
  <w:abstractNum w:abstractNumId="30">
    <w:nsid w:val="153EA438"/>
    <w:multiLevelType w:val="hybridMultilevel"/>
    <w:lvl w:ilvl="0">
      <w:lvlJc w:val="left"/>
      <w:lvlText w:val="%1."/>
      <w:numFmt w:val="decimal"/>
      <w:start w:val="16"/>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01"/>
    </w:lvl>
  </w:abstractNum>
  <w:abstractNum w:abstractNumId="41">
    <w:nsid w:val="542289EC"/>
    <w:multiLevelType w:val="hybridMultilevel"/>
    <w:lvl w:ilvl="0">
      <w:lvlJc w:val="left"/>
      <w:lvlText w:val="%1."/>
      <w:numFmt w:val="decimal"/>
      <w:start w:val="101"/>
    </w:lvl>
  </w:abstractNum>
  <w:abstractNum w:abstractNumId="42">
    <w:nsid w:val="6DE91B18"/>
    <w:multiLevelType w:val="hybridMultilevel"/>
    <w:lvl w:ilvl="0">
      <w:lvlJc w:val="left"/>
      <w:lvlText w:val="%1."/>
      <w:numFmt w:val="decimal"/>
      <w:start w:val="101"/>
    </w:lvl>
  </w:abstractNum>
  <w:abstractNum w:abstractNumId="43">
    <w:nsid w:val="38437FDB"/>
    <w:multiLevelType w:val="hybridMultilevel"/>
    <w:lvl w:ilvl="0">
      <w:lvlJc w:val="left"/>
      <w:lvlText w:val="%1."/>
      <w:numFmt w:val="decimal"/>
      <w:start w:val="101"/>
    </w:lvl>
  </w:abstractNum>
  <w:abstractNum w:abstractNumId="44">
    <w:nsid w:val="7644A45C"/>
    <w:multiLevelType w:val="hybridMultilevel"/>
    <w:lvl w:ilvl="0">
      <w:lvlJc w:val="left"/>
      <w:lvlText w:val="%1."/>
      <w:numFmt w:val="decimal"/>
      <w:start w:val="101"/>
    </w:lvl>
  </w:abstractNum>
  <w:abstractNum w:abstractNumId="45">
    <w:nsid w:val="32FFF902"/>
    <w:multiLevelType w:val="hybridMultilevel"/>
    <w:lvl w:ilvl="0">
      <w:lvlJc w:val="left"/>
      <w:lvlText w:val="%1."/>
      <w:numFmt w:val="decimal"/>
      <w:start w:val="101"/>
    </w:lvl>
  </w:abstractNum>
  <w:abstractNum w:abstractNumId="46">
    <w:nsid w:val="684A481A"/>
    <w:multiLevelType w:val="hybridMultilevel"/>
    <w:lvl w:ilvl="0">
      <w:lvlJc w:val="left"/>
      <w:lvlText w:val="%1"/>
      <w:numFmt w:val="decimal"/>
      <w:start w:val="10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2022-11-04T09:48:11Z</dcterms:created>
  <dcterms:modified xsi:type="dcterms:W3CDTF">2022-11-04T09:48:11Z</dcterms:modified>
</cp:coreProperties>
</file>