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134620</wp:posOffset>
            </wp:positionV>
            <wp:extent cx="717804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2286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214630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jc w:val="center"/>
        <w:spacing w:after="0"/>
        <w:rPr>
          <w:sz w:val="20"/>
          <w:szCs w:val="20"/>
          <w:color w:val="auto"/>
        </w:rPr>
      </w:pPr>
      <w:r>
        <w:rPr>
          <w:rFonts w:ascii="Arial" w:cs="Arial" w:eastAsia="Arial" w:hAnsi="Arial"/>
          <w:sz w:val="22"/>
          <w:szCs w:val="22"/>
          <w:b w:val="1"/>
          <w:bCs w:val="1"/>
          <w:color w:val="auto"/>
        </w:rPr>
        <w:t>FORM 10-K</w:t>
      </w:r>
    </w:p>
    <w:p>
      <w:pPr>
        <w:spacing w:after="0" w:line="150" w:lineRule="exact"/>
        <w:rPr>
          <w:sz w:val="24"/>
          <w:szCs w:val="24"/>
          <w:color w:val="auto"/>
        </w:rPr>
      </w:pPr>
    </w:p>
    <w:p>
      <w:pPr>
        <w:ind w:left="1860" w:hanging="168"/>
        <w:spacing w:after="0"/>
        <w:tabs>
          <w:tab w:leader="none" w:pos="18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Annual Report Pursuant to Section 13 or 15(d) of the Securities Exchange Act of 1934 for the fiscal year ended December 31, 2021 or</w:t>
      </w:r>
    </w:p>
    <w:tbl>
      <w:tblPr>
        <w:tblLayout w:type="fixed"/>
        <w:tblInd w:w="0" w:type="dxa"/>
        <w:tblCellMar>
          <w:top w:w="0" w:type="dxa"/>
          <w:left w:w="0" w:type="dxa"/>
          <w:bottom w:w="0" w:type="dxa"/>
          <w:right w:w="0" w:type="dxa"/>
        </w:tblCellMar>
      </w:tblPr>
      <w:tr>
        <w:trPr>
          <w:trHeight w:val="159"/>
        </w:trPr>
        <w:tc>
          <w:tcPr>
            <w:tcW w:w="8240" w:type="dxa"/>
            <w:vAlign w:val="bottom"/>
            <w:gridSpan w:val="2"/>
          </w:tcPr>
          <w:p>
            <w:pPr>
              <w:jc w:val="right"/>
              <w:ind w:right="20"/>
              <w:spacing w:after="0" w:line="159"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Transition Report Pursuant to Section 13 or 15(d) of the Securities Exchange Act of 1934 for the transition period from</w:t>
            </w:r>
          </w:p>
        </w:tc>
        <w:tc>
          <w:tcPr>
            <w:tcW w:w="3060" w:type="dxa"/>
            <w:vAlign w:val="bottom"/>
            <w:gridSpan w:val="2"/>
          </w:tcPr>
          <w:p>
            <w:pPr>
              <w:ind w:left="900"/>
              <w:spacing w:after="0" w:line="159" w:lineRule="exact"/>
              <w:rPr>
                <w:sz w:val="20"/>
                <w:szCs w:val="20"/>
                <w:color w:val="auto"/>
              </w:rPr>
            </w:pPr>
            <w:r>
              <w:rPr>
                <w:rFonts w:ascii="Arial" w:cs="Arial" w:eastAsia="Arial" w:hAnsi="Arial"/>
                <w:sz w:val="14"/>
                <w:szCs w:val="14"/>
                <w:color w:val="auto"/>
              </w:rPr>
              <w:t>to_____________</w:t>
            </w:r>
          </w:p>
        </w:tc>
      </w:tr>
      <w:tr>
        <w:trPr>
          <w:trHeight w:val="313"/>
        </w:trPr>
        <w:tc>
          <w:tcPr>
            <w:tcW w:w="2040" w:type="dxa"/>
            <w:vAlign w:val="bottom"/>
          </w:tcPr>
          <w:p>
            <w:pPr>
              <w:spacing w:after="0"/>
              <w:rPr>
                <w:sz w:val="20"/>
                <w:szCs w:val="20"/>
                <w:color w:val="auto"/>
              </w:rPr>
            </w:pPr>
            <w:r>
              <w:rPr>
                <w:rFonts w:ascii="Arial" w:cs="Arial" w:eastAsia="Arial" w:hAnsi="Arial"/>
                <w:sz w:val="12"/>
                <w:szCs w:val="12"/>
                <w:color w:val="auto"/>
              </w:rPr>
              <w:t>Commission file number</w:t>
            </w:r>
          </w:p>
        </w:tc>
        <w:tc>
          <w:tcPr>
            <w:tcW w:w="6200" w:type="dxa"/>
            <w:vAlign w:val="bottom"/>
            <w:tcBorders>
              <w:bottom w:val="single" w:sz="8" w:color="auto"/>
            </w:tcBorders>
          </w:tcPr>
          <w:p>
            <w:pPr>
              <w:jc w:val="right"/>
              <w:ind w:right="1340"/>
              <w:spacing w:after="0"/>
              <w:rPr>
                <w:sz w:val="20"/>
                <w:szCs w:val="20"/>
                <w:color w:val="auto"/>
              </w:rPr>
            </w:pPr>
            <w:r>
              <w:rPr>
                <w:rFonts w:ascii="Arial" w:cs="Arial" w:eastAsia="Arial" w:hAnsi="Arial"/>
                <w:sz w:val="12"/>
                <w:szCs w:val="12"/>
                <w:color w:val="auto"/>
              </w:rPr>
              <w:t>0-7818</w:t>
            </w:r>
          </w:p>
        </w:tc>
        <w:tc>
          <w:tcPr>
            <w:tcW w:w="900" w:type="dxa"/>
            <w:vAlign w:val="bottom"/>
            <w:tcBorders>
              <w:top w:val="single" w:sz="8" w:color="auto"/>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r>
    </w:tbl>
    <w:p>
      <w:pPr>
        <w:spacing w:after="0" w:line="1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INDEPENDENT BANK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78040" cy="11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(Exact name of Registrant as specified in its charter)</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153"/>
        </w:trPr>
        <w:tc>
          <w:tcPr>
            <w:tcW w:w="3920" w:type="dxa"/>
            <w:vAlign w:val="bottom"/>
            <w:tcBorders>
              <w:bottom w:val="single" w:sz="8" w:color="auto"/>
            </w:tcBorders>
          </w:tcPr>
          <w:p>
            <w:pPr>
              <w:jc w:val="center"/>
              <w:ind w:left="1600"/>
              <w:spacing w:after="0"/>
              <w:rPr>
                <w:sz w:val="20"/>
                <w:szCs w:val="20"/>
                <w:color w:val="auto"/>
              </w:rPr>
            </w:pPr>
            <w:r>
              <w:rPr>
                <w:rFonts w:ascii="Arial" w:cs="Arial" w:eastAsia="Arial" w:hAnsi="Arial"/>
                <w:sz w:val="12"/>
                <w:szCs w:val="12"/>
                <w:color w:val="auto"/>
                <w:w w:val="95"/>
              </w:rPr>
              <w:t>Michigan</w:t>
            </w:r>
          </w:p>
        </w:tc>
        <w:tc>
          <w:tcPr>
            <w:tcW w:w="16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00" w:type="dxa"/>
            <w:vAlign w:val="bottom"/>
            <w:tcBorders>
              <w:bottom w:val="single" w:sz="8" w:color="auto"/>
            </w:tcBorders>
          </w:tcPr>
          <w:p>
            <w:pPr>
              <w:spacing w:after="0"/>
              <w:rPr>
                <w:sz w:val="13"/>
                <w:szCs w:val="13"/>
                <w:color w:val="auto"/>
              </w:rPr>
            </w:pPr>
          </w:p>
        </w:tc>
        <w:tc>
          <w:tcPr>
            <w:tcW w:w="3800" w:type="dxa"/>
            <w:vAlign w:val="bottom"/>
            <w:tcBorders>
              <w:bottom w:val="single" w:sz="8" w:color="auto"/>
            </w:tcBorders>
          </w:tcPr>
          <w:p>
            <w:pPr>
              <w:jc w:val="right"/>
              <w:ind w:right="2400"/>
              <w:spacing w:after="0"/>
              <w:rPr>
                <w:sz w:val="20"/>
                <w:szCs w:val="20"/>
                <w:color w:val="auto"/>
              </w:rPr>
            </w:pPr>
            <w:r>
              <w:rPr>
                <w:rFonts w:ascii="Arial" w:cs="Arial" w:eastAsia="Arial" w:hAnsi="Arial"/>
                <w:sz w:val="12"/>
                <w:szCs w:val="12"/>
                <w:color w:val="auto"/>
              </w:rPr>
              <w:t>38-2032782</w:t>
            </w:r>
          </w:p>
        </w:tc>
      </w:tr>
      <w:tr>
        <w:trPr>
          <w:trHeight w:val="151"/>
        </w:trPr>
        <w:tc>
          <w:tcPr>
            <w:tcW w:w="3920" w:type="dxa"/>
            <w:vAlign w:val="bottom"/>
          </w:tcPr>
          <w:p>
            <w:pPr>
              <w:jc w:val="center"/>
              <w:ind w:left="1600"/>
              <w:spacing w:after="0"/>
              <w:rPr>
                <w:sz w:val="20"/>
                <w:szCs w:val="20"/>
                <w:color w:val="auto"/>
              </w:rPr>
            </w:pPr>
            <w:r>
              <w:rPr>
                <w:rFonts w:ascii="Arial" w:cs="Arial" w:eastAsia="Arial" w:hAnsi="Arial"/>
                <w:sz w:val="12"/>
                <w:szCs w:val="12"/>
                <w:color w:val="auto"/>
                <w:w w:val="92"/>
              </w:rPr>
              <w:t>(State or other jurisdiction of incorporation)</w:t>
            </w:r>
          </w:p>
        </w:tc>
        <w:tc>
          <w:tcPr>
            <w:tcW w:w="1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800" w:type="dxa"/>
            <w:vAlign w:val="bottom"/>
          </w:tcPr>
          <w:p>
            <w:pPr>
              <w:jc w:val="right"/>
              <w:ind w:right="1840"/>
              <w:spacing w:after="0"/>
              <w:rPr>
                <w:sz w:val="20"/>
                <w:szCs w:val="20"/>
                <w:color w:val="auto"/>
              </w:rPr>
            </w:pPr>
            <w:r>
              <w:rPr>
                <w:rFonts w:ascii="Arial" w:cs="Arial" w:eastAsia="Arial" w:hAnsi="Arial"/>
                <w:sz w:val="12"/>
                <w:szCs w:val="12"/>
                <w:color w:val="auto"/>
              </w:rPr>
              <w:t>(I.R.S. employer identification no.)</w:t>
            </w:r>
          </w:p>
        </w:tc>
      </w:tr>
      <w:tr>
        <w:trPr>
          <w:trHeight w:val="304"/>
        </w:trPr>
        <w:tc>
          <w:tcPr>
            <w:tcW w:w="3920" w:type="dxa"/>
            <w:vAlign w:val="bottom"/>
            <w:tcBorders>
              <w:bottom w:val="single" w:sz="8" w:color="auto"/>
            </w:tcBorders>
          </w:tcPr>
          <w:p>
            <w:pPr>
              <w:jc w:val="center"/>
              <w:ind w:left="1540"/>
              <w:spacing w:after="0"/>
              <w:rPr>
                <w:sz w:val="20"/>
                <w:szCs w:val="20"/>
                <w:color w:val="auto"/>
              </w:rPr>
            </w:pPr>
            <w:r>
              <w:rPr>
                <w:rFonts w:ascii="Arial" w:cs="Arial" w:eastAsia="Arial" w:hAnsi="Arial"/>
                <w:sz w:val="12"/>
                <w:szCs w:val="12"/>
                <w:color w:val="auto"/>
                <w:w w:val="91"/>
              </w:rPr>
              <w:t>4200 East Beltline, Grand Rapids, Michigan</w:t>
            </w:r>
          </w:p>
        </w:tc>
        <w:tc>
          <w:tcPr>
            <w:tcW w:w="16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jc w:val="right"/>
              <w:ind w:right="2560"/>
              <w:spacing w:after="0"/>
              <w:rPr>
                <w:sz w:val="20"/>
                <w:szCs w:val="20"/>
                <w:color w:val="auto"/>
              </w:rPr>
            </w:pPr>
            <w:r>
              <w:rPr>
                <w:rFonts w:ascii="Arial" w:cs="Arial" w:eastAsia="Arial" w:hAnsi="Arial"/>
                <w:sz w:val="12"/>
                <w:szCs w:val="12"/>
                <w:color w:val="auto"/>
              </w:rPr>
              <w:t>49525</w:t>
            </w:r>
          </w:p>
        </w:tc>
      </w:tr>
      <w:tr>
        <w:trPr>
          <w:trHeight w:val="153"/>
        </w:trPr>
        <w:tc>
          <w:tcPr>
            <w:tcW w:w="3920" w:type="dxa"/>
            <w:vAlign w:val="bottom"/>
          </w:tcPr>
          <w:p>
            <w:pPr>
              <w:jc w:val="center"/>
              <w:ind w:left="1560"/>
              <w:spacing w:after="0"/>
              <w:rPr>
                <w:sz w:val="20"/>
                <w:szCs w:val="20"/>
                <w:color w:val="auto"/>
              </w:rPr>
            </w:pPr>
            <w:r>
              <w:rPr>
                <w:rFonts w:ascii="Arial" w:cs="Arial" w:eastAsia="Arial" w:hAnsi="Arial"/>
                <w:sz w:val="12"/>
                <w:szCs w:val="12"/>
                <w:color w:val="auto"/>
                <w:w w:val="92"/>
              </w:rPr>
              <w:t>(Address of principal executive offices)</w:t>
            </w:r>
          </w:p>
        </w:tc>
        <w:tc>
          <w:tcPr>
            <w:tcW w:w="1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800" w:type="dxa"/>
            <w:vAlign w:val="bottom"/>
          </w:tcPr>
          <w:p>
            <w:pPr>
              <w:jc w:val="right"/>
              <w:ind w:right="2440"/>
              <w:spacing w:after="0"/>
              <w:rPr>
                <w:sz w:val="20"/>
                <w:szCs w:val="20"/>
                <w:color w:val="auto"/>
              </w:rPr>
            </w:pPr>
            <w:r>
              <w:rPr>
                <w:rFonts w:ascii="Arial" w:cs="Arial" w:eastAsia="Arial" w:hAnsi="Arial"/>
                <w:sz w:val="12"/>
                <w:szCs w:val="12"/>
                <w:color w:val="auto"/>
              </w:rPr>
              <w:t>(Zip Code)</w:t>
            </w:r>
          </w:p>
        </w:tc>
      </w:tr>
      <w:tr>
        <w:trPr>
          <w:trHeight w:val="153"/>
        </w:trPr>
        <w:tc>
          <w:tcPr>
            <w:tcW w:w="5660" w:type="dxa"/>
            <w:vAlign w:val="bottom"/>
            <w:gridSpan w:val="4"/>
          </w:tcPr>
          <w:p>
            <w:pPr>
              <w:spacing w:after="0"/>
              <w:rPr>
                <w:sz w:val="13"/>
                <w:szCs w:val="13"/>
                <w:color w:val="auto"/>
              </w:rPr>
            </w:pPr>
          </w:p>
        </w:tc>
        <w:tc>
          <w:tcPr>
            <w:tcW w:w="1840" w:type="dxa"/>
            <w:vAlign w:val="bottom"/>
            <w:gridSpan w:val="3"/>
          </w:tcPr>
          <w:p>
            <w:pPr>
              <w:spacing w:after="0"/>
              <w:rPr>
                <w:sz w:val="13"/>
                <w:szCs w:val="13"/>
                <w:color w:val="auto"/>
              </w:rPr>
            </w:pPr>
          </w:p>
        </w:tc>
        <w:tc>
          <w:tcPr>
            <w:tcW w:w="3800" w:type="dxa"/>
            <w:vAlign w:val="bottom"/>
          </w:tcPr>
          <w:p>
            <w:pPr>
              <w:spacing w:after="0"/>
              <w:rPr>
                <w:sz w:val="13"/>
                <w:szCs w:val="13"/>
                <w:color w:val="auto"/>
              </w:rPr>
            </w:pPr>
          </w:p>
        </w:tc>
      </w:tr>
      <w:tr>
        <w:trPr>
          <w:trHeight w:val="142"/>
        </w:trPr>
        <w:tc>
          <w:tcPr>
            <w:tcW w:w="5660" w:type="dxa"/>
            <w:vAlign w:val="bottom"/>
            <w:tcBorders>
              <w:right w:val="single" w:sz="8" w:color="auto"/>
            </w:tcBorders>
            <w:gridSpan w:val="4"/>
          </w:tcPr>
          <w:p>
            <w:pPr>
              <w:ind w:left="1580"/>
              <w:spacing w:after="0" w:line="133" w:lineRule="exact"/>
              <w:rPr>
                <w:sz w:val="20"/>
                <w:szCs w:val="20"/>
                <w:color w:val="auto"/>
              </w:rPr>
            </w:pPr>
            <w:r>
              <w:rPr>
                <w:rFonts w:ascii="Arial" w:cs="Arial" w:eastAsia="Arial" w:hAnsi="Arial"/>
                <w:sz w:val="12"/>
                <w:szCs w:val="12"/>
                <w:color w:val="auto"/>
              </w:rPr>
              <w:t>Registrant's telephone number, including area code</w:t>
            </w:r>
          </w:p>
        </w:tc>
        <w:tc>
          <w:tcPr>
            <w:tcW w:w="1840" w:type="dxa"/>
            <w:vAlign w:val="bottom"/>
            <w:tcBorders>
              <w:top w:val="single" w:sz="8" w:color="auto"/>
              <w:bottom w:val="single" w:sz="8" w:color="auto"/>
            </w:tcBorders>
            <w:gridSpan w:val="3"/>
          </w:tcPr>
          <w:p>
            <w:pPr>
              <w:spacing w:after="0"/>
              <w:rPr>
                <w:sz w:val="12"/>
                <w:szCs w:val="12"/>
                <w:color w:val="auto"/>
              </w:rPr>
            </w:pPr>
          </w:p>
        </w:tc>
        <w:tc>
          <w:tcPr>
            <w:tcW w:w="3800" w:type="dxa"/>
            <w:vAlign w:val="bottom"/>
            <w:tcBorders>
              <w:top w:val="single" w:sz="8" w:color="auto"/>
              <w:bottom w:val="single" w:sz="8" w:color="auto"/>
              <w:right w:val="single" w:sz="8" w:color="auto"/>
            </w:tcBorders>
          </w:tcPr>
          <w:p>
            <w:pPr>
              <w:jc w:val="right"/>
              <w:ind w:right="2400"/>
              <w:spacing w:after="0"/>
              <w:rPr>
                <w:sz w:val="20"/>
                <w:szCs w:val="20"/>
                <w:color w:val="auto"/>
              </w:rPr>
            </w:pPr>
            <w:r>
              <w:rPr>
                <w:rFonts w:ascii="Arial" w:cs="Arial" w:eastAsia="Arial" w:hAnsi="Arial"/>
                <w:sz w:val="12"/>
                <w:szCs w:val="12"/>
                <w:color w:val="auto"/>
              </w:rPr>
              <w:t>(616) 527-5820</w:t>
            </w:r>
          </w:p>
        </w:tc>
      </w:tr>
      <w:tr>
        <w:trPr>
          <w:trHeight w:val="180"/>
        </w:trPr>
        <w:tc>
          <w:tcPr>
            <w:tcW w:w="3920" w:type="dxa"/>
            <w:vAlign w:val="bottom"/>
          </w:tcPr>
          <w:p>
            <w:pPr>
              <w:spacing w:after="0"/>
              <w:rPr>
                <w:sz w:val="15"/>
                <w:szCs w:val="15"/>
                <w:color w:val="auto"/>
              </w:rPr>
            </w:pPr>
          </w:p>
        </w:tc>
        <w:tc>
          <w:tcPr>
            <w:tcW w:w="1740" w:type="dxa"/>
            <w:vAlign w:val="bottom"/>
            <w:gridSpan w:val="3"/>
          </w:tcPr>
          <w:p>
            <w:pPr>
              <w:ind w:left="60"/>
              <w:spacing w:after="0"/>
              <w:rPr>
                <w:sz w:val="20"/>
                <w:szCs w:val="20"/>
                <w:color w:val="auto"/>
              </w:rPr>
            </w:pPr>
            <w:r>
              <w:rPr>
                <w:rFonts w:ascii="Arial" w:cs="Arial" w:eastAsia="Arial" w:hAnsi="Arial"/>
                <w:sz w:val="14"/>
                <w:szCs w:val="14"/>
                <w:color w:val="auto"/>
                <w:w w:val="88"/>
              </w:rPr>
              <w:t>Securities registered pursuant</w:t>
            </w:r>
          </w:p>
        </w:tc>
        <w:tc>
          <w:tcPr>
            <w:tcW w:w="1840" w:type="dxa"/>
            <w:vAlign w:val="bottom"/>
            <w:gridSpan w:val="3"/>
          </w:tcPr>
          <w:p>
            <w:pPr>
              <w:ind w:left="60"/>
              <w:spacing w:after="0"/>
              <w:rPr>
                <w:sz w:val="20"/>
                <w:szCs w:val="20"/>
                <w:color w:val="auto"/>
              </w:rPr>
            </w:pPr>
            <w:r>
              <w:rPr>
                <w:rFonts w:ascii="Arial" w:cs="Arial" w:eastAsia="Arial" w:hAnsi="Arial"/>
                <w:sz w:val="14"/>
                <w:szCs w:val="14"/>
                <w:color w:val="auto"/>
              </w:rPr>
              <w:t>to Section 12(b) of the Act:</w:t>
            </w:r>
          </w:p>
        </w:tc>
        <w:tc>
          <w:tcPr>
            <w:tcW w:w="3800" w:type="dxa"/>
            <w:vAlign w:val="bottom"/>
          </w:tcPr>
          <w:p>
            <w:pPr>
              <w:spacing w:after="0"/>
              <w:rPr>
                <w:sz w:val="15"/>
                <w:szCs w:val="15"/>
                <w:color w:val="auto"/>
              </w:rPr>
            </w:pPr>
          </w:p>
        </w:tc>
      </w:tr>
      <w:tr>
        <w:trPr>
          <w:trHeight w:val="286"/>
        </w:trPr>
        <w:tc>
          <w:tcPr>
            <w:tcW w:w="3920" w:type="dxa"/>
            <w:vAlign w:val="bottom"/>
            <w:tcBorders>
              <w:bottom w:val="single" w:sz="8" w:color="auto"/>
            </w:tcBorders>
          </w:tcPr>
          <w:p>
            <w:pPr>
              <w:jc w:val="center"/>
              <w:ind w:right="100"/>
              <w:spacing w:after="0"/>
              <w:rPr>
                <w:sz w:val="20"/>
                <w:szCs w:val="20"/>
                <w:color w:val="auto"/>
              </w:rPr>
            </w:pPr>
            <w:r>
              <w:rPr>
                <w:rFonts w:ascii="Arial" w:cs="Arial" w:eastAsia="Arial" w:hAnsi="Arial"/>
                <w:sz w:val="12"/>
                <w:szCs w:val="12"/>
                <w:color w:val="auto"/>
                <w:w w:val="89"/>
              </w:rPr>
              <w:t>Common Stock, No Par Value</w:t>
            </w:r>
          </w:p>
        </w:tc>
        <w:tc>
          <w:tcPr>
            <w:tcW w:w="16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5"/>
          </w:tcPr>
          <w:p>
            <w:pPr>
              <w:jc w:val="center"/>
              <w:ind w:right="1660"/>
              <w:spacing w:after="0"/>
              <w:rPr>
                <w:sz w:val="20"/>
                <w:szCs w:val="20"/>
                <w:color w:val="auto"/>
              </w:rPr>
            </w:pPr>
            <w:r>
              <w:rPr>
                <w:rFonts w:ascii="Arial" w:cs="Arial" w:eastAsia="Arial" w:hAnsi="Arial"/>
                <w:sz w:val="12"/>
                <w:szCs w:val="12"/>
                <w:color w:val="auto"/>
                <w:w w:val="92"/>
              </w:rPr>
              <w:t>IBCP</w:t>
            </w:r>
          </w:p>
        </w:tc>
        <w:tc>
          <w:tcPr>
            <w:tcW w:w="3800" w:type="dxa"/>
            <w:vAlign w:val="bottom"/>
            <w:tcBorders>
              <w:bottom w:val="single" w:sz="8" w:color="auto"/>
            </w:tcBorders>
          </w:tcPr>
          <w:p>
            <w:pPr>
              <w:jc w:val="right"/>
              <w:ind w:right="1540"/>
              <w:spacing w:after="0"/>
              <w:rPr>
                <w:sz w:val="20"/>
                <w:szCs w:val="20"/>
                <w:color w:val="auto"/>
              </w:rPr>
            </w:pPr>
            <w:r>
              <w:rPr>
                <w:rFonts w:ascii="Arial" w:cs="Arial" w:eastAsia="Arial" w:hAnsi="Arial"/>
                <w:sz w:val="12"/>
                <w:szCs w:val="12"/>
                <w:color w:val="auto"/>
              </w:rPr>
              <w:t>NASDAQ</w:t>
            </w:r>
          </w:p>
        </w:tc>
      </w:tr>
      <w:tr>
        <w:trPr>
          <w:trHeight w:val="151"/>
        </w:trPr>
        <w:tc>
          <w:tcPr>
            <w:tcW w:w="3920" w:type="dxa"/>
            <w:vAlign w:val="bottom"/>
          </w:tcPr>
          <w:p>
            <w:pPr>
              <w:jc w:val="center"/>
              <w:ind w:right="120"/>
              <w:spacing w:after="0"/>
              <w:rPr>
                <w:sz w:val="20"/>
                <w:szCs w:val="20"/>
                <w:color w:val="auto"/>
              </w:rPr>
            </w:pPr>
            <w:r>
              <w:rPr>
                <w:rFonts w:ascii="Arial" w:cs="Arial" w:eastAsia="Arial" w:hAnsi="Arial"/>
                <w:sz w:val="12"/>
                <w:szCs w:val="12"/>
                <w:color w:val="auto"/>
                <w:w w:val="93"/>
              </w:rPr>
              <w:t>(Title of class)</w:t>
            </w:r>
          </w:p>
        </w:tc>
        <w:tc>
          <w:tcPr>
            <w:tcW w:w="3580" w:type="dxa"/>
            <w:vAlign w:val="bottom"/>
            <w:gridSpan w:val="6"/>
          </w:tcPr>
          <w:p>
            <w:pPr>
              <w:jc w:val="center"/>
              <w:ind w:right="40"/>
              <w:spacing w:after="0"/>
              <w:rPr>
                <w:sz w:val="20"/>
                <w:szCs w:val="20"/>
                <w:color w:val="auto"/>
              </w:rPr>
            </w:pPr>
            <w:r>
              <w:rPr>
                <w:rFonts w:ascii="Arial" w:cs="Arial" w:eastAsia="Arial" w:hAnsi="Arial"/>
                <w:sz w:val="12"/>
                <w:szCs w:val="12"/>
                <w:color w:val="auto"/>
                <w:w w:val="92"/>
              </w:rPr>
              <w:t>(Trading Symbol(s)</w:t>
            </w:r>
          </w:p>
        </w:tc>
        <w:tc>
          <w:tcPr>
            <w:tcW w:w="3800" w:type="dxa"/>
            <w:vAlign w:val="bottom"/>
          </w:tcPr>
          <w:p>
            <w:pPr>
              <w:jc w:val="right"/>
              <w:ind w:right="1280"/>
              <w:spacing w:after="0"/>
              <w:rPr>
                <w:sz w:val="20"/>
                <w:szCs w:val="20"/>
                <w:color w:val="auto"/>
              </w:rPr>
            </w:pPr>
            <w:r>
              <w:rPr>
                <w:rFonts w:ascii="Arial" w:cs="Arial" w:eastAsia="Arial" w:hAnsi="Arial"/>
                <w:sz w:val="12"/>
                <w:szCs w:val="12"/>
                <w:color w:val="auto"/>
              </w:rPr>
              <w:t>(Name of Exchange)</w:t>
            </w:r>
          </w:p>
        </w:tc>
      </w:tr>
    </w:tbl>
    <w:p>
      <w:pPr>
        <w:spacing w:after="0" w:line="139" w:lineRule="exact"/>
        <w:rPr>
          <w:sz w:val="24"/>
          <w:szCs w:val="24"/>
          <w:color w:val="auto"/>
        </w:rPr>
      </w:pPr>
    </w:p>
    <w:p>
      <w:pPr>
        <w:ind w:left="3800"/>
        <w:spacing w:after="0"/>
        <w:rPr>
          <w:sz w:val="20"/>
          <w:szCs w:val="20"/>
          <w:color w:val="auto"/>
        </w:rPr>
      </w:pPr>
      <w:r>
        <w:rPr>
          <w:rFonts w:ascii="Arial" w:cs="Arial" w:eastAsia="Arial" w:hAnsi="Arial"/>
          <w:sz w:val="14"/>
          <w:szCs w:val="14"/>
          <w:color w:val="auto"/>
        </w:rPr>
        <w:t>Securities registered pursuant to Section 12(g) of the Act: None.</w:t>
      </w:r>
    </w:p>
    <w:p>
      <w:pPr>
        <w:spacing w:after="0" w:line="163"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spacing w:after="0" w:line="2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spacing w:after="0" w:line="24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r>
        <w:rPr>
          <w:rFonts w:ascii="MS PGothic" w:cs="MS PGothic" w:eastAsia="MS PGothic" w:hAnsi="MS PGothic"/>
          <w:sz w:val="14"/>
          <w:szCs w:val="14"/>
          <w:color w:val="auto"/>
        </w:rPr>
        <w:t>☐</w:t>
      </w:r>
    </w:p>
    <w:p>
      <w:pPr>
        <w:spacing w:after="0" w:line="6" w:lineRule="exact"/>
        <w:rPr>
          <w:sz w:val="24"/>
          <w:szCs w:val="24"/>
          <w:color w:val="auto"/>
        </w:rPr>
      </w:pPr>
    </w:p>
    <w:p>
      <w:pPr>
        <w:ind w:right="20"/>
        <w:spacing w:after="0" w:line="16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r>
        <w:rPr>
          <w:rFonts w:ascii="MS PGothic" w:cs="MS PGothic" w:eastAsia="MS PGothic" w:hAnsi="MS PGothic"/>
          <w:sz w:val="14"/>
          <w:szCs w:val="14"/>
          <w:color w:val="auto"/>
        </w:rPr>
        <w:t>☐</w:t>
      </w:r>
    </w:p>
    <w:p>
      <w:pPr>
        <w:spacing w:after="0" w:line="244"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ind w:right="5080"/>
        <w:spacing w:after="0" w:line="170"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Non-accelerated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Smaller reporting company </w:t>
      </w:r>
      <w:r>
        <w:rPr>
          <w:rFonts w:ascii="MS PGothic" w:cs="MS PGothic" w:eastAsia="MS PGothic" w:hAnsi="MS PGothic"/>
          <w:sz w:val="14"/>
          <w:szCs w:val="14"/>
          <w:color w:val="auto"/>
        </w:rPr>
        <w:t>☐</w:t>
      </w:r>
      <w:r>
        <w:rPr>
          <w:rFonts w:ascii="Arial" w:cs="Arial" w:eastAsia="Arial" w:hAnsi="Arial"/>
          <w:sz w:val="14"/>
          <w:szCs w:val="14"/>
          <w:color w:val="auto"/>
        </w:rPr>
        <w:t xml:space="preserve"> Emerging growth company </w:t>
      </w:r>
      <w:r>
        <w:rPr>
          <w:rFonts w:ascii="MS PGothic" w:cs="MS PGothic" w:eastAsia="MS PGothic" w:hAnsi="MS PGothic"/>
          <w:sz w:val="14"/>
          <w:szCs w:val="14"/>
          <w:color w:val="auto"/>
        </w:rPr>
        <w:t>☐</w:t>
      </w:r>
    </w:p>
    <w:p>
      <w:pPr>
        <w:ind w:right="20"/>
        <w:spacing w:after="0" w:line="16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6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 of the Act).</w:t>
      </w:r>
    </w:p>
    <w:p>
      <w:pPr>
        <w:spacing w:after="0" w:line="9" w:lineRule="exact"/>
        <w:rPr>
          <w:sz w:val="24"/>
          <w:szCs w:val="24"/>
          <w:color w:val="auto"/>
        </w:rPr>
      </w:pPr>
    </w:p>
    <w:p>
      <w:pPr>
        <w:ind w:left="2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 w:lineRule="exact"/>
        <w:rPr>
          <w:sz w:val="24"/>
          <w:szCs w:val="24"/>
          <w:color w:val="auto"/>
        </w:rPr>
      </w:pPr>
    </w:p>
    <w:p>
      <w:pPr>
        <w:spacing w:after="0"/>
        <w:rPr>
          <w:sz w:val="20"/>
          <w:szCs w:val="20"/>
          <w:color w:val="auto"/>
        </w:rPr>
      </w:pPr>
      <w:r>
        <w:rPr>
          <w:rFonts w:ascii="Arial" w:cs="Arial" w:eastAsia="Arial" w:hAnsi="Arial"/>
          <w:sz w:val="14"/>
          <w:szCs w:val="14"/>
          <w:color w:val="auto"/>
        </w:rPr>
        <w:t>The aggregate market value of the voting and non-voting common stock held by non-affiliates of the registrant as of June 30, 2021, was $460,580,409.</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outstanding of the registrant's common stock as of March 3, 2022 was 21,196,430.</w:t>
      </w:r>
    </w:p>
    <w:p>
      <w:pPr>
        <w:spacing w:after="0" w:line="1" w:lineRule="exact"/>
        <w:rPr>
          <w:sz w:val="24"/>
          <w:szCs w:val="24"/>
          <w:color w:val="auto"/>
        </w:rPr>
      </w:pPr>
    </w:p>
    <w:p>
      <w:pPr>
        <w:ind w:right="20"/>
        <w:spacing w:after="0" w:line="255" w:lineRule="auto"/>
        <w:rPr>
          <w:sz w:val="20"/>
          <w:szCs w:val="20"/>
          <w:color w:val="auto"/>
        </w:rPr>
      </w:pPr>
      <w:r>
        <w:rPr>
          <w:rFonts w:ascii="Arial" w:cs="Arial" w:eastAsia="Arial" w:hAnsi="Arial"/>
          <w:sz w:val="14"/>
          <w:szCs w:val="14"/>
          <w:color w:val="auto"/>
        </w:rPr>
        <w:t>Documents incorporated by reference: Portions of our definitive proxy statement and annual report, to be delivered to shareholders in connection with the April 19, 2022 Annual Meeting of Shareholders, are incorporated by reference into Part I, Part II, Part III, and Part IV of this Form 10-K.</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The Exhibit Index appears on Pages 26-27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158115</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220980</wp:posOffset>
            </wp:positionV>
            <wp:extent cx="7178040" cy="228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228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318135</wp:posOffset>
            </wp:positionV>
            <wp:extent cx="7178040" cy="11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04" w:right="299" w:bottom="1440" w:gutter="0" w:footer="0" w:header="0"/>
        </w:sectPr>
      </w:pPr>
    </w:p>
    <w:bookmarkStart w:id="1" w:name="page2"/>
    <w:bookmarkEnd w:id="1"/>
    <w:p>
      <w:pPr>
        <w:jc w:val="center"/>
        <w:spacing w:after="0"/>
        <w:rPr>
          <w:sz w:val="20"/>
          <w:szCs w:val="20"/>
          <w:color w:val="auto"/>
        </w:rPr>
      </w:pPr>
      <w:r>
        <w:rPr>
          <w:rFonts w:ascii="Arial" w:cs="Arial" w:eastAsia="Arial" w:hAnsi="Arial"/>
          <w:sz w:val="14"/>
          <w:szCs w:val="14"/>
          <w:b w:val="1"/>
          <w:bCs w:val="1"/>
          <w:color w:val="auto"/>
        </w:rPr>
        <w:t>FORWARD-LOOKING STATEMENTS</w:t>
      </w:r>
    </w:p>
    <w:p>
      <w:pPr>
        <w:spacing w:after="0" w:line="167" w:lineRule="exact"/>
        <w:rPr>
          <w:sz w:val="20"/>
          <w:szCs w:val="20"/>
          <w:color w:val="auto"/>
        </w:rPr>
      </w:pPr>
    </w:p>
    <w:p>
      <w:pPr>
        <w:jc w:val="both"/>
        <w:spacing w:after="0" w:line="246" w:lineRule="auto"/>
        <w:rPr>
          <w:sz w:val="20"/>
          <w:szCs w:val="20"/>
          <w:color w:val="auto"/>
        </w:rPr>
      </w:pPr>
      <w:r>
        <w:rPr>
          <w:rFonts w:ascii="Arial" w:cs="Arial" w:eastAsia="Arial" w:hAnsi="Arial"/>
          <w:sz w:val="14"/>
          <w:szCs w:val="14"/>
          <w:color w:val="auto"/>
        </w:rPr>
        <w:t>Statements in this Annual Report on Form 10-K that are not statements of historical fact, including statements that include terms such as “will,” “may,” “should,” “believe,” “expect,” “forecast,” “anticipate,” “estimate,” “project,” “intend,” “likely,” “optimistic” and “plan” and statements about future or projected financial and operating results, plans, projections, objectives, expectations, and intentions, are forward-looking statements. Forward-looking statements include, but are not limited to, descriptions of plans and objectives for future operations, products or services; projections of our future revenue, earnings or other measures of economic performance; forecasts of credit losses and other asset quality trends; statements about our business and growth strategies; and expectations about economic and market conditions and trends. These forward-looking statements express our current expectations, forecasts of future events, or long-term goals. They are based on assumptions, estimates, and forecasts that, although believed to be reasonable, may turn out to be incorrect. Actual results could differ materially from those discussed in the forward-looking statements for a variety of reasons, including:</w:t>
      </w:r>
    </w:p>
    <w:p>
      <w:pPr>
        <w:spacing w:after="0" w:line="146" w:lineRule="exact"/>
        <w:rPr>
          <w:sz w:val="20"/>
          <w:szCs w:val="20"/>
          <w:color w:val="auto"/>
        </w:rPr>
      </w:pPr>
    </w:p>
    <w:p>
      <w:pPr>
        <w:ind w:left="320" w:hanging="220"/>
        <w:spacing w:after="0"/>
        <w:tabs>
          <w:tab w:leader="none" w:pos="320" w:val="left"/>
        </w:tabs>
        <w:numPr>
          <w:ilvl w:val="0"/>
          <w:numId w:val="2"/>
        </w:numPr>
        <w:rPr>
          <w:rFonts w:ascii="Arial" w:cs="Arial" w:eastAsia="Arial" w:hAnsi="Arial"/>
          <w:sz w:val="12"/>
          <w:szCs w:val="12"/>
          <w:color w:val="auto"/>
        </w:rPr>
      </w:pPr>
      <w:r>
        <w:rPr>
          <w:rFonts w:ascii="Arial" w:cs="Arial" w:eastAsia="Arial" w:hAnsi="Arial"/>
          <w:sz w:val="12"/>
          <w:szCs w:val="12"/>
          <w:color w:val="auto"/>
        </w:rPr>
        <w:t>economic, market, operational, liquidity, credit, and interest rate risks associated with our business including the impact of the ongoing COVID-19 pandemic on each of these items;</w:t>
      </w:r>
    </w:p>
    <w:p>
      <w:pPr>
        <w:spacing w:after="0" w:line="14" w:lineRule="exact"/>
        <w:rPr>
          <w:rFonts w:ascii="Arial" w:cs="Arial" w:eastAsia="Arial" w:hAnsi="Arial"/>
          <w:sz w:val="12"/>
          <w:szCs w:val="12"/>
          <w:color w:val="auto"/>
        </w:rPr>
      </w:pPr>
    </w:p>
    <w:p>
      <w:pPr>
        <w:ind w:left="320" w:hanging="220"/>
        <w:spacing w:after="0" w:line="250" w:lineRule="auto"/>
        <w:tabs>
          <w:tab w:leader="none" w:pos="320" w:val="left"/>
        </w:tabs>
        <w:numPr>
          <w:ilvl w:val="0"/>
          <w:numId w:val="2"/>
        </w:numPr>
        <w:rPr>
          <w:rFonts w:ascii="Arial" w:cs="Arial" w:eastAsia="Arial" w:hAnsi="Arial"/>
          <w:sz w:val="12"/>
          <w:szCs w:val="12"/>
          <w:color w:val="auto"/>
        </w:rPr>
      </w:pPr>
      <w:r>
        <w:rPr>
          <w:rFonts w:ascii="Arial" w:cs="Arial" w:eastAsia="Arial" w:hAnsi="Arial"/>
          <w:sz w:val="12"/>
          <w:szCs w:val="12"/>
          <w:color w:val="auto"/>
        </w:rPr>
        <w:t>economic conditions generally and in the financial services industry, particularly economic conditions within Michigan and the regional and local real estate markets in which our bank operates including the economic impact of the ongoing COVID-19 pandemic in each of these areas;</w:t>
      </w:r>
    </w:p>
    <w:p>
      <w:pPr>
        <w:ind w:left="320" w:hanging="220"/>
        <w:spacing w:after="0"/>
        <w:tabs>
          <w:tab w:leader="none" w:pos="320" w:val="left"/>
        </w:tabs>
        <w:numPr>
          <w:ilvl w:val="0"/>
          <w:numId w:val="2"/>
        </w:numPr>
        <w:rPr>
          <w:rFonts w:ascii="Arial" w:cs="Arial" w:eastAsia="Arial" w:hAnsi="Arial"/>
          <w:sz w:val="12"/>
          <w:szCs w:val="12"/>
          <w:color w:val="auto"/>
        </w:rPr>
      </w:pPr>
      <w:r>
        <w:rPr>
          <w:rFonts w:ascii="Arial" w:cs="Arial" w:eastAsia="Arial" w:hAnsi="Arial"/>
          <w:sz w:val="12"/>
          <w:szCs w:val="12"/>
          <w:color w:val="auto"/>
        </w:rPr>
        <w:t>the failure of assumptions underlying the establishment of, and provisions made to, our allowance for credit losses;</w:t>
      </w:r>
    </w:p>
    <w:p>
      <w:pPr>
        <w:spacing w:after="0" w:line="6" w:lineRule="exact"/>
        <w:rPr>
          <w:rFonts w:ascii="Arial" w:cs="Arial" w:eastAsia="Arial" w:hAnsi="Arial"/>
          <w:sz w:val="12"/>
          <w:szCs w:val="12"/>
          <w:color w:val="auto"/>
        </w:rPr>
      </w:pPr>
    </w:p>
    <w:p>
      <w:pPr>
        <w:ind w:left="320" w:hanging="220"/>
        <w:spacing w:after="0"/>
        <w:tabs>
          <w:tab w:leader="none" w:pos="320" w:val="left"/>
        </w:tabs>
        <w:numPr>
          <w:ilvl w:val="0"/>
          <w:numId w:val="2"/>
        </w:numPr>
        <w:rPr>
          <w:rFonts w:ascii="Arial" w:cs="Arial" w:eastAsia="Arial" w:hAnsi="Arial"/>
          <w:sz w:val="12"/>
          <w:szCs w:val="12"/>
          <w:color w:val="auto"/>
        </w:rPr>
      </w:pPr>
      <w:r>
        <w:rPr>
          <w:rFonts w:ascii="Arial" w:cs="Arial" w:eastAsia="Arial" w:hAnsi="Arial"/>
          <w:sz w:val="12"/>
          <w:szCs w:val="12"/>
          <w:color w:val="auto"/>
        </w:rPr>
        <w:t>increased competition in the financial services industry, either nationally or regionally;</w:t>
      </w:r>
    </w:p>
    <w:p>
      <w:pPr>
        <w:spacing w:after="0" w:line="6" w:lineRule="exact"/>
        <w:rPr>
          <w:rFonts w:ascii="Arial" w:cs="Arial" w:eastAsia="Arial" w:hAnsi="Arial"/>
          <w:sz w:val="12"/>
          <w:szCs w:val="12"/>
          <w:color w:val="auto"/>
        </w:rPr>
      </w:pPr>
    </w:p>
    <w:p>
      <w:pPr>
        <w:ind w:left="320" w:hanging="220"/>
        <w:spacing w:after="0"/>
        <w:tabs>
          <w:tab w:leader="none" w:pos="320" w:val="left"/>
        </w:tabs>
        <w:numPr>
          <w:ilvl w:val="0"/>
          <w:numId w:val="2"/>
        </w:numPr>
        <w:rPr>
          <w:rFonts w:ascii="Arial" w:cs="Arial" w:eastAsia="Arial" w:hAnsi="Arial"/>
          <w:sz w:val="12"/>
          <w:szCs w:val="12"/>
          <w:color w:val="auto"/>
        </w:rPr>
      </w:pPr>
      <w:r>
        <w:rPr>
          <w:rFonts w:ascii="Arial" w:cs="Arial" w:eastAsia="Arial" w:hAnsi="Arial"/>
          <w:sz w:val="12"/>
          <w:szCs w:val="12"/>
          <w:color w:val="auto"/>
        </w:rPr>
        <w:t>our ability to achieve loan and deposit growth;</w:t>
      </w:r>
    </w:p>
    <w:p>
      <w:pPr>
        <w:spacing w:after="0" w:line="6" w:lineRule="exact"/>
        <w:rPr>
          <w:rFonts w:ascii="Arial" w:cs="Arial" w:eastAsia="Arial" w:hAnsi="Arial"/>
          <w:sz w:val="12"/>
          <w:szCs w:val="12"/>
          <w:color w:val="auto"/>
        </w:rPr>
      </w:pPr>
    </w:p>
    <w:p>
      <w:pPr>
        <w:ind w:left="320" w:hanging="220"/>
        <w:spacing w:after="0"/>
        <w:tabs>
          <w:tab w:leader="none" w:pos="320" w:val="left"/>
        </w:tabs>
        <w:numPr>
          <w:ilvl w:val="0"/>
          <w:numId w:val="2"/>
        </w:numPr>
        <w:rPr>
          <w:rFonts w:ascii="Arial" w:cs="Arial" w:eastAsia="Arial" w:hAnsi="Arial"/>
          <w:sz w:val="12"/>
          <w:szCs w:val="12"/>
          <w:color w:val="auto"/>
        </w:rPr>
      </w:pPr>
      <w:r>
        <w:rPr>
          <w:rFonts w:ascii="Arial" w:cs="Arial" w:eastAsia="Arial" w:hAnsi="Arial"/>
          <w:sz w:val="12"/>
          <w:szCs w:val="12"/>
          <w:color w:val="auto"/>
        </w:rPr>
        <w:t>volatility and direction of market interest rates;</w:t>
      </w:r>
    </w:p>
    <w:p>
      <w:pPr>
        <w:spacing w:after="0" w:line="6" w:lineRule="exact"/>
        <w:rPr>
          <w:rFonts w:ascii="Arial" w:cs="Arial" w:eastAsia="Arial" w:hAnsi="Arial"/>
          <w:sz w:val="12"/>
          <w:szCs w:val="12"/>
          <w:color w:val="auto"/>
        </w:rPr>
      </w:pPr>
    </w:p>
    <w:p>
      <w:pPr>
        <w:ind w:left="320" w:hanging="220"/>
        <w:spacing w:after="0"/>
        <w:tabs>
          <w:tab w:leader="none" w:pos="320" w:val="left"/>
        </w:tabs>
        <w:numPr>
          <w:ilvl w:val="0"/>
          <w:numId w:val="2"/>
        </w:numPr>
        <w:rPr>
          <w:rFonts w:ascii="Arial" w:cs="Arial" w:eastAsia="Arial" w:hAnsi="Arial"/>
          <w:sz w:val="12"/>
          <w:szCs w:val="12"/>
          <w:color w:val="auto"/>
        </w:rPr>
      </w:pPr>
      <w:r>
        <w:rPr>
          <w:rFonts w:ascii="Arial" w:cs="Arial" w:eastAsia="Arial" w:hAnsi="Arial"/>
          <w:sz w:val="12"/>
          <w:szCs w:val="12"/>
          <w:color w:val="auto"/>
        </w:rPr>
        <w:t>the continued services of our management team; and</w:t>
      </w:r>
    </w:p>
    <w:p>
      <w:pPr>
        <w:spacing w:after="0" w:line="6" w:lineRule="exact"/>
        <w:rPr>
          <w:rFonts w:ascii="Arial" w:cs="Arial" w:eastAsia="Arial" w:hAnsi="Arial"/>
          <w:sz w:val="12"/>
          <w:szCs w:val="12"/>
          <w:color w:val="auto"/>
        </w:rPr>
      </w:pPr>
    </w:p>
    <w:p>
      <w:pPr>
        <w:ind w:left="320" w:hanging="220"/>
        <w:spacing w:after="0"/>
        <w:tabs>
          <w:tab w:leader="none" w:pos="320" w:val="left"/>
        </w:tabs>
        <w:numPr>
          <w:ilvl w:val="0"/>
          <w:numId w:val="2"/>
        </w:numPr>
        <w:rPr>
          <w:rFonts w:ascii="Arial" w:cs="Arial" w:eastAsia="Arial" w:hAnsi="Arial"/>
          <w:sz w:val="12"/>
          <w:szCs w:val="12"/>
          <w:color w:val="auto"/>
        </w:rPr>
      </w:pPr>
      <w:r>
        <w:rPr>
          <w:rFonts w:ascii="Arial" w:cs="Arial" w:eastAsia="Arial" w:hAnsi="Arial"/>
          <w:sz w:val="12"/>
          <w:szCs w:val="12"/>
          <w:color w:val="auto"/>
        </w:rPr>
        <w:t>implementation of new legislation, which may have significant effects on us and the financial services industry.</w:t>
      </w:r>
    </w:p>
    <w:p>
      <w:pPr>
        <w:spacing w:after="0" w:line="154" w:lineRule="exact"/>
        <w:rPr>
          <w:sz w:val="20"/>
          <w:szCs w:val="20"/>
          <w:color w:val="auto"/>
        </w:rPr>
      </w:pPr>
    </w:p>
    <w:p>
      <w:pPr>
        <w:jc w:val="both"/>
        <w:spacing w:after="0" w:line="246" w:lineRule="auto"/>
        <w:rPr>
          <w:sz w:val="20"/>
          <w:szCs w:val="20"/>
          <w:color w:val="auto"/>
        </w:rPr>
      </w:pPr>
      <w:r>
        <w:rPr>
          <w:rFonts w:ascii="Arial" w:cs="Arial" w:eastAsia="Arial" w:hAnsi="Arial"/>
          <w:sz w:val="14"/>
          <w:szCs w:val="14"/>
          <w:color w:val="auto"/>
        </w:rPr>
        <w:t>This list provides examples of factors that could affect the results described by forward-looking statements contained in this Annual Report on Form 10-K, but the list is not intended to be all-inclusive. The risk factors disclosed in Part I – Item 1A below include those risks our management believes could materially affect the results described by forward-looking statements in this report. However, those risks are not the only risks we face. Our results of operations, cash flows, financial position, and prospects could also be materially and adversely affected by additional factors that are not presently known to us, that we currently consider to be immaterial, or that develop after the date of this report. We cannot assure you that our future results will meet our current expectations. While we believe the forward-looking statements in this report are reasonable, you should not place undue reliance on any forward-looking statement. In addition, these statements speak only as of the date made. We do not undertake, and expressly disclaim, any obligation to update or alter any statements, whether as a result of new information, future events, or otherwise, except as required by applicable law.</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4"/>
          <w:szCs w:val="14"/>
          <w:u w:val="single" w:color="auto"/>
          <w:color w:val="auto"/>
        </w:rPr>
        <w:t>PART I</w:t>
      </w:r>
    </w:p>
    <w:p>
      <w:pPr>
        <w:spacing w:after="0" w:line="168" w:lineRule="exact"/>
        <w:rPr>
          <w:sz w:val="20"/>
          <w:szCs w:val="20"/>
          <w:color w:val="auto"/>
        </w:rPr>
      </w:pPr>
    </w:p>
    <w:p>
      <w:pPr>
        <w:spacing w:after="0"/>
        <w:tabs>
          <w:tab w:leader="none" w:pos="620" w:val="left"/>
        </w:tabs>
        <w:rPr>
          <w:sz w:val="20"/>
          <w:szCs w:val="20"/>
          <w:color w:val="auto"/>
        </w:rPr>
      </w:pPr>
      <w:r>
        <w:rPr>
          <w:rFonts w:ascii="Arial" w:cs="Arial" w:eastAsia="Arial" w:hAnsi="Arial"/>
          <w:sz w:val="12"/>
          <w:szCs w:val="12"/>
          <w:u w:val="single" w:color="auto"/>
          <w:color w:val="auto"/>
        </w:rPr>
        <w:t>ITEM 1.</w:t>
      </w:r>
      <w:r>
        <w:rPr>
          <w:sz w:val="20"/>
          <w:szCs w:val="20"/>
          <w:color w:val="auto"/>
        </w:rPr>
        <w:tab/>
      </w:r>
      <w:r>
        <w:rPr>
          <w:rFonts w:ascii="Arial" w:cs="Arial" w:eastAsia="Arial" w:hAnsi="Arial"/>
          <w:sz w:val="11"/>
          <w:szCs w:val="11"/>
          <w:u w:val="single" w:color="auto"/>
          <w:color w:val="auto"/>
        </w:rPr>
        <w:t>BUSINESS</w:t>
      </w:r>
    </w:p>
    <w:p>
      <w:pPr>
        <w:spacing w:after="0" w:line="163"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Independent Bank Corporation was incorporated under the laws of the State of Michigan on September 17, 1973, for the purpose of becoming a bank holding company. We are registered under the Bank Holding Company Act of 1956, as amended, and own all of the outstanding stock of Independent Bank (the "bank"), which is also organized under the laws of the State of Michigan. The bank was founded as First National Bank in Ionia in 1864. Over the years, we have grown both organically and as the result of acquisitions of community banks, bank branches, and other organizations within the financial services industry. Our most recent acquisition was our acquisition of Traverse City State Bank in April 2018.</w:t>
      </w:r>
    </w:p>
    <w:p>
      <w:pPr>
        <w:spacing w:after="0" w:line="134"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Aside from the stock of our bank, we have no other substantial assets. We conduct no business except for the collection of dividends or returns of capital from our bank and the payment of dividends to our shareholders and the payment of interest on subordinated debt and debentures. We have established certain employee retirement plans, including an employee stock ownership plan (ESOP) and deferred compensation plans, as well as health and other insurance programs, the cost of which is borne by our subsidiaries. We have no material patents, trademarks, licenses or franchises except the corporate charter of our bank, which permits it to engage in commercial banking pursuant to Michigan law.</w:t>
      </w:r>
    </w:p>
    <w:p>
      <w:pPr>
        <w:spacing w:after="0" w:line="134" w:lineRule="exact"/>
        <w:rPr>
          <w:sz w:val="20"/>
          <w:szCs w:val="20"/>
          <w:color w:val="auto"/>
        </w:rPr>
      </w:pPr>
    </w:p>
    <w:p>
      <w:pPr>
        <w:jc w:val="both"/>
        <w:spacing w:after="0" w:line="247" w:lineRule="auto"/>
        <w:rPr>
          <w:sz w:val="20"/>
          <w:szCs w:val="20"/>
          <w:color w:val="auto"/>
        </w:rPr>
      </w:pPr>
      <w:r>
        <w:rPr>
          <w:rFonts w:ascii="Arial" w:cs="Arial" w:eastAsia="Arial" w:hAnsi="Arial"/>
          <w:sz w:val="14"/>
          <w:szCs w:val="14"/>
          <w:color w:val="auto"/>
        </w:rPr>
        <w:t>Our bank transacts business in the single industry of commercial banking. It offers a broad range of banking services to individuals and businesses, including checking and savings accounts, commercial lending, direct and indirect consumer financing, mortgage lending, and safe deposit box services. Our bank does not offer trust services. Our principal markets are the rural and suburban communities across Lower Michigan, which are served by the bank's main office in Grand Rapids, Michigan, and a total of 59 branches, two drive-thru facilities, and seven Michigan based loan production offices. We also have two loan production offices in Ohio (Columbus and Fairlawn). Most of our bank's branches provide full-service lobby and drive-thru services, as well as automatic teller machines (ATMs). In addition, we provide internet and mobile banking capabilities to our customers. We continue to see customer transaction volume declining at our bank offices and increasing through our electronic channels.</w:t>
      </w:r>
    </w:p>
    <w:p>
      <w:pPr>
        <w:spacing w:after="0" w:line="140"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Our bank competes with other commercial banks, savings banks, credit unions, mortgage banking companies, fintech companies, securities brokerage companies, insurance companies, and money market mutual funds. Many of these competitors have substantially greater resources than we do and offer certain services that we do not currently provide. Such competitors may also have greater lending limits than our bank. In addition, non-bank competitors are generally not subject to the extensive regulations applicable to us. Price (the interest charged on loans and paid on deposits) remains a principal means of competition within the financial services industry. Our bank also competes on the basis of service and convenience in providing financial services.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2021, our bank had total loans (excluding loans held for sale) of $2.905 billion and total deposits of $4.117 billion.</w:t>
      </w:r>
    </w:p>
    <w:p>
      <w:pPr>
        <w:spacing w:after="0" w:line="163"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As of December 31, 2021, we had 866 full-time employees and 120 part-time employees. We compete for talent and human resources with other financial services organizations within our geographic market, which is largely the lower peninsula of Michigan. The market for residential mortgage loan officers and support staff is particularly competitive given the competitive nature of those products, especially in low interest rate environments. We strive to be an employer of choice by offering competitive compensation and benefits as well as fostering strong employee relations through our culture, training and growth opportunities, and similar measures. As a community-oriented bank, we believe it is especially important for our employees to engage with the communities in our market areas, and we encourage and provide opportunities for our employees to volunteer with local organizations in the markets served by our bank branches.</w:t>
      </w:r>
    </w:p>
    <w:p>
      <w:pPr>
        <w:spacing w:after="0" w:line="122"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In addition to general banking services, we also offer title insurance services and insurance brokerage services through separate subsidiaries and investment services through a third party agreement with Cetera Investment Services LLC.</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3" w:name="page4"/>
    <w:bookmarkEnd w:id="3"/>
    <w:p>
      <w:pPr>
        <w:spacing w:after="0"/>
        <w:tabs>
          <w:tab w:leader="none" w:pos="620" w:val="left"/>
        </w:tabs>
        <w:rPr>
          <w:sz w:val="20"/>
          <w:szCs w:val="20"/>
          <w:color w:val="auto"/>
        </w:rPr>
      </w:pPr>
      <w:r>
        <w:rPr>
          <w:rFonts w:ascii="Arial" w:cs="Arial" w:eastAsia="Arial" w:hAnsi="Arial"/>
          <w:sz w:val="12"/>
          <w:szCs w:val="12"/>
          <w:u w:val="single" w:color="auto"/>
          <w:color w:val="auto"/>
        </w:rPr>
        <w:t>ITEM 1.</w:t>
      </w:r>
      <w:r>
        <w:rPr>
          <w:sz w:val="20"/>
          <w:szCs w:val="20"/>
          <w:color w:val="auto"/>
        </w:rPr>
        <w:tab/>
      </w:r>
      <w:r>
        <w:rPr>
          <w:rFonts w:ascii="Arial" w:cs="Arial" w:eastAsia="Arial" w:hAnsi="Arial"/>
          <w:sz w:val="11"/>
          <w:szCs w:val="11"/>
          <w:u w:val="single" w:color="auto"/>
          <w:color w:val="auto"/>
        </w:rPr>
        <w:t xml:space="preserve">BUSINESS </w:t>
      </w:r>
      <w:r>
        <w:rPr>
          <w:rFonts w:ascii="Arial" w:cs="Arial" w:eastAsia="Arial" w:hAnsi="Arial"/>
          <w:sz w:val="11"/>
          <w:szCs w:val="11"/>
          <w:color w:val="auto"/>
        </w:rPr>
        <w:t>(continued)</w:t>
      </w:r>
    </w:p>
    <w:p>
      <w:pPr>
        <w:spacing w:after="0" w:line="163" w:lineRule="exact"/>
        <w:rPr>
          <w:sz w:val="20"/>
          <w:szCs w:val="20"/>
          <w:color w:val="auto"/>
        </w:rPr>
      </w:pPr>
    </w:p>
    <w:p>
      <w:pPr>
        <w:jc w:val="both"/>
        <w:ind w:right="20"/>
        <w:spacing w:after="0" w:line="273" w:lineRule="auto"/>
        <w:rPr>
          <w:sz w:val="20"/>
          <w:szCs w:val="20"/>
          <w:color w:val="auto"/>
        </w:rPr>
      </w:pPr>
      <w:r>
        <w:rPr>
          <w:rFonts w:ascii="Arial" w:cs="Arial" w:eastAsia="Arial" w:hAnsi="Arial"/>
          <w:sz w:val="14"/>
          <w:szCs w:val="14"/>
          <w:color w:val="auto"/>
        </w:rPr>
        <w:t>On a consolidated basis, our principal sources of revenue are interest and fees on loans, other interest income, and non-interest income. The sources of revenue for the three most recent years are as follows:</w:t>
      </w:r>
    </w:p>
    <w:p>
      <w:pPr>
        <w:spacing w:after="0" w:line="125" w:lineRule="exact"/>
        <w:rPr>
          <w:sz w:val="20"/>
          <w:szCs w:val="20"/>
          <w:color w:val="auto"/>
        </w:rPr>
      </w:pPr>
    </w:p>
    <w:tbl>
      <w:tblPr>
        <w:tblLayout w:type="fixed"/>
        <w:tblInd w:w="200" w:type="dxa"/>
        <w:tblCellMar>
          <w:top w:w="0" w:type="dxa"/>
          <w:left w:w="0" w:type="dxa"/>
          <w:bottom w:w="0" w:type="dxa"/>
          <w:right w:w="0" w:type="dxa"/>
        </w:tblCellMar>
      </w:tblPr>
      <w:tr>
        <w:trPr>
          <w:trHeight w:val="153"/>
        </w:trPr>
        <w:tc>
          <w:tcPr>
            <w:tcW w:w="3860" w:type="dxa"/>
            <w:vAlign w:val="bottom"/>
          </w:tcPr>
          <w:p>
            <w:pPr>
              <w:spacing w:after="0"/>
              <w:rPr>
                <w:sz w:val="13"/>
                <w:szCs w:val="13"/>
                <w:color w:val="auto"/>
              </w:rPr>
            </w:pPr>
          </w:p>
        </w:tc>
        <w:tc>
          <w:tcPr>
            <w:tcW w:w="108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auto"/>
              </w:rPr>
              <w:t>2021</w:t>
            </w:r>
          </w:p>
        </w:tc>
        <w:tc>
          <w:tcPr>
            <w:tcW w:w="240" w:type="dxa"/>
            <w:vAlign w:val="bottom"/>
          </w:tcPr>
          <w:p>
            <w:pPr>
              <w:spacing w:after="0"/>
              <w:rPr>
                <w:sz w:val="13"/>
                <w:szCs w:val="13"/>
                <w:color w:val="auto"/>
              </w:rPr>
            </w:pPr>
          </w:p>
        </w:tc>
        <w:tc>
          <w:tcPr>
            <w:tcW w:w="108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auto"/>
              </w:rPr>
              <w:t>2020</w:t>
            </w:r>
          </w:p>
        </w:tc>
        <w:tc>
          <w:tcPr>
            <w:tcW w:w="240" w:type="dxa"/>
            <w:vAlign w:val="bottom"/>
          </w:tcPr>
          <w:p>
            <w:pPr>
              <w:spacing w:after="0"/>
              <w:rPr>
                <w:sz w:val="13"/>
                <w:szCs w:val="13"/>
                <w:color w:val="auto"/>
              </w:rPr>
            </w:pPr>
          </w:p>
        </w:tc>
        <w:tc>
          <w:tcPr>
            <w:tcW w:w="112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rPr>
              <w:t>2019</w:t>
            </w:r>
          </w:p>
        </w:tc>
        <w:tc>
          <w:tcPr>
            <w:tcW w:w="140" w:type="dxa"/>
            <w:vAlign w:val="bottom"/>
          </w:tcPr>
          <w:p>
            <w:pPr>
              <w:spacing w:after="0"/>
              <w:rPr>
                <w:sz w:val="13"/>
                <w:szCs w:val="13"/>
                <w:color w:val="auto"/>
              </w:rPr>
            </w:pPr>
          </w:p>
        </w:tc>
      </w:tr>
      <w:tr>
        <w:trPr>
          <w:trHeight w:val="142"/>
        </w:trPr>
        <w:tc>
          <w:tcPr>
            <w:tcW w:w="3860" w:type="dxa"/>
            <w:vAlign w:val="bottom"/>
            <w:shd w:val="clear" w:color="auto" w:fill="CCEEFF"/>
          </w:tcPr>
          <w:p>
            <w:pPr>
              <w:spacing w:after="0"/>
              <w:rPr>
                <w:sz w:val="20"/>
                <w:szCs w:val="20"/>
                <w:color w:val="auto"/>
              </w:rPr>
            </w:pPr>
            <w:r>
              <w:rPr>
                <w:rFonts w:ascii="Arial" w:cs="Arial" w:eastAsia="Arial" w:hAnsi="Arial"/>
                <w:sz w:val="12"/>
                <w:szCs w:val="12"/>
                <w:color w:val="auto"/>
              </w:rPr>
              <w:t>Interest and fees on loans</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54.3%</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55.8%</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68.1%</w:t>
            </w:r>
          </w:p>
        </w:tc>
      </w:tr>
      <w:tr>
        <w:trPr>
          <w:trHeight w:val="144"/>
        </w:trPr>
        <w:tc>
          <w:tcPr>
            <w:tcW w:w="3860" w:type="dxa"/>
            <w:vAlign w:val="bottom"/>
          </w:tcPr>
          <w:p>
            <w:pPr>
              <w:spacing w:after="0"/>
              <w:rPr>
                <w:sz w:val="20"/>
                <w:szCs w:val="20"/>
                <w:color w:val="auto"/>
              </w:rPr>
            </w:pPr>
            <w:r>
              <w:rPr>
                <w:rFonts w:ascii="Arial" w:cs="Arial" w:eastAsia="Arial" w:hAnsi="Arial"/>
                <w:sz w:val="12"/>
                <w:szCs w:val="12"/>
                <w:color w:val="auto"/>
              </w:rPr>
              <w:t>Other interest income</w:t>
            </w: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10.0</w:t>
            </w: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7.6</w:t>
            </w:r>
          </w:p>
        </w:tc>
        <w:tc>
          <w:tcPr>
            <w:tcW w:w="1260" w:type="dxa"/>
            <w:vAlign w:val="bottom"/>
            <w:gridSpan w:val="2"/>
          </w:tcPr>
          <w:p>
            <w:pPr>
              <w:jc w:val="right"/>
              <w:ind w:right="140"/>
              <w:spacing w:after="0"/>
              <w:rPr>
                <w:sz w:val="20"/>
                <w:szCs w:val="20"/>
                <w:color w:val="auto"/>
              </w:rPr>
            </w:pPr>
            <w:r>
              <w:rPr>
                <w:rFonts w:ascii="Arial" w:cs="Arial" w:eastAsia="Arial" w:hAnsi="Arial"/>
                <w:sz w:val="12"/>
                <w:szCs w:val="12"/>
                <w:color w:val="auto"/>
              </w:rPr>
              <w:t>7.7</w:t>
            </w:r>
          </w:p>
        </w:tc>
      </w:tr>
      <w:tr>
        <w:trPr>
          <w:trHeight w:val="144"/>
        </w:trPr>
        <w:tc>
          <w:tcPr>
            <w:tcW w:w="3860" w:type="dxa"/>
            <w:vAlign w:val="bottom"/>
            <w:shd w:val="clear" w:color="auto" w:fill="CCEEFF"/>
          </w:tcPr>
          <w:p>
            <w:pPr>
              <w:spacing w:after="0"/>
              <w:rPr>
                <w:sz w:val="20"/>
                <w:szCs w:val="20"/>
                <w:color w:val="auto"/>
              </w:rPr>
            </w:pPr>
            <w:r>
              <w:rPr>
                <w:rFonts w:ascii="Arial" w:cs="Arial" w:eastAsia="Arial" w:hAnsi="Arial"/>
                <w:sz w:val="12"/>
                <w:szCs w:val="12"/>
                <w:color w:val="auto"/>
              </w:rPr>
              <w:t>Non-interest income</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35.7</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36.6</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24.2</w:t>
            </w:r>
          </w:p>
        </w:tc>
      </w:tr>
      <w:tr>
        <w:trPr>
          <w:trHeight w:val="20"/>
        </w:trPr>
        <w:tc>
          <w:tcPr>
            <w:tcW w:w="386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142"/>
        </w:trPr>
        <w:tc>
          <w:tcPr>
            <w:tcW w:w="3860" w:type="dxa"/>
            <w:vAlign w:val="bottom"/>
          </w:tcPr>
          <w:p>
            <w:pPr>
              <w:spacing w:after="0"/>
              <w:rPr>
                <w:sz w:val="12"/>
                <w:szCs w:val="12"/>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2"/>
                <w:szCs w:val="12"/>
                <w:color w:val="auto"/>
              </w:rPr>
              <w:t>100.0%</w:t>
            </w:r>
          </w:p>
        </w:tc>
        <w:tc>
          <w:tcPr>
            <w:tcW w:w="1320" w:type="dxa"/>
            <w:vAlign w:val="bottom"/>
            <w:gridSpan w:val="2"/>
          </w:tcPr>
          <w:p>
            <w:pPr>
              <w:jc w:val="right"/>
              <w:ind w:right="140"/>
              <w:spacing w:after="0"/>
              <w:rPr>
                <w:sz w:val="20"/>
                <w:szCs w:val="20"/>
                <w:color w:val="auto"/>
              </w:rPr>
            </w:pPr>
            <w:r>
              <w:rPr>
                <w:rFonts w:ascii="Arial" w:cs="Arial" w:eastAsia="Arial" w:hAnsi="Arial"/>
                <w:sz w:val="12"/>
                <w:szCs w:val="12"/>
                <w:color w:val="auto"/>
              </w:rPr>
              <w:t>100.0%</w:t>
            </w:r>
          </w:p>
        </w:tc>
        <w:tc>
          <w:tcPr>
            <w:tcW w:w="1260" w:type="dxa"/>
            <w:vAlign w:val="bottom"/>
            <w:gridSpan w:val="2"/>
          </w:tcPr>
          <w:p>
            <w:pPr>
              <w:jc w:val="right"/>
              <w:ind w:right="40"/>
              <w:spacing w:after="0"/>
              <w:rPr>
                <w:sz w:val="20"/>
                <w:szCs w:val="20"/>
                <w:color w:val="auto"/>
              </w:rPr>
            </w:pPr>
            <w:r>
              <w:rPr>
                <w:rFonts w:ascii="Arial" w:cs="Arial" w:eastAsia="Arial" w:hAnsi="Arial"/>
                <w:sz w:val="12"/>
                <w:szCs w:val="12"/>
                <w:color w:val="auto"/>
              </w:rPr>
              <w:t>100.0%</w:t>
            </w:r>
          </w:p>
        </w:tc>
      </w:tr>
      <w:tr>
        <w:trPr>
          <w:trHeight w:val="20"/>
        </w:trPr>
        <w:tc>
          <w:tcPr>
            <w:tcW w:w="38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Supervision and Regulation</w:t>
      </w:r>
    </w:p>
    <w:p>
      <w:pPr>
        <w:spacing w:after="0" w:line="163" w:lineRule="exact"/>
        <w:rPr>
          <w:sz w:val="20"/>
          <w:szCs w:val="20"/>
          <w:color w:val="auto"/>
        </w:rPr>
      </w:pPr>
    </w:p>
    <w:p>
      <w:pPr>
        <w:jc w:val="both"/>
        <w:ind w:right="20"/>
        <w:spacing w:after="0" w:line="273" w:lineRule="auto"/>
        <w:rPr>
          <w:sz w:val="20"/>
          <w:szCs w:val="20"/>
          <w:color w:val="auto"/>
        </w:rPr>
      </w:pPr>
      <w:r>
        <w:rPr>
          <w:rFonts w:ascii="Arial" w:cs="Arial" w:eastAsia="Arial" w:hAnsi="Arial"/>
          <w:sz w:val="14"/>
          <w:szCs w:val="14"/>
          <w:color w:val="auto"/>
        </w:rPr>
        <w:t>The following is a summary of certain statutes and regulations affecting us. This summary is qualified in its entirety by reference to the particular statutes and regulations. A change in applicable laws or regulations may have a material effect on us and our bank.</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General</w:t>
      </w:r>
    </w:p>
    <w:p>
      <w:pPr>
        <w:spacing w:after="0" w:line="163"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Financial institutions and their holding companies are extensively regulated under federal and state law. Consequently, our growth and earnings performance can be affected not only by management decisions and general and local economic conditions, but also by the statutes administered by, and the regulations and policies of, various governmental regulatory authorities. Those authorities include, but are not limited to, the Federal Reserve, the Federal Deposit Insurance Corporation (“FDIC”), the Michigan Department of Insurance and Financial Services (“Michigan DIFS”), the Internal Revenue Service, and state taxing authorities. The effect of such statutes, regulations and policies and any changes thereto can be significant and cannot necessarily be predicted.</w:t>
      </w:r>
    </w:p>
    <w:p>
      <w:pPr>
        <w:spacing w:after="0" w:line="137"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Federal and state laws and regulations generally applicable to financial institutions and their holding companies regulate, among other things, the scope of business, investments, reserves against deposits, capital levels, lending activities and practices, the nature and amount of collateral for loans, the establishment of branches, mergers, consolidations and dividends. The system of supervision and regulation applicable to us establishes a comprehensive framework for our operations and is intended primarily for the protection of the FDIC's deposit insurance fund, our depositors, and the public, rather than our shareholders.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Independent Bank Corporation</w:t>
      </w:r>
    </w:p>
    <w:p>
      <w:pPr>
        <w:spacing w:after="0" w:line="163" w:lineRule="exact"/>
        <w:rPr>
          <w:sz w:val="20"/>
          <w:szCs w:val="20"/>
          <w:color w:val="auto"/>
        </w:rPr>
      </w:pPr>
    </w:p>
    <w:p>
      <w:pPr>
        <w:jc w:val="both"/>
        <w:spacing w:after="0" w:line="312" w:lineRule="auto"/>
        <w:rPr>
          <w:sz w:val="20"/>
          <w:szCs w:val="20"/>
          <w:color w:val="auto"/>
        </w:rPr>
      </w:pPr>
      <w:r>
        <w:rPr>
          <w:rFonts w:ascii="Arial" w:cs="Arial" w:eastAsia="Arial" w:hAnsi="Arial"/>
          <w:sz w:val="13"/>
          <w:szCs w:val="13"/>
          <w:color w:val="auto"/>
        </w:rPr>
        <w:t>We are a bank holding company and, as such, are registered with, and subject to regulation by, the Federal Reserve under the Bank Holding Company Act, as amended (the "BHCA"). Under the BHCA, we are subject to periodic examination by the Federal Reserve and are required to file periodic reports of operations and such additional information as the Federal Reserve may require.</w:t>
      </w:r>
    </w:p>
    <w:p>
      <w:pPr>
        <w:spacing w:after="0" w:line="97"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Federal law requires bank holding companies to act as a source of strength to their bank subsidiaries and to commit capital and financial resources to support those subsidiaries. Such support may be required by the Federal Reserve at times when we might otherwise determine not to provide it.</w:t>
      </w:r>
    </w:p>
    <w:p>
      <w:pPr>
        <w:spacing w:after="0" w:line="120"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In addition, if the Michigan DIFS deems a bank's capital to be impaired, it may require a bank to restore its capital by special assessment upon the bank holding company, as the bank's sole shareholder. If the bank holding company failed to pay such assessment, the directors of that bank would be required, under Michigan law, to sell the shares of bank stock owned by the bank holding company to the highest bidder at either public or private auction and use the proceeds of the sale to restore the bank's capital.</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Any capital loans by a bank holding company to a subsidiary bank are subordinate in right of payment to deposits and to certain other indebtedness of such subsidiary bank. In the event of a bank holding company's bankruptcy, any commitment by the bank holding company to a federal bank regulatory agency to maintain the capital of a subsidiary bank will be assumed by the bankruptcy trustee and entitled to a priority of payment.</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4" w:name="page5"/>
    <w:bookmarkEnd w:id="4"/>
    <w:p>
      <w:pPr>
        <w:jc w:val="both"/>
        <w:spacing w:after="0" w:line="272" w:lineRule="auto"/>
        <w:rPr>
          <w:sz w:val="20"/>
          <w:szCs w:val="20"/>
          <w:color w:val="auto"/>
        </w:rPr>
      </w:pPr>
      <w:r>
        <w:rPr>
          <w:rFonts w:ascii="Arial" w:cs="Arial" w:eastAsia="Arial" w:hAnsi="Arial"/>
          <w:sz w:val="14"/>
          <w:szCs w:val="14"/>
          <w:i w:val="1"/>
          <w:iCs w:val="1"/>
          <w:u w:val="single" w:color="auto"/>
          <w:color w:val="auto"/>
        </w:rPr>
        <w:t>Investments and Activities</w:t>
      </w:r>
      <w:r>
        <w:rPr>
          <w:rFonts w:ascii="Arial" w:cs="Arial" w:eastAsia="Arial" w:hAnsi="Arial"/>
          <w:sz w:val="14"/>
          <w:szCs w:val="14"/>
          <w:color w:val="auto"/>
        </w:rPr>
        <w:t>. Federal law places restrictions on the ability of our holding company to engage in certain transactions, make investments, and participate (directly or indirectly</w:t>
      </w:r>
      <w:r>
        <w:rPr>
          <w:rFonts w:ascii="Arial" w:cs="Arial" w:eastAsia="Arial" w:hAnsi="Arial"/>
          <w:sz w:val="14"/>
          <w:szCs w:val="14"/>
          <w:i w:val="1"/>
          <w:iCs w:val="1"/>
          <w:color w:val="auto"/>
        </w:rPr>
        <w:t xml:space="preserve"> </w:t>
      </w:r>
      <w:r>
        <w:rPr>
          <w:rFonts w:ascii="Arial" w:cs="Arial" w:eastAsia="Arial" w:hAnsi="Arial"/>
          <w:sz w:val="14"/>
          <w:szCs w:val="14"/>
          <w:color w:val="auto"/>
        </w:rPr>
        <w:t>through a subsidiary) in various activities.</w:t>
      </w:r>
    </w:p>
    <w:p>
      <w:pPr>
        <w:spacing w:after="0" w:line="126" w:lineRule="exact"/>
        <w:rPr>
          <w:sz w:val="20"/>
          <w:szCs w:val="20"/>
          <w:color w:val="auto"/>
        </w:rPr>
      </w:pPr>
    </w:p>
    <w:p>
      <w:pPr>
        <w:spacing w:after="0"/>
        <w:tabs>
          <w:tab w:leader="none" w:pos="520" w:val="left"/>
        </w:tabs>
        <w:rPr>
          <w:sz w:val="20"/>
          <w:szCs w:val="20"/>
          <w:color w:val="auto"/>
        </w:rPr>
      </w:pPr>
      <w:r>
        <w:rPr>
          <w:rFonts w:ascii="Arial" w:cs="Arial" w:eastAsia="Arial" w:hAnsi="Arial"/>
          <w:sz w:val="12"/>
          <w:szCs w:val="12"/>
          <w:u w:val="single" w:color="auto"/>
          <w:color w:val="auto"/>
        </w:rPr>
        <w:t>ITEM 1.</w:t>
      </w:r>
      <w:r>
        <w:rPr>
          <w:sz w:val="20"/>
          <w:szCs w:val="20"/>
          <w:color w:val="auto"/>
        </w:rPr>
        <w:tab/>
      </w:r>
      <w:r>
        <w:rPr>
          <w:rFonts w:ascii="Arial" w:cs="Arial" w:eastAsia="Arial" w:hAnsi="Arial"/>
          <w:sz w:val="11"/>
          <w:szCs w:val="11"/>
          <w:u w:val="single" w:color="auto"/>
          <w:color w:val="auto"/>
        </w:rPr>
        <w:t xml:space="preserve">BUSINESS </w:t>
      </w:r>
      <w:r>
        <w:rPr>
          <w:rFonts w:ascii="Arial" w:cs="Arial" w:eastAsia="Arial" w:hAnsi="Arial"/>
          <w:sz w:val="11"/>
          <w:szCs w:val="11"/>
          <w:color w:val="auto"/>
        </w:rPr>
        <w:t>(continued)</w:t>
      </w:r>
    </w:p>
    <w:p>
      <w:pPr>
        <w:spacing w:after="0" w:line="163"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In general, any direct or indirect acquisition by a bank holding company of any voting shares of any bank which would result in the bank holding company's direct or indirect ownership or control of more than 5% of any class of voting shares of such bank, and any merger or consolidation of the bank holding company with another bank holding company, will require the prior written approval of the Federal Reserve under the BHCA. In acting on such applications, the Federal Reserve must consider various statutory factors including the effect of the proposed transaction on competition in relevant geographic and product markets and each party's financial condition, managerial resources, and record of performance under the Community Reinvestment Act.</w:t>
      </w:r>
    </w:p>
    <w:p>
      <w:pPr>
        <w:spacing w:after="0" w:line="120"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The merger or consolidation of an existing bank subsidiary of a bank holding company with another bank, or the acquisition by such a subsidiary of the assets of another bank, or the assumption of the deposit and other liabilities by such a subsidiary requires the prior written approval of the responsible federal regulatory agency under the Bank Merger Act, based upon a consideration of statutory factors similar to those outlined above with respect to the BHCA. In addition, in certain cases, an application to, and the prior approval of, the Federal Reserve under the BHCA and/or Michigan DIFS under Michigan banking laws, may be required.</w:t>
      </w:r>
    </w:p>
    <w:p>
      <w:pPr>
        <w:spacing w:after="0" w:line="134" w:lineRule="exact"/>
        <w:rPr>
          <w:sz w:val="20"/>
          <w:szCs w:val="20"/>
          <w:color w:val="auto"/>
        </w:rPr>
      </w:pPr>
    </w:p>
    <w:p>
      <w:pPr>
        <w:jc w:val="both"/>
        <w:spacing w:after="0" w:line="268" w:lineRule="auto"/>
        <w:rPr>
          <w:sz w:val="20"/>
          <w:szCs w:val="20"/>
          <w:color w:val="auto"/>
        </w:rPr>
      </w:pPr>
      <w:r>
        <w:rPr>
          <w:rFonts w:ascii="Arial" w:cs="Arial" w:eastAsia="Arial" w:hAnsi="Arial"/>
          <w:sz w:val="13"/>
          <w:szCs w:val="13"/>
          <w:color w:val="auto"/>
        </w:rPr>
        <w:t xml:space="preserve">With certain limited exceptions, the BHCA prohibits any bank holding company from engaging, either directly or indirectly through a subsidiary, in any activity other than managing or controlling banks unless the proposed non-banking activity is one the Federal Reserve has determined to be so closely related to banking as to be a proper incident thereto. Under current Federal Reserve regulations, such permissible non-banking activities include such things as mortgage banking, equipment leasing, securities brokerage, and consumer and commercial finance company operations. Well-capitalized and well-managed bank holding companies may, however, engage </w:t>
      </w:r>
      <w:r>
        <w:rPr>
          <w:rFonts w:ascii="Arial" w:cs="Arial" w:eastAsia="Arial" w:hAnsi="Arial"/>
          <w:sz w:val="13"/>
          <w:szCs w:val="13"/>
          <w:i w:val="1"/>
          <w:iCs w:val="1"/>
          <w:color w:val="auto"/>
        </w:rPr>
        <w:t>de novo</w:t>
      </w:r>
      <w:r>
        <w:rPr>
          <w:rFonts w:ascii="Arial" w:cs="Arial" w:eastAsia="Arial" w:hAnsi="Arial"/>
          <w:sz w:val="13"/>
          <w:szCs w:val="13"/>
          <w:color w:val="auto"/>
        </w:rPr>
        <w:t xml:space="preserve"> in certain types of non-banking activities without prior notice to, or approval of, the Federal Reserve, provided that written notice of the new activity is given to the Federal Reserve within 10 business days after the activity is commenced. If a bank holding company wishes to engage in a non-banking activity by acquiring a going concern, prior notice and/or prior approval will be required, depending upon the activities in which the company to be acquired is engaged, the size of the company to be acquired and the financial and managerial condition of the acquiring bank holding company.</w:t>
      </w:r>
    </w:p>
    <w:p>
      <w:pPr>
        <w:spacing w:after="0" w:line="127"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Eligible bank holding companies that elect to operate as financial holding companies may engage in, or own shares in companies engaged in, a wider range of non-banking activities, including securities and insurance activities and any other activity the Federal Reserve, in consultation with the U.S. Department of Treasury, (the “Treasury”) determines by regulation or order is financial in nature, incidental to any such financial activity or complementary to any such financial activity and does not pose a substantial risk to the safety or soundness of depository institutions or the financial system generally. The BHCA generally does not place territorial restrictions on the domestic activities of non-bank subsidiaries of bank or financial holding companies. We have not applied for approval to operate as a financial holding company and have no current intention of doing so.</w:t>
      </w:r>
    </w:p>
    <w:p>
      <w:pPr>
        <w:spacing w:after="0" w:line="137" w:lineRule="exact"/>
        <w:rPr>
          <w:sz w:val="20"/>
          <w:szCs w:val="20"/>
          <w:color w:val="auto"/>
        </w:rPr>
      </w:pPr>
    </w:p>
    <w:p>
      <w:pPr>
        <w:jc w:val="both"/>
        <w:spacing w:after="0" w:line="273" w:lineRule="auto"/>
        <w:rPr>
          <w:sz w:val="20"/>
          <w:szCs w:val="20"/>
          <w:color w:val="auto"/>
        </w:rPr>
      </w:pPr>
      <w:r>
        <w:rPr>
          <w:rFonts w:ascii="Arial" w:cs="Arial" w:eastAsia="Arial" w:hAnsi="Arial"/>
          <w:sz w:val="14"/>
          <w:szCs w:val="14"/>
          <w:i w:val="1"/>
          <w:iCs w:val="1"/>
          <w:u w:val="single" w:color="auto"/>
          <w:color w:val="auto"/>
        </w:rPr>
        <w:t>Capital Requirements</w:t>
      </w:r>
      <w:r>
        <w:rPr>
          <w:rFonts w:ascii="Arial" w:cs="Arial" w:eastAsia="Arial" w:hAnsi="Arial"/>
          <w:sz w:val="14"/>
          <w:szCs w:val="14"/>
          <w:color w:val="auto"/>
        </w:rPr>
        <w:t>. The Federal Reserve uses capital adequacy guidelines in its examination and regulation of bank holding companies. If capital falls below minimum guidelines, a bank</w:t>
      </w:r>
      <w:r>
        <w:rPr>
          <w:rFonts w:ascii="Arial" w:cs="Arial" w:eastAsia="Arial" w:hAnsi="Arial"/>
          <w:sz w:val="14"/>
          <w:szCs w:val="14"/>
          <w:i w:val="1"/>
          <w:iCs w:val="1"/>
          <w:color w:val="auto"/>
        </w:rPr>
        <w:t xml:space="preserve"> </w:t>
      </w:r>
      <w:r>
        <w:rPr>
          <w:rFonts w:ascii="Arial" w:cs="Arial" w:eastAsia="Arial" w:hAnsi="Arial"/>
          <w:sz w:val="14"/>
          <w:szCs w:val="14"/>
          <w:color w:val="auto"/>
        </w:rPr>
        <w:t>holding company may, among other things, be denied approval to acquire or establish additional banks or non-bank businesses.</w:t>
      </w:r>
    </w:p>
    <w:p>
      <w:pPr>
        <w:spacing w:after="0" w:line="120"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Under current federal regulations, our holding company is required to maintain the following minimum capital ratios: (1) a minimum ratio of common equity Tier 1 capital to risk-weighted assets of 4.5%, (2) a minimum ratio of Tier 1 capital to risk-weighted assets of 6%, (3) a minimum ratio of total capital to total risk-weighted assets of 8%, and (4) a minimum leverage ratio of 4%. A 2.5% common equity Tier 1 capital conservation buffer is also required. At December 31, 2021, our holding company's capital ratios exceeded minimum requirements for the well-capitalized category.</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It is important to note that these regulatory capital rules provide minimum requirements, and higher capital levels may be required if warranted by the particular circumstances or risk profiles of individual banking organizations. In addition, the federal bank regulatory agencies are required biennially to review risk-based capital standards to ensure that they adequately address interest rate risk, concentration of credit risk and risks from non-traditional activities.</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5" w:name="page6"/>
    <w:bookmarkEnd w:id="5"/>
    <w:p>
      <w:pPr>
        <w:spacing w:after="0"/>
        <w:tabs>
          <w:tab w:leader="none" w:pos="620" w:val="left"/>
        </w:tabs>
        <w:rPr>
          <w:sz w:val="20"/>
          <w:szCs w:val="20"/>
          <w:color w:val="auto"/>
        </w:rPr>
      </w:pPr>
      <w:r>
        <w:rPr>
          <w:rFonts w:ascii="Arial" w:cs="Arial" w:eastAsia="Arial" w:hAnsi="Arial"/>
          <w:sz w:val="12"/>
          <w:szCs w:val="12"/>
          <w:u w:val="single" w:color="auto"/>
          <w:color w:val="auto"/>
        </w:rPr>
        <w:t>ITEM 1.</w:t>
      </w:r>
      <w:r>
        <w:rPr>
          <w:sz w:val="20"/>
          <w:szCs w:val="20"/>
          <w:color w:val="auto"/>
        </w:rPr>
        <w:tab/>
      </w:r>
      <w:r>
        <w:rPr>
          <w:rFonts w:ascii="Arial" w:cs="Arial" w:eastAsia="Arial" w:hAnsi="Arial"/>
          <w:sz w:val="11"/>
          <w:szCs w:val="11"/>
          <w:u w:val="single" w:color="auto"/>
          <w:color w:val="auto"/>
        </w:rPr>
        <w:t xml:space="preserve">BUSINESS </w:t>
      </w:r>
      <w:r>
        <w:rPr>
          <w:rFonts w:ascii="Arial" w:cs="Arial" w:eastAsia="Arial" w:hAnsi="Arial"/>
          <w:sz w:val="11"/>
          <w:szCs w:val="11"/>
          <w:color w:val="auto"/>
        </w:rPr>
        <w:t>(continued)</w:t>
      </w:r>
    </w:p>
    <w:p>
      <w:pPr>
        <w:spacing w:after="0" w:line="163" w:lineRule="exact"/>
        <w:rPr>
          <w:sz w:val="20"/>
          <w:szCs w:val="20"/>
          <w:color w:val="auto"/>
        </w:rPr>
      </w:pPr>
    </w:p>
    <w:p>
      <w:pPr>
        <w:jc w:val="both"/>
        <w:spacing w:after="0" w:line="247" w:lineRule="auto"/>
        <w:rPr>
          <w:sz w:val="20"/>
          <w:szCs w:val="20"/>
          <w:color w:val="auto"/>
        </w:rPr>
      </w:pPr>
      <w:r>
        <w:rPr>
          <w:rFonts w:ascii="Arial" w:cs="Arial" w:eastAsia="Arial" w:hAnsi="Arial"/>
          <w:sz w:val="14"/>
          <w:szCs w:val="14"/>
          <w:color w:val="auto"/>
        </w:rPr>
        <w:t>Our Tier 1 capital as of December 31, 2021, includes $38.4 million of trust preferred securities (classified on our Consolidated Statements of Financial Condition as "Subordinated debentures"). The Federal Reserve has issued rules regarding trust preferred securities as a component of the Tier 1 capital of bank holding companies. The aggregate amount of trust preferred securities and certain other capital elements is limited to 25 percent of Tier 1 capital elements, net of goodwill (net of any associated deferred tax liability). The amount of trust preferred securities and certain other elements in excess of the limit could be included in the Tier 2 capital, subject to restrictions. The provisions of the Dodd-Frank Wall Street Reform and Consumer Protection Act adopted in 2010 (the "Dodd-Frank Act") imposed additional limitations on the ability to include trust preferred securities as Tier 1 capital; however, these additional limitations do not apply to our outstanding trust preferred securities.</w:t>
      </w:r>
    </w:p>
    <w:p>
      <w:pPr>
        <w:spacing w:after="0" w:line="140"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Our Tier 2 capital as of December 31, 2021 includes $40.0 million of subordinated notes that were issued during 2020 and mature May, 2030. Generally, for subordinated debt with a minimum maturity of five years, there is no limit on the amount of subordinated debt that can be included in Tier 2 capital.</w:t>
      </w:r>
    </w:p>
    <w:p>
      <w:pPr>
        <w:spacing w:after="0" w:line="120" w:lineRule="exact"/>
        <w:rPr>
          <w:sz w:val="20"/>
          <w:szCs w:val="20"/>
          <w:color w:val="auto"/>
        </w:rPr>
      </w:pPr>
    </w:p>
    <w:p>
      <w:pPr>
        <w:jc w:val="both"/>
        <w:spacing w:after="0" w:line="268" w:lineRule="auto"/>
        <w:rPr>
          <w:sz w:val="20"/>
          <w:szCs w:val="20"/>
          <w:color w:val="auto"/>
        </w:rPr>
      </w:pPr>
      <w:r>
        <w:rPr>
          <w:rFonts w:ascii="Arial" w:cs="Arial" w:eastAsia="Arial" w:hAnsi="Arial"/>
          <w:sz w:val="13"/>
          <w:szCs w:val="13"/>
          <w:i w:val="1"/>
          <w:iCs w:val="1"/>
          <w:u w:val="single" w:color="auto"/>
          <w:color w:val="auto"/>
        </w:rPr>
        <w:t>Dividends</w:t>
      </w:r>
      <w:r>
        <w:rPr>
          <w:rFonts w:ascii="Arial" w:cs="Arial" w:eastAsia="Arial" w:hAnsi="Arial"/>
          <w:sz w:val="13"/>
          <w:szCs w:val="13"/>
          <w:color w:val="auto"/>
        </w:rPr>
        <w:t>. Historically, most of our revenues have been received in the form of dividends paid by our bank. We can also make requests for returns of capital from our bank; however, such</w:t>
      </w:r>
      <w:r>
        <w:rPr>
          <w:rFonts w:ascii="Arial" w:cs="Arial" w:eastAsia="Arial" w:hAnsi="Arial"/>
          <w:sz w:val="13"/>
          <w:szCs w:val="13"/>
          <w:i w:val="1"/>
          <w:iCs w:val="1"/>
          <w:color w:val="auto"/>
        </w:rPr>
        <w:t xml:space="preserve"> </w:t>
      </w:r>
      <w:r>
        <w:rPr>
          <w:rFonts w:ascii="Arial" w:cs="Arial" w:eastAsia="Arial" w:hAnsi="Arial"/>
          <w:sz w:val="13"/>
          <w:szCs w:val="13"/>
          <w:color w:val="auto"/>
        </w:rPr>
        <w:t>requests require the approval of the Michigan DIFS. Thus, our ability to pay dividends to our shareholders is indirectly limited by restrictions on the ability of our bank to pay dividends or return capital to us, as described below. Further, in a policy statement, the Federal Reserve has expressed its view that a bank holding company experiencing earnings weaknesses should not pay cash dividends exceeding its net income or that can only be funded in ways that weaken the bank holding company's financial health, such as by borrowing. The Federal Reserve possesses enforcement powers over bank holding companies and their non-bank subsidiaries to prevent or remedy actions that represent unsafe or unsound practices or violations of applicable statutes and regulations. Among these powers is the ability to proscribe the payment of dividends by banks and bank holding companies. The "prompt corrective action" provisions of federal law and regulation authorize the Federal Reserve to restrict the amount of dividends that can be paid by an insured bank that fails to meet specified capital levels.</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In addition to the restrictions on dividends imposed by the Federal Reserve, the Michigan Business Corporation Act provides that dividends may be legally declared or paid only if, after the distribution, the corporation can pay its debts as they come due in the usual course of business and its total assets equal or exceed the sum of its liabilities plus the amount that would be needed to satisfy the preferential rights upon dissolution of any holders of preferred stock whose preferential rights are superior to those receiving the distribution.</w:t>
      </w:r>
    </w:p>
    <w:p>
      <w:pPr>
        <w:spacing w:after="0" w:line="131" w:lineRule="exact"/>
        <w:rPr>
          <w:sz w:val="20"/>
          <w:szCs w:val="20"/>
          <w:color w:val="auto"/>
        </w:rPr>
      </w:pPr>
    </w:p>
    <w:p>
      <w:pPr>
        <w:jc w:val="both"/>
        <w:spacing w:after="0" w:line="249" w:lineRule="auto"/>
        <w:rPr>
          <w:sz w:val="20"/>
          <w:szCs w:val="20"/>
          <w:color w:val="auto"/>
        </w:rPr>
      </w:pPr>
      <w:r>
        <w:rPr>
          <w:rFonts w:ascii="Arial" w:cs="Arial" w:eastAsia="Arial" w:hAnsi="Arial"/>
          <w:sz w:val="14"/>
          <w:szCs w:val="14"/>
          <w:i w:val="1"/>
          <w:iCs w:val="1"/>
          <w:u w:val="single" w:color="auto"/>
          <w:color w:val="auto"/>
        </w:rPr>
        <w:t>Change in Control Limitations</w:t>
      </w:r>
      <w:r>
        <w:rPr>
          <w:rFonts w:ascii="Arial" w:cs="Arial" w:eastAsia="Arial" w:hAnsi="Arial"/>
          <w:sz w:val="14"/>
          <w:szCs w:val="14"/>
          <w:i w:val="1"/>
          <w:iCs w:val="1"/>
          <w:color w:val="auto"/>
        </w:rPr>
        <w:t xml:space="preserve">. </w:t>
      </w:r>
      <w:r>
        <w:rPr>
          <w:rFonts w:ascii="Arial" w:cs="Arial" w:eastAsia="Arial" w:hAnsi="Arial"/>
          <w:sz w:val="14"/>
          <w:szCs w:val="14"/>
          <w:color w:val="auto"/>
        </w:rPr>
        <w:t>Subject to certain exceptions, the Change in the Bank Control Act ("Control Act") and regulations promulgated thereunder by the Federal Reserve, require any</w:t>
      </w:r>
      <w:r>
        <w:rPr>
          <w:rFonts w:ascii="Arial" w:cs="Arial" w:eastAsia="Arial" w:hAnsi="Arial"/>
          <w:sz w:val="14"/>
          <w:szCs w:val="14"/>
          <w:i w:val="1"/>
          <w:iCs w:val="1"/>
          <w:color w:val="auto"/>
        </w:rPr>
        <w:t xml:space="preserve"> </w:t>
      </w:r>
      <w:r>
        <w:rPr>
          <w:rFonts w:ascii="Arial" w:cs="Arial" w:eastAsia="Arial" w:hAnsi="Arial"/>
          <w:sz w:val="14"/>
          <w:szCs w:val="14"/>
          <w:color w:val="auto"/>
        </w:rPr>
        <w:t>person acting directly or indirectly, or through or in concert with one or more persons, to give the Federal Reserve 60 days' written notice before acquiring control of a bank holding company. Pursuant to the Control Act, the Federal Reserve has the authority to prevent any such acquisition. Transactions that are presumed to constitute the acquisition of control include the acquisition of any voting securities of a bank holding company having securities registered under Section 12 of the Securities Exchange Act of 1934, as amended, if, after the transaction, the acquiring person (or persons acting in concert) owns, controls or holds with power to vote 10% or more of any class of voting securities of the institution.</w:t>
      </w:r>
    </w:p>
    <w:p>
      <w:pPr>
        <w:spacing w:after="0" w:line="137" w:lineRule="exact"/>
        <w:rPr>
          <w:sz w:val="20"/>
          <w:szCs w:val="20"/>
          <w:color w:val="auto"/>
        </w:rPr>
      </w:pPr>
    </w:p>
    <w:p>
      <w:pPr>
        <w:jc w:val="both"/>
        <w:spacing w:after="0" w:line="273" w:lineRule="auto"/>
        <w:rPr>
          <w:sz w:val="20"/>
          <w:szCs w:val="20"/>
          <w:color w:val="auto"/>
        </w:rPr>
      </w:pPr>
      <w:r>
        <w:rPr>
          <w:rFonts w:ascii="Arial" w:cs="Arial" w:eastAsia="Arial" w:hAnsi="Arial"/>
          <w:sz w:val="14"/>
          <w:szCs w:val="14"/>
          <w:i w:val="1"/>
          <w:iCs w:val="1"/>
          <w:u w:val="single" w:color="auto"/>
          <w:color w:val="auto"/>
        </w:rPr>
        <w:t>Federal Securities Regulation</w:t>
      </w:r>
      <w:r>
        <w:rPr>
          <w:rFonts w:ascii="Arial" w:cs="Arial" w:eastAsia="Arial" w:hAnsi="Arial"/>
          <w:sz w:val="14"/>
          <w:szCs w:val="14"/>
          <w:color w:val="auto"/>
        </w:rPr>
        <w:t>. Our common stock is registered under the Securities Exchange Act of 1934, as amended (the "Exchange Act"). We are therefore subject to the information, proxy</w:t>
      </w:r>
      <w:r>
        <w:rPr>
          <w:rFonts w:ascii="Arial" w:cs="Arial" w:eastAsia="Arial" w:hAnsi="Arial"/>
          <w:sz w:val="14"/>
          <w:szCs w:val="14"/>
          <w:i w:val="1"/>
          <w:iCs w:val="1"/>
          <w:color w:val="auto"/>
        </w:rPr>
        <w:t xml:space="preserve"> </w:t>
      </w:r>
      <w:r>
        <w:rPr>
          <w:rFonts w:ascii="Arial" w:cs="Arial" w:eastAsia="Arial" w:hAnsi="Arial"/>
          <w:sz w:val="14"/>
          <w:szCs w:val="14"/>
          <w:color w:val="auto"/>
        </w:rPr>
        <w:t>solicitation, insider trading and other restrictions and requirements of the Securities and Exchange Commission ("SEC") under the Exchange Act.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6" w:name="page7"/>
    <w:bookmarkEnd w:id="6"/>
    <w:p>
      <w:pPr>
        <w:spacing w:after="0"/>
        <w:tabs>
          <w:tab w:leader="none" w:pos="620" w:val="left"/>
        </w:tabs>
        <w:rPr>
          <w:sz w:val="20"/>
          <w:szCs w:val="20"/>
          <w:color w:val="auto"/>
        </w:rPr>
      </w:pPr>
      <w:r>
        <w:rPr>
          <w:rFonts w:ascii="Arial" w:cs="Arial" w:eastAsia="Arial" w:hAnsi="Arial"/>
          <w:sz w:val="12"/>
          <w:szCs w:val="12"/>
          <w:u w:val="single" w:color="auto"/>
          <w:color w:val="auto"/>
        </w:rPr>
        <w:t>ITEM 1.</w:t>
      </w:r>
      <w:r>
        <w:rPr>
          <w:sz w:val="20"/>
          <w:szCs w:val="20"/>
          <w:color w:val="auto"/>
        </w:rPr>
        <w:tab/>
      </w:r>
      <w:r>
        <w:rPr>
          <w:rFonts w:ascii="Arial" w:cs="Arial" w:eastAsia="Arial" w:hAnsi="Arial"/>
          <w:sz w:val="11"/>
          <w:szCs w:val="11"/>
          <w:u w:val="single" w:color="auto"/>
          <w:color w:val="auto"/>
        </w:rPr>
        <w:t xml:space="preserve">BUSINESS </w:t>
      </w:r>
      <w:r>
        <w:rPr>
          <w:rFonts w:ascii="Arial" w:cs="Arial" w:eastAsia="Arial" w:hAnsi="Arial"/>
          <w:sz w:val="11"/>
          <w:szCs w:val="11"/>
          <w:color w:val="auto"/>
        </w:rPr>
        <w:t>(continued)</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Independent Bank</w:t>
      </w:r>
    </w:p>
    <w:p>
      <w:pPr>
        <w:spacing w:after="0" w:line="163"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Independent Bank is a Michigan banking corporation and a member of the Federal Reserve System, and its deposit accounts are insured by the FDIC's Deposit Insurance Fund ("DIF"). As a member of the Federal Reserve System and a Michigan-chartered bank, our bank is subject to the examination, supervision, reporting and enforcement requirements of the Federal Reserve as its primary federal regulator and the Michigan DIFS as the chartering authority for Michigan banks. These agencies and the federal and state laws applicable to our bank and its operations extensively regulate various aspects of the banking business including, among other things, permissible types and amounts of loans, investments and other activities, capital adequacy, branching, interest rates on loans and on deposits, the maintenance of non-interest bearing reserves on deposit accounts, and the safety and soundness of banking practices.</w:t>
      </w:r>
    </w:p>
    <w:p>
      <w:pPr>
        <w:spacing w:after="0" w:line="122" w:lineRule="exact"/>
        <w:rPr>
          <w:sz w:val="20"/>
          <w:szCs w:val="20"/>
          <w:color w:val="auto"/>
        </w:rPr>
      </w:pPr>
    </w:p>
    <w:p>
      <w:pPr>
        <w:jc w:val="both"/>
        <w:spacing w:after="0" w:line="286" w:lineRule="auto"/>
        <w:rPr>
          <w:sz w:val="20"/>
          <w:szCs w:val="20"/>
          <w:color w:val="auto"/>
        </w:rPr>
      </w:pPr>
      <w:r>
        <w:rPr>
          <w:rFonts w:ascii="Arial" w:cs="Arial" w:eastAsia="Arial" w:hAnsi="Arial"/>
          <w:sz w:val="13"/>
          <w:szCs w:val="13"/>
          <w:i w:val="1"/>
          <w:iCs w:val="1"/>
          <w:u w:val="single" w:color="auto"/>
          <w:color w:val="auto"/>
        </w:rPr>
        <w:t>Deposit Insurance</w:t>
      </w:r>
      <w:r>
        <w:rPr>
          <w:rFonts w:ascii="Arial" w:cs="Arial" w:eastAsia="Arial" w:hAnsi="Arial"/>
          <w:sz w:val="13"/>
          <w:szCs w:val="13"/>
          <w:color w:val="auto"/>
        </w:rPr>
        <w:t>. As an FDIC-insured institution, our bank is required to pay deposit insurance premium assessments to the FDIC. Under the FDIC's risk-based assessment system for deposit</w:t>
      </w:r>
      <w:r>
        <w:rPr>
          <w:rFonts w:ascii="Arial" w:cs="Arial" w:eastAsia="Arial" w:hAnsi="Arial"/>
          <w:sz w:val="13"/>
          <w:szCs w:val="13"/>
          <w:i w:val="1"/>
          <w:iCs w:val="1"/>
          <w:color w:val="auto"/>
        </w:rPr>
        <w:t xml:space="preserve"> </w:t>
      </w:r>
      <w:r>
        <w:rPr>
          <w:rFonts w:ascii="Arial" w:cs="Arial" w:eastAsia="Arial" w:hAnsi="Arial"/>
          <w:sz w:val="13"/>
          <w:szCs w:val="13"/>
          <w:color w:val="auto"/>
        </w:rPr>
        <w:t>insurance premiums, all insured depository institutions are placed into one of four categories (Risk Categories I, II, III, and IV), based primarily on their level of capital and supervisory evaluations, for purposes of determining the institution's assessment rate. Deposit insurance premium assessments are generally based on an institution's total assets minus its tangible equity.</w:t>
      </w:r>
    </w:p>
    <w:p>
      <w:pPr>
        <w:spacing w:after="0" w:line="114" w:lineRule="exact"/>
        <w:rPr>
          <w:sz w:val="20"/>
          <w:szCs w:val="20"/>
          <w:color w:val="auto"/>
        </w:rPr>
      </w:pPr>
    </w:p>
    <w:p>
      <w:pPr>
        <w:jc w:val="both"/>
        <w:ind w:right="20"/>
        <w:spacing w:after="0" w:line="273" w:lineRule="auto"/>
        <w:rPr>
          <w:sz w:val="20"/>
          <w:szCs w:val="20"/>
          <w:color w:val="auto"/>
        </w:rPr>
      </w:pPr>
      <w:r>
        <w:rPr>
          <w:rFonts w:ascii="Arial" w:cs="Arial" w:eastAsia="Arial" w:hAnsi="Arial"/>
          <w:sz w:val="14"/>
          <w:szCs w:val="14"/>
          <w:i w:val="1"/>
          <w:iCs w:val="1"/>
          <w:u w:val="single" w:color="auto"/>
          <w:color w:val="auto"/>
        </w:rPr>
        <w:t>Michigan DIFS Assessments</w:t>
      </w:r>
      <w:r>
        <w:rPr>
          <w:rFonts w:ascii="Arial" w:cs="Arial" w:eastAsia="Arial" w:hAnsi="Arial"/>
          <w:sz w:val="14"/>
          <w:szCs w:val="14"/>
          <w:color w:val="auto"/>
        </w:rPr>
        <w:t>. Michigan banks are required to pay supervisory fees to the Michigan DIFS to fund their operations. The amount of supervisory fees paid by a bank is based upon the</w:t>
      </w:r>
      <w:r>
        <w:rPr>
          <w:rFonts w:ascii="Arial" w:cs="Arial" w:eastAsia="Arial" w:hAnsi="Arial"/>
          <w:sz w:val="14"/>
          <w:szCs w:val="14"/>
          <w:i w:val="1"/>
          <w:iCs w:val="1"/>
          <w:color w:val="auto"/>
        </w:rPr>
        <w:t xml:space="preserve"> </w:t>
      </w:r>
      <w:r>
        <w:rPr>
          <w:rFonts w:ascii="Arial" w:cs="Arial" w:eastAsia="Arial" w:hAnsi="Arial"/>
          <w:sz w:val="14"/>
          <w:szCs w:val="14"/>
          <w:color w:val="auto"/>
        </w:rPr>
        <w:t>bank's total assets.</w:t>
      </w:r>
    </w:p>
    <w:p>
      <w:pPr>
        <w:spacing w:after="0" w:line="120" w:lineRule="exact"/>
        <w:rPr>
          <w:sz w:val="20"/>
          <w:szCs w:val="20"/>
          <w:color w:val="auto"/>
        </w:rPr>
      </w:pPr>
    </w:p>
    <w:p>
      <w:pPr>
        <w:jc w:val="both"/>
        <w:spacing w:after="0" w:line="247" w:lineRule="auto"/>
        <w:rPr>
          <w:sz w:val="20"/>
          <w:szCs w:val="20"/>
          <w:color w:val="auto"/>
        </w:rPr>
      </w:pPr>
      <w:r>
        <w:rPr>
          <w:rFonts w:ascii="Arial" w:cs="Arial" w:eastAsia="Arial" w:hAnsi="Arial"/>
          <w:sz w:val="14"/>
          <w:szCs w:val="14"/>
          <w:i w:val="1"/>
          <w:iCs w:val="1"/>
          <w:u w:val="single" w:color="auto"/>
          <w:color w:val="auto"/>
        </w:rPr>
        <w:t>Capital Requirements</w:t>
      </w:r>
      <w:r>
        <w:rPr>
          <w:rFonts w:ascii="Arial" w:cs="Arial" w:eastAsia="Arial" w:hAnsi="Arial"/>
          <w:sz w:val="14"/>
          <w:szCs w:val="14"/>
          <w:color w:val="auto"/>
        </w:rPr>
        <w:t>. The Federal Reserve has established the following minimum capital standards for state-chartered, FDIC-insured member banks, such as our bank: (1) a minimum ratio of</w:t>
      </w:r>
      <w:r>
        <w:rPr>
          <w:rFonts w:ascii="Arial" w:cs="Arial" w:eastAsia="Arial" w:hAnsi="Arial"/>
          <w:sz w:val="14"/>
          <w:szCs w:val="14"/>
          <w:i w:val="1"/>
          <w:iCs w:val="1"/>
          <w:color w:val="auto"/>
        </w:rPr>
        <w:t xml:space="preserve"> </w:t>
      </w:r>
      <w:r>
        <w:rPr>
          <w:rFonts w:ascii="Arial" w:cs="Arial" w:eastAsia="Arial" w:hAnsi="Arial"/>
          <w:sz w:val="14"/>
          <w:szCs w:val="14"/>
          <w:color w:val="auto"/>
        </w:rPr>
        <w:t>common equity Tier 1 capital to risk-weighted assets of 4.5%, (2) a minimum ratio of Tier 1 capital to risk-weighted assets of 6%, (3) a minimum ratio of total capital to total risk-weighted assets of 8%, and (4) a minimum leverage ratio of 4%. A 2.5% common equity Tier 1 capital conservation buffer is also required. It is important to note that these regulatory capital rules provide minimum requirements, and higher capital levels may be required if warranted by the particular circumstances or risk profiles of individual banking organizations. In addition, the federal bank regulatory agencies are required biennially to review risk-based capital standards to ensure that they adequately address interest rate risk, concentration of credit risk and risks from non-traditional activities.</w:t>
      </w:r>
    </w:p>
    <w:p>
      <w:pPr>
        <w:spacing w:after="0" w:line="140"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Federal law provides the federal banking regulators with broad power to take prompt corrective action to resolve the problems of undercapitalized institutions. The extent of the regulators' powers depends on whether the institution in question is "well capitalized," "adequately capitalized," "undercapitalized," "significantly undercapitalized," or "critically undercapitalized." Federal regulations define these capital categories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5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jc w:val="center"/>
              <w:spacing w:after="0"/>
              <w:rPr>
                <w:sz w:val="20"/>
                <w:szCs w:val="20"/>
                <w:color w:val="auto"/>
              </w:rPr>
            </w:pPr>
            <w:r>
              <w:rPr>
                <w:rFonts w:ascii="Arial" w:cs="Arial" w:eastAsia="Arial" w:hAnsi="Arial"/>
                <w:sz w:val="12"/>
                <w:szCs w:val="12"/>
                <w:b w:val="1"/>
                <w:bCs w:val="1"/>
                <w:color w:val="auto"/>
                <w:w w:val="92"/>
              </w:rPr>
              <w:t>Common</w:t>
            </w: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144"/>
        </w:trPr>
        <w:tc>
          <w:tcPr>
            <w:tcW w:w="452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Arial" w:cs="Arial" w:eastAsia="Arial" w:hAnsi="Arial"/>
                <w:sz w:val="12"/>
                <w:szCs w:val="12"/>
                <w:b w:val="1"/>
                <w:bCs w:val="1"/>
                <w:color w:val="auto"/>
                <w:w w:val="90"/>
              </w:rPr>
              <w:t>Total</w:t>
            </w:r>
          </w:p>
        </w:tc>
        <w:tc>
          <w:tcPr>
            <w:tcW w:w="120" w:type="dxa"/>
            <w:vAlign w:val="bottom"/>
          </w:tcPr>
          <w:p>
            <w:pPr>
              <w:spacing w:after="0"/>
              <w:rPr>
                <w:sz w:val="12"/>
                <w:szCs w:val="12"/>
                <w:color w:val="auto"/>
              </w:rPr>
            </w:pPr>
          </w:p>
        </w:tc>
        <w:tc>
          <w:tcPr>
            <w:tcW w:w="1640" w:type="dxa"/>
            <w:vAlign w:val="bottom"/>
          </w:tcPr>
          <w:p>
            <w:pPr>
              <w:jc w:val="center"/>
              <w:spacing w:after="0"/>
              <w:rPr>
                <w:sz w:val="20"/>
                <w:szCs w:val="20"/>
                <w:color w:val="auto"/>
              </w:rPr>
            </w:pPr>
            <w:r>
              <w:rPr>
                <w:rFonts w:ascii="Arial" w:cs="Arial" w:eastAsia="Arial" w:hAnsi="Arial"/>
                <w:sz w:val="12"/>
                <w:szCs w:val="12"/>
                <w:b w:val="1"/>
                <w:bCs w:val="1"/>
                <w:color w:val="auto"/>
                <w:w w:val="93"/>
              </w:rPr>
              <w:t>Tier 1</w:t>
            </w:r>
          </w:p>
        </w:tc>
        <w:tc>
          <w:tcPr>
            <w:tcW w:w="100" w:type="dxa"/>
            <w:vAlign w:val="bottom"/>
          </w:tcPr>
          <w:p>
            <w:pPr>
              <w:spacing w:after="0"/>
              <w:rPr>
                <w:sz w:val="12"/>
                <w:szCs w:val="12"/>
                <w:color w:val="auto"/>
              </w:rPr>
            </w:pPr>
          </w:p>
        </w:tc>
        <w:tc>
          <w:tcPr>
            <w:tcW w:w="1720" w:type="dxa"/>
            <w:vAlign w:val="bottom"/>
          </w:tcPr>
          <w:p>
            <w:pPr>
              <w:jc w:val="center"/>
              <w:spacing w:after="0"/>
              <w:rPr>
                <w:sz w:val="20"/>
                <w:szCs w:val="20"/>
                <w:color w:val="auto"/>
              </w:rPr>
            </w:pPr>
            <w:r>
              <w:rPr>
                <w:rFonts w:ascii="Arial" w:cs="Arial" w:eastAsia="Arial" w:hAnsi="Arial"/>
                <w:sz w:val="12"/>
                <w:szCs w:val="12"/>
                <w:b w:val="1"/>
                <w:bCs w:val="1"/>
                <w:color w:val="auto"/>
                <w:w w:val="94"/>
              </w:rPr>
              <w:t>Equity Tier 1</w:t>
            </w: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144"/>
        </w:trPr>
        <w:tc>
          <w:tcPr>
            <w:tcW w:w="452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Arial" w:cs="Arial" w:eastAsia="Arial" w:hAnsi="Arial"/>
                <w:sz w:val="12"/>
                <w:szCs w:val="12"/>
                <w:b w:val="1"/>
                <w:bCs w:val="1"/>
                <w:color w:val="auto"/>
                <w:w w:val="88"/>
              </w:rPr>
              <w:t>Risk-Based</w:t>
            </w:r>
          </w:p>
        </w:tc>
        <w:tc>
          <w:tcPr>
            <w:tcW w:w="120" w:type="dxa"/>
            <w:vAlign w:val="bottom"/>
          </w:tcPr>
          <w:p>
            <w:pPr>
              <w:spacing w:after="0"/>
              <w:rPr>
                <w:sz w:val="12"/>
                <w:szCs w:val="12"/>
                <w:color w:val="auto"/>
              </w:rPr>
            </w:pPr>
          </w:p>
        </w:tc>
        <w:tc>
          <w:tcPr>
            <w:tcW w:w="1640" w:type="dxa"/>
            <w:vAlign w:val="bottom"/>
          </w:tcPr>
          <w:p>
            <w:pPr>
              <w:jc w:val="center"/>
              <w:spacing w:after="0"/>
              <w:rPr>
                <w:sz w:val="20"/>
                <w:szCs w:val="20"/>
                <w:color w:val="auto"/>
              </w:rPr>
            </w:pPr>
            <w:r>
              <w:rPr>
                <w:rFonts w:ascii="Arial" w:cs="Arial" w:eastAsia="Arial" w:hAnsi="Arial"/>
                <w:sz w:val="12"/>
                <w:szCs w:val="12"/>
                <w:b w:val="1"/>
                <w:bCs w:val="1"/>
                <w:color w:val="auto"/>
                <w:w w:val="88"/>
              </w:rPr>
              <w:t>Risk-Based</w:t>
            </w:r>
          </w:p>
        </w:tc>
        <w:tc>
          <w:tcPr>
            <w:tcW w:w="100" w:type="dxa"/>
            <w:vAlign w:val="bottom"/>
          </w:tcPr>
          <w:p>
            <w:pPr>
              <w:spacing w:after="0"/>
              <w:rPr>
                <w:sz w:val="12"/>
                <w:szCs w:val="12"/>
                <w:color w:val="auto"/>
              </w:rPr>
            </w:pPr>
          </w:p>
        </w:tc>
        <w:tc>
          <w:tcPr>
            <w:tcW w:w="1720" w:type="dxa"/>
            <w:vAlign w:val="bottom"/>
          </w:tcPr>
          <w:p>
            <w:pPr>
              <w:jc w:val="center"/>
              <w:spacing w:after="0"/>
              <w:rPr>
                <w:sz w:val="20"/>
                <w:szCs w:val="20"/>
                <w:color w:val="auto"/>
              </w:rPr>
            </w:pPr>
            <w:r>
              <w:rPr>
                <w:rFonts w:ascii="Arial" w:cs="Arial" w:eastAsia="Arial" w:hAnsi="Arial"/>
                <w:sz w:val="12"/>
                <w:szCs w:val="12"/>
                <w:b w:val="1"/>
                <w:bCs w:val="1"/>
                <w:color w:val="auto"/>
                <w:w w:val="88"/>
              </w:rPr>
              <w:t>Risk-Based</w:t>
            </w:r>
          </w:p>
        </w:tc>
        <w:tc>
          <w:tcPr>
            <w:tcW w:w="120" w:type="dxa"/>
            <w:vAlign w:val="bottom"/>
          </w:tcPr>
          <w:p>
            <w:pPr>
              <w:spacing w:after="0"/>
              <w:rPr>
                <w:sz w:val="12"/>
                <w:szCs w:val="12"/>
                <w:color w:val="auto"/>
              </w:rPr>
            </w:pPr>
          </w:p>
        </w:tc>
        <w:tc>
          <w:tcPr>
            <w:tcW w:w="1500" w:type="dxa"/>
            <w:vAlign w:val="bottom"/>
          </w:tcPr>
          <w:p>
            <w:pPr>
              <w:jc w:val="center"/>
              <w:spacing w:after="0"/>
              <w:rPr>
                <w:sz w:val="20"/>
                <w:szCs w:val="20"/>
                <w:color w:val="auto"/>
              </w:rPr>
            </w:pPr>
            <w:r>
              <w:rPr>
                <w:rFonts w:ascii="Arial" w:cs="Arial" w:eastAsia="Arial" w:hAnsi="Arial"/>
                <w:sz w:val="12"/>
                <w:szCs w:val="12"/>
                <w:b w:val="1"/>
                <w:bCs w:val="1"/>
                <w:color w:val="auto"/>
                <w:w w:val="91"/>
              </w:rPr>
              <w:t>Leverage</w:t>
            </w:r>
          </w:p>
        </w:tc>
      </w:tr>
      <w:tr>
        <w:trPr>
          <w:trHeight w:val="157"/>
        </w:trPr>
        <w:tc>
          <w:tcPr>
            <w:tcW w:w="4520" w:type="dxa"/>
            <w:vAlign w:val="bottom"/>
          </w:tcPr>
          <w:p>
            <w:pPr>
              <w:spacing w:after="0"/>
              <w:rPr>
                <w:sz w:val="13"/>
                <w:szCs w:val="13"/>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Capital Ratio</w:t>
            </w:r>
          </w:p>
        </w:tc>
        <w:tc>
          <w:tcPr>
            <w:tcW w:w="120" w:type="dxa"/>
            <w:vAlign w:val="bottom"/>
          </w:tcPr>
          <w:p>
            <w:pPr>
              <w:spacing w:after="0"/>
              <w:rPr>
                <w:sz w:val="13"/>
                <w:szCs w:val="13"/>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Capital Ratio</w:t>
            </w:r>
          </w:p>
        </w:tc>
        <w:tc>
          <w:tcPr>
            <w:tcW w:w="100" w:type="dxa"/>
            <w:vAlign w:val="bottom"/>
          </w:tcPr>
          <w:p>
            <w:pPr>
              <w:spacing w:after="0"/>
              <w:rPr>
                <w:sz w:val="13"/>
                <w:szCs w:val="13"/>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Capital Ratio</w:t>
            </w:r>
          </w:p>
        </w:tc>
        <w:tc>
          <w:tcPr>
            <w:tcW w:w="120" w:type="dxa"/>
            <w:vAlign w:val="bottom"/>
          </w:tcPr>
          <w:p>
            <w:pPr>
              <w:spacing w:after="0"/>
              <w:rPr>
                <w:sz w:val="13"/>
                <w:szCs w:val="13"/>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Ratio</w:t>
            </w:r>
          </w:p>
        </w:tc>
      </w:tr>
      <w:tr>
        <w:trPr>
          <w:trHeight w:val="142"/>
        </w:trPr>
        <w:tc>
          <w:tcPr>
            <w:tcW w:w="4520" w:type="dxa"/>
            <w:vAlign w:val="bottom"/>
            <w:shd w:val="clear" w:color="auto" w:fill="CCEEFF"/>
          </w:tcPr>
          <w:p>
            <w:pPr>
              <w:spacing w:after="0"/>
              <w:rPr>
                <w:sz w:val="20"/>
                <w:szCs w:val="20"/>
                <w:color w:val="auto"/>
              </w:rPr>
            </w:pPr>
            <w:r>
              <w:rPr>
                <w:rFonts w:ascii="Arial" w:cs="Arial" w:eastAsia="Arial" w:hAnsi="Arial"/>
                <w:sz w:val="12"/>
                <w:szCs w:val="12"/>
                <w:color w:val="auto"/>
              </w:rPr>
              <w:t>Well capitalized</w:t>
            </w:r>
          </w:p>
        </w:tc>
        <w:tc>
          <w:tcPr>
            <w:tcW w:w="15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10% or above</w:t>
            </w:r>
          </w:p>
        </w:tc>
        <w:tc>
          <w:tcPr>
            <w:tcW w:w="120" w:type="dxa"/>
            <w:vAlign w:val="bottom"/>
            <w:shd w:val="clear" w:color="auto" w:fill="CCEEFF"/>
          </w:tcPr>
          <w:p>
            <w:pPr>
              <w:spacing w:after="0"/>
              <w:rPr>
                <w:sz w:val="12"/>
                <w:szCs w:val="12"/>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8% or above</w:t>
            </w:r>
          </w:p>
        </w:tc>
        <w:tc>
          <w:tcPr>
            <w:tcW w:w="100" w:type="dxa"/>
            <w:vAlign w:val="bottom"/>
            <w:shd w:val="clear" w:color="auto" w:fill="CCEEFF"/>
          </w:tcPr>
          <w:p>
            <w:pPr>
              <w:spacing w:after="0"/>
              <w:rPr>
                <w:sz w:val="12"/>
                <w:szCs w:val="12"/>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6.5% or above</w:t>
            </w:r>
          </w:p>
        </w:tc>
        <w:tc>
          <w:tcPr>
            <w:tcW w:w="120" w:type="dxa"/>
            <w:vAlign w:val="bottom"/>
            <w:shd w:val="clear" w:color="auto" w:fill="CCEEFF"/>
          </w:tcPr>
          <w:p>
            <w:pPr>
              <w:spacing w:after="0"/>
              <w:rPr>
                <w:sz w:val="12"/>
                <w:szCs w:val="12"/>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5% or above</w:t>
            </w:r>
          </w:p>
        </w:tc>
      </w:tr>
      <w:tr>
        <w:trPr>
          <w:trHeight w:val="144"/>
        </w:trPr>
        <w:tc>
          <w:tcPr>
            <w:tcW w:w="4520" w:type="dxa"/>
            <w:vAlign w:val="bottom"/>
          </w:tcPr>
          <w:p>
            <w:pPr>
              <w:spacing w:after="0"/>
              <w:rPr>
                <w:sz w:val="20"/>
                <w:szCs w:val="20"/>
                <w:color w:val="auto"/>
              </w:rPr>
            </w:pPr>
            <w:r>
              <w:rPr>
                <w:rFonts w:ascii="Arial" w:cs="Arial" w:eastAsia="Arial" w:hAnsi="Arial"/>
                <w:sz w:val="12"/>
                <w:szCs w:val="12"/>
                <w:color w:val="auto"/>
              </w:rPr>
              <w:t>Adequately capitalized</w:t>
            </w:r>
          </w:p>
        </w:tc>
        <w:tc>
          <w:tcPr>
            <w:tcW w:w="1580" w:type="dxa"/>
            <w:vAlign w:val="bottom"/>
          </w:tcPr>
          <w:p>
            <w:pPr>
              <w:jc w:val="center"/>
              <w:spacing w:after="0"/>
              <w:rPr>
                <w:sz w:val="20"/>
                <w:szCs w:val="20"/>
                <w:color w:val="auto"/>
              </w:rPr>
            </w:pPr>
            <w:r>
              <w:rPr>
                <w:rFonts w:ascii="Arial" w:cs="Arial" w:eastAsia="Arial" w:hAnsi="Arial"/>
                <w:sz w:val="12"/>
                <w:szCs w:val="12"/>
                <w:color w:val="auto"/>
                <w:w w:val="88"/>
              </w:rPr>
              <w:t>8% or above</w:t>
            </w:r>
          </w:p>
        </w:tc>
        <w:tc>
          <w:tcPr>
            <w:tcW w:w="120" w:type="dxa"/>
            <w:vAlign w:val="bottom"/>
          </w:tcPr>
          <w:p>
            <w:pPr>
              <w:spacing w:after="0"/>
              <w:rPr>
                <w:sz w:val="12"/>
                <w:szCs w:val="12"/>
                <w:color w:val="auto"/>
              </w:rPr>
            </w:pPr>
          </w:p>
        </w:tc>
        <w:tc>
          <w:tcPr>
            <w:tcW w:w="1640" w:type="dxa"/>
            <w:vAlign w:val="bottom"/>
          </w:tcPr>
          <w:p>
            <w:pPr>
              <w:jc w:val="center"/>
              <w:spacing w:after="0"/>
              <w:rPr>
                <w:sz w:val="20"/>
                <w:szCs w:val="20"/>
                <w:color w:val="auto"/>
              </w:rPr>
            </w:pPr>
            <w:r>
              <w:rPr>
                <w:rFonts w:ascii="Arial" w:cs="Arial" w:eastAsia="Arial" w:hAnsi="Arial"/>
                <w:sz w:val="12"/>
                <w:szCs w:val="12"/>
                <w:color w:val="auto"/>
                <w:w w:val="88"/>
              </w:rPr>
              <w:t>6% or above</w:t>
            </w:r>
          </w:p>
        </w:tc>
        <w:tc>
          <w:tcPr>
            <w:tcW w:w="100" w:type="dxa"/>
            <w:vAlign w:val="bottom"/>
          </w:tcPr>
          <w:p>
            <w:pPr>
              <w:spacing w:after="0"/>
              <w:rPr>
                <w:sz w:val="12"/>
                <w:szCs w:val="12"/>
                <w:color w:val="auto"/>
              </w:rPr>
            </w:pPr>
          </w:p>
        </w:tc>
        <w:tc>
          <w:tcPr>
            <w:tcW w:w="1720" w:type="dxa"/>
            <w:vAlign w:val="bottom"/>
          </w:tcPr>
          <w:p>
            <w:pPr>
              <w:jc w:val="center"/>
              <w:spacing w:after="0"/>
              <w:rPr>
                <w:sz w:val="20"/>
                <w:szCs w:val="20"/>
                <w:color w:val="auto"/>
              </w:rPr>
            </w:pPr>
            <w:r>
              <w:rPr>
                <w:rFonts w:ascii="Arial" w:cs="Arial" w:eastAsia="Arial" w:hAnsi="Arial"/>
                <w:sz w:val="12"/>
                <w:szCs w:val="12"/>
                <w:color w:val="auto"/>
                <w:w w:val="87"/>
              </w:rPr>
              <w:t>4.5% or above</w:t>
            </w:r>
          </w:p>
        </w:tc>
        <w:tc>
          <w:tcPr>
            <w:tcW w:w="120" w:type="dxa"/>
            <w:vAlign w:val="bottom"/>
          </w:tcPr>
          <w:p>
            <w:pPr>
              <w:spacing w:after="0"/>
              <w:rPr>
                <w:sz w:val="12"/>
                <w:szCs w:val="12"/>
                <w:color w:val="auto"/>
              </w:rPr>
            </w:pPr>
          </w:p>
        </w:tc>
        <w:tc>
          <w:tcPr>
            <w:tcW w:w="1500" w:type="dxa"/>
            <w:vAlign w:val="bottom"/>
          </w:tcPr>
          <w:p>
            <w:pPr>
              <w:jc w:val="center"/>
              <w:spacing w:after="0"/>
              <w:rPr>
                <w:sz w:val="20"/>
                <w:szCs w:val="20"/>
                <w:color w:val="auto"/>
              </w:rPr>
            </w:pPr>
            <w:r>
              <w:rPr>
                <w:rFonts w:ascii="Arial" w:cs="Arial" w:eastAsia="Arial" w:hAnsi="Arial"/>
                <w:sz w:val="12"/>
                <w:szCs w:val="12"/>
                <w:color w:val="auto"/>
                <w:w w:val="88"/>
              </w:rPr>
              <w:t>4% or above</w:t>
            </w:r>
          </w:p>
        </w:tc>
      </w:tr>
      <w:tr>
        <w:trPr>
          <w:trHeight w:val="144"/>
        </w:trPr>
        <w:tc>
          <w:tcPr>
            <w:tcW w:w="4520" w:type="dxa"/>
            <w:vAlign w:val="bottom"/>
            <w:shd w:val="clear" w:color="auto" w:fill="CCEEFF"/>
          </w:tcPr>
          <w:p>
            <w:pPr>
              <w:spacing w:after="0"/>
              <w:rPr>
                <w:sz w:val="20"/>
                <w:szCs w:val="20"/>
                <w:color w:val="auto"/>
              </w:rPr>
            </w:pPr>
            <w:r>
              <w:rPr>
                <w:rFonts w:ascii="Arial" w:cs="Arial" w:eastAsia="Arial" w:hAnsi="Arial"/>
                <w:sz w:val="12"/>
                <w:szCs w:val="12"/>
                <w:color w:val="auto"/>
              </w:rPr>
              <w:t>Undercapitalized</w:t>
            </w:r>
          </w:p>
        </w:tc>
        <w:tc>
          <w:tcPr>
            <w:tcW w:w="15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Less than 8%</w:t>
            </w:r>
          </w:p>
        </w:tc>
        <w:tc>
          <w:tcPr>
            <w:tcW w:w="120" w:type="dxa"/>
            <w:vAlign w:val="bottom"/>
            <w:shd w:val="clear" w:color="auto" w:fill="CCEEFF"/>
          </w:tcPr>
          <w:p>
            <w:pPr>
              <w:spacing w:after="0"/>
              <w:rPr>
                <w:sz w:val="12"/>
                <w:szCs w:val="12"/>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Less than 6%</w:t>
            </w:r>
          </w:p>
        </w:tc>
        <w:tc>
          <w:tcPr>
            <w:tcW w:w="100" w:type="dxa"/>
            <w:vAlign w:val="bottom"/>
            <w:shd w:val="clear" w:color="auto" w:fill="CCEEFF"/>
          </w:tcPr>
          <w:p>
            <w:pPr>
              <w:spacing w:after="0"/>
              <w:rPr>
                <w:sz w:val="12"/>
                <w:szCs w:val="12"/>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Less than 4.5%</w:t>
            </w:r>
          </w:p>
        </w:tc>
        <w:tc>
          <w:tcPr>
            <w:tcW w:w="120" w:type="dxa"/>
            <w:vAlign w:val="bottom"/>
            <w:shd w:val="clear" w:color="auto" w:fill="CCEEFF"/>
          </w:tcPr>
          <w:p>
            <w:pPr>
              <w:spacing w:after="0"/>
              <w:rPr>
                <w:sz w:val="12"/>
                <w:szCs w:val="12"/>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Less than 4%</w:t>
            </w:r>
          </w:p>
        </w:tc>
      </w:tr>
      <w:tr>
        <w:trPr>
          <w:trHeight w:val="144"/>
        </w:trPr>
        <w:tc>
          <w:tcPr>
            <w:tcW w:w="4520" w:type="dxa"/>
            <w:vAlign w:val="bottom"/>
          </w:tcPr>
          <w:p>
            <w:pPr>
              <w:spacing w:after="0"/>
              <w:rPr>
                <w:sz w:val="20"/>
                <w:szCs w:val="20"/>
                <w:color w:val="auto"/>
              </w:rPr>
            </w:pPr>
            <w:r>
              <w:rPr>
                <w:rFonts w:ascii="Arial" w:cs="Arial" w:eastAsia="Arial" w:hAnsi="Arial"/>
                <w:sz w:val="12"/>
                <w:szCs w:val="12"/>
                <w:color w:val="auto"/>
              </w:rPr>
              <w:t>Significantly undercapitalized</w:t>
            </w:r>
          </w:p>
        </w:tc>
        <w:tc>
          <w:tcPr>
            <w:tcW w:w="1580" w:type="dxa"/>
            <w:vAlign w:val="bottom"/>
          </w:tcPr>
          <w:p>
            <w:pPr>
              <w:jc w:val="center"/>
              <w:spacing w:after="0"/>
              <w:rPr>
                <w:sz w:val="20"/>
                <w:szCs w:val="20"/>
                <w:color w:val="auto"/>
              </w:rPr>
            </w:pPr>
            <w:r>
              <w:rPr>
                <w:rFonts w:ascii="Arial" w:cs="Arial" w:eastAsia="Arial" w:hAnsi="Arial"/>
                <w:sz w:val="12"/>
                <w:szCs w:val="12"/>
                <w:color w:val="auto"/>
                <w:w w:val="87"/>
              </w:rPr>
              <w:t>Less than 6%</w:t>
            </w:r>
          </w:p>
        </w:tc>
        <w:tc>
          <w:tcPr>
            <w:tcW w:w="120" w:type="dxa"/>
            <w:vAlign w:val="bottom"/>
          </w:tcPr>
          <w:p>
            <w:pPr>
              <w:spacing w:after="0"/>
              <w:rPr>
                <w:sz w:val="12"/>
                <w:szCs w:val="12"/>
                <w:color w:val="auto"/>
              </w:rPr>
            </w:pPr>
          </w:p>
        </w:tc>
        <w:tc>
          <w:tcPr>
            <w:tcW w:w="1640" w:type="dxa"/>
            <w:vAlign w:val="bottom"/>
          </w:tcPr>
          <w:p>
            <w:pPr>
              <w:jc w:val="center"/>
              <w:spacing w:after="0"/>
              <w:rPr>
                <w:sz w:val="20"/>
                <w:szCs w:val="20"/>
                <w:color w:val="auto"/>
              </w:rPr>
            </w:pPr>
            <w:r>
              <w:rPr>
                <w:rFonts w:ascii="Arial" w:cs="Arial" w:eastAsia="Arial" w:hAnsi="Arial"/>
                <w:sz w:val="12"/>
                <w:szCs w:val="12"/>
                <w:color w:val="auto"/>
                <w:w w:val="87"/>
              </w:rPr>
              <w:t>Less than 4%</w:t>
            </w:r>
          </w:p>
        </w:tc>
        <w:tc>
          <w:tcPr>
            <w:tcW w:w="100" w:type="dxa"/>
            <w:vAlign w:val="bottom"/>
          </w:tcPr>
          <w:p>
            <w:pPr>
              <w:spacing w:after="0"/>
              <w:rPr>
                <w:sz w:val="12"/>
                <w:szCs w:val="12"/>
                <w:color w:val="auto"/>
              </w:rPr>
            </w:pPr>
          </w:p>
        </w:tc>
        <w:tc>
          <w:tcPr>
            <w:tcW w:w="1720" w:type="dxa"/>
            <w:vAlign w:val="bottom"/>
          </w:tcPr>
          <w:p>
            <w:pPr>
              <w:jc w:val="center"/>
              <w:spacing w:after="0"/>
              <w:rPr>
                <w:sz w:val="20"/>
                <w:szCs w:val="20"/>
                <w:color w:val="auto"/>
              </w:rPr>
            </w:pPr>
            <w:r>
              <w:rPr>
                <w:rFonts w:ascii="Arial" w:cs="Arial" w:eastAsia="Arial" w:hAnsi="Arial"/>
                <w:sz w:val="12"/>
                <w:szCs w:val="12"/>
                <w:color w:val="auto"/>
                <w:w w:val="87"/>
              </w:rPr>
              <w:t>Less than 3%</w:t>
            </w:r>
          </w:p>
        </w:tc>
        <w:tc>
          <w:tcPr>
            <w:tcW w:w="120" w:type="dxa"/>
            <w:vAlign w:val="bottom"/>
          </w:tcPr>
          <w:p>
            <w:pPr>
              <w:spacing w:after="0"/>
              <w:rPr>
                <w:sz w:val="12"/>
                <w:szCs w:val="12"/>
                <w:color w:val="auto"/>
              </w:rPr>
            </w:pPr>
          </w:p>
        </w:tc>
        <w:tc>
          <w:tcPr>
            <w:tcW w:w="1500" w:type="dxa"/>
            <w:vAlign w:val="bottom"/>
          </w:tcPr>
          <w:p>
            <w:pPr>
              <w:jc w:val="center"/>
              <w:spacing w:after="0"/>
              <w:rPr>
                <w:sz w:val="20"/>
                <w:szCs w:val="20"/>
                <w:color w:val="auto"/>
              </w:rPr>
            </w:pPr>
            <w:r>
              <w:rPr>
                <w:rFonts w:ascii="Arial" w:cs="Arial" w:eastAsia="Arial" w:hAnsi="Arial"/>
                <w:sz w:val="12"/>
                <w:szCs w:val="12"/>
                <w:color w:val="auto"/>
                <w:w w:val="87"/>
              </w:rPr>
              <w:t>Less than 3%</w:t>
            </w:r>
          </w:p>
        </w:tc>
      </w:tr>
      <w:tr>
        <w:trPr>
          <w:trHeight w:val="144"/>
        </w:trPr>
        <w:tc>
          <w:tcPr>
            <w:tcW w:w="4520" w:type="dxa"/>
            <w:vAlign w:val="bottom"/>
            <w:shd w:val="clear" w:color="auto" w:fill="CCEEFF"/>
          </w:tcPr>
          <w:p>
            <w:pPr>
              <w:spacing w:after="0"/>
              <w:rPr>
                <w:sz w:val="20"/>
                <w:szCs w:val="20"/>
                <w:color w:val="auto"/>
              </w:rPr>
            </w:pPr>
            <w:r>
              <w:rPr>
                <w:rFonts w:ascii="Arial" w:cs="Arial" w:eastAsia="Arial" w:hAnsi="Arial"/>
                <w:sz w:val="12"/>
                <w:szCs w:val="12"/>
                <w:color w:val="auto"/>
              </w:rPr>
              <w:t>Critically undercapitalized</w:t>
            </w: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60" w:type="dxa"/>
            <w:vAlign w:val="bottom"/>
            <w:gridSpan w:val="3"/>
            <w:shd w:val="clear" w:color="auto" w:fill="CCEEFF"/>
          </w:tcPr>
          <w:p>
            <w:pPr>
              <w:ind w:left="660"/>
              <w:spacing w:after="0"/>
              <w:rPr>
                <w:sz w:val="20"/>
                <w:szCs w:val="20"/>
                <w:color w:val="auto"/>
              </w:rPr>
            </w:pPr>
            <w:r>
              <w:rPr>
                <w:rFonts w:ascii="Arial" w:cs="Arial" w:eastAsia="Arial" w:hAnsi="Arial"/>
                <w:sz w:val="12"/>
                <w:szCs w:val="12"/>
                <w:color w:val="auto"/>
              </w:rPr>
              <w:t>Tangible equity to total assets of 2% or less</w:t>
            </w:r>
          </w:p>
        </w:tc>
        <w:tc>
          <w:tcPr>
            <w:tcW w:w="1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4"/>
          <w:szCs w:val="14"/>
          <w:color w:val="auto"/>
        </w:rPr>
        <w:t>At December 31, 2021, our bank's ratios exceeded minimum requirements for the well-capitalized category.</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7" w:name="page8"/>
    <w:bookmarkEnd w:id="7"/>
    <w:p>
      <w:pPr>
        <w:spacing w:after="0"/>
        <w:tabs>
          <w:tab w:leader="none" w:pos="620" w:val="left"/>
        </w:tabs>
        <w:rPr>
          <w:sz w:val="20"/>
          <w:szCs w:val="20"/>
          <w:color w:val="auto"/>
        </w:rPr>
      </w:pPr>
      <w:r>
        <w:rPr>
          <w:rFonts w:ascii="Arial" w:cs="Arial" w:eastAsia="Arial" w:hAnsi="Arial"/>
          <w:sz w:val="12"/>
          <w:szCs w:val="12"/>
          <w:u w:val="single" w:color="auto"/>
          <w:color w:val="auto"/>
        </w:rPr>
        <w:t>ITEM 1.</w:t>
      </w:r>
      <w:r>
        <w:rPr>
          <w:sz w:val="20"/>
          <w:szCs w:val="20"/>
          <w:color w:val="auto"/>
        </w:rPr>
        <w:tab/>
      </w:r>
      <w:r>
        <w:rPr>
          <w:rFonts w:ascii="Arial" w:cs="Arial" w:eastAsia="Arial" w:hAnsi="Arial"/>
          <w:sz w:val="11"/>
          <w:szCs w:val="11"/>
          <w:u w:val="single" w:color="auto"/>
          <w:color w:val="auto"/>
        </w:rPr>
        <w:t xml:space="preserve">BUSINESS </w:t>
      </w:r>
      <w:r>
        <w:rPr>
          <w:rFonts w:ascii="Arial" w:cs="Arial" w:eastAsia="Arial" w:hAnsi="Arial"/>
          <w:sz w:val="11"/>
          <w:szCs w:val="11"/>
          <w:color w:val="auto"/>
        </w:rPr>
        <w:t>(continued)</w:t>
      </w:r>
    </w:p>
    <w:p>
      <w:pPr>
        <w:spacing w:after="0" w:line="163"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Depending upon the capital category to which an institution is assigned, the regulators' corrective powers include: requiring the submission of a capital restoration plan; placing limits on asset growth and restrictions on activities; requiring the institution to issue additional capital stock (including additional voting stock) or to be acquired; restricting transactions with affiliates; restricting the interest rates the institution may pay on deposits; ordering a new election of directors of the institution; requiring that senior executive officers or directors be dismissed; prohibiting the institution from accepting deposits from correspondent banks; requiring the institution to divest certain subsidiaries; prohibiting the payment of principal or interest on subordinated debt and debentures; and ultimately, appointing a receiver for the institution.</w:t>
      </w:r>
    </w:p>
    <w:p>
      <w:pPr>
        <w:spacing w:after="0" w:line="137" w:lineRule="exact"/>
        <w:rPr>
          <w:sz w:val="20"/>
          <w:szCs w:val="20"/>
          <w:color w:val="auto"/>
        </w:rPr>
      </w:pPr>
    </w:p>
    <w:p>
      <w:pPr>
        <w:jc w:val="both"/>
        <w:ind w:right="20"/>
        <w:spacing w:after="0" w:line="257" w:lineRule="auto"/>
        <w:rPr>
          <w:sz w:val="20"/>
          <w:szCs w:val="20"/>
          <w:color w:val="auto"/>
        </w:rPr>
      </w:pPr>
      <w:r>
        <w:rPr>
          <w:rFonts w:ascii="Arial" w:cs="Arial" w:eastAsia="Arial" w:hAnsi="Arial"/>
          <w:sz w:val="14"/>
          <w:szCs w:val="14"/>
          <w:color w:val="auto"/>
        </w:rPr>
        <w:t>In general, a depository institution may be reclassified to a lower category than is indicated by its capital levels if the appropriate federal depository institution regulatory agency determines the institution to be otherwise in an unsafe or unsound condition or to be engaged in an unsafe or unsound practice. This could include a failure by the institution to correct the deficiency following receipt of a less-than-satisfactory rating on its most recent examination report.</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i w:val="1"/>
          <w:iCs w:val="1"/>
          <w:u w:val="single" w:color="auto"/>
          <w:color w:val="auto"/>
        </w:rPr>
        <w:t>Dividends</w:t>
      </w:r>
      <w:r>
        <w:rPr>
          <w:rFonts w:ascii="Arial" w:cs="Arial" w:eastAsia="Arial" w:hAnsi="Arial"/>
          <w:sz w:val="14"/>
          <w:szCs w:val="14"/>
          <w:color w:val="auto"/>
        </w:rPr>
        <w:t>. Under Michigan law, banks are restricted as to the maximum amount of dividends they may pay on their common stock. Our bank may not pay dividends except out of its net income</w:t>
      </w:r>
      <w:r>
        <w:rPr>
          <w:rFonts w:ascii="Arial" w:cs="Arial" w:eastAsia="Arial" w:hAnsi="Arial"/>
          <w:sz w:val="14"/>
          <w:szCs w:val="14"/>
          <w:i w:val="1"/>
          <w:iCs w:val="1"/>
          <w:color w:val="auto"/>
        </w:rPr>
        <w:t xml:space="preserve"> </w:t>
      </w:r>
      <w:r>
        <w:rPr>
          <w:rFonts w:ascii="Arial" w:cs="Arial" w:eastAsia="Arial" w:hAnsi="Arial"/>
          <w:sz w:val="14"/>
          <w:szCs w:val="14"/>
          <w:color w:val="auto"/>
        </w:rPr>
        <w:t>after deducting its losses and provision for credit losses. In addition, a Michigan bank may not declare or pay a dividend unless the bank will have a surplus amounting to at least 20 percent of its capital after the payment of the dividend.</w:t>
      </w:r>
    </w:p>
    <w:p>
      <w:pPr>
        <w:spacing w:after="0" w:line="131" w:lineRule="exact"/>
        <w:rPr>
          <w:sz w:val="20"/>
          <w:szCs w:val="20"/>
          <w:color w:val="auto"/>
        </w:rPr>
      </w:pPr>
    </w:p>
    <w:p>
      <w:pPr>
        <w:jc w:val="both"/>
        <w:ind w:right="20"/>
        <w:spacing w:after="0" w:line="257" w:lineRule="auto"/>
        <w:rPr>
          <w:sz w:val="20"/>
          <w:szCs w:val="20"/>
          <w:color w:val="auto"/>
        </w:rPr>
      </w:pPr>
      <w:r>
        <w:rPr>
          <w:rFonts w:ascii="Arial" w:cs="Arial" w:eastAsia="Arial" w:hAnsi="Arial"/>
          <w:sz w:val="14"/>
          <w:szCs w:val="14"/>
          <w:color w:val="auto"/>
        </w:rPr>
        <w:t xml:space="preserve">In addition, as a member of the Federal Reserve System, our bank is required to obtain the prior approval of the Federal Reserve for the declaration or payment of a dividend if the total of all dividends declared in any year will exceed the total of (a) the bank's retained net income (as defined by federal regulation) for that year, </w:t>
      </w:r>
      <w:r>
        <w:rPr>
          <w:rFonts w:ascii="Arial" w:cs="Arial" w:eastAsia="Arial" w:hAnsi="Arial"/>
          <w:sz w:val="14"/>
          <w:szCs w:val="14"/>
          <w:i w:val="1"/>
          <w:iCs w:val="1"/>
          <w:color w:val="auto"/>
        </w:rPr>
        <w:t>plus</w:t>
      </w:r>
      <w:r>
        <w:rPr>
          <w:rFonts w:ascii="Arial" w:cs="Arial" w:eastAsia="Arial" w:hAnsi="Arial"/>
          <w:sz w:val="14"/>
          <w:szCs w:val="14"/>
          <w:color w:val="auto"/>
        </w:rPr>
        <w:t xml:space="preserve"> (b) the bank's retained net income for the preceding two years.</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Federal law also generally prohibits a depository institution from making any capital distribution (including payment of a dividend) or paying any management fee to its holding company if the depository institution would thereafter be undercapitalized. In addition, the Federal Reserve may prohibit the payment of dividends by a bank if such payment is determined, by reason of the financial condition of the bank, to be an unsafe and unsound banking practice or if the bank is in default of payment of any assessment due to the FDIC.</w:t>
      </w:r>
    </w:p>
    <w:p>
      <w:pPr>
        <w:spacing w:after="0" w:line="131" w:lineRule="exact"/>
        <w:rPr>
          <w:sz w:val="20"/>
          <w:szCs w:val="20"/>
          <w:color w:val="auto"/>
        </w:rPr>
      </w:pPr>
    </w:p>
    <w:p>
      <w:pPr>
        <w:jc w:val="both"/>
        <w:spacing w:after="0" w:line="247" w:lineRule="auto"/>
        <w:rPr>
          <w:sz w:val="20"/>
          <w:szCs w:val="20"/>
          <w:color w:val="auto"/>
        </w:rPr>
      </w:pPr>
      <w:r>
        <w:rPr>
          <w:rFonts w:ascii="Arial" w:cs="Arial" w:eastAsia="Arial" w:hAnsi="Arial"/>
          <w:sz w:val="14"/>
          <w:szCs w:val="14"/>
          <w:i w:val="1"/>
          <w:iCs w:val="1"/>
          <w:u w:val="single" w:color="auto"/>
          <w:color w:val="auto"/>
        </w:rPr>
        <w:t>Insider Transactions</w:t>
      </w:r>
      <w:r>
        <w:rPr>
          <w:rFonts w:ascii="Arial" w:cs="Arial" w:eastAsia="Arial" w:hAnsi="Arial"/>
          <w:sz w:val="14"/>
          <w:szCs w:val="14"/>
          <w:color w:val="auto"/>
        </w:rPr>
        <w:t>. Our bank is subject to certain restrictions imposed by the Federal Reserve Act on "covered transactions" with us or our subsidiaries, which include investments in our stock or</w:t>
      </w:r>
      <w:r>
        <w:rPr>
          <w:rFonts w:ascii="Arial" w:cs="Arial" w:eastAsia="Arial" w:hAnsi="Arial"/>
          <w:sz w:val="14"/>
          <w:szCs w:val="14"/>
          <w:i w:val="1"/>
          <w:iCs w:val="1"/>
          <w:color w:val="auto"/>
        </w:rPr>
        <w:t xml:space="preserve"> </w:t>
      </w:r>
      <w:r>
        <w:rPr>
          <w:rFonts w:ascii="Arial" w:cs="Arial" w:eastAsia="Arial" w:hAnsi="Arial"/>
          <w:sz w:val="14"/>
          <w:szCs w:val="14"/>
          <w:color w:val="auto"/>
        </w:rPr>
        <w:t>other securities issued by us or our subsidiaries, the acceptance of our stock or other securities issued by us or our subsidiaries as collateral for loans, and extensions of credit to us or our subsidiaries. Certain limitations and reporting requirements are also placed on extensions of credit by our bank to the directors and officers of the holding company, the bank, and the subsidiaries of the bank; to the principal shareholders of the holding company; and to "related interests" of such directors, officers, and principal shareholders. In addition, federal law and regulations may affect the terms upon which any person becoming one of our directors or officers or a principal shareholder may obtain credit from banks with which our bank maintains a correspondent relationship.</w:t>
      </w:r>
    </w:p>
    <w:p>
      <w:pPr>
        <w:spacing w:after="0" w:line="140" w:lineRule="exact"/>
        <w:rPr>
          <w:sz w:val="20"/>
          <w:szCs w:val="20"/>
          <w:color w:val="auto"/>
        </w:rPr>
      </w:pPr>
    </w:p>
    <w:p>
      <w:pPr>
        <w:jc w:val="both"/>
        <w:spacing w:after="0" w:line="257" w:lineRule="auto"/>
        <w:rPr>
          <w:sz w:val="20"/>
          <w:szCs w:val="20"/>
          <w:color w:val="auto"/>
        </w:rPr>
      </w:pPr>
      <w:r>
        <w:rPr>
          <w:rFonts w:ascii="Arial" w:cs="Arial" w:eastAsia="Arial" w:hAnsi="Arial"/>
          <w:sz w:val="14"/>
          <w:szCs w:val="14"/>
          <w:i w:val="1"/>
          <w:iCs w:val="1"/>
          <w:u w:val="single" w:color="auto"/>
          <w:color w:val="auto"/>
        </w:rPr>
        <w:t>Safety and Soundness Standards</w:t>
      </w:r>
      <w:r>
        <w:rPr>
          <w:rFonts w:ascii="Arial" w:cs="Arial" w:eastAsia="Arial" w:hAnsi="Arial"/>
          <w:sz w:val="14"/>
          <w:szCs w:val="14"/>
          <w:color w:val="auto"/>
        </w:rPr>
        <w:t>. Pursuant to the Federal Deposit Insurance Corporation Improvement Act of 1991 ("FDICIA"), the FDIC adopted guidelines to establish operational and</w:t>
      </w:r>
      <w:r>
        <w:rPr>
          <w:rFonts w:ascii="Arial" w:cs="Arial" w:eastAsia="Arial" w:hAnsi="Arial"/>
          <w:sz w:val="14"/>
          <w:szCs w:val="14"/>
          <w:i w:val="1"/>
          <w:iCs w:val="1"/>
          <w:color w:val="auto"/>
        </w:rPr>
        <w:t xml:space="preserve"> </w:t>
      </w:r>
      <w:r>
        <w:rPr>
          <w:rFonts w:ascii="Arial" w:cs="Arial" w:eastAsia="Arial" w:hAnsi="Arial"/>
          <w:sz w:val="14"/>
          <w:szCs w:val="14"/>
          <w:color w:val="auto"/>
        </w:rPr>
        <w:t>managerial standards to promote the safety and soundness of federally-insured depository institutions. The guidelines establish standards for internal controls, information systems, internal audit systems, loan documentation, credit underwriting, interest rate exposure, asset growth, compensation, fees and benefits, asset quality, and earnings.</w:t>
      </w:r>
    </w:p>
    <w:p>
      <w:pPr>
        <w:spacing w:after="0" w:line="131" w:lineRule="exact"/>
        <w:rPr>
          <w:sz w:val="20"/>
          <w:szCs w:val="20"/>
          <w:color w:val="auto"/>
        </w:rPr>
      </w:pPr>
    </w:p>
    <w:p>
      <w:pPr>
        <w:jc w:val="both"/>
        <w:spacing w:after="0" w:line="247" w:lineRule="auto"/>
        <w:rPr>
          <w:sz w:val="20"/>
          <w:szCs w:val="20"/>
          <w:color w:val="auto"/>
        </w:rPr>
      </w:pPr>
      <w:r>
        <w:rPr>
          <w:rFonts w:ascii="Arial" w:cs="Arial" w:eastAsia="Arial" w:hAnsi="Arial"/>
          <w:sz w:val="14"/>
          <w:szCs w:val="14"/>
          <w:i w:val="1"/>
          <w:iCs w:val="1"/>
          <w:u w:val="single" w:color="auto"/>
          <w:color w:val="auto"/>
        </w:rPr>
        <w:t>Investment and Other Activities</w:t>
      </w:r>
      <w:r>
        <w:rPr>
          <w:rFonts w:ascii="Arial" w:cs="Arial" w:eastAsia="Arial" w:hAnsi="Arial"/>
          <w:sz w:val="14"/>
          <w:szCs w:val="14"/>
          <w:color w:val="auto"/>
        </w:rPr>
        <w:t>. Under federal law and regulations, FDIC-insured state banks are prohibited, subject to certain exceptions, from making or retaining equity investments of a type,</w:t>
      </w:r>
      <w:r>
        <w:rPr>
          <w:rFonts w:ascii="Arial" w:cs="Arial" w:eastAsia="Arial" w:hAnsi="Arial"/>
          <w:sz w:val="14"/>
          <w:szCs w:val="14"/>
          <w:i w:val="1"/>
          <w:iCs w:val="1"/>
          <w:color w:val="auto"/>
        </w:rPr>
        <w:t xml:space="preserve"> </w:t>
      </w:r>
      <w:r>
        <w:rPr>
          <w:rFonts w:ascii="Arial" w:cs="Arial" w:eastAsia="Arial" w:hAnsi="Arial"/>
          <w:sz w:val="14"/>
          <w:szCs w:val="14"/>
          <w:color w:val="auto"/>
        </w:rPr>
        <w:t>or in an amount, that are not permissible for a national bank. FDICIA, as implemented by FDIC regulations, also prohibits FDIC-insured state banks and their subsidiaries, subject to certain exceptions, from engaging as a principal in any activity that is not permitted for a national bank or its subsidiary, respectively, unless the bank meets, and continues to meet, its minimum regulatory capital requirements and the bank's primary federal regulator determines the activity would not pose a significant risk to the DIF. Impermissible investments and activities must be otherwise divested or discontinued within certain time frames set by the bank's primary federal regulator in accordance with federal law. These restrictions are not currently expected to have a material impact on the operations of our bank.</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8" w:name="page9"/>
    <w:bookmarkEnd w:id="8"/>
    <w:p>
      <w:pPr>
        <w:spacing w:after="0"/>
        <w:tabs>
          <w:tab w:leader="none" w:pos="620" w:val="left"/>
        </w:tabs>
        <w:rPr>
          <w:sz w:val="20"/>
          <w:szCs w:val="20"/>
          <w:color w:val="auto"/>
        </w:rPr>
      </w:pPr>
      <w:r>
        <w:rPr>
          <w:rFonts w:ascii="Arial" w:cs="Arial" w:eastAsia="Arial" w:hAnsi="Arial"/>
          <w:sz w:val="12"/>
          <w:szCs w:val="12"/>
          <w:u w:val="single" w:color="auto"/>
          <w:color w:val="auto"/>
        </w:rPr>
        <w:t>ITEM 1.</w:t>
      </w:r>
      <w:r>
        <w:rPr>
          <w:sz w:val="20"/>
          <w:szCs w:val="20"/>
          <w:color w:val="auto"/>
        </w:rPr>
        <w:tab/>
      </w:r>
      <w:r>
        <w:rPr>
          <w:rFonts w:ascii="Arial" w:cs="Arial" w:eastAsia="Arial" w:hAnsi="Arial"/>
          <w:sz w:val="11"/>
          <w:szCs w:val="11"/>
          <w:u w:val="single" w:color="auto"/>
          <w:color w:val="auto"/>
        </w:rPr>
        <w:t xml:space="preserve">BUSINESS </w:t>
      </w:r>
      <w:r>
        <w:rPr>
          <w:rFonts w:ascii="Arial" w:cs="Arial" w:eastAsia="Arial" w:hAnsi="Arial"/>
          <w:sz w:val="11"/>
          <w:szCs w:val="11"/>
          <w:color w:val="auto"/>
        </w:rPr>
        <w:t>(continued)</w:t>
      </w:r>
    </w:p>
    <w:p>
      <w:pPr>
        <w:spacing w:after="0" w:line="163" w:lineRule="exact"/>
        <w:rPr>
          <w:sz w:val="20"/>
          <w:szCs w:val="20"/>
          <w:color w:val="auto"/>
        </w:rPr>
      </w:pPr>
    </w:p>
    <w:p>
      <w:pPr>
        <w:jc w:val="both"/>
        <w:spacing w:after="0" w:line="268" w:lineRule="auto"/>
        <w:rPr>
          <w:sz w:val="20"/>
          <w:szCs w:val="20"/>
          <w:color w:val="auto"/>
        </w:rPr>
      </w:pPr>
      <w:r>
        <w:rPr>
          <w:rFonts w:ascii="Arial" w:cs="Arial" w:eastAsia="Arial" w:hAnsi="Arial"/>
          <w:sz w:val="13"/>
          <w:szCs w:val="13"/>
          <w:i w:val="1"/>
          <w:iCs w:val="1"/>
          <w:u w:val="single" w:color="auto"/>
          <w:color w:val="auto"/>
        </w:rPr>
        <w:t>Consumer Banking</w:t>
      </w:r>
      <w:r>
        <w:rPr>
          <w:rFonts w:ascii="Arial" w:cs="Arial" w:eastAsia="Arial" w:hAnsi="Arial"/>
          <w:sz w:val="13"/>
          <w:szCs w:val="13"/>
          <w:i w:val="1"/>
          <w:iCs w:val="1"/>
          <w:color w:val="auto"/>
        </w:rPr>
        <w:t xml:space="preserve">. </w:t>
      </w:r>
      <w:r>
        <w:rPr>
          <w:rFonts w:ascii="Arial" w:cs="Arial" w:eastAsia="Arial" w:hAnsi="Arial"/>
          <w:sz w:val="13"/>
          <w:szCs w:val="13"/>
          <w:color w:val="auto"/>
        </w:rPr>
        <w:t>Our bank's business includes making a variety of types of loans to individuals. In making these loans, our bank is subject to state usury and other consumer protection laws</w:t>
      </w:r>
      <w:r>
        <w:rPr>
          <w:rFonts w:ascii="Arial" w:cs="Arial" w:eastAsia="Arial" w:hAnsi="Arial"/>
          <w:sz w:val="13"/>
          <w:szCs w:val="13"/>
          <w:i w:val="1"/>
          <w:iCs w:val="1"/>
          <w:color w:val="auto"/>
        </w:rPr>
        <w:t xml:space="preserve"> </w:t>
      </w:r>
      <w:r>
        <w:rPr>
          <w:rFonts w:ascii="Arial" w:cs="Arial" w:eastAsia="Arial" w:hAnsi="Arial"/>
          <w:sz w:val="13"/>
          <w:szCs w:val="13"/>
          <w:color w:val="auto"/>
        </w:rPr>
        <w:t>and to various federal statutes, including provisions of the Gramm Leach-Bliley Act aimed at protecting the privacy of consumer financial information, the Equal Credit Opportunity Act, the Fair Credit Reporting Act, the Truth in Lending Act (TILA), the Real Estate Settlement Procedures Act (RESPA), the Home Mortgage Disclosure Act, and the regulations promulgated under these statutes, which (among other things) prohibit discrimination, specify disclosures to be made to borrowers regarding credit and settlement costs, and regulate the mortgage loan servicing activities of our bank, including the maintenance and operation of escrow accounts and the transfer of mortgage loan servicing. In receiving deposits, our bank is subject to extensive regulation under state and federal law and regulations, including the Truth in Savings Act, the Expedited Funds Availability Act, the Electronic Funds Transfer Act, and the Federal Deposit Insurance Act. Violation of these laws could result in the imposition of significant damages and fines upon our bank and its directors and officers.</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A number of consumer protection laws were implemented following the 2008 recession, including the Dodd-Frank Act, adopted in 2010. The Dodd-Frank Act created the Consumer Financial Protection Bureau ("CFPB"), which was given the power to issue and enforce certain consumer protection laws. The CFPB has issued a number of consumer protection regulations, including regulations that impact residential mortgage lending and servicing.</w:t>
      </w:r>
    </w:p>
    <w:p>
      <w:pPr>
        <w:spacing w:after="0" w:line="131"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We have experienced, and expect to continue to experience, increased costs and expenses related to compliance with these consumer protection regulations as well as new regulations that may be implemented in the future.</w:t>
      </w:r>
    </w:p>
    <w:p>
      <w:pPr>
        <w:spacing w:after="0" w:line="120" w:lineRule="exact"/>
        <w:rPr>
          <w:sz w:val="20"/>
          <w:szCs w:val="20"/>
          <w:color w:val="auto"/>
        </w:rPr>
      </w:pPr>
    </w:p>
    <w:p>
      <w:pPr>
        <w:jc w:val="both"/>
        <w:spacing w:after="0" w:line="273" w:lineRule="auto"/>
        <w:rPr>
          <w:sz w:val="20"/>
          <w:szCs w:val="20"/>
          <w:color w:val="auto"/>
        </w:rPr>
      </w:pPr>
      <w:r>
        <w:rPr>
          <w:rFonts w:ascii="Arial" w:cs="Arial" w:eastAsia="Arial" w:hAnsi="Arial"/>
          <w:sz w:val="13"/>
          <w:szCs w:val="13"/>
          <w:i w:val="1"/>
          <w:iCs w:val="1"/>
          <w:u w:val="single" w:color="auto"/>
          <w:color w:val="auto"/>
        </w:rPr>
        <w:t>Anti-Money Laundering and the USA PATRIOT Act</w:t>
      </w:r>
      <w:r>
        <w:rPr>
          <w:rFonts w:ascii="Arial" w:cs="Arial" w:eastAsia="Arial" w:hAnsi="Arial"/>
          <w:sz w:val="13"/>
          <w:szCs w:val="13"/>
          <w:color w:val="auto"/>
        </w:rPr>
        <w:t>. The bank is subject to a number of financial recordkeeping and anti-money laundering laws and regulations including the Bank Secrecy Act</w:t>
      </w:r>
      <w:r>
        <w:rPr>
          <w:rFonts w:ascii="Arial" w:cs="Arial" w:eastAsia="Arial" w:hAnsi="Arial"/>
          <w:sz w:val="13"/>
          <w:szCs w:val="13"/>
          <w:i w:val="1"/>
          <w:iCs w:val="1"/>
          <w:color w:val="auto"/>
        </w:rPr>
        <w:t xml:space="preserve"> </w:t>
      </w:r>
      <w:r>
        <w:rPr>
          <w:rFonts w:ascii="Arial" w:cs="Arial" w:eastAsia="Arial" w:hAnsi="Arial"/>
          <w:sz w:val="13"/>
          <w:szCs w:val="13"/>
          <w:color w:val="auto"/>
        </w:rPr>
        <w:t>and the USA PATRIOT Act, as well as similar rules and guidelines implemented and enforced by the Department of the Treasury's Financial Crimes Enforcement Network ("FinCEN") and the Federal Financial Institutions Council ("FFIEC"). These laws and regulations require the bank to take certain steps to prevent the use of the bank or its systems from facilitating the flow of illegal or illicit money or terrorist funds. These regulations include FinCEN's Customer Due Diligence Requirements for Financial Institutions, which is designed to identify and verify the identity of natural persons (known as beneficial owners) of legal entity customers who own, control and profit from companies when those companies open accounts.</w:t>
      </w:r>
    </w:p>
    <w:p>
      <w:pPr>
        <w:spacing w:after="0" w:line="122" w:lineRule="exact"/>
        <w:rPr>
          <w:sz w:val="20"/>
          <w:szCs w:val="20"/>
          <w:color w:val="auto"/>
        </w:rPr>
      </w:pPr>
    </w:p>
    <w:p>
      <w:pPr>
        <w:jc w:val="both"/>
        <w:spacing w:after="0" w:line="286" w:lineRule="auto"/>
        <w:rPr>
          <w:sz w:val="20"/>
          <w:szCs w:val="20"/>
          <w:color w:val="auto"/>
        </w:rPr>
      </w:pPr>
      <w:r>
        <w:rPr>
          <w:rFonts w:ascii="Arial" w:cs="Arial" w:eastAsia="Arial" w:hAnsi="Arial"/>
          <w:sz w:val="13"/>
          <w:szCs w:val="13"/>
          <w:i w:val="1"/>
          <w:iCs w:val="1"/>
          <w:u w:val="single" w:color="auto"/>
          <w:color w:val="auto"/>
        </w:rPr>
        <w:t>2018 Regulatory Reform</w:t>
      </w:r>
      <w:r>
        <w:rPr>
          <w:rFonts w:ascii="Arial" w:cs="Arial" w:eastAsia="Arial" w:hAnsi="Arial"/>
          <w:sz w:val="13"/>
          <w:szCs w:val="13"/>
          <w:color w:val="auto"/>
        </w:rPr>
        <w:t>. In May 2018, the Economic Growth, Regulatory Relief and Consumer Protection Act (the "2018 Act") was enacted to modify or remove certain financial reform rules</w:t>
      </w:r>
      <w:r>
        <w:rPr>
          <w:rFonts w:ascii="Arial" w:cs="Arial" w:eastAsia="Arial" w:hAnsi="Arial"/>
          <w:sz w:val="13"/>
          <w:szCs w:val="13"/>
          <w:i w:val="1"/>
          <w:iCs w:val="1"/>
          <w:color w:val="auto"/>
        </w:rPr>
        <w:t xml:space="preserve"> </w:t>
      </w:r>
      <w:r>
        <w:rPr>
          <w:rFonts w:ascii="Arial" w:cs="Arial" w:eastAsia="Arial" w:hAnsi="Arial"/>
          <w:sz w:val="13"/>
          <w:szCs w:val="13"/>
          <w:color w:val="auto"/>
        </w:rPr>
        <w:t>and regulations, including some of those implemented under the Dodd-Frank Act. While the 2018 Act maintained most of the regulatory structure established by the Dodd-Frank Act, it amended certain aspects of the regulatory framework for small depository institutions with assets of less than $10 billion and for large banks with assets of more than $50 billion.</w:t>
      </w:r>
    </w:p>
    <w:p>
      <w:pPr>
        <w:spacing w:after="0" w:line="114"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The 2018 Act also included regulatory relief for community banks regarding regulatory examination cycles, call reports, the Volcker Rule (proprietary trading prohibitions), mortgage disclosures, and risk weights for certain high-risk commercial real estate loans.</w:t>
      </w:r>
    </w:p>
    <w:p>
      <w:pPr>
        <w:spacing w:after="0" w:line="120" w:lineRule="exact"/>
        <w:rPr>
          <w:sz w:val="20"/>
          <w:szCs w:val="20"/>
          <w:color w:val="auto"/>
        </w:rPr>
      </w:pPr>
    </w:p>
    <w:p>
      <w:pPr>
        <w:jc w:val="both"/>
        <w:spacing w:after="0" w:line="249" w:lineRule="auto"/>
        <w:rPr>
          <w:sz w:val="20"/>
          <w:szCs w:val="20"/>
          <w:color w:val="auto"/>
        </w:rPr>
      </w:pPr>
      <w:r>
        <w:rPr>
          <w:rFonts w:ascii="Arial" w:cs="Arial" w:eastAsia="Arial" w:hAnsi="Arial"/>
          <w:sz w:val="14"/>
          <w:szCs w:val="14"/>
          <w:i w:val="1"/>
          <w:iCs w:val="1"/>
          <w:u w:val="single" w:color="auto"/>
          <w:color w:val="auto"/>
        </w:rPr>
        <w:t>CARES Act</w:t>
      </w:r>
      <w:r>
        <w:rPr>
          <w:rFonts w:ascii="Arial" w:cs="Arial" w:eastAsia="Arial" w:hAnsi="Arial"/>
          <w:sz w:val="14"/>
          <w:szCs w:val="14"/>
          <w:i w:val="1"/>
          <w:iCs w:val="1"/>
          <w:color w:val="auto"/>
        </w:rPr>
        <w:t xml:space="preserve">. </w:t>
      </w:r>
      <w:r>
        <w:rPr>
          <w:rFonts w:ascii="Arial" w:cs="Arial" w:eastAsia="Arial" w:hAnsi="Arial"/>
          <w:sz w:val="14"/>
          <w:szCs w:val="14"/>
          <w:color w:val="auto"/>
        </w:rPr>
        <w:t>On March 27, 2020, the Coronavirus Aid, Relief and Economic Security ("CARES") Act of 2020 was signed into law. Among other things, the CARES Act allowed banks to elect to</w:t>
      </w:r>
      <w:r>
        <w:rPr>
          <w:rFonts w:ascii="Arial" w:cs="Arial" w:eastAsia="Arial" w:hAnsi="Arial"/>
          <w:sz w:val="14"/>
          <w:szCs w:val="14"/>
          <w:i w:val="1"/>
          <w:iCs w:val="1"/>
          <w:color w:val="auto"/>
        </w:rPr>
        <w:t xml:space="preserve"> </w:t>
      </w:r>
      <w:r>
        <w:rPr>
          <w:rFonts w:ascii="Arial" w:cs="Arial" w:eastAsia="Arial" w:hAnsi="Arial"/>
          <w:sz w:val="14"/>
          <w:szCs w:val="14"/>
          <w:color w:val="auto"/>
        </w:rPr>
        <w:t>suspend requirements under U.S. GAAP for loan modifications related to the COVID-19 pandemic (for loans that were not more than 30 days past due as of December 31, 2019) that would otherwise be categorized as a TDR, including impairment for accounting purposes. The passage of the Bipartisan-Bicameral Omnibus COVID Relief Deal in December 2020 permitted further suspension of these requirements until the earlier of 60 days after the termination date of the national emergency or January 1, 2022. Finally, as discussed below, the CARES Act and this December 2020 legislation delayed the required implementation of the Current Expected Credit Loss (CECL) accounting standard.</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9" w:name="page10"/>
    <w:bookmarkEnd w:id="9"/>
    <w:p>
      <w:pPr>
        <w:spacing w:after="0"/>
        <w:tabs>
          <w:tab w:leader="none" w:pos="620" w:val="left"/>
        </w:tabs>
        <w:rPr>
          <w:sz w:val="20"/>
          <w:szCs w:val="20"/>
          <w:color w:val="auto"/>
        </w:rPr>
      </w:pPr>
      <w:r>
        <w:rPr>
          <w:rFonts w:ascii="Arial" w:cs="Arial" w:eastAsia="Arial" w:hAnsi="Arial"/>
          <w:sz w:val="12"/>
          <w:szCs w:val="12"/>
          <w:u w:val="single" w:color="auto"/>
          <w:color w:val="auto"/>
        </w:rPr>
        <w:t>ITEM 1.</w:t>
      </w:r>
      <w:r>
        <w:rPr>
          <w:sz w:val="20"/>
          <w:szCs w:val="20"/>
          <w:color w:val="auto"/>
        </w:rPr>
        <w:tab/>
      </w:r>
      <w:r>
        <w:rPr>
          <w:rFonts w:ascii="Arial" w:cs="Arial" w:eastAsia="Arial" w:hAnsi="Arial"/>
          <w:sz w:val="11"/>
          <w:szCs w:val="11"/>
          <w:u w:val="single" w:color="auto"/>
          <w:color w:val="auto"/>
        </w:rPr>
        <w:t xml:space="preserve">BUSINESS </w:t>
      </w:r>
      <w:r>
        <w:rPr>
          <w:rFonts w:ascii="Arial" w:cs="Arial" w:eastAsia="Arial" w:hAnsi="Arial"/>
          <w:sz w:val="11"/>
          <w:szCs w:val="11"/>
          <w:color w:val="auto"/>
        </w:rPr>
        <w:t>(continued)</w:t>
      </w:r>
    </w:p>
    <w:p>
      <w:pPr>
        <w:spacing w:after="0" w:line="163" w:lineRule="exact"/>
        <w:rPr>
          <w:sz w:val="20"/>
          <w:szCs w:val="20"/>
          <w:color w:val="auto"/>
        </w:rPr>
      </w:pPr>
    </w:p>
    <w:p>
      <w:pPr>
        <w:jc w:val="both"/>
        <w:spacing w:after="0" w:line="273" w:lineRule="auto"/>
        <w:rPr>
          <w:sz w:val="20"/>
          <w:szCs w:val="20"/>
          <w:color w:val="auto"/>
        </w:rPr>
      </w:pPr>
      <w:r>
        <w:rPr>
          <w:rFonts w:ascii="Arial" w:cs="Arial" w:eastAsia="Arial" w:hAnsi="Arial"/>
          <w:sz w:val="13"/>
          <w:szCs w:val="13"/>
          <w:i w:val="1"/>
          <w:iCs w:val="1"/>
          <w:u w:val="single" w:color="auto"/>
          <w:color w:val="auto"/>
        </w:rPr>
        <w:t>Anti-Money Laundering Act of 2020</w:t>
      </w:r>
      <w:r>
        <w:rPr>
          <w:rFonts w:ascii="Arial" w:cs="Arial" w:eastAsia="Arial" w:hAnsi="Arial"/>
          <w:sz w:val="13"/>
          <w:szCs w:val="13"/>
          <w:color w:val="auto"/>
        </w:rPr>
        <w:t>. The National Defense Authorization Act for Fiscal Year 2021 (the "NDAA") enacted January 1, 2021 over a presidential veto, includes a number of</w:t>
      </w:r>
      <w:r>
        <w:rPr>
          <w:rFonts w:ascii="Arial" w:cs="Arial" w:eastAsia="Arial" w:hAnsi="Arial"/>
          <w:sz w:val="13"/>
          <w:szCs w:val="13"/>
          <w:i w:val="1"/>
          <w:iCs w:val="1"/>
          <w:color w:val="auto"/>
        </w:rPr>
        <w:t xml:space="preserve"> </w:t>
      </w:r>
      <w:r>
        <w:rPr>
          <w:rFonts w:ascii="Arial" w:cs="Arial" w:eastAsia="Arial" w:hAnsi="Arial"/>
          <w:sz w:val="13"/>
          <w:szCs w:val="13"/>
          <w:color w:val="auto"/>
        </w:rPr>
        <w:t>significant new requirements intended to enhance U.S. anti-money laundering efforts. These provisions, many of which are contained within a section of the NDAA known as the Anti-Money Laundering Act of 2020 (the "AMLA"), include establishment of a beneficial ownership registration database, the creation of two new criminal offenses regarding money laundering, new penalties for Bank Secrecy Act violations, and increased whistleblower rewards and protections. Under these new laws, various government agencies will also be tasked with identification of policy priorities, establishment of streamlined processes, creation of information sharing programs, and regular reporting to Congress in an effort to modernize anti-money laundering enforcement.</w:t>
      </w:r>
    </w:p>
    <w:p>
      <w:pPr>
        <w:spacing w:after="0" w:line="122" w:lineRule="exact"/>
        <w:rPr>
          <w:sz w:val="20"/>
          <w:szCs w:val="20"/>
          <w:color w:val="auto"/>
        </w:rPr>
      </w:pPr>
    </w:p>
    <w:p>
      <w:pPr>
        <w:jc w:val="both"/>
        <w:ind w:right="20"/>
        <w:spacing w:after="0" w:line="257" w:lineRule="auto"/>
        <w:rPr>
          <w:sz w:val="20"/>
          <w:szCs w:val="20"/>
          <w:color w:val="auto"/>
        </w:rPr>
      </w:pPr>
      <w:r>
        <w:rPr>
          <w:rFonts w:ascii="Arial" w:cs="Arial" w:eastAsia="Arial" w:hAnsi="Arial"/>
          <w:sz w:val="14"/>
          <w:szCs w:val="14"/>
          <w:i w:val="1"/>
          <w:iCs w:val="1"/>
          <w:u w:val="single" w:color="auto"/>
          <w:color w:val="auto"/>
        </w:rPr>
        <w:t>Branching Authority</w:t>
      </w:r>
      <w:r>
        <w:rPr>
          <w:rFonts w:ascii="Arial" w:cs="Arial" w:eastAsia="Arial" w:hAnsi="Arial"/>
          <w:sz w:val="14"/>
          <w:szCs w:val="14"/>
          <w:color w:val="auto"/>
        </w:rPr>
        <w:t>. Michigan banks, such as our bank, have the authority under Michigan law to establish branches anywhere in the State of Michigan, subject to receipt of all required</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regulatory approvals. Banks may establish interstate branch networks through acquisitions of other banks. The establishment of </w:t>
      </w:r>
      <w:r>
        <w:rPr>
          <w:rFonts w:ascii="Arial" w:cs="Arial" w:eastAsia="Arial" w:hAnsi="Arial"/>
          <w:sz w:val="14"/>
          <w:szCs w:val="14"/>
          <w:i w:val="1"/>
          <w:iCs w:val="1"/>
          <w:color w:val="auto"/>
        </w:rPr>
        <w:t>de novo</w:t>
      </w:r>
      <w:r>
        <w:rPr>
          <w:rFonts w:ascii="Arial" w:cs="Arial" w:eastAsia="Arial" w:hAnsi="Arial"/>
          <w:sz w:val="14"/>
          <w:szCs w:val="14"/>
          <w:color w:val="auto"/>
        </w:rPr>
        <w:t xml:space="preserve"> interstate branches or the acquisition of individual branches of a bank in another state (rather than the acquisition of an out-of-state bank in its entirety) is allowed only if specifically authorized by state law.</w:t>
      </w:r>
    </w:p>
    <w:p>
      <w:pPr>
        <w:spacing w:after="0" w:line="131"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Michigan permits both U.S. and non-U.S. banks to establish branch offices in Michigan. The Michigan Banking Code permits, in appropriate circumstances and with the approval of the Michigan DIFS (1) the acquisition of Michigan banks by FDIC-insured banks or savings banks located in other states, (2) the sale by a Michigan bank of branches to an FDIC-insured bank or savings bank located in a state in which a Michigan bank could purchase branches of the purchasing entity, (3) the consolidation of Michigan banks and FDIC-insured banks or savings banks located in other states having laws permitting such consolidation, (4) the establishment of branches in Michigan by FDIC-insured banks located in other states, the District of Columbia or U.S. territories or protectorates having laws permitting a Michigan bank to establish a branch in such jurisdiction, and (5) the establishment by foreign banks of branches located in Michigan.</w:t>
      </w:r>
    </w:p>
    <w:p>
      <w:pPr>
        <w:spacing w:after="0" w:line="122" w:lineRule="exact"/>
        <w:rPr>
          <w:sz w:val="20"/>
          <w:szCs w:val="20"/>
          <w:color w:val="auto"/>
        </w:rPr>
      </w:pPr>
    </w:p>
    <w:p>
      <w:pPr>
        <w:jc w:val="both"/>
        <w:spacing w:after="0" w:line="264" w:lineRule="auto"/>
        <w:rPr>
          <w:sz w:val="20"/>
          <w:szCs w:val="20"/>
          <w:color w:val="auto"/>
        </w:rPr>
      </w:pPr>
      <w:r>
        <w:rPr>
          <w:rFonts w:ascii="Arial" w:cs="Arial" w:eastAsia="Arial" w:hAnsi="Arial"/>
          <w:sz w:val="13"/>
          <w:szCs w:val="13"/>
          <w:i w:val="1"/>
          <w:iCs w:val="1"/>
          <w:u w:val="single" w:color="auto"/>
          <w:color w:val="auto"/>
        </w:rPr>
        <w:t>Current Expected Credit Loss ("CECL")</w:t>
      </w:r>
      <w:r>
        <w:rPr>
          <w:rFonts w:ascii="Arial" w:cs="Arial" w:eastAsia="Arial" w:hAnsi="Arial"/>
          <w:sz w:val="13"/>
          <w:szCs w:val="13"/>
          <w:color w:val="auto"/>
        </w:rPr>
        <w:t>. In June 2016, the Financial Accounting Standards Board (‘‘FASB’’) issued Accounting Standards Update (‘‘ASU’’) 2016-13, ‘‘Financial Instruments —</w:t>
      </w:r>
      <w:r>
        <w:rPr>
          <w:rFonts w:ascii="Arial" w:cs="Arial" w:eastAsia="Arial" w:hAnsi="Arial"/>
          <w:sz w:val="13"/>
          <w:szCs w:val="13"/>
          <w:i w:val="1"/>
          <w:iCs w:val="1"/>
          <w:color w:val="auto"/>
        </w:rPr>
        <w:t xml:space="preserve"> </w:t>
      </w:r>
      <w:r>
        <w:rPr>
          <w:rFonts w:ascii="Arial" w:cs="Arial" w:eastAsia="Arial" w:hAnsi="Arial"/>
          <w:sz w:val="13"/>
          <w:szCs w:val="13"/>
          <w:color w:val="auto"/>
        </w:rPr>
        <w:t>Credit Losses (Topic 326), Measurement of Credit Losses on Financial Instruments’’. We were originally required to adopt this ASU on January 1, 2020 but section 4014 of the CARES Act allowed for temporary relief from applying this ASU. Under the amended CARES Act we were allowed to delay the adoption of this ASU until the earlier of the termination of the national emergency that was declared on March 13, 2020, or January 1, 2022. Early adoption was also allowed on either January 1, 2020 or January 1, 2021. As such, we chose to delay the adoption of this ASU during 2020 and adopted this ASU on January 1, 2021. This ASU, also referred to as Current Expected Credit Loss, or CECL, requires financial institutions to determine periodic estimates of lifetime expected credit losses on loans, and recognize the expected credit losses as allowances for credit losses. This represents a change from the previous method of providing allowances for credit losses that are probable and the implementation of the new standard may require us to increase our allowance for credit losses. It may also greatly increase the data we will need to collect and review to determine the appropriate level of the allowance for credit losses. Any increase in our allowance for credit losses, or expenses incurred to determine the appropriate level of the allowance for credit losses, may have a material adverse effect on our financial condition and results of operations. In addition, federal bank regulatory agencies allow for a an optional phase-in period for the impact of CECL on regulatory capital. We have elected the three year CECL method for regulatory purposes. See note #1, “Accounting Policies” in the Notes to Consolidated Financial Statements in our annual report, to be delivered to shareholders in connection with the April 19, 2022 Annual Meeting of Shareholders (filed as exhibit 13 to this report on Form 10-K) for additional discussion relating to our adoption of CECL.</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3"/>
          <w:szCs w:val="13"/>
          <w:i w:val="1"/>
          <w:iCs w:val="1"/>
          <w:u w:val="single" w:color="auto"/>
          <w:color w:val="auto"/>
        </w:rPr>
        <w:t>Replacement of LIBOR</w:t>
      </w:r>
      <w:r>
        <w:rPr>
          <w:rFonts w:ascii="Arial" w:cs="Arial" w:eastAsia="Arial" w:hAnsi="Arial"/>
          <w:sz w:val="13"/>
          <w:szCs w:val="13"/>
          <w:i w:val="1"/>
          <w:iCs w:val="1"/>
          <w:color w:val="auto"/>
        </w:rPr>
        <w:t xml:space="preserve">. </w:t>
      </w:r>
      <w:r>
        <w:rPr>
          <w:rFonts w:ascii="Arial" w:cs="Arial" w:eastAsia="Arial" w:hAnsi="Arial"/>
          <w:sz w:val="13"/>
          <w:szCs w:val="13"/>
          <w:color w:val="auto"/>
        </w:rPr>
        <w:t>In 2017, the Chief Executive of the United Kingdom Financial Conduct Authority, which regulates the London Interbank Offered Rate ("LIBOR"), announced that it</w:t>
      </w:r>
      <w:r>
        <w:rPr>
          <w:rFonts w:ascii="Arial" w:cs="Arial" w:eastAsia="Arial" w:hAnsi="Arial"/>
          <w:sz w:val="13"/>
          <w:szCs w:val="13"/>
          <w:i w:val="1"/>
          <w:iCs w:val="1"/>
          <w:color w:val="auto"/>
        </w:rPr>
        <w:t xml:space="preserve"> </w:t>
      </w:r>
      <w:r>
        <w:rPr>
          <w:rFonts w:ascii="Arial" w:cs="Arial" w:eastAsia="Arial" w:hAnsi="Arial"/>
          <w:sz w:val="13"/>
          <w:szCs w:val="13"/>
          <w:color w:val="auto"/>
        </w:rPr>
        <w:t>intended to stop persuading or compelling banks to submit rates for the calibration of LIBOR after 2021. On March 5, 2021, LIBOR’s administrator announced that end dates for publication of LIBOR: December 31, 2021 for one-week and two-month USD LIBOR maturities and non-USD LIBOR maturities, and June 30, 2023 for all other tenors. Federal bank regulators have issued guidance indicating that banks should “cease entering into new contracts that use USD LIBOR as a reference rate as soon as practicable and in any event by December 31, 2021.”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0" w:name="page11"/>
    <w:bookmarkEnd w:id="10"/>
    <w:p>
      <w:pPr>
        <w:spacing w:after="0"/>
        <w:tabs>
          <w:tab w:leader="none" w:pos="620" w:val="left"/>
        </w:tabs>
        <w:rPr>
          <w:sz w:val="20"/>
          <w:szCs w:val="20"/>
          <w:color w:val="auto"/>
        </w:rPr>
      </w:pPr>
      <w:r>
        <w:rPr>
          <w:rFonts w:ascii="Arial" w:cs="Arial" w:eastAsia="Arial" w:hAnsi="Arial"/>
          <w:sz w:val="12"/>
          <w:szCs w:val="12"/>
          <w:u w:val="single" w:color="auto"/>
          <w:color w:val="auto"/>
        </w:rPr>
        <w:t>ITEM 1.</w:t>
      </w:r>
      <w:r>
        <w:rPr>
          <w:sz w:val="20"/>
          <w:szCs w:val="20"/>
          <w:color w:val="auto"/>
        </w:rPr>
        <w:tab/>
      </w:r>
      <w:r>
        <w:rPr>
          <w:rFonts w:ascii="Arial" w:cs="Arial" w:eastAsia="Arial" w:hAnsi="Arial"/>
          <w:sz w:val="11"/>
          <w:szCs w:val="11"/>
          <w:u w:val="single" w:color="auto"/>
          <w:color w:val="auto"/>
        </w:rPr>
        <w:t xml:space="preserve">BUSINESS </w:t>
      </w:r>
      <w:r>
        <w:rPr>
          <w:rFonts w:ascii="Arial" w:cs="Arial" w:eastAsia="Arial" w:hAnsi="Arial"/>
          <w:sz w:val="11"/>
          <w:szCs w:val="11"/>
          <w:color w:val="auto"/>
        </w:rPr>
        <w:t>(continued)</w:t>
      </w:r>
    </w:p>
    <w:p>
      <w:pPr>
        <w:spacing w:after="0" w:line="163"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The Federal Reserve and the Alternative Reference Rates Committee ("ARRC"), a steering committee comprised primarily of large U.S. financial institutions, have identified the Secured Overnight Financing Rate ("SOFR"), a broad measure of the cost of borrowing cash overnight collateralized by Treasury securities, as a potential alternative to LIBOR, and the Federal Reserve announced final plans for the production of SOFR. In July 2021, the ARRC formally recommended the CME SOFR Term Rates. Whether SOFR will become a LIBOR replacement and the ultimate future of LIBOR remain uncertain. Some financial institutions have indicated an intent to use other rates in addition to SOFR. However, both Fannie Mae and Freddie Mac announced in 2020 that they would cease purchasing and issuing LIBOR-based products by the end of 2020 and have begun accepting mortgages based on SOFR.</w:t>
      </w:r>
    </w:p>
    <w:p>
      <w:pPr>
        <w:spacing w:after="0" w:line="122"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We have formed a cross-functional project team to lead this transition from LIBOR to a planned adoption of reference rates which could include SOFR, amongst others. Implementation of successor indices may lead to additional documentation requirements, compliance measures, financial impacts, and technology-related challenges, as well as potential disputes or litigation with customers and creditors. We are utilizing the timeline guidance published by the ARRC to develop and achieve internal milestones during this transitional period. We have discontinued the use of new LIBOR-based loans and interest rate derivative as of December 31, 2021, according to regulatory guidelines.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Future Legislation</w:t>
      </w:r>
    </w:p>
    <w:p>
      <w:pPr>
        <w:spacing w:after="0" w:line="163"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Various other legislative and regulatory initiatives, including proposals to overhaul the bank regulatory system, are from time to time introduced in Congress and state legislatures, as well as regulatory agencies. Such future legislation regarding financial institutions may change banking statutes and our operating environment in substantial and unpredictable ways and could increase or decrease the cost of doing business, limit or expand permissible activities, or affect the competitive balance among organizations within the industry. The nature and extent of future legislative and regulatory changes affecting financial institutions is very unpredictable. We cannot determine the ultimate effect that any such potential legislation, if enacted, would have upon our financial condition or results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Available Information</w:t>
      </w:r>
    </w:p>
    <w:p>
      <w:pPr>
        <w:spacing w:after="0" w:line="163" w:lineRule="exact"/>
        <w:rPr>
          <w:sz w:val="20"/>
          <w:szCs w:val="20"/>
          <w:color w:val="auto"/>
        </w:rPr>
      </w:pPr>
    </w:p>
    <w:p>
      <w:pPr>
        <w:jc w:val="both"/>
        <w:ind w:right="20"/>
        <w:spacing w:after="0" w:line="273" w:lineRule="auto"/>
        <w:rPr>
          <w:sz w:val="20"/>
          <w:szCs w:val="20"/>
          <w:color w:val="auto"/>
        </w:rPr>
      </w:pPr>
      <w:r>
        <w:rPr>
          <w:rFonts w:ascii="Arial" w:cs="Arial" w:eastAsia="Arial" w:hAnsi="Arial"/>
          <w:sz w:val="14"/>
          <w:szCs w:val="14"/>
          <w:color w:val="auto"/>
        </w:rPr>
        <w:t xml:space="preserve">Our annual reports on Forms 10-K, quarterly reports on Forms 10-Q, current reports on Forms 8-K, and all amendments to those reports are available free of charge through our website at </w:t>
      </w:r>
      <w:r>
        <w:rPr>
          <w:rFonts w:ascii="Arial" w:cs="Arial" w:eastAsia="Arial" w:hAnsi="Arial"/>
          <w:sz w:val="14"/>
          <w:szCs w:val="14"/>
          <w:u w:val="single" w:color="auto"/>
          <w:color w:val="auto"/>
        </w:rPr>
        <w:t>www.IndependentBank.com</w:t>
      </w:r>
      <w:r>
        <w:rPr>
          <w:rFonts w:ascii="Arial" w:cs="Arial" w:eastAsia="Arial" w:hAnsi="Arial"/>
          <w:sz w:val="14"/>
          <w:szCs w:val="14"/>
          <w:color w:val="auto"/>
        </w:rPr>
        <w:t xml:space="preserve"> as soon as reasonably practicable after filing with the SEC.</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1" w:name="page12"/>
    <w:bookmarkEnd w:id="11"/>
    <w:p>
      <w:pPr>
        <w:spacing w:after="0"/>
        <w:tabs>
          <w:tab w:leader="none" w:pos="620" w:val="left"/>
        </w:tabs>
        <w:rPr>
          <w:sz w:val="20"/>
          <w:szCs w:val="20"/>
          <w:color w:val="auto"/>
        </w:rPr>
      </w:pPr>
      <w:r>
        <w:rPr>
          <w:rFonts w:ascii="Arial" w:cs="Arial" w:eastAsia="Arial" w:hAnsi="Arial"/>
          <w:sz w:val="12"/>
          <w:szCs w:val="12"/>
          <w:u w:val="single" w:color="auto"/>
          <w:color w:val="auto"/>
        </w:rPr>
        <w:t>ITEM 1A.</w:t>
      </w:r>
      <w:r>
        <w:rPr>
          <w:sz w:val="20"/>
          <w:szCs w:val="20"/>
          <w:color w:val="auto"/>
        </w:rPr>
        <w:tab/>
      </w:r>
      <w:r>
        <w:rPr>
          <w:rFonts w:ascii="Arial" w:cs="Arial" w:eastAsia="Arial" w:hAnsi="Arial"/>
          <w:sz w:val="11"/>
          <w:szCs w:val="11"/>
          <w:u w:val="single" w:color="auto"/>
          <w:color w:val="auto"/>
        </w:rPr>
        <w:t>RISK FACTORS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Investing in our common stock involves risks, including (among others) the following factors: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Risk Factors Relating to the COVID-19 Pandemic</w:t>
      </w:r>
    </w:p>
    <w:p>
      <w:pPr>
        <w:spacing w:after="0" w:line="163" w:lineRule="exact"/>
        <w:rPr>
          <w:sz w:val="20"/>
          <w:szCs w:val="20"/>
          <w:color w:val="auto"/>
        </w:rPr>
      </w:pPr>
    </w:p>
    <w:p>
      <w:pPr>
        <w:jc w:val="both"/>
        <w:spacing w:after="0" w:line="279" w:lineRule="auto"/>
        <w:rPr>
          <w:sz w:val="20"/>
          <w:szCs w:val="20"/>
          <w:color w:val="auto"/>
        </w:rPr>
      </w:pPr>
      <w:r>
        <w:rPr>
          <w:rFonts w:ascii="Arial" w:cs="Arial" w:eastAsia="Arial" w:hAnsi="Arial"/>
          <w:sz w:val="14"/>
          <w:szCs w:val="14"/>
          <w:b w:val="1"/>
          <w:bCs w:val="1"/>
          <w:color w:val="auto"/>
        </w:rPr>
        <w:t>The ongoing COVID-19 pandemic and measures intended to prevent its spread could have a material adverse effect on our business, results of operations and financial condition, and such effects will depend on future developments, which remain highly uncertain and difficult to predict.</w:t>
      </w:r>
    </w:p>
    <w:p>
      <w:pPr>
        <w:spacing w:after="0" w:line="116" w:lineRule="exact"/>
        <w:rPr>
          <w:sz w:val="20"/>
          <w:szCs w:val="20"/>
          <w:color w:val="auto"/>
        </w:rPr>
      </w:pPr>
    </w:p>
    <w:p>
      <w:pPr>
        <w:jc w:val="both"/>
        <w:spacing w:after="0" w:line="312" w:lineRule="auto"/>
        <w:rPr>
          <w:sz w:val="20"/>
          <w:szCs w:val="20"/>
          <w:color w:val="auto"/>
        </w:rPr>
      </w:pPr>
      <w:r>
        <w:rPr>
          <w:rFonts w:ascii="Arial" w:cs="Arial" w:eastAsia="Arial" w:hAnsi="Arial"/>
          <w:sz w:val="13"/>
          <w:szCs w:val="13"/>
          <w:color w:val="auto"/>
        </w:rPr>
        <w:t>The COVID-19 pandemic and the related government mandates, restrictions, and guidance have created and may continue to create and contribute to significant economic uncertainty and market disruptions. Throughout 2020 and 2021, the volatility created by the pandemic and responses to the pandemic impacted our performance, customers, and the markets we serve.</w:t>
      </w:r>
    </w:p>
    <w:p>
      <w:pPr>
        <w:spacing w:after="0" w:line="97" w:lineRule="exact"/>
        <w:rPr>
          <w:sz w:val="20"/>
          <w:szCs w:val="20"/>
          <w:color w:val="auto"/>
        </w:rPr>
      </w:pPr>
    </w:p>
    <w:p>
      <w:pPr>
        <w:jc w:val="both"/>
        <w:spacing w:after="0" w:line="246" w:lineRule="auto"/>
        <w:rPr>
          <w:sz w:val="20"/>
          <w:szCs w:val="20"/>
          <w:color w:val="auto"/>
        </w:rPr>
      </w:pPr>
      <w:r>
        <w:rPr>
          <w:rFonts w:ascii="Arial" w:cs="Arial" w:eastAsia="Arial" w:hAnsi="Arial"/>
          <w:sz w:val="14"/>
          <w:szCs w:val="14"/>
          <w:color w:val="auto"/>
        </w:rPr>
        <w:t>Federal and state government responses have also created uncertainty. On November 4, 2021, the U.S. Department of Labor implemented an emergency temporary standard (ETS) mandating that all employers with 100 workers or more must require their employees to be fully vaccinated or submit to weekly testing. The ETS has been met with many subsequent legal challenges. On January 13, 2022, the U.S. Supreme Court stayed the ETS, sending the case back to the U.S. Court of Appeals for the Sixth Circuit for a decision on the merits. Effective January 26, 2022, the U.S. Department of Labor withdrew the ETS as an enforceable emergency temporary standard, but did not withdraw it as a proposed permanent rule. As a result, the future of this proposed standard and its potential impact on our business remains unpredictable. In Michigan, the Department of Health and Human Services announced its intent to update quarantine and isolation periods to align with the Centers for Disease Control and Prevention’s newly shortened guidelines. These impending mandates and guidelines may have significant effects on the U.S. and Michigan economies, the banking sector generally, and our business specifically, the scope of which cannot be foreseen.</w:t>
      </w:r>
    </w:p>
    <w:p>
      <w:pPr>
        <w:spacing w:after="0" w:line="141"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Based on this uncertainty, it is difficult to predict the extent to which the pandemic will continue to adversely impact our business, results of operations, financial condition, and customers. The potential impacts may include, but are not limited to:</w:t>
      </w:r>
    </w:p>
    <w:p>
      <w:pPr>
        <w:spacing w:after="0" w:line="120" w:lineRule="exact"/>
        <w:rPr>
          <w:sz w:val="20"/>
          <w:szCs w:val="20"/>
          <w:color w:val="auto"/>
        </w:rPr>
      </w:pPr>
    </w:p>
    <w:p>
      <w:pPr>
        <w:ind w:left="460" w:hanging="252"/>
        <w:spacing w:after="0"/>
        <w:tabs>
          <w:tab w:leader="none" w:pos="460" w:val="left"/>
        </w:tabs>
        <w:numPr>
          <w:ilvl w:val="0"/>
          <w:numId w:val="3"/>
        </w:numPr>
        <w:rPr>
          <w:rFonts w:ascii="Arial" w:cs="Arial" w:eastAsia="Arial" w:hAnsi="Arial"/>
          <w:sz w:val="14"/>
          <w:szCs w:val="14"/>
          <w:color w:val="auto"/>
        </w:rPr>
      </w:pPr>
      <w:r>
        <w:rPr>
          <w:rFonts w:ascii="Arial" w:cs="Arial" w:eastAsia="Arial" w:hAnsi="Arial"/>
          <w:sz w:val="14"/>
          <w:szCs w:val="14"/>
          <w:color w:val="auto"/>
        </w:rPr>
        <w:t>difficulties encountered by our business customers in addressing the effects of the pandemic may cause increases in loan delinquencies, foreclosures and defaults;</w:t>
      </w:r>
    </w:p>
    <w:p>
      <w:pPr>
        <w:spacing w:after="0" w:line="13" w:lineRule="exact"/>
        <w:rPr>
          <w:rFonts w:ascii="Arial" w:cs="Arial" w:eastAsia="Arial" w:hAnsi="Arial"/>
          <w:sz w:val="14"/>
          <w:szCs w:val="14"/>
          <w:color w:val="auto"/>
        </w:rPr>
      </w:pPr>
    </w:p>
    <w:p>
      <w:pPr>
        <w:ind w:left="460" w:hanging="252"/>
        <w:spacing w:after="0"/>
        <w:tabs>
          <w:tab w:leader="none" w:pos="46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increases in our allowance for credit losses may be necessary;</w:t>
      </w:r>
    </w:p>
    <w:p>
      <w:pPr>
        <w:spacing w:after="0" w:line="1" w:lineRule="exact"/>
        <w:rPr>
          <w:rFonts w:ascii="Arial" w:cs="Arial" w:eastAsia="Arial" w:hAnsi="Arial"/>
          <w:sz w:val="14"/>
          <w:szCs w:val="14"/>
          <w:color w:val="auto"/>
        </w:rPr>
      </w:pPr>
    </w:p>
    <w:p>
      <w:pPr>
        <w:ind w:left="460" w:hanging="252"/>
        <w:spacing w:after="0"/>
        <w:tabs>
          <w:tab w:leader="none" w:pos="460" w:val="left"/>
        </w:tabs>
        <w:numPr>
          <w:ilvl w:val="0"/>
          <w:numId w:val="3"/>
        </w:numPr>
        <w:rPr>
          <w:rFonts w:ascii="Arial" w:cs="Arial" w:eastAsia="Arial" w:hAnsi="Arial"/>
          <w:sz w:val="14"/>
          <w:szCs w:val="14"/>
          <w:color w:val="auto"/>
        </w:rPr>
      </w:pPr>
      <w:r>
        <w:rPr>
          <w:rFonts w:ascii="Arial" w:cs="Arial" w:eastAsia="Arial" w:hAnsi="Arial"/>
          <w:sz w:val="14"/>
          <w:szCs w:val="14"/>
          <w:color w:val="auto"/>
        </w:rPr>
        <w:t>declines in collateral values may occur;</w:t>
      </w:r>
    </w:p>
    <w:p>
      <w:pPr>
        <w:spacing w:after="0" w:line="1" w:lineRule="exact"/>
        <w:rPr>
          <w:rFonts w:ascii="Arial" w:cs="Arial" w:eastAsia="Arial" w:hAnsi="Arial"/>
          <w:sz w:val="14"/>
          <w:szCs w:val="14"/>
          <w:color w:val="auto"/>
        </w:rPr>
      </w:pPr>
    </w:p>
    <w:p>
      <w:pPr>
        <w:ind w:left="500" w:hanging="292"/>
        <w:spacing w:after="0"/>
        <w:tabs>
          <w:tab w:leader="none" w:pos="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third party disruptions may occur, including outages at network providers, on-line banking vendors and other suppliers;</w:t>
      </w:r>
    </w:p>
    <w:p>
      <w:pPr>
        <w:spacing w:after="0" w:line="1" w:lineRule="exact"/>
        <w:rPr>
          <w:rFonts w:ascii="Arial" w:cs="Arial" w:eastAsia="Arial" w:hAnsi="Arial"/>
          <w:sz w:val="14"/>
          <w:szCs w:val="14"/>
          <w:color w:val="auto"/>
        </w:rPr>
      </w:pPr>
    </w:p>
    <w:p>
      <w:pPr>
        <w:ind w:left="460" w:hanging="252"/>
        <w:spacing w:after="0"/>
        <w:tabs>
          <w:tab w:leader="none" w:pos="46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there is increased cyber and payment fraud risk, as cybercriminals attempt to profit from the disruption, given increased online and remote activity;</w:t>
      </w:r>
    </w:p>
    <w:p>
      <w:pPr>
        <w:spacing w:after="0" w:line="1" w:lineRule="exact"/>
        <w:rPr>
          <w:rFonts w:ascii="Arial" w:cs="Arial" w:eastAsia="Arial" w:hAnsi="Arial"/>
          <w:sz w:val="14"/>
          <w:szCs w:val="14"/>
          <w:color w:val="auto"/>
        </w:rPr>
      </w:pPr>
    </w:p>
    <w:p>
      <w:pPr>
        <w:ind w:left="460" w:hanging="252"/>
        <w:spacing w:after="0"/>
        <w:tabs>
          <w:tab w:leader="none" w:pos="46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may experience operational failures due to changes in our normal business practices necessitated by the pandemic and related governmental actions; and/or</w:t>
      </w:r>
    </w:p>
    <w:p>
      <w:pPr>
        <w:spacing w:after="0" w:line="1" w:lineRule="exact"/>
        <w:rPr>
          <w:rFonts w:ascii="Arial" w:cs="Arial" w:eastAsia="Arial" w:hAnsi="Arial"/>
          <w:sz w:val="14"/>
          <w:szCs w:val="14"/>
          <w:color w:val="auto"/>
        </w:rPr>
      </w:pPr>
    </w:p>
    <w:p>
      <w:pPr>
        <w:ind w:left="460" w:hanging="252"/>
        <w:spacing w:after="0"/>
        <w:tabs>
          <w:tab w:leader="none" w:pos="46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production and efficiency may suffer due to employee illnesses and/or employees having to work remotely.</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Given the ongoing uncertainty with respect to the pandemic and potential government responses, these risk factors may continue to some degree for a significant period of time.</w:t>
      </w:r>
    </w:p>
    <w:p>
      <w:pPr>
        <w:spacing w:after="0" w:line="163" w:lineRule="exact"/>
        <w:rPr>
          <w:sz w:val="20"/>
          <w:szCs w:val="20"/>
          <w:color w:val="auto"/>
        </w:rPr>
      </w:pPr>
    </w:p>
    <w:p>
      <w:pPr>
        <w:jc w:val="both"/>
        <w:spacing w:after="0" w:line="247" w:lineRule="auto"/>
        <w:rPr>
          <w:sz w:val="20"/>
          <w:szCs w:val="20"/>
          <w:color w:val="auto"/>
        </w:rPr>
      </w:pPr>
      <w:r>
        <w:rPr>
          <w:rFonts w:ascii="Arial" w:cs="Arial" w:eastAsia="Arial" w:hAnsi="Arial"/>
          <w:sz w:val="14"/>
          <w:szCs w:val="14"/>
          <w:color w:val="auto"/>
        </w:rPr>
        <w:t>The extent to which the COVID-19 pandemic may impact our business, results of operations, asset valuations, financial condition, and customers will depend on future developments, which continue to be highly uncertain and difficult to predict. Those developments and factors are expected to include the evolution of the virus and new and emerging virus variants, vaccination rates and subsequent vaccine “boosters,” actions taken by governmental authorities to address the foregoing, and the enforcement thereof, and how quickly and to what extent normal economic and operating conditions stabilize. Potential developments also include market factors, such as interest rates, supply chain disruptions, inflation, consumer-welfare, and employment rates. We do not know the full extent of the potential impact. Material adverse impacts may include all or a combination of valuation impairments on our intangible assets, securities available for sale, loans, capitalized mortgage loan servicing rights or deferred tax assets.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2" w:name="page13"/>
    <w:bookmarkEnd w:id="12"/>
    <w:p>
      <w:pPr>
        <w:spacing w:after="0"/>
        <w:rPr>
          <w:sz w:val="20"/>
          <w:szCs w:val="20"/>
          <w:color w:val="auto"/>
        </w:rPr>
      </w:pPr>
      <w:r>
        <w:rPr>
          <w:rFonts w:ascii="Arial" w:cs="Arial" w:eastAsia="Arial" w:hAnsi="Arial"/>
          <w:sz w:val="14"/>
          <w:szCs w:val="14"/>
          <w:b w:val="1"/>
          <w:bCs w:val="1"/>
          <w:u w:val="single" w:color="auto"/>
          <w:color w:val="auto"/>
        </w:rPr>
        <w:t>Risk Factors Relating to the Financial Services Industry</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Downturns in general political, economic or industry conditions, either domestically or internationally, would have an adverse effect on our financial condition and performance.</w:t>
      </w:r>
    </w:p>
    <w:p>
      <w:pPr>
        <w:spacing w:after="0" w:line="179"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Local, domestic, and international economic, political and industry-specific conditions affect the financial services industry, directly and indirectly. Conditions such as or related to inflation, recession, unemployment, volatile interest rates, international conflicts and other factors outside of our control, such as real estate values, energy costs, fuel prices, state and local municipal budget deficits, and government spending and the U.S. national debt, may, directly and indirectly, adversely affect us. Economic downturns could result in the delinquency of outstanding loans, which could have a material adverse impact on our earnings.</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Governmental monetary and fiscal policies may adversely affect the financial services industry and therefore impact our financial condition and results of operations.</w:t>
      </w:r>
    </w:p>
    <w:p>
      <w:pPr>
        <w:spacing w:after="0" w:line="167"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Monetary and fiscal policies of various governmental and regulatory agencies, particularly the Federal Reserve, affect the financial services industry, directly and indirectly. The Federal Reserve regulates the supply of money and credit in the U.S., and its monetary and fiscal policies determine in a large part our cost of funds for lending and investing and the return that can be earned on such loans and investments. Changes in such policies, including changes in interest rates, will influence the origination of loans, the value of investments, the value of capitalized mortgage loan servicing rights, the generation of deposits and the rates received on loans and investment securities and paid on deposits. Changes in monetary and fiscal policies are beyond our control and difficult to predict. Our financial condition and results of operations could be materially adversely impacted by changes in governmental monetary and fiscal policies.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Volatility and disruptions in global capital and credit markets may adversely impact our business, financial condition and results of operations.</w:t>
      </w:r>
    </w:p>
    <w:p>
      <w:pPr>
        <w:spacing w:after="0" w:line="167"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Even though we operate in a distinct geographic region in the U.S., we are impacted by global capital and credit markets, which are sometimes subject to periods of extreme volatility and disruption. Disruptions, uncertainty or volatility in the capital and credit markets may limit our ability to access capital and manage liquidity, which may adversely affect our business, financial condition and results of operations. Further, our customers may be adversely impacted by such conditions, which could have a negative impact on our business, financial condition and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soundness of other financial institutions could adversely affect us.</w:t>
      </w:r>
    </w:p>
    <w:p>
      <w:pPr>
        <w:spacing w:after="0" w:line="167" w:lineRule="exact"/>
        <w:rPr>
          <w:sz w:val="20"/>
          <w:szCs w:val="20"/>
          <w:color w:val="auto"/>
        </w:rPr>
      </w:pPr>
    </w:p>
    <w:p>
      <w:pPr>
        <w:jc w:val="both"/>
        <w:spacing w:after="0" w:line="247" w:lineRule="auto"/>
        <w:rPr>
          <w:sz w:val="20"/>
          <w:szCs w:val="20"/>
          <w:color w:val="auto"/>
        </w:rPr>
      </w:pPr>
      <w:r>
        <w:rPr>
          <w:rFonts w:ascii="Arial" w:cs="Arial" w:eastAsia="Arial" w:hAnsi="Arial"/>
          <w:sz w:val="14"/>
          <w:szCs w:val="14"/>
          <w:color w:val="auto"/>
        </w:rPr>
        <w:t>Our ability to engage in routine funding transactions could be adversely affected by the actions and commercial soundness of other financial institutions. Financial services institutions are interrelated as a result of trading, clearing, counterparty and other relationships. We have exposure to many different industries and counterparties, and we routinely execute transactions with counterparties in the financial industry. As a result, defaults by, or even rumors or questions about, one or more financial services institutions, or the financial services industry generally, can lead to market-wide liquidity problems and losses or defaults by us or by other institutions. Many of these transactions could expose us to credit risk in the event of default by a counterparty. In addition, our credit risk may be impacted when the collateral held by us cannot be realized upon or is liquidated at prices not sufficient to recover the full amount of the financial instrument exposure due to us. There is no assurance that any such losses would not adversely affect us and possibly be material in nature.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regulation or oversight may have a material adverse impact on our operations.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We are subject to extensive regulation, supervision and examination by the Federal Reserve, the FDIC, the Michigan DIFS, the SEC and other regulatory bodies. Such regulation and supervision governs the activities in which we may engage. Regulatory authorities have extensive discretion in their supervisory and enforcement activities, including the imposition of restrictions on our operations, limitations related to our securities, the classification of our assets, and the determination of the level of our allowance for credit losses. Any change in such regulation and oversight, whether in the form of regulatory policy, regulations, legislation or supervisory action, may have a material adverse impact on our business, financial condition or results of operations.</w:t>
      </w:r>
    </w:p>
    <w:p>
      <w:pPr>
        <w:spacing w:after="0" w:line="120"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Additional regulatory focus on the financial services industry is common in connection with an economic downturn, as the industry experienced following the most recent financial crisis. As a result, the adverse effects on our business relating to a future economic downturn could be exacerbated by additional regulations and regulatory scrutiny that accompanied or followed any such downturn. We can neither predict when or whether future regulatory or legislative reforms will be enacted nor what their contents will be. The impact of any future legislation or regulatory actions on our businesses or operations cannot be determined at this time, and such impact may adversely affect us.</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2" w:right="299" w:bottom="1440" w:gutter="0" w:footer="0" w:header="0"/>
        </w:sectPr>
      </w:pPr>
    </w:p>
    <w:bookmarkStart w:id="13" w:name="page14"/>
    <w:bookmarkEnd w:id="13"/>
    <w:p>
      <w:pPr>
        <w:spacing w:after="0"/>
        <w:rPr>
          <w:sz w:val="20"/>
          <w:szCs w:val="20"/>
          <w:color w:val="auto"/>
        </w:rPr>
      </w:pPr>
      <w:r>
        <w:rPr>
          <w:rFonts w:ascii="Arial" w:cs="Arial" w:eastAsia="Arial" w:hAnsi="Arial"/>
          <w:sz w:val="14"/>
          <w:szCs w:val="14"/>
          <w:b w:val="1"/>
          <w:bCs w:val="1"/>
          <w:color w:val="auto"/>
        </w:rPr>
        <w:t>We are subject to liquidity risk in our operations, which could adversely impact our ability to fund various obligations.</w:t>
      </w:r>
    </w:p>
    <w:p>
      <w:pPr>
        <w:spacing w:after="0" w:line="167"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Liquidity risk is the possibility of being unable to meet obligations as they come due or capitalize on growth opportunities as they arise because of an inability to liquidate assets or obtain adequate funding on a timely basis, at a reasonable cost and within acceptable risk tolerances. Liquidity is required to fund various obligations, including credit obligations to borrowers, loan originations, withdrawals by depositors, repayment of debt, dividends to shareholders, operating expenses and capital expenditures. Liquidity is derived primarily from retail deposit growth and earnings retention, principal and interest payments on loans and investment securities, net cash provided from operations and access to other funding. If we are unable to maintain adequate liquidity, then our business, financial condition and results of operations could be negatively impacted.</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Operational difficulties, failure of technology infrastructure or information security incidents could adversely affect our business and operations.</w:t>
      </w:r>
    </w:p>
    <w:p>
      <w:pPr>
        <w:spacing w:after="0" w:line="167"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We are exposed to many types of operational risk, including reputational risk, legal and compliance risk, the risk of fraud or theft by employees or outsiders, failure of our controls and procedures and unauthorized transactions by employees or operational errors, including clerical or recordkeeping errors or those resulting from computer or telecommunications systems malfunctions. Given the high volume of transactions we process, certain errors may be repeated or compounded before they are identified and resolved. In particular, our operations rely on the secure processing, storage and transmission of confidential and other information on our technology systems and networks. Any failure, interruption or breach in security of these systems could result in failures or disruptions in our customer relationship management, general ledger, deposit, loan and other systems.</w:t>
      </w:r>
    </w:p>
    <w:p>
      <w:pPr>
        <w:spacing w:after="0" w:line="137"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also face the risk of operational disruption, failure or capacity constraints due to our dependency on third party vendors for components of our business infrastructure, including our core data processing systems which are largely outsourced. While we have selected these third party vendors carefully, we do not control their operations. As such, any failure on the part of these business partners to perform their various responsibilities could also adversely affect our business and operations.</w:t>
      </w:r>
    </w:p>
    <w:p>
      <w:pPr>
        <w:spacing w:after="0" w:line="131"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We may also be subject to disruptions of our operating systems arising from events that are wholly or partially beyond our control, which may include, for example, computer viruses, cyber attacks, spikes in transaction volume and/or customer activity, electrical or telecommunications outages, or natural disasters. Although we have programs in place related to business continuity, disaster recovery and information security to maintain the confidentiality, integrity, and availability of our systems, business applications and customer information, such disruptions may give rise to interruptions in service to customers and loss or liability to us.</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occurrence of any failure or interruption in our operations or information systems, or any security breach, could cause reputational damage, jeopardize the confidentiality of customer information, result in a loss of customer business, subject us to regulatory intervention or expose us to civil litigation and financial loss or liability, any of which could have a material adverse effect on us.</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Changes in the financial markets, including fluctuations in interest rates and their impact on deposit pricing, could adversely affect our net interest income and financial condition.</w:t>
      </w:r>
    </w:p>
    <w:p>
      <w:pPr>
        <w:spacing w:after="0" w:line="179" w:lineRule="exact"/>
        <w:rPr>
          <w:sz w:val="20"/>
          <w:szCs w:val="20"/>
          <w:color w:val="auto"/>
        </w:rPr>
      </w:pPr>
    </w:p>
    <w:p>
      <w:pPr>
        <w:jc w:val="both"/>
        <w:spacing w:after="0" w:line="247" w:lineRule="auto"/>
        <w:rPr>
          <w:sz w:val="20"/>
          <w:szCs w:val="20"/>
          <w:color w:val="auto"/>
        </w:rPr>
      </w:pPr>
      <w:r>
        <w:rPr>
          <w:rFonts w:ascii="Arial" w:cs="Arial" w:eastAsia="Arial" w:hAnsi="Arial"/>
          <w:sz w:val="14"/>
          <w:szCs w:val="14"/>
          <w:color w:val="auto"/>
        </w:rPr>
        <w:t>The operations of financial institutions such as us are dependent to a large degree on net interest income, which is the difference between interest income from loans and investments and interest expense on deposits and borrowings. Prevailing economic conditions, the trade, fiscal and monetary policies of the federal government and the policies of various regulatory agencies all affect market rates of interest and the availability and cost of credit, which in turn significantly affect financial institutions' net interest income. Volatility in interest rates can also result in disintermediation, which is the flow of funds away from financial institutions into direct investments, such as federal government and corporate securities and other investment vehicles, which, because of the absence of federal insurance premiums and reserve requirements, generally pay higher rates of return than financial institutions. Our financial results could be materially adversely impacted by changes in financial market conditions.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2" w:right="299" w:bottom="1440" w:gutter="0" w:footer="0" w:header="0"/>
        </w:sectPr>
      </w:pPr>
    </w:p>
    <w:bookmarkStart w:id="14" w:name="page15"/>
    <w:bookmarkEnd w:id="14"/>
    <w:p>
      <w:pPr>
        <w:jc w:val="both"/>
        <w:spacing w:after="0" w:line="278" w:lineRule="auto"/>
        <w:rPr>
          <w:sz w:val="20"/>
          <w:szCs w:val="20"/>
          <w:color w:val="auto"/>
        </w:rPr>
      </w:pPr>
      <w:r>
        <w:rPr>
          <w:rFonts w:ascii="Arial" w:cs="Arial" w:eastAsia="Arial" w:hAnsi="Arial"/>
          <w:sz w:val="14"/>
          <w:szCs w:val="14"/>
          <w:b w:val="1"/>
          <w:bCs w:val="1"/>
          <w:color w:val="auto"/>
        </w:rPr>
        <w:t>Legal and regulatory proceedings and related matters with respect to the financial services industry, including those directly involving us, could adversely affect us or the financial services industry in general.</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We have been, and may in the future be, subject to various legal and regulatory proceedings. It is inherently difficult to assess the outcome of these matters, and there can be no assurance that we will prevail in any proceeding or litigation. Any such matter could result in substantial cost and diversion of our efforts, which by itself could have a material adverse effect on our financial condition and operating results. Further, adverse determinations in such matters could result in actions by our regulators that could materially adversely affect our business, financial condition or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Methods of reducing risk exposures might not be effective.</w:t>
      </w:r>
    </w:p>
    <w:p>
      <w:pPr>
        <w:spacing w:after="0" w:line="167" w:lineRule="exact"/>
        <w:rPr>
          <w:sz w:val="20"/>
          <w:szCs w:val="20"/>
          <w:color w:val="auto"/>
        </w:rPr>
      </w:pPr>
    </w:p>
    <w:p>
      <w:pPr>
        <w:jc w:val="both"/>
        <w:ind w:right="20"/>
        <w:spacing w:after="0" w:line="257" w:lineRule="auto"/>
        <w:rPr>
          <w:sz w:val="20"/>
          <w:szCs w:val="20"/>
          <w:color w:val="auto"/>
        </w:rPr>
      </w:pPr>
      <w:r>
        <w:rPr>
          <w:rFonts w:ascii="Arial" w:cs="Arial" w:eastAsia="Arial" w:hAnsi="Arial"/>
          <w:sz w:val="14"/>
          <w:szCs w:val="14"/>
          <w:color w:val="auto"/>
        </w:rPr>
        <w:t>Instruments, systems and strategies used to hedge or otherwise manage exposure to various types of credit, market and liquidity, operational, compliance, business risks and enterprise-wide risk could be less effective than anticipated. As a result, we may not be able to effectively mitigate our risk exposures in particular market environments or against particular types of risk, which could have a material adverse impact on our business, financial condition or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Risk Factors More Specific to Our Business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have credit risk inherent in our loan portfolios, and our allowance for credit losses may not be sufficient to cover actual credit losses.</w:t>
      </w:r>
    </w:p>
    <w:p>
      <w:pPr>
        <w:spacing w:after="0" w:line="167" w:lineRule="exact"/>
        <w:rPr>
          <w:sz w:val="20"/>
          <w:szCs w:val="20"/>
          <w:color w:val="auto"/>
        </w:rPr>
      </w:pPr>
    </w:p>
    <w:p>
      <w:pPr>
        <w:jc w:val="both"/>
        <w:spacing w:after="0" w:line="246" w:lineRule="auto"/>
        <w:rPr>
          <w:sz w:val="20"/>
          <w:szCs w:val="20"/>
          <w:color w:val="auto"/>
        </w:rPr>
      </w:pPr>
      <w:r>
        <w:rPr>
          <w:rFonts w:ascii="Arial" w:cs="Arial" w:eastAsia="Arial" w:hAnsi="Arial"/>
          <w:sz w:val="14"/>
          <w:szCs w:val="14"/>
          <w:color w:val="auto"/>
        </w:rPr>
        <w:t>Our loan customers may not repay their loans according to their respective terms, and the collateral securing the payment of these loans may be insufficient to cover any losses we may incur. We make various assumptions and judgments about the collectability of our loan portfolio, including the creditworthiness of our borrowers and the value of the real estate and other assets serving as collateral for the repayment of many of our loans. Non-performing loans amounted to $5.1 million and $7.9 million at December 31, 2021 and December 31, 2020, respectively. Our allowance for credit losses coverage ratio of non-performing loans was 924.70% and 450.01% at December 31, 2021 and December 31, 2020, respectively. The increase in this coverage ratio in 2021 was primarily due to an increase in the allowance for credit losses resulting from the adoption of CECL on January 1, 2021. In determining the size of the allowance for credit losses, we rely on our experience and our evaluation of current economic conditions. If our assumptions or judgments prove to be incorrect, our current allowance for credit losses may not be sufficient to cover certain credit losses inherent in our loan portfolio, and adjustments may be necessary to account for different economic conditions or adverse developments in our loan portfolio. Material additions to our allowance for credit losses would adversely impact our operating results.</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In addition, federal and state regulators periodically review our allowance for credit losses and may require us to increase our provision for credit losses or recognize additional loan charge-offs, notwithstanding any internal analysis that has been performed. Any increase in our allowance for credit losses or loan charge-offs required by these regulatory agencies could have a material adverse effect on our results of operations and financial condition.</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have credit risk in our securities portfolio.</w:t>
      </w:r>
    </w:p>
    <w:p>
      <w:pPr>
        <w:spacing w:after="0" w:line="167" w:lineRule="exact"/>
        <w:rPr>
          <w:sz w:val="20"/>
          <w:szCs w:val="20"/>
          <w:color w:val="auto"/>
        </w:rPr>
      </w:pPr>
    </w:p>
    <w:p>
      <w:pPr>
        <w:jc w:val="both"/>
        <w:spacing w:after="0" w:line="246" w:lineRule="auto"/>
        <w:rPr>
          <w:sz w:val="20"/>
          <w:szCs w:val="20"/>
          <w:color w:val="auto"/>
        </w:rPr>
      </w:pPr>
      <w:r>
        <w:rPr>
          <w:rFonts w:ascii="Arial" w:cs="Arial" w:eastAsia="Arial" w:hAnsi="Arial"/>
          <w:sz w:val="14"/>
          <w:szCs w:val="14"/>
          <w:color w:val="auto"/>
        </w:rPr>
        <w:t>We maintain diversified securities portfolios, which include obligations of the Treasury and government-sponsored agencies as well as securities issued by states and political subdivisions, mortgage-backed securities, corporate securities and asset-backed securities. We seek to limit credit losses in our securities portfolios by principally purchasing highly rated securities (generally rated "AA" or higher by a major debt rating agency) and by conducting due diligence on the issuer. However, gross unrealized losses on securities available for sale in our portfolio totaled approximately $8.6 million as of December 31, 2021 (compared to approximately $1.4 million as of December 31, 2020). We believe these unrealized losses are temporary in nature and are expected to be recovered within a reasonable time period as we believe we have the ability to hold the securities to maturity or until such time as the unrealized losses reverse. However, we evaluate securities available for sale for other impairment related to credit at least quarterly and more frequently when economic or market concerns warrant such evaluation. Those evaluations may result in a provision for credit losses recorded in our earnings. We may, in the future, experience losses in our securities portfolio which may result in credit losses that could materially adversely affect our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mortgage-banking revenues are susceptible to substantial variations, due in part to factors we do not control, such as market interest rates.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2" w:right="299" w:bottom="1440" w:gutter="0" w:footer="0" w:header="0"/>
        </w:sectPr>
      </w:pPr>
    </w:p>
    <w:bookmarkStart w:id="15" w:name="page16"/>
    <w:bookmarkEnd w:id="15"/>
    <w:p>
      <w:pPr>
        <w:jc w:val="both"/>
        <w:ind w:left="8"/>
        <w:spacing w:after="0" w:line="251" w:lineRule="auto"/>
        <w:rPr>
          <w:sz w:val="20"/>
          <w:szCs w:val="20"/>
          <w:color w:val="auto"/>
        </w:rPr>
      </w:pPr>
      <w:r>
        <w:rPr>
          <w:rFonts w:ascii="Arial" w:cs="Arial" w:eastAsia="Arial" w:hAnsi="Arial"/>
          <w:sz w:val="14"/>
          <w:szCs w:val="14"/>
          <w:color w:val="auto"/>
        </w:rPr>
        <w:t>A portion of our revenues are derived from net gains on mortgage loans. These net gains primarily depend on the volume of loans we sell, which in turn depends on our ability to originate real estate mortgage loans and the demand for fixed-rate obligations and other loans that are outside of our established interest-rate risk parameters. Net gains on mortgage loans are also dependent upon economic and competitive factors as well as our ability to effectively manage exposure to changes in interest rates. Consequently, they can often be a volatile part of our overall revenues. We realized net gains of $35.9 million on mortgage loans during 2021 compared to $62.6 million during 2020 and $20.0 million during 2019.</w:t>
      </w:r>
    </w:p>
    <w:p>
      <w:pPr>
        <w:spacing w:after="0" w:line="132"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Our parent company must rely on dividends or returns of capital from our bank for most of its cash flow.</w:t>
      </w:r>
    </w:p>
    <w:p>
      <w:pPr>
        <w:spacing w:after="0" w:line="167" w:lineRule="exact"/>
        <w:rPr>
          <w:sz w:val="20"/>
          <w:szCs w:val="20"/>
          <w:color w:val="auto"/>
        </w:rPr>
      </w:pPr>
    </w:p>
    <w:p>
      <w:pPr>
        <w:jc w:val="both"/>
        <w:ind w:left="8"/>
        <w:spacing w:after="0" w:line="257" w:lineRule="auto"/>
        <w:rPr>
          <w:sz w:val="20"/>
          <w:szCs w:val="20"/>
          <w:color w:val="auto"/>
        </w:rPr>
      </w:pPr>
      <w:r>
        <w:rPr>
          <w:rFonts w:ascii="Arial" w:cs="Arial" w:eastAsia="Arial" w:hAnsi="Arial"/>
          <w:sz w:val="14"/>
          <w:szCs w:val="14"/>
          <w:color w:val="auto"/>
        </w:rPr>
        <w:t>Our parent company is a separate and distinct legal entity from our bank. Generally, our parent company receives substantially all of its cash flow from dividends or returns of capital from our subsidiary bank. These dividends or returns of capital are the principal source of funds to pay our parent company’s operating expenses and for cash dividends on our common stock. Various federal and/or state laws and regulations limit the amount of dividends that the bank may pay to the parent company.</w:t>
      </w:r>
    </w:p>
    <w:p>
      <w:pPr>
        <w:spacing w:after="0" w:line="127"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Any future strategic acquisitions or divestitures may present certain risks to our business and operations.</w:t>
      </w:r>
    </w:p>
    <w:p>
      <w:pPr>
        <w:spacing w:after="0" w:line="167" w:lineRule="exact"/>
        <w:rPr>
          <w:sz w:val="20"/>
          <w:szCs w:val="20"/>
          <w:color w:val="auto"/>
        </w:rPr>
      </w:pPr>
    </w:p>
    <w:p>
      <w:pPr>
        <w:jc w:val="both"/>
        <w:ind w:left="8"/>
        <w:spacing w:after="0" w:line="249" w:lineRule="auto"/>
        <w:rPr>
          <w:sz w:val="20"/>
          <w:szCs w:val="20"/>
          <w:color w:val="auto"/>
        </w:rPr>
      </w:pPr>
      <w:r>
        <w:rPr>
          <w:rFonts w:ascii="Arial" w:cs="Arial" w:eastAsia="Arial" w:hAnsi="Arial"/>
          <w:sz w:val="14"/>
          <w:szCs w:val="14"/>
          <w:color w:val="auto"/>
        </w:rPr>
        <w:t>Difficulties in capitalizing on the opportunities presented by a future acquisition may prevent us from fully achieving the expected benefits from the acquisition or may cause the achievement of such expectations to take longer to realize than expected. Further, the assimilation of the acquired entity's customers and markets could result in higher than expected deposit attrition, loss of key employees, disruption of our businesses or the businesses of the acquired entity or otherwise adversely affect our ability to maintain relationships with customers and employees or achieve the anticipated benefits of the acquisition. These matters could have an adverse effect on us for an undetermined period. We will be subject to similar risks and difficulties in connection with any future decisions to downsize, sell or close units or otherwise change our business mix.</w:t>
      </w:r>
    </w:p>
    <w:p>
      <w:pPr>
        <w:spacing w:after="0" w:line="133"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Compliance with capital requirements may adversely affect us.</w:t>
      </w:r>
    </w:p>
    <w:p>
      <w:pPr>
        <w:spacing w:after="0" w:line="167" w:lineRule="exact"/>
        <w:rPr>
          <w:sz w:val="20"/>
          <w:szCs w:val="20"/>
          <w:color w:val="auto"/>
        </w:rPr>
      </w:pPr>
    </w:p>
    <w:p>
      <w:pPr>
        <w:jc w:val="both"/>
        <w:ind w:left="8"/>
        <w:spacing w:after="0" w:line="252" w:lineRule="auto"/>
        <w:rPr>
          <w:sz w:val="20"/>
          <w:szCs w:val="20"/>
          <w:color w:val="auto"/>
        </w:rPr>
      </w:pPr>
      <w:r>
        <w:rPr>
          <w:rFonts w:ascii="Arial" w:cs="Arial" w:eastAsia="Arial" w:hAnsi="Arial"/>
          <w:sz w:val="14"/>
          <w:szCs w:val="14"/>
          <w:color w:val="auto"/>
        </w:rPr>
        <w:t>The capital requirements applicable to us as a bank holding company as well as to our subsidiary bank have been substantially revised in connection with Basel III and the requirements of the Financial Reform Act. These more stringent capital requirements, and any other new regulations, could adversely affect our ability to pay dividends in the future, or could require us to reduce business levels or to raise capital, including in ways that may adversely affect our results of operations or financial condition and/or existing shareholders. Maintaining higher levels of capital may reduce our profitability and otherwise adversely affect our business, financial condition, or results of operations.</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Declines in the businesses or industries of our customers could cause increased credit losses, which could adversely affect us.</w:t>
      </w:r>
    </w:p>
    <w:p>
      <w:pPr>
        <w:spacing w:after="0" w:line="167" w:lineRule="exact"/>
        <w:rPr>
          <w:sz w:val="20"/>
          <w:szCs w:val="20"/>
          <w:color w:val="auto"/>
        </w:rPr>
      </w:pPr>
    </w:p>
    <w:p>
      <w:pPr>
        <w:ind w:left="8"/>
        <w:spacing w:after="0"/>
        <w:rPr>
          <w:sz w:val="20"/>
          <w:szCs w:val="20"/>
          <w:color w:val="auto"/>
        </w:rPr>
      </w:pPr>
      <w:r>
        <w:rPr>
          <w:rFonts w:ascii="Arial" w:cs="Arial" w:eastAsia="Arial" w:hAnsi="Arial"/>
          <w:sz w:val="13"/>
          <w:szCs w:val="13"/>
          <w:color w:val="auto"/>
        </w:rPr>
        <w:t>Our business customer base consists, in part, of customers in businesses and industries that are sensitive to global economic conditions and supply chain factors as well as the impact of COVID-</w:t>
      </w:r>
    </w:p>
    <w:p>
      <w:pPr>
        <w:spacing w:after="0" w:line="25" w:lineRule="exact"/>
        <w:rPr>
          <w:sz w:val="20"/>
          <w:szCs w:val="20"/>
          <w:color w:val="auto"/>
        </w:rPr>
      </w:pPr>
    </w:p>
    <w:p>
      <w:pPr>
        <w:ind w:left="8" w:hanging="8"/>
        <w:spacing w:after="0" w:line="255" w:lineRule="auto"/>
        <w:tabs>
          <w:tab w:leader="none" w:pos="2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These industries include the automotive production industry, real estate businesses, retail C&amp;I, hotels, entertainment and food service. Any decline in one of those customers' businesses or industries could cause increased credit losses, which in turn could adversely affect us.</w:t>
      </w:r>
    </w:p>
    <w:p>
      <w:pPr>
        <w:spacing w:after="0" w:line="128" w:lineRule="exact"/>
        <w:rPr>
          <w:sz w:val="20"/>
          <w:szCs w:val="20"/>
          <w:color w:val="auto"/>
        </w:rPr>
      </w:pPr>
    </w:p>
    <w:p>
      <w:pPr>
        <w:jc w:val="both"/>
        <w:ind w:left="8"/>
        <w:spacing w:after="0" w:line="279" w:lineRule="auto"/>
        <w:rPr>
          <w:sz w:val="20"/>
          <w:szCs w:val="20"/>
          <w:color w:val="auto"/>
        </w:rPr>
      </w:pPr>
      <w:r>
        <w:rPr>
          <w:rFonts w:ascii="Arial" w:cs="Arial" w:eastAsia="Arial" w:hAnsi="Arial"/>
          <w:sz w:val="14"/>
          <w:szCs w:val="14"/>
          <w:b w:val="1"/>
          <w:bCs w:val="1"/>
          <w:color w:val="auto"/>
        </w:rPr>
        <w:t>The introduction, implementation, withdrawal, success and timing of business initiatives and strategies may be less successful or may be different than anticipated, which could adversely affect our business.</w:t>
      </w:r>
    </w:p>
    <w:p>
      <w:pPr>
        <w:spacing w:after="0" w:line="116" w:lineRule="exact"/>
        <w:rPr>
          <w:sz w:val="20"/>
          <w:szCs w:val="20"/>
          <w:color w:val="auto"/>
        </w:rPr>
      </w:pPr>
    </w:p>
    <w:p>
      <w:pPr>
        <w:jc w:val="both"/>
        <w:ind w:left="8"/>
        <w:spacing w:after="0" w:line="273" w:lineRule="auto"/>
        <w:rPr>
          <w:sz w:val="20"/>
          <w:szCs w:val="20"/>
          <w:color w:val="auto"/>
        </w:rPr>
      </w:pPr>
      <w:r>
        <w:rPr>
          <w:rFonts w:ascii="Arial" w:cs="Arial" w:eastAsia="Arial" w:hAnsi="Arial"/>
          <w:sz w:val="14"/>
          <w:szCs w:val="14"/>
          <w:color w:val="auto"/>
        </w:rPr>
        <w:t>We make certain projections and develop plans and strategies for our banking and financial products. If we do not accurately determine demand for or changes in our banking and financial product needs, it could result in us incurring significant expenses without the anticipated increases in revenue, which could result in a material adverse effect on our business.</w:t>
      </w:r>
    </w:p>
    <w:p>
      <w:pPr>
        <w:spacing w:after="0" w:line="116"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We may not be able to utilize technology to efficiently and effectively develop, market, and deliver new products and services to our customers.</w:t>
      </w:r>
    </w:p>
    <w:p>
      <w:pPr>
        <w:spacing w:after="0" w:line="167" w:lineRule="exact"/>
        <w:rPr>
          <w:sz w:val="20"/>
          <w:szCs w:val="20"/>
          <w:color w:val="auto"/>
        </w:rPr>
      </w:pPr>
    </w:p>
    <w:p>
      <w:pPr>
        <w:jc w:val="both"/>
        <w:ind w:left="8"/>
        <w:spacing w:after="0" w:line="249" w:lineRule="auto"/>
        <w:rPr>
          <w:sz w:val="20"/>
          <w:szCs w:val="20"/>
          <w:color w:val="auto"/>
        </w:rPr>
      </w:pPr>
      <w:r>
        <w:rPr>
          <w:rFonts w:ascii="Arial" w:cs="Arial" w:eastAsia="Arial" w:hAnsi="Arial"/>
          <w:sz w:val="14"/>
          <w:szCs w:val="14"/>
          <w:color w:val="auto"/>
        </w:rPr>
        <w:t>The financial services industry experiences rapid technological change with regular introductions of new technology-driven products and services. The efficient and effective utilization of technology enables financial institutions to better serve customers and to reduce costs. Our future success depends, in part, upon our ability to address the needs of our customers by using technology to market and deliver products and services that will satisfy customer demands, meet regulatory requirements, and create additional efficiencies in our operations. We may not be able to effectively develop new technology-driven products and services or be successful in marketing or supporting these products and services to our customers, which could have a material adverse impact on our financial condition and results of operations.</w:t>
      </w:r>
    </w:p>
    <w:p>
      <w:pPr>
        <w:spacing w:after="0" w:line="256" w:lineRule="exact"/>
        <w:rPr>
          <w:sz w:val="20"/>
          <w:szCs w:val="20"/>
          <w:color w:val="auto"/>
        </w:rPr>
      </w:pPr>
    </w:p>
    <w:p>
      <w:pPr>
        <w:jc w:val="center"/>
        <w:ind w:right="-7"/>
        <w:spacing w:after="0"/>
        <w:rPr>
          <w:sz w:val="20"/>
          <w:szCs w:val="20"/>
          <w:color w:val="auto"/>
        </w:rPr>
      </w:pPr>
      <w:r>
        <w:rPr>
          <w:rFonts w:ascii="Arial" w:cs="Arial" w:eastAsia="Arial" w:hAnsi="Arial"/>
          <w:sz w:val="10"/>
          <w:szCs w:val="1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78040" cy="11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6" w:right="299" w:bottom="1440" w:gutter="0" w:footer="0" w:header="0"/>
        </w:sectPr>
      </w:pPr>
    </w:p>
    <w:bookmarkStart w:id="16" w:name="page17"/>
    <w:bookmarkEnd w:id="16"/>
    <w:p>
      <w:pPr>
        <w:spacing w:after="0"/>
        <w:rPr>
          <w:sz w:val="20"/>
          <w:szCs w:val="20"/>
          <w:color w:val="auto"/>
        </w:rPr>
      </w:pPr>
      <w:r>
        <w:rPr>
          <w:rFonts w:ascii="Arial" w:cs="Arial" w:eastAsia="Arial" w:hAnsi="Arial"/>
          <w:sz w:val="14"/>
          <w:szCs w:val="14"/>
          <w:b w:val="1"/>
          <w:bCs w:val="1"/>
          <w:color w:val="auto"/>
        </w:rPr>
        <w:t>Competitive product and pricing pressures among financial institutions within our markets may change.</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operate in a very competitive environment, which is characterized by competition from a number of other financial institutions in each market in which we operate. We compete with large national and regional financial institutions and with smaller financial institutions in terms of products and pricing. If we are unable to compete effectively in products and pricing in our markets, business could decline, which could have a material adverse effect on our business, financial condition or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customer behavior may adversely impact our business, financial condition and results of operations.</w:t>
      </w:r>
    </w:p>
    <w:p>
      <w:pPr>
        <w:spacing w:after="0" w:line="167" w:lineRule="exact"/>
        <w:rPr>
          <w:sz w:val="20"/>
          <w:szCs w:val="20"/>
          <w:color w:val="auto"/>
        </w:rPr>
      </w:pPr>
    </w:p>
    <w:p>
      <w:pPr>
        <w:jc w:val="both"/>
        <w:ind w:right="20"/>
        <w:spacing w:after="0" w:line="286" w:lineRule="auto"/>
        <w:rPr>
          <w:sz w:val="20"/>
          <w:szCs w:val="20"/>
          <w:color w:val="auto"/>
        </w:rPr>
      </w:pPr>
      <w:r>
        <w:rPr>
          <w:rFonts w:ascii="Arial" w:cs="Arial" w:eastAsia="Arial" w:hAnsi="Arial"/>
          <w:sz w:val="13"/>
          <w:szCs w:val="13"/>
          <w:color w:val="auto"/>
        </w:rPr>
        <w:t>We use a variety of methods to anticipate customer behavior as a part of our strategic planning and to meet certain regulatory requirements. Individual, economic, political, industry-specific conditions and other factors outside of our control, such as fuel prices, energy costs, real estate values or other factors that affect customer income levels, could alter predicted customer borrowing, repayment, investment and deposit practices. Such a change in these practices could materially adversely affect our ability to anticipate business needs and meet regulatory requirements.</w:t>
      </w:r>
    </w:p>
    <w:p>
      <w:pPr>
        <w:spacing w:after="0" w:line="114" w:lineRule="exact"/>
        <w:rPr>
          <w:sz w:val="20"/>
          <w:szCs w:val="20"/>
          <w:color w:val="auto"/>
        </w:rPr>
      </w:pPr>
    </w:p>
    <w:p>
      <w:pPr>
        <w:jc w:val="both"/>
        <w:ind w:right="20"/>
        <w:spacing w:after="0" w:line="273" w:lineRule="auto"/>
        <w:rPr>
          <w:sz w:val="20"/>
          <w:szCs w:val="20"/>
          <w:color w:val="auto"/>
        </w:rPr>
      </w:pPr>
      <w:r>
        <w:rPr>
          <w:rFonts w:ascii="Arial" w:cs="Arial" w:eastAsia="Arial" w:hAnsi="Arial"/>
          <w:sz w:val="14"/>
          <w:szCs w:val="14"/>
          <w:color w:val="auto"/>
        </w:rPr>
        <w:t>Further, difficult economic conditions may negatively affect consumer confidence levels. A decrease in consumer confidence levels would likely aggravate the adverse effects of these difficult market conditions on us, our customers and others in the financial institutions industry.</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ability to maintain and expand customer relationships may differ from expectations.</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The financial services industry is very competitive. We not only vie for business opportunities with new customers, but also compete to maintain and expand the relationships we have with our existing customers. While we believe that we can continue to grow many of these relationships, we will continue to experience pressures to maintain these relationships as our competitors attempt to capture our customers. Failure to create new customer relationships and to maintain and expand existing customer relationships to the extent anticipated may adversely impact our earnings.</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ability to retain key officers and employees may change.</w:t>
      </w:r>
    </w:p>
    <w:p>
      <w:pPr>
        <w:spacing w:after="0" w:line="167"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Our future operating results depend substantially upon the continued service of our executive officers and key personnel. Our future operating results also depend in significant part upon our ability to attract and retain qualified management, financial, technical, marketing, sales and support personnel. Competition for qualified personnel is intense, and we cannot ensure success in attracting or retaining qualified personnel. There may be only a limited number of persons with the requisite skills to serve in these positions, and it may be increasingly difficult for us to hire personnel over time.</w:t>
      </w:r>
    </w:p>
    <w:p>
      <w:pPr>
        <w:spacing w:after="0" w:line="134"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Further, our ability to retain key officers and employees may be impacted by legislation and regulation affecting the financial services industry. Our business, financial condition or results of operations could be materially adversely affected by the loss of any key employees, or our inability to attract and retain skilled employees.</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4"/>
          <w:szCs w:val="14"/>
          <w:b w:val="1"/>
          <w:bCs w:val="1"/>
          <w:color w:val="auto"/>
        </w:rPr>
        <w:t>Catastrophic events, including, but not limited to, hurricanes, tornadoes, earthquakes, fires, floods and pandemic outbreaks may adversely affect the general economy, financial and capital markets, specific industries, and us.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have significant operations and a significant customer base in Michigan where natural and other disasters may occur, such as tornadoes and floods. These types of natural catastrophic events at times have disrupted the local economy, our business, and our customers and have posed physical risks to our property. In addition, catastrophic events occurring in other regions of the world may have an impact on our customers and in turn, on us. A significant catastrophic event could materially adversely affect our operating results.</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2" w:right="299" w:bottom="1440" w:gutter="0" w:footer="0" w:header="0"/>
        </w:sectPr>
      </w:pPr>
    </w:p>
    <w:bookmarkStart w:id="17" w:name="page18"/>
    <w:bookmarkEnd w:id="17"/>
    <w:p>
      <w:pPr>
        <w:spacing w:after="0"/>
        <w:rPr>
          <w:sz w:val="20"/>
          <w:szCs w:val="20"/>
          <w:color w:val="auto"/>
        </w:rPr>
      </w:pPr>
      <w:r>
        <w:rPr>
          <w:rFonts w:ascii="Arial" w:cs="Arial" w:eastAsia="Arial" w:hAnsi="Arial"/>
          <w:sz w:val="14"/>
          <w:szCs w:val="14"/>
          <w:b w:val="1"/>
          <w:bCs w:val="1"/>
          <w:color w:val="auto"/>
        </w:rPr>
        <w:t>Our failure to appropriately apply certain critical accounting policies could result in our misstatement of our financial results and condition.</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Accounting policies and processes are fundamental to how we record and report our financial condition and results of operations. We must exercise judgment in selecting and applying many of these accounting policies and processes so they comply with U.S. GAAP. In some cases, we must select the accounting policy or method to apply from two or more alternatives, any of which may be reasonable under the circumstances, yet may result in our reporting materially different results than would have been reported under a different alternative.</w:t>
      </w:r>
    </w:p>
    <w:p>
      <w:pPr>
        <w:spacing w:after="0" w:line="114" w:lineRule="exact"/>
        <w:rPr>
          <w:sz w:val="20"/>
          <w:szCs w:val="20"/>
          <w:color w:val="auto"/>
        </w:rPr>
      </w:pPr>
    </w:p>
    <w:p>
      <w:pPr>
        <w:jc w:val="both"/>
        <w:spacing w:after="0" w:line="270" w:lineRule="auto"/>
        <w:rPr>
          <w:sz w:val="20"/>
          <w:szCs w:val="20"/>
          <w:color w:val="auto"/>
        </w:rPr>
      </w:pPr>
      <w:r>
        <w:rPr>
          <w:rFonts w:ascii="Arial" w:cs="Arial" w:eastAsia="Arial" w:hAnsi="Arial"/>
          <w:sz w:val="13"/>
          <w:szCs w:val="13"/>
          <w:color w:val="auto"/>
        </w:rPr>
        <w:t>We have identified certain accounting policies as being critical because they require us to make difficult, subjective or complex judgments about matters that are uncertain. Materially different amounts could be reported under different conditions or using different assumptions or estimates. We have established detailed policies and control procedures that are intended to ensure these critical accounting estimates and judgments are subject to internal controls and applied consistently. In addition, the policies and procedures are intended to ensure that the process for changing methodologies occurs in an appropriate manner. Because of the uncertainty surrounding management's judgments and the estimates pertaining to these matters, we cannot guarantee that we will not be required to adjust accounting policies or restate prior period financial statements. See note #1, “Accounting Policies” in the Notes to Consolidated Financial Statements in our annual report, to be delivered to shareholders in connection with the April 19, 2022 Annual Meeting of Shareholders (filed as exhibit 13 to this report on Form 10-K).</w:t>
      </w:r>
    </w:p>
    <w:p>
      <w:pPr>
        <w:spacing w:after="0" w:line="130" w:lineRule="exact"/>
        <w:rPr>
          <w:sz w:val="20"/>
          <w:szCs w:val="20"/>
          <w:color w:val="auto"/>
        </w:rPr>
      </w:pPr>
    </w:p>
    <w:p>
      <w:pPr>
        <w:spacing w:after="0"/>
        <w:tabs>
          <w:tab w:leader="none" w:pos="620" w:val="left"/>
        </w:tabs>
        <w:rPr>
          <w:sz w:val="20"/>
          <w:szCs w:val="20"/>
          <w:color w:val="auto"/>
        </w:rPr>
      </w:pPr>
      <w:r>
        <w:rPr>
          <w:rFonts w:ascii="Arial" w:cs="Arial" w:eastAsia="Arial" w:hAnsi="Arial"/>
          <w:sz w:val="12"/>
          <w:szCs w:val="12"/>
          <w:u w:val="single" w:color="auto"/>
          <w:color w:val="auto"/>
        </w:rPr>
        <w:t>ITEM 1B.</w:t>
      </w:r>
      <w:r>
        <w:rPr>
          <w:sz w:val="20"/>
          <w:szCs w:val="20"/>
          <w:color w:val="auto"/>
        </w:rPr>
        <w:tab/>
      </w:r>
      <w:r>
        <w:rPr>
          <w:rFonts w:ascii="Arial" w:cs="Arial" w:eastAsia="Arial" w:hAnsi="Arial"/>
          <w:sz w:val="11"/>
          <w:szCs w:val="11"/>
          <w:u w:val="single" w:color="auto"/>
          <w:color w:val="auto"/>
        </w:rPr>
        <w:t>UNRESOLVED STAFF COMMENTS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68" w:lineRule="exact"/>
        <w:rPr>
          <w:sz w:val="20"/>
          <w:szCs w:val="20"/>
          <w:color w:val="auto"/>
        </w:rPr>
      </w:pPr>
    </w:p>
    <w:p>
      <w:pPr>
        <w:spacing w:after="0"/>
        <w:tabs>
          <w:tab w:leader="none" w:pos="620" w:val="left"/>
        </w:tabs>
        <w:rPr>
          <w:sz w:val="20"/>
          <w:szCs w:val="20"/>
          <w:color w:val="auto"/>
        </w:rPr>
      </w:pPr>
      <w:r>
        <w:rPr>
          <w:rFonts w:ascii="Arial" w:cs="Arial" w:eastAsia="Arial" w:hAnsi="Arial"/>
          <w:sz w:val="12"/>
          <w:szCs w:val="12"/>
          <w:u w:val="single" w:color="auto"/>
          <w:color w:val="auto"/>
        </w:rPr>
        <w:t>ITEM 2.</w:t>
      </w:r>
      <w:r>
        <w:rPr>
          <w:sz w:val="20"/>
          <w:szCs w:val="20"/>
          <w:color w:val="auto"/>
        </w:rPr>
        <w:tab/>
      </w:r>
      <w:r>
        <w:rPr>
          <w:rFonts w:ascii="Arial" w:cs="Arial" w:eastAsia="Arial" w:hAnsi="Arial"/>
          <w:sz w:val="10"/>
          <w:szCs w:val="10"/>
          <w:u w:val="single" w:color="auto"/>
          <w:color w:val="auto"/>
        </w:rPr>
        <w:t>PROPERTIES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We and our bank operate a total of 85 facilities in Michigan and 2 leased facilities in Ohio. We own 60 and lease 25 of the facilities in Michigan.</w:t>
      </w:r>
    </w:p>
    <w:p>
      <w:pPr>
        <w:spacing w:after="0" w:line="163"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With the exception of the potential remodeling of certain facilities to provide for the efficient use of workspace or to maintain an appropriate appearance, each property is considered reasonably adequate for current and anticipated needs.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2" w:right="299" w:bottom="1440" w:gutter="0" w:footer="0" w:header="0"/>
        </w:sectPr>
      </w:pPr>
    </w:p>
    <w:bookmarkStart w:id="18" w:name="page19"/>
    <w:bookmarkEnd w:id="18"/>
    <w:p>
      <w:pPr>
        <w:spacing w:after="0"/>
        <w:tabs>
          <w:tab w:leader="none" w:pos="620" w:val="left"/>
        </w:tabs>
        <w:rPr>
          <w:sz w:val="20"/>
          <w:szCs w:val="20"/>
          <w:color w:val="auto"/>
        </w:rPr>
      </w:pPr>
      <w:r>
        <w:rPr>
          <w:rFonts w:ascii="Arial" w:cs="Arial" w:eastAsia="Arial" w:hAnsi="Arial"/>
          <w:sz w:val="12"/>
          <w:szCs w:val="12"/>
          <w:u w:val="single" w:color="auto"/>
          <w:color w:val="auto"/>
        </w:rPr>
        <w:t>ITEM 3.</w:t>
      </w:r>
      <w:r>
        <w:rPr>
          <w:sz w:val="20"/>
          <w:szCs w:val="20"/>
          <w:color w:val="auto"/>
        </w:rPr>
        <w:tab/>
      </w:r>
      <w:r>
        <w:rPr>
          <w:rFonts w:ascii="Arial" w:cs="Arial" w:eastAsia="Arial" w:hAnsi="Arial"/>
          <w:sz w:val="11"/>
          <w:szCs w:val="11"/>
          <w:u w:val="single" w:color="auto"/>
          <w:color w:val="auto"/>
        </w:rPr>
        <w:t>LEGAL PROCEEDINGS</w:t>
      </w:r>
    </w:p>
    <w:p>
      <w:pPr>
        <w:spacing w:after="0" w:line="163" w:lineRule="exact"/>
        <w:rPr>
          <w:sz w:val="20"/>
          <w:szCs w:val="20"/>
          <w:color w:val="auto"/>
        </w:rPr>
      </w:pPr>
    </w:p>
    <w:p>
      <w:pPr>
        <w:jc w:val="both"/>
        <w:ind w:firstLine="239"/>
        <w:spacing w:after="0" w:line="249" w:lineRule="auto"/>
        <w:rPr>
          <w:sz w:val="20"/>
          <w:szCs w:val="20"/>
          <w:color w:val="auto"/>
        </w:rPr>
      </w:pPr>
      <w:r>
        <w:rPr>
          <w:rFonts w:ascii="Arial" w:cs="Arial" w:eastAsia="Arial" w:hAnsi="Arial"/>
          <w:sz w:val="14"/>
          <w:szCs w:val="14"/>
          <w:color w:val="231F20"/>
        </w:rPr>
        <w:t>We are involved in various litigation matters in the ordinary course of business. At the present time, we do not believe any of these matters will have a significant impact on our consolidated financial position or results of operations. The aggregate amount we have accrued for losses we consider probable as a result of these litigation matters is immaterial. However, because of the inherent uncertainty of outcomes from any litigation matter, we believe it is reasonably possible we may incur losses in addition to the amounts we have accrued. At this time, we estimate the maximum amount of additional losses that are reasonably possible is insignificant. However, because of a number of factors, including the fact that certain of these litigation matters are still in their early stages, this maximum amount may change in the future.</w:t>
      </w:r>
    </w:p>
    <w:p>
      <w:pPr>
        <w:spacing w:after="0" w:line="137" w:lineRule="exact"/>
        <w:rPr>
          <w:sz w:val="20"/>
          <w:szCs w:val="20"/>
          <w:color w:val="auto"/>
        </w:rPr>
      </w:pPr>
    </w:p>
    <w:p>
      <w:pPr>
        <w:jc w:val="both"/>
        <w:ind w:firstLine="239"/>
        <w:spacing w:after="0" w:line="252" w:lineRule="auto"/>
        <w:rPr>
          <w:sz w:val="20"/>
          <w:szCs w:val="20"/>
          <w:color w:val="auto"/>
        </w:rPr>
      </w:pPr>
      <w:r>
        <w:rPr>
          <w:rFonts w:ascii="Arial" w:cs="Arial" w:eastAsia="Arial" w:hAnsi="Arial"/>
          <w:sz w:val="14"/>
          <w:szCs w:val="14"/>
          <w:color w:val="231F20"/>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w:t>
      </w:r>
    </w:p>
    <w:p>
      <w:pPr>
        <w:spacing w:after="0" w:line="139" w:lineRule="exact"/>
        <w:rPr>
          <w:sz w:val="20"/>
          <w:szCs w:val="20"/>
          <w:color w:val="auto"/>
        </w:rPr>
      </w:pPr>
    </w:p>
    <w:p>
      <w:pPr>
        <w:spacing w:after="0"/>
        <w:tabs>
          <w:tab w:leader="none" w:pos="620" w:val="left"/>
        </w:tabs>
        <w:rPr>
          <w:sz w:val="20"/>
          <w:szCs w:val="20"/>
          <w:color w:val="auto"/>
        </w:rPr>
      </w:pPr>
      <w:r>
        <w:rPr>
          <w:rFonts w:ascii="Arial" w:cs="Arial" w:eastAsia="Arial" w:hAnsi="Arial"/>
          <w:sz w:val="12"/>
          <w:szCs w:val="12"/>
          <w:u w:val="single" w:color="auto"/>
          <w:color w:val="auto"/>
        </w:rPr>
        <w:t>ITEM 4.</w:t>
      </w:r>
      <w:r>
        <w:rPr>
          <w:sz w:val="20"/>
          <w:szCs w:val="20"/>
          <w:color w:val="auto"/>
        </w:rPr>
        <w:tab/>
      </w:r>
      <w:r>
        <w:rPr>
          <w:rFonts w:ascii="Arial" w:cs="Arial" w:eastAsia="Arial" w:hAnsi="Arial"/>
          <w:sz w:val="11"/>
          <w:szCs w:val="11"/>
          <w:u w:val="single" w:color="auto"/>
          <w:color w:val="auto"/>
        </w:rPr>
        <w:t>MINE SAFETY DISCLOSURES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0"/>
          <w:szCs w:val="1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00" w:top="131" w:right="359" w:bottom="1440" w:gutter="0" w:footer="0" w:header="0"/>
        </w:sectPr>
      </w:pPr>
    </w:p>
    <w:bookmarkStart w:id="19" w:name="page20"/>
    <w:bookmarkEnd w:id="19"/>
    <w:p>
      <w:pPr>
        <w:ind w:left="8"/>
        <w:spacing w:after="0"/>
        <w:rPr>
          <w:sz w:val="20"/>
          <w:szCs w:val="20"/>
          <w:color w:val="auto"/>
        </w:rPr>
      </w:pPr>
      <w:r>
        <w:rPr>
          <w:rFonts w:ascii="Arial" w:cs="Arial" w:eastAsia="Arial" w:hAnsi="Arial"/>
          <w:sz w:val="14"/>
          <w:szCs w:val="14"/>
          <w:u w:val="single" w:color="auto"/>
          <w:color w:val="auto"/>
        </w:rPr>
        <w:t>ADDITIONAL ITEM</w:t>
      </w:r>
      <w:r>
        <w:rPr>
          <w:rFonts w:ascii="Arial" w:cs="Arial" w:eastAsia="Arial" w:hAnsi="Arial"/>
          <w:sz w:val="14"/>
          <w:szCs w:val="14"/>
          <w:color w:val="auto"/>
        </w:rPr>
        <w:t xml:space="preserve"> - </w:t>
      </w:r>
      <w:r>
        <w:rPr>
          <w:rFonts w:ascii="Arial" w:cs="Arial" w:eastAsia="Arial" w:hAnsi="Arial"/>
          <w:sz w:val="14"/>
          <w:szCs w:val="14"/>
          <w:u w:val="single" w:color="auto"/>
          <w:color w:val="auto"/>
        </w:rPr>
        <w:t>EXECUTIVE OFFICERS</w:t>
      </w:r>
    </w:p>
    <w:p>
      <w:pPr>
        <w:spacing w:after="0" w:line="163" w:lineRule="exact"/>
        <w:rPr>
          <w:sz w:val="20"/>
          <w:szCs w:val="20"/>
          <w:color w:val="auto"/>
        </w:rPr>
      </w:pPr>
    </w:p>
    <w:p>
      <w:pPr>
        <w:ind w:left="8"/>
        <w:spacing w:after="0" w:line="273" w:lineRule="auto"/>
        <w:rPr>
          <w:sz w:val="20"/>
          <w:szCs w:val="20"/>
          <w:color w:val="auto"/>
        </w:rPr>
      </w:pPr>
      <w:r>
        <w:rPr>
          <w:rFonts w:ascii="Arial" w:cs="Arial" w:eastAsia="Arial" w:hAnsi="Arial"/>
          <w:sz w:val="14"/>
          <w:szCs w:val="14"/>
          <w:color w:val="auto"/>
        </w:rPr>
        <w:t>Our executive officers are appointed annually by our Board of Directors at the meeting of directors preceding the Annual Meeting of Shareholders. There are no family relationships among these officers and/or our directors nor any arrangement or understanding between any officer and any other person pursuant to which the officer was elected.</w:t>
      </w:r>
    </w:p>
    <w:p>
      <w:pPr>
        <w:spacing w:after="0" w:line="120" w:lineRule="exact"/>
        <w:rPr>
          <w:sz w:val="20"/>
          <w:szCs w:val="20"/>
          <w:color w:val="auto"/>
        </w:rPr>
      </w:pPr>
    </w:p>
    <w:p>
      <w:pPr>
        <w:ind w:left="8"/>
        <w:spacing w:after="0"/>
        <w:rPr>
          <w:sz w:val="20"/>
          <w:szCs w:val="20"/>
          <w:color w:val="auto"/>
        </w:rPr>
      </w:pPr>
      <w:r>
        <w:rPr>
          <w:rFonts w:ascii="Arial" w:cs="Arial" w:eastAsia="Arial" w:hAnsi="Arial"/>
          <w:sz w:val="14"/>
          <w:szCs w:val="14"/>
          <w:color w:val="auto"/>
        </w:rPr>
        <w:t>The following sets forth certain information with respect to our executive officers at February 19, 2022.</w:t>
      </w:r>
    </w:p>
    <w:p>
      <w:pPr>
        <w:spacing w:after="0" w:line="168"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5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3300" w:type="dxa"/>
            <w:vAlign w:val="bottom"/>
            <w:gridSpan w:val="3"/>
          </w:tcPr>
          <w:p>
            <w:pPr>
              <w:jc w:val="center"/>
              <w:ind w:left="1320"/>
              <w:spacing w:after="0"/>
              <w:rPr>
                <w:sz w:val="20"/>
                <w:szCs w:val="20"/>
                <w:color w:val="auto"/>
              </w:rPr>
            </w:pPr>
            <w:r>
              <w:rPr>
                <w:rFonts w:ascii="Arial" w:cs="Arial" w:eastAsia="Arial" w:hAnsi="Arial"/>
                <w:sz w:val="12"/>
                <w:szCs w:val="12"/>
                <w:color w:val="auto"/>
                <w:w w:val="91"/>
              </w:rPr>
              <w:t>First elected</w:t>
            </w:r>
          </w:p>
        </w:tc>
      </w:tr>
      <w:tr>
        <w:trPr>
          <w:trHeight w:val="144"/>
        </w:trPr>
        <w:tc>
          <w:tcPr>
            <w:tcW w:w="5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3300" w:type="dxa"/>
            <w:vAlign w:val="bottom"/>
            <w:gridSpan w:val="3"/>
          </w:tcPr>
          <w:p>
            <w:pPr>
              <w:jc w:val="center"/>
              <w:ind w:left="1320"/>
              <w:spacing w:after="0"/>
              <w:rPr>
                <w:sz w:val="20"/>
                <w:szCs w:val="20"/>
                <w:color w:val="auto"/>
              </w:rPr>
            </w:pPr>
            <w:r>
              <w:rPr>
                <w:rFonts w:ascii="Arial" w:cs="Arial" w:eastAsia="Arial" w:hAnsi="Arial"/>
                <w:sz w:val="12"/>
                <w:szCs w:val="12"/>
                <w:color w:val="auto"/>
                <w:w w:val="86"/>
              </w:rPr>
              <w:t>as an executive</w:t>
            </w:r>
          </w:p>
        </w:tc>
      </w:tr>
      <w:tr>
        <w:trPr>
          <w:trHeight w:val="126"/>
        </w:trPr>
        <w:tc>
          <w:tcPr>
            <w:tcW w:w="3160" w:type="dxa"/>
            <w:vAlign w:val="bottom"/>
            <w:gridSpan w:val="2"/>
          </w:tcPr>
          <w:p>
            <w:pPr>
              <w:spacing w:after="0" w:line="126" w:lineRule="exact"/>
              <w:rPr>
                <w:sz w:val="20"/>
                <w:szCs w:val="20"/>
                <w:color w:val="auto"/>
              </w:rPr>
            </w:pPr>
            <w:r>
              <w:rPr>
                <w:rFonts w:ascii="Arial" w:cs="Arial" w:eastAsia="Arial" w:hAnsi="Arial"/>
                <w:sz w:val="12"/>
                <w:szCs w:val="12"/>
                <w:color w:val="auto"/>
              </w:rPr>
              <w:t>Name (Age)</w:t>
            </w:r>
          </w:p>
        </w:tc>
        <w:tc>
          <w:tcPr>
            <w:tcW w:w="4840" w:type="dxa"/>
            <w:vAlign w:val="bottom"/>
            <w:gridSpan w:val="2"/>
          </w:tcPr>
          <w:p>
            <w:pPr>
              <w:spacing w:after="0" w:line="126" w:lineRule="exact"/>
              <w:rPr>
                <w:sz w:val="20"/>
                <w:szCs w:val="20"/>
                <w:color w:val="auto"/>
              </w:rPr>
            </w:pPr>
            <w:r>
              <w:rPr>
                <w:rFonts w:ascii="Arial" w:cs="Arial" w:eastAsia="Arial" w:hAnsi="Arial"/>
                <w:sz w:val="12"/>
                <w:szCs w:val="12"/>
                <w:color w:val="auto"/>
              </w:rPr>
              <w:t>Position</w:t>
            </w:r>
          </w:p>
        </w:tc>
        <w:tc>
          <w:tcPr>
            <w:tcW w:w="2180" w:type="dxa"/>
            <w:vAlign w:val="bottom"/>
          </w:tcPr>
          <w:p>
            <w:pPr>
              <w:spacing w:after="0"/>
              <w:rPr>
                <w:sz w:val="10"/>
                <w:szCs w:val="10"/>
                <w:color w:val="auto"/>
              </w:rPr>
            </w:pPr>
          </w:p>
        </w:tc>
        <w:tc>
          <w:tcPr>
            <w:tcW w:w="1120" w:type="dxa"/>
            <w:vAlign w:val="bottom"/>
            <w:gridSpan w:val="2"/>
          </w:tcPr>
          <w:p>
            <w:pPr>
              <w:jc w:val="center"/>
              <w:ind w:right="800"/>
              <w:spacing w:after="0" w:line="126" w:lineRule="exact"/>
              <w:rPr>
                <w:sz w:val="20"/>
                <w:szCs w:val="20"/>
                <w:color w:val="auto"/>
              </w:rPr>
            </w:pPr>
            <w:r>
              <w:rPr>
                <w:rFonts w:ascii="Arial" w:cs="Arial" w:eastAsia="Arial" w:hAnsi="Arial"/>
                <w:sz w:val="12"/>
                <w:szCs w:val="12"/>
                <w:color w:val="auto"/>
                <w:w w:val="97"/>
              </w:rPr>
              <w:t>officer</w:t>
            </w:r>
          </w:p>
        </w:tc>
      </w:tr>
      <w:tr>
        <w:trPr>
          <w:trHeight w:val="151"/>
        </w:trPr>
        <w:tc>
          <w:tcPr>
            <w:tcW w:w="580" w:type="dxa"/>
            <w:vAlign w:val="bottom"/>
            <w:tcBorders>
              <w:top w:val="single" w:sz="8" w:color="auto"/>
            </w:tcBorders>
          </w:tcPr>
          <w:p>
            <w:pPr>
              <w:spacing w:after="0"/>
              <w:rPr>
                <w:sz w:val="13"/>
                <w:szCs w:val="13"/>
                <w:color w:val="auto"/>
              </w:rPr>
            </w:pPr>
          </w:p>
        </w:tc>
        <w:tc>
          <w:tcPr>
            <w:tcW w:w="258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44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00" w:type="dxa"/>
            <w:vAlign w:val="bottom"/>
          </w:tcPr>
          <w:p>
            <w:pPr>
              <w:spacing w:after="0"/>
              <w:rPr>
                <w:sz w:val="13"/>
                <w:szCs w:val="13"/>
                <w:color w:val="auto"/>
              </w:rPr>
            </w:pPr>
          </w:p>
        </w:tc>
      </w:tr>
      <w:tr>
        <w:trPr>
          <w:trHeight w:val="144"/>
        </w:trPr>
        <w:tc>
          <w:tcPr>
            <w:tcW w:w="31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William B. Kessel (57)</w:t>
            </w:r>
          </w:p>
        </w:tc>
        <w:tc>
          <w:tcPr>
            <w:tcW w:w="48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President, Chief Executive Officer and Director</w:t>
            </w:r>
          </w:p>
        </w:tc>
        <w:tc>
          <w:tcPr>
            <w:tcW w:w="2500" w:type="dxa"/>
            <w:vAlign w:val="bottom"/>
            <w:gridSpan w:val="2"/>
            <w:shd w:val="clear" w:color="auto" w:fill="CCEEFF"/>
          </w:tcPr>
          <w:p>
            <w:pPr>
              <w:jc w:val="center"/>
              <w:ind w:left="2120"/>
              <w:spacing w:after="0"/>
              <w:rPr>
                <w:sz w:val="20"/>
                <w:szCs w:val="20"/>
                <w:color w:val="auto"/>
              </w:rPr>
            </w:pPr>
            <w:r>
              <w:rPr>
                <w:rFonts w:ascii="Arial" w:cs="Arial" w:eastAsia="Arial" w:hAnsi="Arial"/>
                <w:sz w:val="12"/>
                <w:szCs w:val="12"/>
                <w:color w:val="auto"/>
                <w:w w:val="89"/>
              </w:rPr>
              <w:t>2004</w:t>
            </w:r>
          </w:p>
        </w:tc>
        <w:tc>
          <w:tcPr>
            <w:tcW w:w="800" w:type="dxa"/>
            <w:vAlign w:val="bottom"/>
            <w:shd w:val="clear" w:color="auto" w:fill="CCEEFF"/>
          </w:tcPr>
          <w:p>
            <w:pPr>
              <w:spacing w:after="0"/>
              <w:rPr>
                <w:sz w:val="12"/>
                <w:szCs w:val="12"/>
                <w:color w:val="auto"/>
              </w:rPr>
            </w:pPr>
          </w:p>
        </w:tc>
      </w:tr>
      <w:tr>
        <w:trPr>
          <w:trHeight w:val="144"/>
        </w:trPr>
        <w:tc>
          <w:tcPr>
            <w:tcW w:w="5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4"/>
        </w:trPr>
        <w:tc>
          <w:tcPr>
            <w:tcW w:w="31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Gavin A. Mohr (38)</w:t>
            </w:r>
          </w:p>
        </w:tc>
        <w:tc>
          <w:tcPr>
            <w:tcW w:w="48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Executive Vice President and Chief Financial Officer(1)</w:t>
            </w:r>
          </w:p>
        </w:tc>
        <w:tc>
          <w:tcPr>
            <w:tcW w:w="2500" w:type="dxa"/>
            <w:vAlign w:val="bottom"/>
            <w:gridSpan w:val="2"/>
            <w:shd w:val="clear" w:color="auto" w:fill="CCEEFF"/>
          </w:tcPr>
          <w:p>
            <w:pPr>
              <w:jc w:val="center"/>
              <w:ind w:left="2120"/>
              <w:spacing w:after="0"/>
              <w:rPr>
                <w:sz w:val="20"/>
                <w:szCs w:val="20"/>
                <w:color w:val="auto"/>
              </w:rPr>
            </w:pPr>
            <w:r>
              <w:rPr>
                <w:rFonts w:ascii="Arial" w:cs="Arial" w:eastAsia="Arial" w:hAnsi="Arial"/>
                <w:sz w:val="12"/>
                <w:szCs w:val="12"/>
                <w:color w:val="auto"/>
                <w:w w:val="89"/>
              </w:rPr>
              <w:t>2020</w:t>
            </w:r>
          </w:p>
        </w:tc>
        <w:tc>
          <w:tcPr>
            <w:tcW w:w="800" w:type="dxa"/>
            <w:vAlign w:val="bottom"/>
            <w:shd w:val="clear" w:color="auto" w:fill="CCEEFF"/>
          </w:tcPr>
          <w:p>
            <w:pPr>
              <w:spacing w:after="0"/>
              <w:rPr>
                <w:sz w:val="12"/>
                <w:szCs w:val="12"/>
                <w:color w:val="auto"/>
              </w:rPr>
            </w:pPr>
          </w:p>
        </w:tc>
      </w:tr>
      <w:tr>
        <w:trPr>
          <w:trHeight w:val="144"/>
        </w:trPr>
        <w:tc>
          <w:tcPr>
            <w:tcW w:w="5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4"/>
        </w:trPr>
        <w:tc>
          <w:tcPr>
            <w:tcW w:w="31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Stefanie M. Kimball (62)</w:t>
            </w:r>
          </w:p>
        </w:tc>
        <w:tc>
          <w:tcPr>
            <w:tcW w:w="48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Executive Vice President and Chief Risk Officer</w:t>
            </w:r>
          </w:p>
        </w:tc>
        <w:tc>
          <w:tcPr>
            <w:tcW w:w="2500" w:type="dxa"/>
            <w:vAlign w:val="bottom"/>
            <w:gridSpan w:val="2"/>
            <w:shd w:val="clear" w:color="auto" w:fill="CCEEFF"/>
          </w:tcPr>
          <w:p>
            <w:pPr>
              <w:jc w:val="center"/>
              <w:ind w:left="2120"/>
              <w:spacing w:after="0"/>
              <w:rPr>
                <w:sz w:val="20"/>
                <w:szCs w:val="20"/>
                <w:color w:val="auto"/>
              </w:rPr>
            </w:pPr>
            <w:r>
              <w:rPr>
                <w:rFonts w:ascii="Arial" w:cs="Arial" w:eastAsia="Arial" w:hAnsi="Arial"/>
                <w:sz w:val="12"/>
                <w:szCs w:val="12"/>
                <w:color w:val="auto"/>
                <w:w w:val="89"/>
              </w:rPr>
              <w:t>2007</w:t>
            </w:r>
          </w:p>
        </w:tc>
        <w:tc>
          <w:tcPr>
            <w:tcW w:w="800" w:type="dxa"/>
            <w:vAlign w:val="bottom"/>
            <w:shd w:val="clear" w:color="auto" w:fill="CCEEFF"/>
          </w:tcPr>
          <w:p>
            <w:pPr>
              <w:spacing w:after="0"/>
              <w:rPr>
                <w:sz w:val="12"/>
                <w:szCs w:val="12"/>
                <w:color w:val="auto"/>
              </w:rPr>
            </w:pPr>
          </w:p>
        </w:tc>
      </w:tr>
      <w:tr>
        <w:trPr>
          <w:trHeight w:val="144"/>
        </w:trPr>
        <w:tc>
          <w:tcPr>
            <w:tcW w:w="5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4"/>
        </w:trPr>
        <w:tc>
          <w:tcPr>
            <w:tcW w:w="31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Joel Rahn (55)</w:t>
            </w:r>
          </w:p>
        </w:tc>
        <w:tc>
          <w:tcPr>
            <w:tcW w:w="48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Executive Vice President and Chief Lending Officer(2)</w:t>
            </w:r>
          </w:p>
        </w:tc>
        <w:tc>
          <w:tcPr>
            <w:tcW w:w="2500" w:type="dxa"/>
            <w:vAlign w:val="bottom"/>
            <w:gridSpan w:val="2"/>
            <w:shd w:val="clear" w:color="auto" w:fill="CCEEFF"/>
          </w:tcPr>
          <w:p>
            <w:pPr>
              <w:jc w:val="center"/>
              <w:ind w:left="2120"/>
              <w:spacing w:after="0"/>
              <w:rPr>
                <w:sz w:val="20"/>
                <w:szCs w:val="20"/>
                <w:color w:val="auto"/>
              </w:rPr>
            </w:pPr>
            <w:r>
              <w:rPr>
                <w:rFonts w:ascii="Arial" w:cs="Arial" w:eastAsia="Arial" w:hAnsi="Arial"/>
                <w:sz w:val="12"/>
                <w:szCs w:val="12"/>
                <w:color w:val="auto"/>
                <w:w w:val="89"/>
              </w:rPr>
              <w:t>2021</w:t>
            </w:r>
          </w:p>
        </w:tc>
        <w:tc>
          <w:tcPr>
            <w:tcW w:w="800" w:type="dxa"/>
            <w:vAlign w:val="bottom"/>
            <w:shd w:val="clear" w:color="auto" w:fill="CCEEFF"/>
          </w:tcPr>
          <w:p>
            <w:pPr>
              <w:spacing w:after="0"/>
              <w:rPr>
                <w:sz w:val="12"/>
                <w:szCs w:val="12"/>
                <w:color w:val="auto"/>
              </w:rPr>
            </w:pPr>
          </w:p>
        </w:tc>
      </w:tr>
      <w:tr>
        <w:trPr>
          <w:trHeight w:val="144"/>
        </w:trPr>
        <w:tc>
          <w:tcPr>
            <w:tcW w:w="5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4"/>
        </w:trPr>
        <w:tc>
          <w:tcPr>
            <w:tcW w:w="31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Larry R. Daniel (58)</w:t>
            </w:r>
          </w:p>
        </w:tc>
        <w:tc>
          <w:tcPr>
            <w:tcW w:w="48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Executive Vice President, Operations and Digital  Banking</w:t>
            </w:r>
          </w:p>
        </w:tc>
        <w:tc>
          <w:tcPr>
            <w:tcW w:w="2500" w:type="dxa"/>
            <w:vAlign w:val="bottom"/>
            <w:gridSpan w:val="2"/>
            <w:shd w:val="clear" w:color="auto" w:fill="CCEEFF"/>
          </w:tcPr>
          <w:p>
            <w:pPr>
              <w:jc w:val="center"/>
              <w:ind w:left="2120"/>
              <w:spacing w:after="0"/>
              <w:rPr>
                <w:sz w:val="20"/>
                <w:szCs w:val="20"/>
                <w:color w:val="auto"/>
              </w:rPr>
            </w:pPr>
            <w:r>
              <w:rPr>
                <w:rFonts w:ascii="Arial" w:cs="Arial" w:eastAsia="Arial" w:hAnsi="Arial"/>
                <w:sz w:val="12"/>
                <w:szCs w:val="12"/>
                <w:color w:val="auto"/>
                <w:w w:val="89"/>
              </w:rPr>
              <w:t>2017</w:t>
            </w:r>
          </w:p>
        </w:tc>
        <w:tc>
          <w:tcPr>
            <w:tcW w:w="800" w:type="dxa"/>
            <w:vAlign w:val="bottom"/>
            <w:shd w:val="clear" w:color="auto" w:fill="CCEEFF"/>
          </w:tcPr>
          <w:p>
            <w:pPr>
              <w:spacing w:after="0"/>
              <w:rPr>
                <w:sz w:val="12"/>
                <w:szCs w:val="12"/>
                <w:color w:val="auto"/>
              </w:rPr>
            </w:pPr>
          </w:p>
        </w:tc>
      </w:tr>
      <w:tr>
        <w:trPr>
          <w:trHeight w:val="144"/>
        </w:trPr>
        <w:tc>
          <w:tcPr>
            <w:tcW w:w="5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4"/>
        </w:trPr>
        <w:tc>
          <w:tcPr>
            <w:tcW w:w="31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Patrick J. Ervin (56)</w:t>
            </w:r>
          </w:p>
        </w:tc>
        <w:tc>
          <w:tcPr>
            <w:tcW w:w="48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Executive Vice President, Mortgage Banking</w:t>
            </w:r>
          </w:p>
        </w:tc>
        <w:tc>
          <w:tcPr>
            <w:tcW w:w="2500" w:type="dxa"/>
            <w:vAlign w:val="bottom"/>
            <w:gridSpan w:val="2"/>
            <w:shd w:val="clear" w:color="auto" w:fill="CCEEFF"/>
          </w:tcPr>
          <w:p>
            <w:pPr>
              <w:jc w:val="center"/>
              <w:ind w:left="2120"/>
              <w:spacing w:after="0"/>
              <w:rPr>
                <w:sz w:val="20"/>
                <w:szCs w:val="20"/>
                <w:color w:val="auto"/>
              </w:rPr>
            </w:pPr>
            <w:r>
              <w:rPr>
                <w:rFonts w:ascii="Arial" w:cs="Arial" w:eastAsia="Arial" w:hAnsi="Arial"/>
                <w:sz w:val="12"/>
                <w:szCs w:val="12"/>
                <w:color w:val="auto"/>
                <w:w w:val="89"/>
              </w:rPr>
              <w:t>2017</w:t>
            </w:r>
          </w:p>
        </w:tc>
        <w:tc>
          <w:tcPr>
            <w:tcW w:w="800" w:type="dxa"/>
            <w:vAlign w:val="bottom"/>
            <w:shd w:val="clear" w:color="auto" w:fill="CCEEFF"/>
          </w:tcPr>
          <w:p>
            <w:pPr>
              <w:spacing w:after="0"/>
              <w:rPr>
                <w:sz w:val="12"/>
                <w:szCs w:val="12"/>
                <w:color w:val="auto"/>
              </w:rPr>
            </w:pPr>
          </w:p>
        </w:tc>
      </w:tr>
      <w:tr>
        <w:trPr>
          <w:trHeight w:val="144"/>
        </w:trPr>
        <w:tc>
          <w:tcPr>
            <w:tcW w:w="5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4"/>
        </w:trPr>
        <w:tc>
          <w:tcPr>
            <w:tcW w:w="31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James J. Twarozynski (56)</w:t>
            </w:r>
          </w:p>
        </w:tc>
        <w:tc>
          <w:tcPr>
            <w:tcW w:w="48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Senior Vice President and Chief Accounting Officer</w:t>
            </w:r>
          </w:p>
        </w:tc>
        <w:tc>
          <w:tcPr>
            <w:tcW w:w="2500" w:type="dxa"/>
            <w:vAlign w:val="bottom"/>
            <w:gridSpan w:val="2"/>
            <w:shd w:val="clear" w:color="auto" w:fill="CCEEFF"/>
          </w:tcPr>
          <w:p>
            <w:pPr>
              <w:jc w:val="center"/>
              <w:ind w:left="2120"/>
              <w:spacing w:after="0"/>
              <w:rPr>
                <w:sz w:val="20"/>
                <w:szCs w:val="20"/>
                <w:color w:val="auto"/>
              </w:rPr>
            </w:pPr>
            <w:r>
              <w:rPr>
                <w:rFonts w:ascii="Arial" w:cs="Arial" w:eastAsia="Arial" w:hAnsi="Arial"/>
                <w:sz w:val="12"/>
                <w:szCs w:val="12"/>
                <w:color w:val="auto"/>
                <w:w w:val="89"/>
              </w:rPr>
              <w:t>2002</w:t>
            </w:r>
          </w:p>
        </w:tc>
        <w:tc>
          <w:tcPr>
            <w:tcW w:w="800" w:type="dxa"/>
            <w:vAlign w:val="bottom"/>
            <w:shd w:val="clear" w:color="auto" w:fill="CCEEFF"/>
          </w:tcPr>
          <w:p>
            <w:pPr>
              <w:spacing w:after="0"/>
              <w:rPr>
                <w:sz w:val="12"/>
                <w:szCs w:val="12"/>
                <w:color w:val="auto"/>
              </w:rPr>
            </w:pPr>
          </w:p>
        </w:tc>
      </w:tr>
    </w:tbl>
    <w:p>
      <w:pPr>
        <w:spacing w:after="0" w:line="153" w:lineRule="exact"/>
        <w:rPr>
          <w:sz w:val="20"/>
          <w:szCs w:val="20"/>
          <w:color w:val="auto"/>
        </w:rPr>
      </w:pPr>
    </w:p>
    <w:p>
      <w:pPr>
        <w:ind w:left="428" w:hanging="428"/>
        <w:spacing w:after="0" w:line="258" w:lineRule="auto"/>
        <w:tabs>
          <w:tab w:leader="none" w:pos="428"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Mr. Mohr joined Independent Bank in September 2020, as </w:t>
      </w:r>
      <w:r>
        <w:rPr>
          <w:rFonts w:ascii="Arial" w:cs="Arial" w:eastAsia="Arial" w:hAnsi="Arial"/>
          <w:sz w:val="12"/>
          <w:szCs w:val="12"/>
          <w:color w:val="333333"/>
        </w:rPr>
        <w:t>Executive Vice President and</w:t>
      </w:r>
      <w:r>
        <w:rPr>
          <w:rFonts w:ascii="Arial" w:cs="Arial" w:eastAsia="Arial" w:hAnsi="Arial"/>
          <w:sz w:val="12"/>
          <w:szCs w:val="12"/>
          <w:color w:val="auto"/>
        </w:rPr>
        <w:t xml:space="preserve"> Chief Financial Officer. Prior to joining Independent Bank, </w:t>
      </w:r>
      <w:r>
        <w:rPr>
          <w:rFonts w:ascii="Arial" w:cs="Arial" w:eastAsia="Arial" w:hAnsi="Arial"/>
          <w:sz w:val="12"/>
          <w:szCs w:val="12"/>
          <w:color w:val="333333"/>
        </w:rPr>
        <w:t>Mr. Mohr served as the Chief Financial Officer of STAR Financial Bank,</w:t>
      </w:r>
      <w:r>
        <w:rPr>
          <w:rFonts w:ascii="Arial" w:cs="Arial" w:eastAsia="Arial" w:hAnsi="Arial"/>
          <w:sz w:val="12"/>
          <w:szCs w:val="12"/>
          <w:color w:val="auto"/>
        </w:rPr>
        <w:t xml:space="preserve"> </w:t>
      </w:r>
      <w:r>
        <w:rPr>
          <w:rFonts w:ascii="Arial" w:cs="Arial" w:eastAsia="Arial" w:hAnsi="Arial"/>
          <w:sz w:val="12"/>
          <w:szCs w:val="12"/>
          <w:color w:val="333333"/>
        </w:rPr>
        <w:t>(“STAR”), a $2.1 billion bank, located in Fort Wayne, Indiana. Prior to joining STAR, Mr. Mohr served as Treasurer of Yadkin Bank and Trust (Statesville, North Carolina) from 2013 to 2014.</w:t>
      </w:r>
    </w:p>
    <w:p>
      <w:pPr>
        <w:ind w:left="428" w:hanging="428"/>
        <w:spacing w:after="0" w:line="260" w:lineRule="auto"/>
        <w:tabs>
          <w:tab w:leader="none" w:pos="428" w:val="left"/>
        </w:tabs>
        <w:numPr>
          <w:ilvl w:val="0"/>
          <w:numId w:val="5"/>
        </w:numPr>
        <w:rPr>
          <w:rFonts w:ascii="Arial" w:cs="Arial" w:eastAsia="Arial" w:hAnsi="Arial"/>
          <w:sz w:val="12"/>
          <w:szCs w:val="12"/>
          <w:color w:val="auto"/>
        </w:rPr>
      </w:pPr>
      <w:r>
        <w:rPr>
          <w:rFonts w:ascii="Arial" w:cs="Arial" w:eastAsia="Arial" w:hAnsi="Arial"/>
          <w:sz w:val="12"/>
          <w:szCs w:val="12"/>
          <w:color w:val="auto"/>
        </w:rPr>
        <w:t>Mr. Rahn joined Independent Bank in April of 2018 as Senior Vice President Commercial Lending. He was promoted to Executive Vice President and Chief Lending Officer in January, 2021. He has 33 years of commercial banking experience and has served in senior leadership positions for the past 16 years.</w:t>
      </w:r>
    </w:p>
    <w:p>
      <w:pPr>
        <w:spacing w:after="0" w:line="256" w:lineRule="exact"/>
        <w:rPr>
          <w:sz w:val="20"/>
          <w:szCs w:val="20"/>
          <w:color w:val="auto"/>
        </w:rPr>
      </w:pPr>
    </w:p>
    <w:p>
      <w:pPr>
        <w:jc w:val="center"/>
        <w:ind w:right="-7"/>
        <w:spacing w:after="0"/>
        <w:rPr>
          <w:sz w:val="20"/>
          <w:szCs w:val="20"/>
          <w:color w:val="auto"/>
        </w:rPr>
      </w:pPr>
      <w:r>
        <w:rPr>
          <w:rFonts w:ascii="Arial" w:cs="Arial" w:eastAsia="Arial" w:hAnsi="Arial"/>
          <w:sz w:val="10"/>
          <w:szCs w:val="1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78040" cy="11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20" w:name="page21"/>
    <w:bookmarkEnd w:id="20"/>
    <w:p>
      <w:pPr>
        <w:jc w:val="center"/>
        <w:spacing w:after="0"/>
        <w:rPr>
          <w:sz w:val="20"/>
          <w:szCs w:val="20"/>
          <w:color w:val="auto"/>
        </w:rPr>
      </w:pPr>
      <w:r>
        <w:rPr>
          <w:rFonts w:ascii="Arial" w:cs="Arial" w:eastAsia="Arial" w:hAnsi="Arial"/>
          <w:sz w:val="14"/>
          <w:szCs w:val="14"/>
          <w:u w:val="single" w:color="auto"/>
          <w:color w:val="auto"/>
        </w:rPr>
        <w:t>PART II.</w:t>
      </w:r>
    </w:p>
    <w:p>
      <w:pPr>
        <w:spacing w:after="0" w:line="168" w:lineRule="exact"/>
        <w:rPr>
          <w:sz w:val="20"/>
          <w:szCs w:val="20"/>
          <w:color w:val="auto"/>
        </w:rPr>
      </w:pPr>
    </w:p>
    <w:p>
      <w:pPr>
        <w:spacing w:after="0"/>
        <w:tabs>
          <w:tab w:leader="none" w:pos="620" w:val="left"/>
        </w:tabs>
        <w:rPr>
          <w:sz w:val="20"/>
          <w:szCs w:val="20"/>
          <w:color w:val="auto"/>
        </w:rPr>
      </w:pPr>
      <w:r>
        <w:rPr>
          <w:rFonts w:ascii="Arial" w:cs="Arial" w:eastAsia="Arial" w:hAnsi="Arial"/>
          <w:sz w:val="12"/>
          <w:szCs w:val="12"/>
          <w:u w:val="single" w:color="auto"/>
          <w:color w:val="auto"/>
        </w:rPr>
        <w:t>ITEM 5.</w:t>
      </w:r>
      <w:r>
        <w:rPr>
          <w:sz w:val="20"/>
          <w:szCs w:val="20"/>
          <w:color w:val="auto"/>
        </w:rPr>
        <w:tab/>
      </w:r>
      <w:r>
        <w:rPr>
          <w:rFonts w:ascii="Arial" w:cs="Arial" w:eastAsia="Arial" w:hAnsi="Arial"/>
          <w:sz w:val="11"/>
          <w:szCs w:val="11"/>
          <w:u w:val="single" w:color="auto"/>
          <w:color w:val="auto"/>
        </w:rPr>
        <w:t>MARKET FOR OUR COMMON EQUITY, RELATED STOCKHOLDER MATTERS AND ISSUER PURCHASES OF EQUITY SECURITIES</w:t>
      </w:r>
    </w:p>
    <w:p>
      <w:pPr>
        <w:spacing w:after="0" w:line="163" w:lineRule="exact"/>
        <w:rPr>
          <w:sz w:val="20"/>
          <w:szCs w:val="20"/>
          <w:color w:val="auto"/>
        </w:rPr>
      </w:pPr>
    </w:p>
    <w:p>
      <w:pPr>
        <w:jc w:val="both"/>
        <w:ind w:right="20"/>
        <w:spacing w:after="0" w:line="273" w:lineRule="auto"/>
        <w:rPr>
          <w:sz w:val="20"/>
          <w:szCs w:val="20"/>
          <w:color w:val="auto"/>
        </w:rPr>
      </w:pPr>
      <w:r>
        <w:rPr>
          <w:rFonts w:ascii="Arial" w:cs="Arial" w:eastAsia="Arial" w:hAnsi="Arial"/>
          <w:sz w:val="14"/>
          <w:szCs w:val="14"/>
          <w:color w:val="auto"/>
        </w:rPr>
        <w:t>The information set forth under the caption "Quarterly Summary" in our annual report, to be delivered to shareholders in connection with the April 19, 2022 Annual Meeting of Shareholders (filed as exhibit 13 to this report on Form 10-K), is incorporated herein by reference.</w:t>
      </w:r>
    </w:p>
    <w:p>
      <w:pPr>
        <w:spacing w:after="0" w:line="120" w:lineRule="exact"/>
        <w:rPr>
          <w:sz w:val="20"/>
          <w:szCs w:val="20"/>
          <w:color w:val="auto"/>
        </w:rPr>
      </w:pPr>
    </w:p>
    <w:p>
      <w:pPr>
        <w:jc w:val="both"/>
        <w:spacing w:after="0" w:line="267" w:lineRule="auto"/>
        <w:rPr>
          <w:sz w:val="20"/>
          <w:szCs w:val="20"/>
          <w:color w:val="auto"/>
        </w:rPr>
      </w:pPr>
      <w:r>
        <w:rPr>
          <w:rFonts w:ascii="Arial" w:cs="Arial" w:eastAsia="Arial" w:hAnsi="Arial"/>
          <w:sz w:val="13"/>
          <w:szCs w:val="13"/>
          <w:color w:val="auto"/>
        </w:rPr>
        <w:t>We maintain a Deferred Compensation and Stock Purchase Plan for Non-Employee Directors (the "Plan") pursuant to which non-employee directors can elect to receive shares of our common stock in lieu of fees otherwise payable to the director for his or her service as a director. A director can elect to receive shares on a current basis or to defer receipt of the shares, in which case the shares are issued to a trust to be held for the account of the director and then generally distributed to the director after his or her retirement from the Board. Pursuant to this Plan, during the fourth quarter of 2021, we issued 384 shares of common stock to non-employee directors on a current basis and 4,034 shares of common stock to the trust for distribution to directors on a deferred basis. These shares were issued on October 1, 2021 representing aggregate fees of $0.09 million. The shares issued on a current basis were issued at a price of $21.48 per share and the shares to be issued on a deferred basis were issued at a price of $19.33 per share, representing 90% of the fair value of the shares on the credit date. The per-share value used was the consolidated closing bid price per share of our common stock as of the date of issuance, as determined in accordance with NASDAQ Marketplace Rules. We issued the shares pursuant to an exemption from registration under Section 4(2) of the Securities Act of 1933 due to the fact that the issuance of the shares was made on a private basis pursuant to the Plan.</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ISSUER PURCHASES OF EQUITY SECURITIES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shows certain information relating to purchases of common stock for the three-months ended December 31, 2021: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0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60" w:type="dxa"/>
            <w:vAlign w:val="bottom"/>
          </w:tcPr>
          <w:p>
            <w:pPr>
              <w:jc w:val="center"/>
              <w:ind w:right="60"/>
              <w:spacing w:after="0"/>
              <w:rPr>
                <w:sz w:val="20"/>
                <w:szCs w:val="20"/>
                <w:color w:val="auto"/>
              </w:rPr>
            </w:pPr>
            <w:r>
              <w:rPr>
                <w:rFonts w:ascii="Arial" w:cs="Arial" w:eastAsia="Arial" w:hAnsi="Arial"/>
                <w:sz w:val="12"/>
                <w:szCs w:val="12"/>
                <w:color w:val="auto"/>
                <w:w w:val="92"/>
              </w:rPr>
              <w:t>Total Number of</w:t>
            </w:r>
          </w:p>
        </w:tc>
        <w:tc>
          <w:tcPr>
            <w:tcW w:w="1280" w:type="dxa"/>
            <w:vAlign w:val="bottom"/>
            <w:gridSpan w:val="2"/>
          </w:tcPr>
          <w:p>
            <w:pPr>
              <w:jc w:val="center"/>
              <w:ind w:right="80"/>
              <w:spacing w:after="0"/>
              <w:rPr>
                <w:sz w:val="20"/>
                <w:szCs w:val="20"/>
                <w:color w:val="auto"/>
              </w:rPr>
            </w:pPr>
            <w:r>
              <w:rPr>
                <w:rFonts w:ascii="Arial" w:cs="Arial" w:eastAsia="Arial" w:hAnsi="Arial"/>
                <w:sz w:val="12"/>
                <w:szCs w:val="12"/>
                <w:color w:val="auto"/>
                <w:w w:val="90"/>
              </w:rPr>
              <w:t>Remaining</w:t>
            </w:r>
          </w:p>
        </w:tc>
      </w:tr>
      <w:tr>
        <w:trPr>
          <w:trHeight w:val="144"/>
        </w:trPr>
        <w:tc>
          <w:tcPr>
            <w:tcW w:w="60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60" w:type="dxa"/>
            <w:vAlign w:val="bottom"/>
          </w:tcPr>
          <w:p>
            <w:pPr>
              <w:jc w:val="center"/>
              <w:ind w:right="60"/>
              <w:spacing w:after="0"/>
              <w:rPr>
                <w:sz w:val="20"/>
                <w:szCs w:val="20"/>
                <w:color w:val="auto"/>
              </w:rPr>
            </w:pPr>
            <w:r>
              <w:rPr>
                <w:rFonts w:ascii="Arial" w:cs="Arial" w:eastAsia="Arial" w:hAnsi="Arial"/>
                <w:sz w:val="12"/>
                <w:szCs w:val="12"/>
                <w:color w:val="auto"/>
                <w:w w:val="85"/>
              </w:rPr>
              <w:t>Shares Purchased</w:t>
            </w:r>
          </w:p>
        </w:tc>
        <w:tc>
          <w:tcPr>
            <w:tcW w:w="1280" w:type="dxa"/>
            <w:vAlign w:val="bottom"/>
            <w:gridSpan w:val="2"/>
          </w:tcPr>
          <w:p>
            <w:pPr>
              <w:jc w:val="center"/>
              <w:ind w:right="80"/>
              <w:spacing w:after="0"/>
              <w:rPr>
                <w:sz w:val="20"/>
                <w:szCs w:val="20"/>
                <w:color w:val="auto"/>
              </w:rPr>
            </w:pPr>
            <w:r>
              <w:rPr>
                <w:rFonts w:ascii="Arial" w:cs="Arial" w:eastAsia="Arial" w:hAnsi="Arial"/>
                <w:sz w:val="12"/>
                <w:szCs w:val="12"/>
                <w:color w:val="auto"/>
                <w:w w:val="92"/>
              </w:rPr>
              <w:t>Number of</w:t>
            </w:r>
          </w:p>
        </w:tc>
      </w:tr>
      <w:tr>
        <w:trPr>
          <w:trHeight w:val="144"/>
        </w:trPr>
        <w:tc>
          <w:tcPr>
            <w:tcW w:w="60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60" w:type="dxa"/>
            <w:vAlign w:val="bottom"/>
          </w:tcPr>
          <w:p>
            <w:pPr>
              <w:jc w:val="center"/>
              <w:ind w:right="40"/>
              <w:spacing w:after="0"/>
              <w:rPr>
                <w:sz w:val="20"/>
                <w:szCs w:val="20"/>
                <w:color w:val="auto"/>
              </w:rPr>
            </w:pPr>
            <w:r>
              <w:rPr>
                <w:rFonts w:ascii="Arial" w:cs="Arial" w:eastAsia="Arial" w:hAnsi="Arial"/>
                <w:sz w:val="12"/>
                <w:szCs w:val="12"/>
                <w:color w:val="auto"/>
                <w:w w:val="87"/>
              </w:rPr>
              <w:t>as Part of a</w:t>
            </w:r>
          </w:p>
        </w:tc>
        <w:tc>
          <w:tcPr>
            <w:tcW w:w="1280" w:type="dxa"/>
            <w:vAlign w:val="bottom"/>
            <w:gridSpan w:val="2"/>
          </w:tcPr>
          <w:p>
            <w:pPr>
              <w:jc w:val="center"/>
              <w:ind w:right="60"/>
              <w:spacing w:after="0"/>
              <w:rPr>
                <w:sz w:val="20"/>
                <w:szCs w:val="20"/>
                <w:color w:val="auto"/>
              </w:rPr>
            </w:pPr>
            <w:r>
              <w:rPr>
                <w:rFonts w:ascii="Arial" w:cs="Arial" w:eastAsia="Arial" w:hAnsi="Arial"/>
                <w:sz w:val="12"/>
                <w:szCs w:val="12"/>
                <w:color w:val="auto"/>
                <w:w w:val="91"/>
              </w:rPr>
              <w:t>Shares Authorized</w:t>
            </w:r>
          </w:p>
        </w:tc>
      </w:tr>
      <w:tr>
        <w:trPr>
          <w:trHeight w:val="144"/>
        </w:trPr>
        <w:tc>
          <w:tcPr>
            <w:tcW w:w="6000" w:type="dxa"/>
            <w:vAlign w:val="bottom"/>
          </w:tcPr>
          <w:p>
            <w:pPr>
              <w:spacing w:after="0"/>
              <w:rPr>
                <w:sz w:val="12"/>
                <w:szCs w:val="12"/>
                <w:color w:val="auto"/>
              </w:rPr>
            </w:pPr>
          </w:p>
        </w:tc>
        <w:tc>
          <w:tcPr>
            <w:tcW w:w="1260" w:type="dxa"/>
            <w:vAlign w:val="bottom"/>
          </w:tcPr>
          <w:p>
            <w:pPr>
              <w:jc w:val="right"/>
              <w:ind w:right="240"/>
              <w:spacing w:after="0"/>
              <w:rPr>
                <w:sz w:val="20"/>
                <w:szCs w:val="20"/>
                <w:color w:val="auto"/>
              </w:rPr>
            </w:pPr>
            <w:r>
              <w:rPr>
                <w:rFonts w:ascii="Arial" w:cs="Arial" w:eastAsia="Arial" w:hAnsi="Arial"/>
                <w:sz w:val="12"/>
                <w:szCs w:val="12"/>
                <w:color w:val="auto"/>
              </w:rPr>
              <w:t>Total Number of</w:t>
            </w:r>
          </w:p>
        </w:tc>
        <w:tc>
          <w:tcPr>
            <w:tcW w:w="240" w:type="dxa"/>
            <w:vAlign w:val="bottom"/>
          </w:tcPr>
          <w:p>
            <w:pPr>
              <w:spacing w:after="0"/>
              <w:rPr>
                <w:sz w:val="12"/>
                <w:szCs w:val="12"/>
                <w:color w:val="auto"/>
              </w:rPr>
            </w:pPr>
          </w:p>
        </w:tc>
        <w:tc>
          <w:tcPr>
            <w:tcW w:w="1160" w:type="dxa"/>
            <w:vAlign w:val="bottom"/>
          </w:tcPr>
          <w:p>
            <w:pPr>
              <w:jc w:val="right"/>
              <w:ind w:right="320"/>
              <w:spacing w:after="0"/>
              <w:rPr>
                <w:sz w:val="20"/>
                <w:szCs w:val="20"/>
                <w:color w:val="auto"/>
              </w:rPr>
            </w:pPr>
            <w:r>
              <w:rPr>
                <w:rFonts w:ascii="Arial" w:cs="Arial" w:eastAsia="Arial" w:hAnsi="Arial"/>
                <w:sz w:val="12"/>
                <w:szCs w:val="12"/>
                <w:color w:val="auto"/>
              </w:rPr>
              <w:t>Average Price</w:t>
            </w:r>
          </w:p>
        </w:tc>
        <w:tc>
          <w:tcPr>
            <w:tcW w:w="1360" w:type="dxa"/>
            <w:vAlign w:val="bottom"/>
          </w:tcPr>
          <w:p>
            <w:pPr>
              <w:jc w:val="center"/>
              <w:ind w:right="60"/>
              <w:spacing w:after="0"/>
              <w:rPr>
                <w:sz w:val="20"/>
                <w:szCs w:val="20"/>
                <w:color w:val="auto"/>
              </w:rPr>
            </w:pPr>
            <w:r>
              <w:rPr>
                <w:rFonts w:ascii="Arial" w:cs="Arial" w:eastAsia="Arial" w:hAnsi="Arial"/>
                <w:sz w:val="12"/>
                <w:szCs w:val="12"/>
                <w:color w:val="auto"/>
                <w:w w:val="96"/>
              </w:rPr>
              <w:t>Publicly</w:t>
            </w:r>
          </w:p>
        </w:tc>
        <w:tc>
          <w:tcPr>
            <w:tcW w:w="1280" w:type="dxa"/>
            <w:vAlign w:val="bottom"/>
            <w:gridSpan w:val="2"/>
          </w:tcPr>
          <w:p>
            <w:pPr>
              <w:jc w:val="center"/>
              <w:ind w:right="80"/>
              <w:spacing w:after="0"/>
              <w:rPr>
                <w:sz w:val="20"/>
                <w:szCs w:val="20"/>
                <w:color w:val="auto"/>
              </w:rPr>
            </w:pPr>
            <w:r>
              <w:rPr>
                <w:rFonts w:ascii="Arial" w:cs="Arial" w:eastAsia="Arial" w:hAnsi="Arial"/>
                <w:sz w:val="12"/>
                <w:szCs w:val="12"/>
                <w:color w:val="auto"/>
                <w:w w:val="88"/>
              </w:rPr>
              <w:t>for Purchase</w:t>
            </w:r>
          </w:p>
        </w:tc>
      </w:tr>
      <w:tr>
        <w:trPr>
          <w:trHeight w:val="153"/>
        </w:trPr>
        <w:tc>
          <w:tcPr>
            <w:tcW w:w="60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Period</w:t>
            </w:r>
          </w:p>
        </w:tc>
        <w:tc>
          <w:tcPr>
            <w:tcW w:w="12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w w:val="97"/>
              </w:rPr>
              <w:t>Shares Purchased</w:t>
            </w:r>
          </w:p>
        </w:tc>
        <w:tc>
          <w:tcPr>
            <w:tcW w:w="2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color w:val="auto"/>
                <w:w w:val="95"/>
              </w:rPr>
              <w:t>Paid Per Share</w:t>
            </w:r>
          </w:p>
        </w:tc>
        <w:tc>
          <w:tcPr>
            <w:tcW w:w="1360" w:type="dxa"/>
            <w:vAlign w:val="bottom"/>
            <w:tcBorders>
              <w:bottom w:val="single" w:sz="8" w:color="auto"/>
            </w:tcBorders>
          </w:tcPr>
          <w:p>
            <w:pPr>
              <w:jc w:val="center"/>
              <w:ind w:right="40"/>
              <w:spacing w:after="0"/>
              <w:rPr>
                <w:sz w:val="20"/>
                <w:szCs w:val="20"/>
                <w:color w:val="auto"/>
              </w:rPr>
            </w:pPr>
            <w:r>
              <w:rPr>
                <w:rFonts w:ascii="Arial" w:cs="Arial" w:eastAsia="Arial" w:hAnsi="Arial"/>
                <w:sz w:val="12"/>
                <w:szCs w:val="12"/>
                <w:color w:val="auto"/>
                <w:w w:val="91"/>
              </w:rPr>
              <w:t>Announced Plan(1)</w:t>
            </w:r>
          </w:p>
        </w:tc>
        <w:tc>
          <w:tcPr>
            <w:tcW w:w="12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2"/>
                <w:szCs w:val="12"/>
                <w:color w:val="auto"/>
                <w:w w:val="89"/>
              </w:rPr>
              <w:t>Under the Plan</w:t>
            </w:r>
          </w:p>
        </w:tc>
      </w:tr>
      <w:tr>
        <w:trPr>
          <w:trHeight w:val="142"/>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October 2021</w:t>
            </w:r>
          </w:p>
        </w:tc>
        <w:tc>
          <w:tcPr>
            <w:tcW w:w="12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44,977</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21.75</w:t>
            </w:r>
          </w:p>
        </w:tc>
        <w:tc>
          <w:tcPr>
            <w:tcW w:w="13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44,977</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395,673</w:t>
            </w:r>
          </w:p>
        </w:tc>
        <w:tc>
          <w:tcPr>
            <w:tcW w:w="120" w:type="dxa"/>
            <w:vAlign w:val="bottom"/>
            <w:shd w:val="clear" w:color="auto" w:fill="CCEEFF"/>
          </w:tcPr>
          <w:p>
            <w:pPr>
              <w:spacing w:after="0"/>
              <w:rPr>
                <w:sz w:val="12"/>
                <w:szCs w:val="12"/>
                <w:color w:val="auto"/>
              </w:rPr>
            </w:pPr>
          </w:p>
        </w:tc>
      </w:tr>
      <w:tr>
        <w:trPr>
          <w:trHeight w:val="144"/>
        </w:trPr>
        <w:tc>
          <w:tcPr>
            <w:tcW w:w="6000" w:type="dxa"/>
            <w:vAlign w:val="bottom"/>
          </w:tcPr>
          <w:p>
            <w:pPr>
              <w:spacing w:after="0"/>
              <w:rPr>
                <w:sz w:val="20"/>
                <w:szCs w:val="20"/>
                <w:color w:val="auto"/>
              </w:rPr>
            </w:pPr>
            <w:r>
              <w:rPr>
                <w:rFonts w:ascii="Arial" w:cs="Arial" w:eastAsia="Arial" w:hAnsi="Arial"/>
                <w:sz w:val="12"/>
                <w:szCs w:val="12"/>
                <w:color w:val="auto"/>
              </w:rPr>
              <w:t>November 2021</w:t>
            </w:r>
          </w:p>
        </w:tc>
        <w:tc>
          <w:tcPr>
            <w:tcW w:w="126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16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136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1160" w:type="dxa"/>
            <w:vAlign w:val="bottom"/>
          </w:tcPr>
          <w:p>
            <w:pPr>
              <w:jc w:val="right"/>
              <w:spacing w:after="0"/>
              <w:rPr>
                <w:sz w:val="20"/>
                <w:szCs w:val="20"/>
                <w:color w:val="auto"/>
              </w:rPr>
            </w:pPr>
            <w:r>
              <w:rPr>
                <w:rFonts w:ascii="Arial" w:cs="Arial" w:eastAsia="Arial" w:hAnsi="Arial"/>
                <w:sz w:val="12"/>
                <w:szCs w:val="12"/>
                <w:color w:val="auto"/>
              </w:rPr>
              <w:t>395,673</w:t>
            </w:r>
          </w:p>
        </w:tc>
        <w:tc>
          <w:tcPr>
            <w:tcW w:w="120" w:type="dxa"/>
            <w:vAlign w:val="bottom"/>
          </w:tcPr>
          <w:p>
            <w:pPr>
              <w:spacing w:after="0"/>
              <w:rPr>
                <w:sz w:val="12"/>
                <w:szCs w:val="12"/>
                <w:color w:val="auto"/>
              </w:rPr>
            </w:pPr>
          </w:p>
        </w:tc>
      </w:tr>
      <w:tr>
        <w:trPr>
          <w:trHeight w:val="144"/>
        </w:trPr>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December 2021</w:t>
            </w:r>
          </w:p>
        </w:tc>
        <w:tc>
          <w:tcPr>
            <w:tcW w:w="12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110,583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22.77</w:t>
            </w:r>
          </w:p>
        </w:tc>
        <w:tc>
          <w:tcPr>
            <w:tcW w:w="13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110,583</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142"/>
        </w:trPr>
        <w:tc>
          <w:tcPr>
            <w:tcW w:w="6000" w:type="dxa"/>
            <w:vAlign w:val="bottom"/>
          </w:tcPr>
          <w:p>
            <w:pPr>
              <w:spacing w:after="0"/>
              <w:rPr>
                <w:sz w:val="20"/>
                <w:szCs w:val="20"/>
                <w:color w:val="auto"/>
              </w:rPr>
            </w:pPr>
            <w:r>
              <w:rPr>
                <w:rFonts w:ascii="Arial" w:cs="Arial" w:eastAsia="Arial" w:hAnsi="Arial"/>
                <w:sz w:val="12"/>
                <w:szCs w:val="12"/>
                <w:color w:val="auto"/>
              </w:rPr>
              <w:t>Total</w:t>
            </w:r>
          </w:p>
        </w:tc>
        <w:tc>
          <w:tcPr>
            <w:tcW w:w="12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155,560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1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22.48</w:t>
            </w:r>
          </w:p>
        </w:tc>
        <w:tc>
          <w:tcPr>
            <w:tcW w:w="13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155,560</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r>
      <w:tr>
        <w:trPr>
          <w:trHeight w:val="20"/>
        </w:trPr>
        <w:tc>
          <w:tcPr>
            <w:tcW w:w="60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1"/>
          <w:szCs w:val="11"/>
          <w:color w:val="auto"/>
        </w:rPr>
        <w:t>(1) These shares were repurchased pursuant to a share repurchase plan announced on December 15, 2020, which authorized the repurchase of up to 1,100,000 shares of our outstanding common stock during 2021.</w:t>
      </w:r>
    </w:p>
    <w:p>
      <w:pPr>
        <w:spacing w:after="0" w:line="174"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The share repurchase plan we had in place for 2021 expired on December 31, 2021. On December 17, 2021, we announced the adoption by our Board of Directors of a 2022 share repurchase plan that authorizes the repurchase during 2022 of up to 1,100,000 shares of our outstanding common stock.</w:t>
      </w:r>
    </w:p>
    <w:p>
      <w:pPr>
        <w:spacing w:after="0" w:line="125" w:lineRule="exact"/>
        <w:rPr>
          <w:sz w:val="20"/>
          <w:szCs w:val="20"/>
          <w:color w:val="auto"/>
        </w:rPr>
      </w:pPr>
    </w:p>
    <w:p>
      <w:pPr>
        <w:spacing w:after="0"/>
        <w:tabs>
          <w:tab w:leader="none" w:pos="620" w:val="left"/>
        </w:tabs>
        <w:rPr>
          <w:sz w:val="20"/>
          <w:szCs w:val="20"/>
          <w:color w:val="auto"/>
        </w:rPr>
      </w:pPr>
      <w:r>
        <w:rPr>
          <w:rFonts w:ascii="Arial" w:cs="Arial" w:eastAsia="Arial" w:hAnsi="Arial"/>
          <w:sz w:val="12"/>
          <w:szCs w:val="12"/>
          <w:u w:val="single" w:color="auto"/>
          <w:color w:val="auto"/>
        </w:rPr>
        <w:t>ITEM 6.</w:t>
      </w:r>
      <w:r>
        <w:rPr>
          <w:sz w:val="20"/>
          <w:szCs w:val="20"/>
          <w:color w:val="auto"/>
        </w:rPr>
        <w:tab/>
      </w:r>
      <w:r>
        <w:rPr>
          <w:rFonts w:ascii="Arial" w:cs="Arial" w:eastAsia="Arial" w:hAnsi="Arial"/>
          <w:sz w:val="11"/>
          <w:szCs w:val="11"/>
          <w:u w:val="single" w:color="auto"/>
          <w:color w:val="auto"/>
        </w:rPr>
        <w:t>SELECTED FINANCIAL DATA</w:t>
      </w:r>
    </w:p>
    <w:p>
      <w:pPr>
        <w:spacing w:after="0" w:line="163"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The information set forth under the caption "Selected Consolidated Financial Data" in our annual report, to be delivered to shareholders in connection with the April 19, 2022 Annual Meeting of Shareholders (filed as exhibit 13 to this report on Form 10-K), is incorporated herein by reference.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21" w:name="page22"/>
    <w:bookmarkEnd w:id="21"/>
    <w:p>
      <w:pPr>
        <w:spacing w:after="0"/>
        <w:tabs>
          <w:tab w:leader="none" w:pos="620" w:val="left"/>
        </w:tabs>
        <w:rPr>
          <w:sz w:val="20"/>
          <w:szCs w:val="20"/>
          <w:color w:val="auto"/>
        </w:rPr>
      </w:pPr>
      <w:r>
        <w:rPr>
          <w:rFonts w:ascii="Arial" w:cs="Arial" w:eastAsia="Arial" w:hAnsi="Arial"/>
          <w:sz w:val="12"/>
          <w:szCs w:val="12"/>
          <w:u w:val="single" w:color="auto"/>
          <w:color w:val="auto"/>
        </w:rPr>
        <w:t>ITEM 7.</w:t>
      </w:r>
      <w:r>
        <w:rPr>
          <w:sz w:val="20"/>
          <w:szCs w:val="20"/>
          <w:color w:val="auto"/>
        </w:rPr>
        <w:tab/>
      </w:r>
      <w:r>
        <w:rPr>
          <w:rFonts w:ascii="Arial" w:cs="Arial" w:eastAsia="Arial" w:hAnsi="Arial"/>
          <w:sz w:val="11"/>
          <w:szCs w:val="11"/>
          <w:u w:val="single" w:color="auto"/>
          <w:color w:val="auto"/>
        </w:rPr>
        <w:t>MANAGEMENT'S DISCUSSION AND ANALYSIS OF FINANCIAL CONDITION AND RESULTS OF OPERATIONS</w:t>
      </w:r>
    </w:p>
    <w:p>
      <w:pPr>
        <w:spacing w:after="0" w:line="163"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The information set forth under the caption "Management's Discussion and Analysis of Financial Condition and Results of Operations" in our annual report, to be delivered to shareholders in connection with the April 19, 2022 Annual Meeting of Shareholders (filed as exhibit 13 to this report on Form 10-K), is incorporated herein by reference.</w:t>
      </w:r>
    </w:p>
    <w:p>
      <w:pPr>
        <w:spacing w:after="0" w:line="125" w:lineRule="exact"/>
        <w:rPr>
          <w:sz w:val="20"/>
          <w:szCs w:val="20"/>
          <w:color w:val="auto"/>
        </w:rPr>
      </w:pPr>
    </w:p>
    <w:p>
      <w:pPr>
        <w:spacing w:after="0"/>
        <w:tabs>
          <w:tab w:leader="none" w:pos="620" w:val="left"/>
        </w:tabs>
        <w:rPr>
          <w:sz w:val="20"/>
          <w:szCs w:val="20"/>
          <w:color w:val="auto"/>
        </w:rPr>
      </w:pPr>
      <w:r>
        <w:rPr>
          <w:rFonts w:ascii="Arial" w:cs="Arial" w:eastAsia="Arial" w:hAnsi="Arial"/>
          <w:sz w:val="12"/>
          <w:szCs w:val="12"/>
          <w:u w:val="single" w:color="auto"/>
          <w:color w:val="auto"/>
        </w:rPr>
        <w:t>ITEM 7A.</w:t>
      </w:r>
      <w:r>
        <w:rPr>
          <w:sz w:val="20"/>
          <w:szCs w:val="20"/>
          <w:color w:val="auto"/>
        </w:rPr>
        <w:tab/>
      </w:r>
      <w:r>
        <w:rPr>
          <w:rFonts w:ascii="Arial" w:cs="Arial" w:eastAsia="Arial" w:hAnsi="Arial"/>
          <w:sz w:val="11"/>
          <w:szCs w:val="11"/>
          <w:u w:val="single" w:color="auto"/>
          <w:color w:val="auto"/>
        </w:rPr>
        <w:t>QUANTITATIVE AND QUALITATIVE DISCLOSURES ABOUT MARKET RISK</w:t>
      </w:r>
    </w:p>
    <w:p>
      <w:pPr>
        <w:spacing w:after="0" w:line="163" w:lineRule="exact"/>
        <w:rPr>
          <w:sz w:val="20"/>
          <w:szCs w:val="20"/>
          <w:color w:val="auto"/>
        </w:rPr>
      </w:pPr>
    </w:p>
    <w:p>
      <w:pPr>
        <w:ind w:right="20"/>
        <w:spacing w:after="0" w:line="312" w:lineRule="auto"/>
        <w:rPr>
          <w:sz w:val="20"/>
          <w:szCs w:val="20"/>
          <w:color w:val="auto"/>
        </w:rPr>
      </w:pPr>
      <w:r>
        <w:rPr>
          <w:rFonts w:ascii="Arial" w:cs="Arial" w:eastAsia="Arial" w:hAnsi="Arial"/>
          <w:sz w:val="13"/>
          <w:szCs w:val="13"/>
          <w:color w:val="auto"/>
        </w:rPr>
        <w:t>The information set forth in "Management's Discussion and Analysis of Financial Condition and Results of Operations" under the caption "Asset/liability management" in our annual report, to be delivered to shareholders in connection with the April 19, 2022 Annual Meeting of Shareholders (filed as exhibit 13 to this report on Form 10-K), is incorporated herein by reference.</w:t>
      </w:r>
    </w:p>
    <w:p>
      <w:pPr>
        <w:spacing w:after="0" w:line="103" w:lineRule="exact"/>
        <w:rPr>
          <w:sz w:val="20"/>
          <w:szCs w:val="20"/>
          <w:color w:val="auto"/>
        </w:rPr>
      </w:pPr>
    </w:p>
    <w:p>
      <w:pPr>
        <w:spacing w:after="0"/>
        <w:tabs>
          <w:tab w:leader="none" w:pos="620" w:val="left"/>
        </w:tabs>
        <w:rPr>
          <w:sz w:val="20"/>
          <w:szCs w:val="20"/>
          <w:color w:val="auto"/>
        </w:rPr>
      </w:pPr>
      <w:r>
        <w:rPr>
          <w:rFonts w:ascii="Arial" w:cs="Arial" w:eastAsia="Arial" w:hAnsi="Arial"/>
          <w:sz w:val="12"/>
          <w:szCs w:val="12"/>
          <w:u w:val="single" w:color="auto"/>
          <w:color w:val="auto"/>
        </w:rPr>
        <w:t>ITEM 8.</w:t>
      </w:r>
      <w:r>
        <w:rPr>
          <w:sz w:val="20"/>
          <w:szCs w:val="20"/>
          <w:color w:val="auto"/>
        </w:rPr>
        <w:tab/>
      </w:r>
      <w:r>
        <w:rPr>
          <w:rFonts w:ascii="Arial" w:cs="Arial" w:eastAsia="Arial" w:hAnsi="Arial"/>
          <w:sz w:val="11"/>
          <w:szCs w:val="11"/>
          <w:u w:val="single" w:color="auto"/>
          <w:color w:val="auto"/>
        </w:rPr>
        <w:t>FINANCIAL STATEMENTS AND SUPPLEMENTARY DATA</w:t>
      </w:r>
    </w:p>
    <w:p>
      <w:pPr>
        <w:spacing w:after="0" w:line="163"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The following consolidated financial statements and the independent auditor's report are set forth in our annual report, to be delivered to shareholders in connection with the April 19, 2022 Annual Meeting of Shareholders (filed as exhibit 13 to this report on Form 10-K), and are incorporated herein by reference.</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color w:val="auto"/>
        </w:rPr>
        <w:t>Management's Annual Report on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78040" cy="914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color w:val="auto"/>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78040" cy="914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color w:val="auto"/>
        </w:rPr>
        <w:t>Consolidated Statements of Financial Condition at December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78040" cy="914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color w:val="auto"/>
        </w:rPr>
        <w:t>Consolidated Statements of Operations for the years ended December 31, 2021,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78040" cy="914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color w:val="auto"/>
        </w:rPr>
        <w:t>Consolidated Statements of Comprehensive Income for the years ended December 31, 2021,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78040" cy="914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color w:val="auto"/>
        </w:rPr>
        <w:t>Consolidated Statements of Shareholders' Equity for the years ended December 31, 2021,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78040" cy="914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color w:val="auto"/>
        </w:rPr>
        <w:t>Consolidated Statements of Cash Flows for the years ended December 31, 2021,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78040" cy="914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78040" cy="914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12"/>
          <w:szCs w:val="12"/>
          <w:u w:val="single" w:color="auto"/>
          <w:color w:val="auto"/>
        </w:rPr>
        <w:t>ITEM 8.</w:t>
      </w:r>
      <w:r>
        <w:rPr>
          <w:sz w:val="20"/>
          <w:szCs w:val="20"/>
          <w:color w:val="auto"/>
        </w:rPr>
        <w:tab/>
      </w:r>
      <w:r>
        <w:rPr>
          <w:rFonts w:ascii="Arial" w:cs="Arial" w:eastAsia="Arial" w:hAnsi="Arial"/>
          <w:sz w:val="11"/>
          <w:szCs w:val="11"/>
          <w:u w:val="single" w:color="auto"/>
          <w:color w:val="auto"/>
        </w:rPr>
        <w:t xml:space="preserve">FINANCIAL STATEMENTS AND SUPPLEMENTARY DATA </w:t>
      </w:r>
      <w:r>
        <w:rPr>
          <w:rFonts w:ascii="Arial" w:cs="Arial" w:eastAsia="Arial" w:hAnsi="Arial"/>
          <w:sz w:val="11"/>
          <w:szCs w:val="11"/>
          <w:color w:val="auto"/>
        </w:rPr>
        <w:t>(continued)</w:t>
      </w:r>
    </w:p>
    <w:p>
      <w:pPr>
        <w:spacing w:after="0" w:line="163"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The supplementary data required by this item set forth under the caption "Quarterly Financial Data (Unaudited)" in our annual report, to be delivered to shareholders in connection with the April 19, 2022 Annual Meeting of Shareholders (filed as exhibit 13 to this report on Form 10-K), is incorporated herein by reference.</w:t>
      </w:r>
    </w:p>
    <w:p>
      <w:pPr>
        <w:spacing w:after="0" w:line="120" w:lineRule="exact"/>
        <w:rPr>
          <w:sz w:val="20"/>
          <w:szCs w:val="20"/>
          <w:color w:val="auto"/>
        </w:rPr>
      </w:pPr>
    </w:p>
    <w:p>
      <w:pPr>
        <w:ind w:right="20"/>
        <w:spacing w:after="0" w:line="273" w:lineRule="auto"/>
        <w:rPr>
          <w:sz w:val="20"/>
          <w:szCs w:val="20"/>
          <w:color w:val="auto"/>
        </w:rPr>
      </w:pPr>
      <w:r>
        <w:rPr>
          <w:rFonts w:ascii="Arial" w:cs="Arial" w:eastAsia="Arial" w:hAnsi="Arial"/>
          <w:sz w:val="14"/>
          <w:szCs w:val="14"/>
          <w:color w:val="auto"/>
        </w:rPr>
        <w:t>The portions of our annual report, to be delivered to shareholders in connection with the April 19, 2022 Annual Meeting of Shareholders (filed as exhibit 13 to this report on Form 10-K), which are not specifically incorporated by reference as part of this Form 10-K are not deemed to be a part of this report.</w:t>
      </w:r>
    </w:p>
    <w:p>
      <w:pPr>
        <w:spacing w:after="0" w:line="125" w:lineRule="exact"/>
        <w:rPr>
          <w:sz w:val="20"/>
          <w:szCs w:val="20"/>
          <w:color w:val="auto"/>
        </w:rPr>
      </w:pPr>
    </w:p>
    <w:p>
      <w:pPr>
        <w:spacing w:after="0"/>
        <w:tabs>
          <w:tab w:leader="none" w:pos="620" w:val="left"/>
        </w:tabs>
        <w:rPr>
          <w:sz w:val="20"/>
          <w:szCs w:val="20"/>
          <w:color w:val="auto"/>
        </w:rPr>
      </w:pPr>
      <w:r>
        <w:rPr>
          <w:rFonts w:ascii="Arial" w:cs="Arial" w:eastAsia="Arial" w:hAnsi="Arial"/>
          <w:sz w:val="12"/>
          <w:szCs w:val="12"/>
          <w:u w:val="single" w:color="auto"/>
          <w:color w:val="auto"/>
        </w:rPr>
        <w:t>ITEM 9.</w:t>
      </w:r>
      <w:r>
        <w:rPr>
          <w:sz w:val="20"/>
          <w:szCs w:val="20"/>
          <w:color w:val="auto"/>
        </w:rPr>
        <w:tab/>
      </w:r>
      <w:r>
        <w:rPr>
          <w:rFonts w:ascii="Arial" w:cs="Arial" w:eastAsia="Arial" w:hAnsi="Arial"/>
          <w:sz w:val="11"/>
          <w:szCs w:val="11"/>
          <w:u w:val="single" w:color="auto"/>
          <w:color w:val="auto"/>
        </w:rPr>
        <w:t>CHANGES IN AND DISAGREEMENTS WITH ACCOUNTANTS ON ACCOUNTING AND FINANCIAL DISCLOSURE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2" w:name="page23"/>
    <w:bookmarkEnd w:id="22"/>
    <w:p>
      <w:pPr>
        <w:ind w:left="8"/>
        <w:spacing w:after="0"/>
        <w:tabs>
          <w:tab w:leader="none" w:pos="628" w:val="left"/>
        </w:tabs>
        <w:rPr>
          <w:sz w:val="20"/>
          <w:szCs w:val="20"/>
          <w:color w:val="auto"/>
        </w:rPr>
      </w:pPr>
      <w:r>
        <w:rPr>
          <w:rFonts w:ascii="Arial" w:cs="Arial" w:eastAsia="Arial" w:hAnsi="Arial"/>
          <w:sz w:val="12"/>
          <w:szCs w:val="12"/>
          <w:u w:val="single" w:color="auto"/>
          <w:color w:val="auto"/>
        </w:rPr>
        <w:t>ITEM 9A.</w:t>
      </w:r>
      <w:r>
        <w:rPr>
          <w:sz w:val="20"/>
          <w:szCs w:val="20"/>
          <w:color w:val="auto"/>
        </w:rPr>
        <w:tab/>
      </w:r>
      <w:r>
        <w:rPr>
          <w:rFonts w:ascii="Arial" w:cs="Arial" w:eastAsia="Arial" w:hAnsi="Arial"/>
          <w:sz w:val="11"/>
          <w:szCs w:val="11"/>
          <w:u w:val="single" w:color="auto"/>
          <w:color w:val="auto"/>
        </w:rPr>
        <w:t>CONTROLS AND PROCEDURES</w:t>
      </w:r>
    </w:p>
    <w:p>
      <w:pPr>
        <w:spacing w:after="0" w:line="168" w:lineRule="exact"/>
        <w:rPr>
          <w:sz w:val="20"/>
          <w:szCs w:val="20"/>
          <w:color w:val="auto"/>
        </w:rPr>
      </w:pPr>
    </w:p>
    <w:p>
      <w:pPr>
        <w:ind w:left="428" w:hanging="428"/>
        <w:spacing w:after="0" w:line="281" w:lineRule="auto"/>
        <w:tabs>
          <w:tab w:leader="none" w:pos="428" w:val="left"/>
        </w:tabs>
        <w:numPr>
          <w:ilvl w:val="0"/>
          <w:numId w:val="6"/>
        </w:numPr>
        <w:rPr>
          <w:rFonts w:ascii="Arial" w:cs="Arial" w:eastAsia="Arial" w:hAnsi="Arial"/>
          <w:sz w:val="11"/>
          <w:szCs w:val="11"/>
          <w:color w:val="auto"/>
        </w:rPr>
      </w:pPr>
      <w:r>
        <w:rPr>
          <w:rFonts w:ascii="Arial" w:cs="Arial" w:eastAsia="Arial" w:hAnsi="Arial"/>
          <w:sz w:val="11"/>
          <w:szCs w:val="11"/>
          <w:u w:val="single" w:color="auto"/>
          <w:color w:val="auto"/>
        </w:rPr>
        <w:t>Evaluation of Disclosure Controls and Procedures</w:t>
      </w:r>
      <w:r>
        <w:rPr>
          <w:rFonts w:ascii="Arial" w:cs="Arial" w:eastAsia="Arial" w:hAnsi="Arial"/>
          <w:sz w:val="11"/>
          <w:szCs w:val="11"/>
          <w:color w:val="auto"/>
        </w:rPr>
        <w:t>. With the participation of management, our chief executive officer and chief financial officer, after evaluating the effectiveness of our disclosure controls and procedures (as defined in Exchange Act Rules 13a – 15e and 15d – 15e) as of the year ended December 31, 2021 (the "Evaluation Date"), have concluded that, as of such date, our disclosure controls and procedures were effective.</w:t>
      </w:r>
    </w:p>
    <w:p>
      <w:pPr>
        <w:jc w:val="both"/>
        <w:ind w:left="408" w:hanging="408"/>
        <w:spacing w:after="0" w:line="255" w:lineRule="auto"/>
        <w:tabs>
          <w:tab w:leader="none" w:pos="408" w:val="left"/>
        </w:tabs>
        <w:numPr>
          <w:ilvl w:val="0"/>
          <w:numId w:val="6"/>
        </w:numPr>
        <w:rPr>
          <w:rFonts w:ascii="Arial" w:cs="Arial" w:eastAsia="Arial" w:hAnsi="Arial"/>
          <w:sz w:val="12"/>
          <w:szCs w:val="12"/>
          <w:color w:val="auto"/>
        </w:rPr>
      </w:pPr>
      <w:r>
        <w:rPr>
          <w:rFonts w:ascii="Arial" w:cs="Arial" w:eastAsia="Arial" w:hAnsi="Arial"/>
          <w:sz w:val="12"/>
          <w:szCs w:val="12"/>
          <w:u w:val="single" w:color="auto"/>
          <w:color w:val="auto"/>
        </w:rPr>
        <w:t>Internal Control Over Financial Reporting</w:t>
      </w:r>
      <w:r>
        <w:rPr>
          <w:rFonts w:ascii="Arial" w:cs="Arial" w:eastAsia="Arial" w:hAnsi="Arial"/>
          <w:sz w:val="12"/>
          <w:szCs w:val="12"/>
          <w:color w:val="auto"/>
        </w:rPr>
        <w:t>. "Management's Annual Report on Internal Control Over Financial Reporting" and our independent registered public accounting firm's audit of internal control over financial reporting as of December 31, 2021 included within the "Report of Independent Registered Public Accounting Firm," each as set forth in our annual report, to be delivered to shareholders in connection with the April 19, 2022 Annual Meeting of Shareholders (filed as exhibit 13 to this report on Form 10-K) are incorporated herein by reference.</w:t>
      </w:r>
    </w:p>
    <w:p>
      <w:pPr>
        <w:spacing w:after="0" w:line="145" w:lineRule="exact"/>
        <w:rPr>
          <w:sz w:val="20"/>
          <w:szCs w:val="20"/>
          <w:color w:val="auto"/>
        </w:rPr>
      </w:pPr>
    </w:p>
    <w:p>
      <w:pPr>
        <w:ind w:left="8"/>
        <w:spacing w:after="0"/>
        <w:tabs>
          <w:tab w:leader="none" w:pos="628" w:val="left"/>
        </w:tabs>
        <w:rPr>
          <w:sz w:val="20"/>
          <w:szCs w:val="20"/>
          <w:color w:val="auto"/>
        </w:rPr>
      </w:pPr>
      <w:r>
        <w:rPr>
          <w:rFonts w:ascii="Arial" w:cs="Arial" w:eastAsia="Arial" w:hAnsi="Arial"/>
          <w:sz w:val="12"/>
          <w:szCs w:val="12"/>
          <w:u w:val="single" w:color="auto"/>
          <w:color w:val="auto"/>
        </w:rPr>
        <w:t>ITEM 9B.</w:t>
      </w:r>
      <w:r>
        <w:rPr>
          <w:sz w:val="20"/>
          <w:szCs w:val="20"/>
          <w:color w:val="auto"/>
        </w:rPr>
        <w:tab/>
      </w:r>
      <w:r>
        <w:rPr>
          <w:rFonts w:ascii="Arial" w:cs="Arial" w:eastAsia="Arial" w:hAnsi="Arial"/>
          <w:sz w:val="11"/>
          <w:szCs w:val="11"/>
          <w:u w:val="single" w:color="auto"/>
          <w:color w:val="auto"/>
        </w:rPr>
        <w:t>OTHER INFORMATION</w:t>
      </w:r>
    </w:p>
    <w:p>
      <w:pPr>
        <w:spacing w:after="0" w:line="163" w:lineRule="exact"/>
        <w:rPr>
          <w:sz w:val="20"/>
          <w:szCs w:val="20"/>
          <w:color w:val="auto"/>
        </w:rPr>
      </w:pPr>
    </w:p>
    <w:p>
      <w:pPr>
        <w:ind w:left="8"/>
        <w:spacing w:after="0"/>
        <w:rPr>
          <w:sz w:val="20"/>
          <w:szCs w:val="20"/>
          <w:color w:val="auto"/>
        </w:rPr>
      </w:pPr>
      <w:r>
        <w:rPr>
          <w:rFonts w:ascii="Arial" w:cs="Arial" w:eastAsia="Arial" w:hAnsi="Arial"/>
          <w:sz w:val="14"/>
          <w:szCs w:val="14"/>
          <w:color w:val="auto"/>
        </w:rPr>
        <w:t>None.</w:t>
      </w:r>
    </w:p>
    <w:p>
      <w:pPr>
        <w:spacing w:after="0" w:line="282" w:lineRule="exact"/>
        <w:rPr>
          <w:sz w:val="20"/>
          <w:szCs w:val="20"/>
          <w:color w:val="auto"/>
        </w:rPr>
      </w:pPr>
    </w:p>
    <w:p>
      <w:pPr>
        <w:jc w:val="center"/>
        <w:ind w:right="-7"/>
        <w:spacing w:after="0"/>
        <w:rPr>
          <w:sz w:val="20"/>
          <w:szCs w:val="20"/>
          <w:color w:val="auto"/>
        </w:rPr>
      </w:pPr>
      <w:r>
        <w:rPr>
          <w:rFonts w:ascii="Arial" w:cs="Arial" w:eastAsia="Arial" w:hAnsi="Arial"/>
          <w:sz w:val="10"/>
          <w:szCs w:val="1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78040" cy="114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31" w:right="29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auto"/>
        </w:rPr>
        <w:t>PART III.</w:t>
      </w:r>
    </w:p>
    <w:p>
      <w:pPr>
        <w:spacing w:after="0" w:line="168" w:lineRule="exact"/>
        <w:rPr>
          <w:sz w:val="20"/>
          <w:szCs w:val="20"/>
          <w:color w:val="auto"/>
        </w:rPr>
      </w:pPr>
    </w:p>
    <w:p>
      <w:pPr>
        <w:spacing w:after="0"/>
        <w:tabs>
          <w:tab w:leader="none" w:pos="620" w:val="left"/>
        </w:tabs>
        <w:rPr>
          <w:sz w:val="20"/>
          <w:szCs w:val="20"/>
          <w:color w:val="auto"/>
        </w:rPr>
      </w:pPr>
      <w:r>
        <w:rPr>
          <w:rFonts w:ascii="Arial" w:cs="Arial" w:eastAsia="Arial" w:hAnsi="Arial"/>
          <w:sz w:val="12"/>
          <w:szCs w:val="12"/>
          <w:u w:val="single" w:color="auto"/>
          <w:color w:val="auto"/>
        </w:rPr>
        <w:t>ITEM 10.</w:t>
      </w:r>
      <w:r>
        <w:rPr>
          <w:sz w:val="20"/>
          <w:szCs w:val="20"/>
          <w:color w:val="auto"/>
        </w:rPr>
        <w:tab/>
      </w:r>
      <w:r>
        <w:rPr>
          <w:rFonts w:ascii="Arial" w:cs="Arial" w:eastAsia="Arial" w:hAnsi="Arial"/>
          <w:sz w:val="11"/>
          <w:szCs w:val="11"/>
          <w:u w:val="single" w:color="auto"/>
          <w:color w:val="auto"/>
        </w:rPr>
        <w:t>DIRECTORS, EXECUTIVE OFFICERS AND CORPORATE GOVERNANCE</w:t>
      </w:r>
    </w:p>
    <w:p>
      <w:pPr>
        <w:spacing w:after="0" w:line="163" w:lineRule="exact"/>
        <w:rPr>
          <w:sz w:val="20"/>
          <w:szCs w:val="20"/>
          <w:color w:val="auto"/>
        </w:rPr>
      </w:pPr>
    </w:p>
    <w:p>
      <w:pPr>
        <w:jc w:val="both"/>
        <w:ind w:right="20"/>
        <w:spacing w:after="0" w:line="273" w:lineRule="auto"/>
        <w:rPr>
          <w:sz w:val="20"/>
          <w:szCs w:val="20"/>
          <w:color w:val="auto"/>
        </w:rPr>
      </w:pPr>
      <w:r>
        <w:rPr>
          <w:rFonts w:ascii="Arial" w:cs="Arial" w:eastAsia="Arial" w:hAnsi="Arial"/>
          <w:sz w:val="14"/>
          <w:szCs w:val="14"/>
          <w:color w:val="auto"/>
        </w:rPr>
        <w:t>DIRECTORS - The information with respect to our directors set forth under the caption "Proposal I Submitted for Your Vote -- Election of Directors" in our definitive proxy statement, to be delivered to shareholders in connection with the April 19, 2022 Annual Meeting of Shareholders, is incorporated herein by reference.</w:t>
      </w:r>
    </w:p>
    <w:p>
      <w:pPr>
        <w:spacing w:after="0" w:line="120" w:lineRule="exact"/>
        <w:rPr>
          <w:sz w:val="20"/>
          <w:szCs w:val="20"/>
          <w:color w:val="auto"/>
        </w:rPr>
      </w:pPr>
    </w:p>
    <w:p>
      <w:pPr>
        <w:jc w:val="both"/>
        <w:ind w:right="20"/>
        <w:spacing w:after="0" w:line="273" w:lineRule="auto"/>
        <w:rPr>
          <w:sz w:val="20"/>
          <w:szCs w:val="20"/>
          <w:color w:val="auto"/>
        </w:rPr>
      </w:pPr>
      <w:r>
        <w:rPr>
          <w:rFonts w:ascii="Arial" w:cs="Arial" w:eastAsia="Arial" w:hAnsi="Arial"/>
          <w:sz w:val="14"/>
          <w:szCs w:val="14"/>
          <w:color w:val="auto"/>
        </w:rPr>
        <w:t>BENEFICIAL OWNERSHIP REPORTING – The information set forth under the caption "Delinquent Section 16(a) Reports" in our definitive proxy statement, to be delivered to shareholders in connection with the April 19, 2022 Annual Meeting of Shareholders, is incorporated herein by reference.</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color w:val="auto"/>
        </w:rPr>
        <w:t>EXECUTIVE OFFICERS - Reference is made to the additional item under Part I of this report on Form 10-K.</w:t>
      </w:r>
    </w:p>
    <w:p>
      <w:pPr>
        <w:spacing w:after="0" w:line="163"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 xml:space="preserve">CODE OF ETHICS - We have adopted a "Code of Ethics for Chief Executive Officer and Senior Financial Officers" that applies to our Chief Executive Officer, Chief Financial Officer, Chief Accounting Officer and Controller. A copy of our Code of Ethics is posted on our website at </w:t>
      </w:r>
      <w:r>
        <w:rPr>
          <w:rFonts w:ascii="Arial" w:cs="Arial" w:eastAsia="Arial" w:hAnsi="Arial"/>
          <w:sz w:val="14"/>
          <w:szCs w:val="14"/>
          <w:u w:val="single" w:color="auto"/>
          <w:color w:val="auto"/>
        </w:rPr>
        <w:t>www.IndependentBank.com</w:t>
      </w:r>
      <w:r>
        <w:rPr>
          <w:rFonts w:ascii="Arial" w:cs="Arial" w:eastAsia="Arial" w:hAnsi="Arial"/>
          <w:sz w:val="14"/>
          <w:szCs w:val="14"/>
          <w:color w:val="auto"/>
        </w:rPr>
        <w:t>, under Investor Relations, and a printed copy is available upon request by writing to our Chief Financial Officer, Independent Bank Corporation, 4200 East Beltline, Grand Rapids, Michigan 49525.</w:t>
      </w:r>
    </w:p>
    <w:p>
      <w:pPr>
        <w:spacing w:after="0" w:line="131" w:lineRule="exact"/>
        <w:rPr>
          <w:sz w:val="20"/>
          <w:szCs w:val="20"/>
          <w:color w:val="auto"/>
        </w:rPr>
      </w:pPr>
    </w:p>
    <w:p>
      <w:pPr>
        <w:jc w:val="both"/>
        <w:ind w:right="20"/>
        <w:spacing w:after="0" w:line="273" w:lineRule="auto"/>
        <w:rPr>
          <w:sz w:val="20"/>
          <w:szCs w:val="20"/>
          <w:color w:val="auto"/>
        </w:rPr>
      </w:pPr>
      <w:r>
        <w:rPr>
          <w:rFonts w:ascii="Arial" w:cs="Arial" w:eastAsia="Arial" w:hAnsi="Arial"/>
          <w:sz w:val="14"/>
          <w:szCs w:val="14"/>
          <w:color w:val="auto"/>
        </w:rPr>
        <w:t>CORPORATE GOVERNANCE – Information relating to our audit committee, set forth under the caption "Board Committees and Functions" in our definitive proxy statement, to be delivered to shareholders in connection with the April 19, 2022 Annual Meeting of Shareholders, is incorporated herein by reference.</w:t>
      </w:r>
    </w:p>
    <w:p>
      <w:pPr>
        <w:spacing w:after="0" w:line="125" w:lineRule="exact"/>
        <w:rPr>
          <w:sz w:val="20"/>
          <w:szCs w:val="20"/>
          <w:color w:val="auto"/>
        </w:rPr>
      </w:pPr>
    </w:p>
    <w:p>
      <w:pPr>
        <w:spacing w:after="0"/>
        <w:tabs>
          <w:tab w:leader="none" w:pos="620" w:val="left"/>
        </w:tabs>
        <w:rPr>
          <w:sz w:val="20"/>
          <w:szCs w:val="20"/>
          <w:color w:val="auto"/>
        </w:rPr>
      </w:pPr>
      <w:r>
        <w:rPr>
          <w:rFonts w:ascii="Arial" w:cs="Arial" w:eastAsia="Arial" w:hAnsi="Arial"/>
          <w:sz w:val="12"/>
          <w:szCs w:val="12"/>
          <w:u w:val="single" w:color="auto"/>
          <w:color w:val="auto"/>
        </w:rPr>
        <w:t>ITEM 11.</w:t>
      </w:r>
      <w:r>
        <w:rPr>
          <w:sz w:val="20"/>
          <w:szCs w:val="20"/>
          <w:color w:val="auto"/>
        </w:rPr>
        <w:tab/>
      </w:r>
      <w:r>
        <w:rPr>
          <w:rFonts w:ascii="Arial" w:cs="Arial" w:eastAsia="Arial" w:hAnsi="Arial"/>
          <w:sz w:val="11"/>
          <w:szCs w:val="11"/>
          <w:u w:val="single" w:color="auto"/>
          <w:color w:val="auto"/>
        </w:rPr>
        <w:t>EXECUTIVE COMPENSATION</w:t>
      </w:r>
    </w:p>
    <w:p>
      <w:pPr>
        <w:spacing w:after="0" w:line="163" w:lineRule="exact"/>
        <w:rPr>
          <w:sz w:val="20"/>
          <w:szCs w:val="20"/>
          <w:color w:val="auto"/>
        </w:rPr>
      </w:pPr>
    </w:p>
    <w:p>
      <w:pPr>
        <w:jc w:val="both"/>
        <w:spacing w:after="0" w:line="312" w:lineRule="auto"/>
        <w:rPr>
          <w:sz w:val="20"/>
          <w:szCs w:val="20"/>
          <w:color w:val="auto"/>
        </w:rPr>
      </w:pPr>
      <w:r>
        <w:rPr>
          <w:rFonts w:ascii="Arial" w:cs="Arial" w:eastAsia="Arial" w:hAnsi="Arial"/>
          <w:sz w:val="13"/>
          <w:szCs w:val="13"/>
          <w:color w:val="auto"/>
        </w:rPr>
        <w:t>The information set forth under the captions "Executive Compensation," "Director Compensation," “Compensation Committee Interlocks and Insider Participation,” and “Compensation Committee Report” in our definitive proxy statement, to be delivered to shareholders in connection with the April 19, 2022 Annual Meeting of Shareholders, is incorporated herein by reference.</w:t>
      </w:r>
    </w:p>
    <w:p>
      <w:pPr>
        <w:spacing w:after="0" w:line="103" w:lineRule="exact"/>
        <w:rPr>
          <w:sz w:val="20"/>
          <w:szCs w:val="20"/>
          <w:color w:val="auto"/>
        </w:rPr>
      </w:pPr>
    </w:p>
    <w:p>
      <w:pPr>
        <w:spacing w:after="0"/>
        <w:tabs>
          <w:tab w:leader="none" w:pos="600" w:val="left"/>
        </w:tabs>
        <w:rPr>
          <w:sz w:val="20"/>
          <w:szCs w:val="20"/>
          <w:color w:val="auto"/>
        </w:rPr>
      </w:pPr>
      <w:r>
        <w:rPr>
          <w:rFonts w:ascii="Arial" w:cs="Arial" w:eastAsia="Arial" w:hAnsi="Arial"/>
          <w:sz w:val="12"/>
          <w:szCs w:val="12"/>
          <w:u w:val="single" w:color="auto"/>
          <w:color w:val="auto"/>
        </w:rPr>
        <w:t>ITEM 12.</w:t>
      </w:r>
      <w:r>
        <w:rPr>
          <w:sz w:val="20"/>
          <w:szCs w:val="20"/>
          <w:color w:val="auto"/>
        </w:rPr>
        <w:tab/>
      </w:r>
      <w:r>
        <w:rPr>
          <w:rFonts w:ascii="Arial" w:cs="Arial" w:eastAsia="Arial" w:hAnsi="Arial"/>
          <w:sz w:val="11"/>
          <w:szCs w:val="11"/>
          <w:u w:val="single" w:color="auto"/>
          <w:color w:val="auto"/>
        </w:rPr>
        <w:t>SECURITY OWNERSHIP OF CERTAIN BENEFICIAL OWNERS AND MANAGEMENT AND RELATED STOCKHOLDER MATTERS</w:t>
      </w:r>
    </w:p>
    <w:p>
      <w:pPr>
        <w:spacing w:after="0" w:line="163" w:lineRule="exact"/>
        <w:rPr>
          <w:sz w:val="20"/>
          <w:szCs w:val="20"/>
          <w:color w:val="auto"/>
        </w:rPr>
      </w:pPr>
    </w:p>
    <w:p>
      <w:pPr>
        <w:jc w:val="both"/>
        <w:ind w:right="20"/>
        <w:spacing w:after="0" w:line="312" w:lineRule="auto"/>
        <w:rPr>
          <w:sz w:val="20"/>
          <w:szCs w:val="20"/>
          <w:color w:val="auto"/>
        </w:rPr>
      </w:pPr>
      <w:r>
        <w:rPr>
          <w:rFonts w:ascii="Arial" w:cs="Arial" w:eastAsia="Arial" w:hAnsi="Arial"/>
          <w:sz w:val="13"/>
          <w:szCs w:val="13"/>
          <w:color w:val="auto"/>
        </w:rPr>
        <w:t>The information set forth under the captions "Voting Securities and Record Date", “Proposal I Submitted for Your Vote -- Election of Directors" and "Securities Ownership of Management" in our definitive proxy statement, to be delivered to shareholders in connection with the April 19, 2022 Annual Meeting of Shareholders, is incorporated herein by reference.</w:t>
      </w:r>
    </w:p>
    <w:p>
      <w:pPr>
        <w:spacing w:after="0" w:line="97" w:lineRule="exact"/>
        <w:rPr>
          <w:sz w:val="20"/>
          <w:szCs w:val="20"/>
          <w:color w:val="auto"/>
        </w:rPr>
      </w:pPr>
    </w:p>
    <w:p>
      <w:pPr>
        <w:jc w:val="both"/>
        <w:ind w:right="20"/>
        <w:spacing w:after="0" w:line="273" w:lineRule="auto"/>
        <w:rPr>
          <w:sz w:val="20"/>
          <w:szCs w:val="20"/>
          <w:color w:val="auto"/>
        </w:rPr>
      </w:pPr>
      <w:r>
        <w:rPr>
          <w:rFonts w:ascii="Arial" w:cs="Arial" w:eastAsia="Arial" w:hAnsi="Arial"/>
          <w:sz w:val="14"/>
          <w:szCs w:val="14"/>
          <w:color w:val="auto"/>
        </w:rPr>
        <w:t>We maintain certain equity compensation plans under which our common stock is authorized for issuance to employees and directors, including our Deferred Compensation and Stock Purchase Plan for Non-employee Directors and our Long-Term Incentive Plan.</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sets forth certain information regarding our equity compensation plans as of December 31, 2021.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2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2"/>
                <w:szCs w:val="12"/>
                <w:color w:val="auto"/>
                <w:w w:val="99"/>
              </w:rPr>
              <w:t>(c)</w:t>
            </w:r>
          </w:p>
        </w:tc>
      </w:tr>
      <w:tr>
        <w:trPr>
          <w:trHeight w:val="144"/>
        </w:trPr>
        <w:tc>
          <w:tcPr>
            <w:tcW w:w="42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2"/>
                <w:szCs w:val="12"/>
                <w:color w:val="auto"/>
                <w:w w:val="90"/>
              </w:rPr>
              <w:t>Number of securities</w:t>
            </w:r>
          </w:p>
        </w:tc>
      </w:tr>
      <w:tr>
        <w:trPr>
          <w:trHeight w:val="144"/>
        </w:trPr>
        <w:tc>
          <w:tcPr>
            <w:tcW w:w="42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2"/>
                <w:szCs w:val="12"/>
                <w:color w:val="auto"/>
                <w:w w:val="81"/>
              </w:rPr>
              <w:t>(a)</w:t>
            </w: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2"/>
                <w:szCs w:val="12"/>
                <w:color w:val="auto"/>
                <w:w w:val="92"/>
              </w:rPr>
              <w:t>remaining available for</w:t>
            </w:r>
          </w:p>
        </w:tc>
      </w:tr>
      <w:tr>
        <w:trPr>
          <w:trHeight w:val="144"/>
        </w:trPr>
        <w:tc>
          <w:tcPr>
            <w:tcW w:w="42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2"/>
                <w:szCs w:val="12"/>
                <w:color w:val="auto"/>
                <w:w w:val="90"/>
              </w:rPr>
              <w:t>Number of securities</w:t>
            </w:r>
          </w:p>
        </w:tc>
        <w:tc>
          <w:tcPr>
            <w:tcW w:w="80" w:type="dxa"/>
            <w:vAlign w:val="bottom"/>
          </w:tcPr>
          <w:p>
            <w:pPr>
              <w:spacing w:after="0"/>
              <w:rPr>
                <w:sz w:val="12"/>
                <w:szCs w:val="12"/>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2"/>
                <w:szCs w:val="12"/>
                <w:color w:val="auto"/>
                <w:w w:val="95"/>
              </w:rPr>
              <w:t>(b)</w:t>
            </w:r>
          </w:p>
        </w:tc>
        <w:tc>
          <w:tcPr>
            <w:tcW w:w="1240" w:type="dxa"/>
            <w:vAlign w:val="bottom"/>
            <w:gridSpan w:val="2"/>
          </w:tcPr>
          <w:p>
            <w:pPr>
              <w:jc w:val="center"/>
              <w:ind w:right="100"/>
              <w:spacing w:after="0"/>
              <w:rPr>
                <w:sz w:val="20"/>
                <w:szCs w:val="20"/>
                <w:color w:val="auto"/>
              </w:rPr>
            </w:pPr>
            <w:r>
              <w:rPr>
                <w:rFonts w:ascii="Arial" w:cs="Arial" w:eastAsia="Arial" w:hAnsi="Arial"/>
                <w:sz w:val="12"/>
                <w:szCs w:val="12"/>
                <w:color w:val="auto"/>
                <w:w w:val="88"/>
              </w:rPr>
              <w:t>future issuance under</w:t>
            </w:r>
          </w:p>
        </w:tc>
      </w:tr>
      <w:tr>
        <w:trPr>
          <w:trHeight w:val="144"/>
        </w:trPr>
        <w:tc>
          <w:tcPr>
            <w:tcW w:w="42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2"/>
                <w:szCs w:val="12"/>
                <w:color w:val="auto"/>
                <w:w w:val="88"/>
              </w:rPr>
              <w:t>to be issued upon</w:t>
            </w:r>
          </w:p>
        </w:tc>
        <w:tc>
          <w:tcPr>
            <w:tcW w:w="80" w:type="dxa"/>
            <w:vAlign w:val="bottom"/>
          </w:tcPr>
          <w:p>
            <w:pPr>
              <w:spacing w:after="0"/>
              <w:rPr>
                <w:sz w:val="12"/>
                <w:szCs w:val="12"/>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2"/>
                <w:szCs w:val="12"/>
                <w:color w:val="auto"/>
                <w:w w:val="89"/>
              </w:rPr>
              <w:t>Weighted-average</w:t>
            </w:r>
          </w:p>
        </w:tc>
        <w:tc>
          <w:tcPr>
            <w:tcW w:w="1240" w:type="dxa"/>
            <w:vAlign w:val="bottom"/>
            <w:gridSpan w:val="2"/>
          </w:tcPr>
          <w:p>
            <w:pPr>
              <w:jc w:val="center"/>
              <w:ind w:right="120"/>
              <w:spacing w:after="0"/>
              <w:rPr>
                <w:sz w:val="20"/>
                <w:szCs w:val="20"/>
                <w:color w:val="auto"/>
              </w:rPr>
            </w:pPr>
            <w:r>
              <w:rPr>
                <w:rFonts w:ascii="Arial" w:cs="Arial" w:eastAsia="Arial" w:hAnsi="Arial"/>
                <w:sz w:val="12"/>
                <w:szCs w:val="12"/>
                <w:color w:val="auto"/>
                <w:w w:val="90"/>
              </w:rPr>
              <w:t>equity compensation</w:t>
            </w:r>
          </w:p>
        </w:tc>
      </w:tr>
      <w:tr>
        <w:trPr>
          <w:trHeight w:val="144"/>
        </w:trPr>
        <w:tc>
          <w:tcPr>
            <w:tcW w:w="42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2"/>
                <w:szCs w:val="12"/>
                <w:color w:val="auto"/>
                <w:w w:val="90"/>
              </w:rPr>
              <w:t>exercise of outstanding</w:t>
            </w:r>
          </w:p>
        </w:tc>
        <w:tc>
          <w:tcPr>
            <w:tcW w:w="80" w:type="dxa"/>
            <w:vAlign w:val="bottom"/>
          </w:tcPr>
          <w:p>
            <w:pPr>
              <w:spacing w:after="0"/>
              <w:rPr>
                <w:sz w:val="12"/>
                <w:szCs w:val="12"/>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2"/>
                <w:szCs w:val="12"/>
                <w:color w:val="auto"/>
                <w:w w:val="91"/>
              </w:rPr>
              <w:t>exercise price of</w:t>
            </w:r>
          </w:p>
        </w:tc>
        <w:tc>
          <w:tcPr>
            <w:tcW w:w="1240" w:type="dxa"/>
            <w:vAlign w:val="bottom"/>
            <w:gridSpan w:val="2"/>
          </w:tcPr>
          <w:p>
            <w:pPr>
              <w:jc w:val="center"/>
              <w:ind w:right="120"/>
              <w:spacing w:after="0"/>
              <w:rPr>
                <w:sz w:val="20"/>
                <w:szCs w:val="20"/>
                <w:color w:val="auto"/>
              </w:rPr>
            </w:pPr>
            <w:r>
              <w:rPr>
                <w:rFonts w:ascii="Arial" w:cs="Arial" w:eastAsia="Arial" w:hAnsi="Arial"/>
                <w:sz w:val="12"/>
                <w:szCs w:val="12"/>
                <w:color w:val="auto"/>
                <w:w w:val="92"/>
              </w:rPr>
              <w:t>plans (excluding</w:t>
            </w:r>
          </w:p>
        </w:tc>
      </w:tr>
      <w:tr>
        <w:trPr>
          <w:trHeight w:val="144"/>
        </w:trPr>
        <w:tc>
          <w:tcPr>
            <w:tcW w:w="42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2"/>
                <w:szCs w:val="12"/>
                <w:color w:val="auto"/>
                <w:w w:val="89"/>
              </w:rPr>
              <w:t>options, warrants</w:t>
            </w:r>
          </w:p>
        </w:tc>
        <w:tc>
          <w:tcPr>
            <w:tcW w:w="80" w:type="dxa"/>
            <w:vAlign w:val="bottom"/>
          </w:tcPr>
          <w:p>
            <w:pPr>
              <w:spacing w:after="0"/>
              <w:rPr>
                <w:sz w:val="12"/>
                <w:szCs w:val="12"/>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2"/>
                <w:szCs w:val="12"/>
                <w:color w:val="auto"/>
                <w:w w:val="91"/>
              </w:rPr>
              <w:t>outstanding options,</w:t>
            </w:r>
          </w:p>
        </w:tc>
        <w:tc>
          <w:tcPr>
            <w:tcW w:w="1240" w:type="dxa"/>
            <w:vAlign w:val="bottom"/>
            <w:gridSpan w:val="2"/>
          </w:tcPr>
          <w:p>
            <w:pPr>
              <w:jc w:val="center"/>
              <w:ind w:right="100"/>
              <w:spacing w:after="0"/>
              <w:rPr>
                <w:sz w:val="20"/>
                <w:szCs w:val="20"/>
                <w:color w:val="auto"/>
              </w:rPr>
            </w:pPr>
            <w:r>
              <w:rPr>
                <w:rFonts w:ascii="Arial" w:cs="Arial" w:eastAsia="Arial" w:hAnsi="Arial"/>
                <w:sz w:val="12"/>
                <w:szCs w:val="12"/>
                <w:color w:val="auto"/>
                <w:w w:val="89"/>
              </w:rPr>
              <w:t>securities reflected</w:t>
            </w:r>
          </w:p>
        </w:tc>
      </w:tr>
      <w:tr>
        <w:trPr>
          <w:trHeight w:val="153"/>
        </w:trPr>
        <w:tc>
          <w:tcPr>
            <w:tcW w:w="42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Plan Category</w:t>
            </w:r>
          </w:p>
        </w:tc>
        <w:tc>
          <w:tcPr>
            <w:tcW w:w="31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2"/>
                <w:szCs w:val="12"/>
                <w:color w:val="auto"/>
                <w:w w:val="91"/>
              </w:rPr>
              <w:t>and rights</w:t>
            </w:r>
          </w:p>
        </w:tc>
        <w:tc>
          <w:tcPr>
            <w:tcW w:w="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2"/>
                <w:szCs w:val="12"/>
                <w:color w:val="auto"/>
                <w:w w:val="90"/>
              </w:rPr>
              <w:t>warrants and rights</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2"/>
              </w:rPr>
              <w:t>in column (a))</w:t>
            </w:r>
          </w:p>
        </w:tc>
        <w:tc>
          <w:tcPr>
            <w:tcW w:w="120" w:type="dxa"/>
            <w:vAlign w:val="bottom"/>
          </w:tcPr>
          <w:p>
            <w:pPr>
              <w:spacing w:after="0"/>
              <w:rPr>
                <w:sz w:val="13"/>
                <w:szCs w:val="13"/>
                <w:color w:val="auto"/>
              </w:rPr>
            </w:pPr>
          </w:p>
        </w:tc>
      </w:tr>
      <w:tr>
        <w:trPr>
          <w:trHeight w:val="286"/>
        </w:trPr>
        <w:tc>
          <w:tcPr>
            <w:tcW w:w="42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spacing w:after="0"/>
              <w:rPr>
                <w:sz w:val="24"/>
                <w:szCs w:val="24"/>
                <w:color w:val="auto"/>
              </w:rPr>
            </w:pPr>
          </w:p>
        </w:tc>
      </w:tr>
      <w:tr>
        <w:trPr>
          <w:trHeight w:val="184"/>
        </w:trPr>
        <w:tc>
          <w:tcPr>
            <w:tcW w:w="4220" w:type="dxa"/>
            <w:vAlign w:val="bottom"/>
            <w:shd w:val="clear" w:color="auto" w:fill="CCEEFF"/>
          </w:tcPr>
          <w:p>
            <w:pPr>
              <w:spacing w:after="0"/>
              <w:rPr>
                <w:sz w:val="20"/>
                <w:szCs w:val="20"/>
                <w:color w:val="auto"/>
              </w:rPr>
            </w:pPr>
            <w:r>
              <w:rPr>
                <w:rFonts w:ascii="Arial" w:cs="Arial" w:eastAsia="Arial" w:hAnsi="Arial"/>
                <w:sz w:val="12"/>
                <w:szCs w:val="12"/>
                <w:color w:val="auto"/>
              </w:rPr>
              <w:t>Equity compensation plans approved by security holders</w:t>
            </w:r>
          </w:p>
        </w:tc>
        <w:tc>
          <w:tcPr>
            <w:tcW w:w="3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80,839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ind w:left="840"/>
              <w:spacing w:after="0"/>
              <w:rPr>
                <w:sz w:val="20"/>
                <w:szCs w:val="20"/>
                <w:color w:val="auto"/>
              </w:rPr>
            </w:pPr>
            <w:r>
              <w:rPr>
                <w:rFonts w:ascii="Arial" w:cs="Arial" w:eastAsia="Arial" w:hAnsi="Arial"/>
                <w:sz w:val="12"/>
                <w:szCs w:val="12"/>
                <w:color w:val="auto"/>
              </w:rPr>
              <w:t>5.76</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654,146</w:t>
            </w:r>
          </w:p>
        </w:tc>
      </w:tr>
      <w:tr>
        <w:trPr>
          <w:trHeight w:val="120"/>
        </w:trPr>
        <w:tc>
          <w:tcPr>
            <w:tcW w:w="4220" w:type="dxa"/>
            <w:vAlign w:val="bottom"/>
            <w:tcBorders>
              <w:top w:val="single" w:sz="8" w:color="CCEEFF"/>
            </w:tcBorders>
          </w:tcPr>
          <w:p>
            <w:pPr>
              <w:spacing w:after="0"/>
              <w:rPr>
                <w:sz w:val="10"/>
                <w:szCs w:val="10"/>
                <w:color w:val="auto"/>
              </w:rPr>
            </w:pPr>
          </w:p>
        </w:tc>
        <w:tc>
          <w:tcPr>
            <w:tcW w:w="3120" w:type="dxa"/>
            <w:vAlign w:val="bottom"/>
            <w:tcBorders>
              <w:top w:val="single" w:sz="8" w:color="CCEEFF"/>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r>
      <w:tr>
        <w:trPr>
          <w:trHeight w:val="184"/>
        </w:trPr>
        <w:tc>
          <w:tcPr>
            <w:tcW w:w="4220" w:type="dxa"/>
            <w:vAlign w:val="bottom"/>
            <w:shd w:val="clear" w:color="auto" w:fill="CCEEFF"/>
          </w:tcPr>
          <w:p>
            <w:pPr>
              <w:spacing w:after="0"/>
              <w:rPr>
                <w:sz w:val="20"/>
                <w:szCs w:val="20"/>
                <w:color w:val="auto"/>
              </w:rPr>
            </w:pPr>
            <w:r>
              <w:rPr>
                <w:rFonts w:ascii="Arial" w:cs="Arial" w:eastAsia="Arial" w:hAnsi="Arial"/>
                <w:sz w:val="12"/>
                <w:szCs w:val="12"/>
                <w:color w:val="auto"/>
              </w:rPr>
              <w:t>Equity compensation plan not approved by security holders</w:t>
            </w:r>
          </w:p>
        </w:tc>
        <w:tc>
          <w:tcPr>
            <w:tcW w:w="3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None</w:t>
            </w:r>
          </w:p>
        </w:tc>
        <w:tc>
          <w:tcPr>
            <w:tcW w:w="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840"/>
              <w:spacing w:after="0"/>
              <w:rPr>
                <w:sz w:val="20"/>
                <w:szCs w:val="20"/>
                <w:color w:val="auto"/>
              </w:rPr>
            </w:pPr>
            <w:r>
              <w:rPr>
                <w:rFonts w:ascii="Arial" w:cs="Arial" w:eastAsia="Arial" w:hAnsi="Arial"/>
                <w:sz w:val="12"/>
                <w:szCs w:val="12"/>
                <w:color w:val="auto"/>
              </w:rPr>
              <w:t>N/A</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125,662</w:t>
            </w:r>
          </w:p>
        </w:tc>
      </w:tr>
      <w:tr>
        <w:trPr>
          <w:trHeight w:val="364"/>
        </w:trPr>
        <w:tc>
          <w:tcPr>
            <w:tcW w:w="4220" w:type="dxa"/>
            <w:vAlign w:val="bottom"/>
            <w:tcBorders>
              <w:top w:val="single" w:sz="8" w:color="CCEEFF"/>
            </w:tcBorders>
          </w:tcPr>
          <w:p>
            <w:pPr>
              <w:spacing w:after="0"/>
              <w:rPr>
                <w:sz w:val="24"/>
                <w:szCs w:val="24"/>
                <w:color w:val="auto"/>
              </w:rPr>
            </w:pPr>
          </w:p>
        </w:tc>
        <w:tc>
          <w:tcPr>
            <w:tcW w:w="3120" w:type="dxa"/>
            <w:vAlign w:val="bottom"/>
            <w:tcBorders>
              <w:top w:val="single" w:sz="8" w:color="CCEEFF"/>
            </w:tcBorders>
          </w:tcPr>
          <w:p>
            <w:pPr>
              <w:jc w:val="right"/>
              <w:ind w:right="1592"/>
              <w:spacing w:after="0"/>
              <w:rPr>
                <w:sz w:val="20"/>
                <w:szCs w:val="20"/>
                <w:color w:val="auto"/>
              </w:rPr>
            </w:pPr>
            <w:r>
              <w:rPr>
                <w:rFonts w:ascii="Arial" w:cs="Arial" w:eastAsia="Arial" w:hAnsi="Arial"/>
                <w:sz w:val="10"/>
                <w:szCs w:val="10"/>
                <w:color w:val="auto"/>
              </w:rPr>
              <w:t>24</w:t>
            </w:r>
          </w:p>
        </w:tc>
        <w:tc>
          <w:tcPr>
            <w:tcW w:w="11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26"/>
        </w:trPr>
        <w:tc>
          <w:tcPr>
            <w:tcW w:w="422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bl>
    <w:p>
      <w:pPr>
        <w:sectPr>
          <w:pgSz w:w="11900" w:h="16838" w:orient="portrait"/>
          <w:cols w:equalWidth="0" w:num="1">
            <w:col w:w="11300"/>
          </w:cols>
          <w:pgMar w:left="300" w:top="125" w:right="299" w:bottom="1440" w:gutter="0" w:footer="0" w:header="0"/>
        </w:sectPr>
      </w:pPr>
    </w:p>
    <w:bookmarkStart w:id="24" w:name="page25"/>
    <w:bookmarkEnd w:id="24"/>
    <w:p>
      <w:pPr>
        <w:spacing w:after="0"/>
        <w:tabs>
          <w:tab w:leader="none" w:pos="600" w:val="left"/>
        </w:tabs>
        <w:rPr>
          <w:sz w:val="20"/>
          <w:szCs w:val="20"/>
          <w:color w:val="auto"/>
        </w:rPr>
      </w:pPr>
      <w:r>
        <w:rPr>
          <w:rFonts w:ascii="Arial" w:cs="Arial" w:eastAsia="Arial" w:hAnsi="Arial"/>
          <w:sz w:val="12"/>
          <w:szCs w:val="12"/>
          <w:u w:val="single" w:color="auto"/>
          <w:color w:val="auto"/>
        </w:rPr>
        <w:t>ITEM 12.</w:t>
      </w:r>
      <w:r>
        <w:rPr>
          <w:sz w:val="20"/>
          <w:szCs w:val="20"/>
          <w:color w:val="auto"/>
        </w:rPr>
        <w:tab/>
      </w:r>
      <w:r>
        <w:rPr>
          <w:rFonts w:ascii="Arial" w:cs="Arial" w:eastAsia="Arial" w:hAnsi="Arial"/>
          <w:sz w:val="11"/>
          <w:szCs w:val="11"/>
          <w:u w:val="single" w:color="auto"/>
          <w:color w:val="auto"/>
        </w:rPr>
        <w:t xml:space="preserve">SECURITY OWNERSHIP OF CERTAIN BENEFICIAL OWNERS AND MANAGEMENT AND RELATED STOCKHOLDER MATTERS </w:t>
      </w:r>
      <w:r>
        <w:rPr>
          <w:rFonts w:ascii="Arial" w:cs="Arial" w:eastAsia="Arial" w:hAnsi="Arial"/>
          <w:sz w:val="11"/>
          <w:szCs w:val="11"/>
          <w:color w:val="auto"/>
        </w:rPr>
        <w:t>(continued)</w:t>
      </w:r>
    </w:p>
    <w:p>
      <w:pPr>
        <w:spacing w:after="0" w:line="163" w:lineRule="exact"/>
        <w:rPr>
          <w:sz w:val="20"/>
          <w:szCs w:val="20"/>
          <w:color w:val="auto"/>
        </w:rPr>
      </w:pPr>
    </w:p>
    <w:p>
      <w:pPr>
        <w:jc w:val="both"/>
        <w:spacing w:after="0" w:line="267" w:lineRule="auto"/>
        <w:rPr>
          <w:sz w:val="20"/>
          <w:szCs w:val="20"/>
          <w:color w:val="auto"/>
        </w:rPr>
      </w:pPr>
      <w:r>
        <w:rPr>
          <w:rFonts w:ascii="Arial" w:cs="Arial" w:eastAsia="Arial" w:hAnsi="Arial"/>
          <w:sz w:val="13"/>
          <w:szCs w:val="13"/>
          <w:color w:val="auto"/>
        </w:rPr>
        <w:t>The equity compensation plan not approved by security holders referenced above is our Deferred Compensation and Stock Purchase Plan for Non-employee Directors. This plan allows our non-employee directors to defer payment of all or a part of their director fees and to receive shares of common stock in lieu of cash for these fees. Under the plan, each non-employee director may elect to participate in a Current Stock Purchase Account, a Deferred Cash Investment Account, or a Deferred Stock Account. A Current Stock Purchase Account is credited with shares of our common stock having a fair market value equal to the fees otherwise payable. A Deferred Cash Investment Account is credited with an amount equal to the fees deferred and on each quarterly credit date with an appreciation factor that may not exceed the prime rate of interest charged by our bank. A Deferred Stock Account is credited with the amount of fees deferred and converted into stock units based on 90% of the fair market value of our common stock at the time of the deferral. Amounts in the Deferred Stock Account are credited with cash dividends and other distributions on our common stock. Fees credited to a Deferred Cash Investment Account or a Deferred Stock Account are deferred for income tax purposes. This plan does not provide for distributions of amounts deferred prior to a participant’s termination as a non-employee director. Participants may generally elect either a lump sum or installment distribution.</w:t>
      </w:r>
    </w:p>
    <w:p>
      <w:pPr>
        <w:spacing w:after="0" w:line="133" w:lineRule="exact"/>
        <w:rPr>
          <w:sz w:val="20"/>
          <w:szCs w:val="20"/>
          <w:color w:val="auto"/>
        </w:rPr>
      </w:pPr>
    </w:p>
    <w:p>
      <w:pPr>
        <w:spacing w:after="0"/>
        <w:tabs>
          <w:tab w:leader="none" w:pos="620" w:val="left"/>
        </w:tabs>
        <w:rPr>
          <w:sz w:val="20"/>
          <w:szCs w:val="20"/>
          <w:color w:val="auto"/>
        </w:rPr>
      </w:pPr>
      <w:r>
        <w:rPr>
          <w:rFonts w:ascii="Arial" w:cs="Arial" w:eastAsia="Arial" w:hAnsi="Arial"/>
          <w:sz w:val="12"/>
          <w:szCs w:val="12"/>
          <w:u w:val="single" w:color="auto"/>
          <w:color w:val="auto"/>
        </w:rPr>
        <w:t>ITEM 13.</w:t>
      </w:r>
      <w:r>
        <w:rPr>
          <w:sz w:val="20"/>
          <w:szCs w:val="20"/>
          <w:color w:val="auto"/>
        </w:rPr>
        <w:tab/>
      </w:r>
      <w:r>
        <w:rPr>
          <w:rFonts w:ascii="Arial" w:cs="Arial" w:eastAsia="Arial" w:hAnsi="Arial"/>
          <w:sz w:val="11"/>
          <w:szCs w:val="11"/>
          <w:u w:val="single" w:color="auto"/>
          <w:color w:val="auto"/>
        </w:rPr>
        <w:t>CERTAIN RELATIONSHIPS AND RELATED TRANSACTIONS, AND DIRECTOR INDEPENDENCE</w:t>
      </w:r>
    </w:p>
    <w:p>
      <w:pPr>
        <w:spacing w:after="0" w:line="163"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The information set forth under the captions "Transactions Involving Management" and "Determination of Independence of Board Members" in our definitive proxy statement, to be delivered to shareholders in connection with the April 19, 2022 Annual Meeting of Shareholders, is incorporated herein by reference.</w:t>
      </w:r>
    </w:p>
    <w:p>
      <w:pPr>
        <w:spacing w:after="0" w:line="125" w:lineRule="exact"/>
        <w:rPr>
          <w:sz w:val="20"/>
          <w:szCs w:val="20"/>
          <w:color w:val="auto"/>
        </w:rPr>
      </w:pPr>
    </w:p>
    <w:p>
      <w:pPr>
        <w:spacing w:after="0"/>
        <w:tabs>
          <w:tab w:leader="none" w:pos="620" w:val="left"/>
        </w:tabs>
        <w:rPr>
          <w:sz w:val="20"/>
          <w:szCs w:val="20"/>
          <w:color w:val="auto"/>
        </w:rPr>
      </w:pPr>
      <w:r>
        <w:rPr>
          <w:rFonts w:ascii="Arial" w:cs="Arial" w:eastAsia="Arial" w:hAnsi="Arial"/>
          <w:sz w:val="12"/>
          <w:szCs w:val="12"/>
          <w:u w:val="single" w:color="auto"/>
          <w:color w:val="auto"/>
        </w:rPr>
        <w:t>ITEM 14.</w:t>
      </w:r>
      <w:r>
        <w:rPr>
          <w:sz w:val="20"/>
          <w:szCs w:val="20"/>
          <w:color w:val="auto"/>
        </w:rPr>
        <w:tab/>
      </w:r>
      <w:r>
        <w:rPr>
          <w:rFonts w:ascii="Arial" w:cs="Arial" w:eastAsia="Arial" w:hAnsi="Arial"/>
          <w:sz w:val="11"/>
          <w:szCs w:val="11"/>
          <w:u w:val="single" w:color="auto"/>
          <w:color w:val="auto"/>
        </w:rPr>
        <w:t>PRINCIPAL ACCOUNTANT FEES AND SERVICES</w:t>
      </w:r>
    </w:p>
    <w:p>
      <w:pPr>
        <w:spacing w:after="0" w:line="163" w:lineRule="exact"/>
        <w:rPr>
          <w:sz w:val="20"/>
          <w:szCs w:val="20"/>
          <w:color w:val="auto"/>
        </w:rPr>
      </w:pPr>
    </w:p>
    <w:p>
      <w:pPr>
        <w:jc w:val="both"/>
        <w:ind w:right="20"/>
        <w:spacing w:after="0" w:line="273" w:lineRule="auto"/>
        <w:rPr>
          <w:sz w:val="20"/>
          <w:szCs w:val="20"/>
          <w:color w:val="auto"/>
        </w:rPr>
      </w:pPr>
      <w:r>
        <w:rPr>
          <w:rFonts w:ascii="Arial" w:cs="Arial" w:eastAsia="Arial" w:hAnsi="Arial"/>
          <w:sz w:val="14"/>
          <w:szCs w:val="14"/>
          <w:color w:val="auto"/>
        </w:rPr>
        <w:t>The information set forth under the caption "Disclosure of Fees Paid to our Independent Auditors" in our definitive proxy statement, to be delivered to shareholders in connection with the April 19, 2022 Annual Meeting of Shareholders, is incorporated herein by reference.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5" w:name="page26"/>
    <w:bookmarkEnd w:id="25"/>
    <w:p>
      <w:pPr>
        <w:ind w:left="8"/>
        <w:spacing w:after="0"/>
        <w:rPr>
          <w:sz w:val="20"/>
          <w:szCs w:val="20"/>
          <w:color w:val="auto"/>
        </w:rPr>
      </w:pPr>
      <w:r>
        <w:rPr>
          <w:rFonts w:ascii="Arial" w:cs="Arial" w:eastAsia="Arial" w:hAnsi="Arial"/>
          <w:sz w:val="14"/>
          <w:szCs w:val="14"/>
          <w:u w:val="single" w:color="auto"/>
          <w:color w:val="auto"/>
        </w:rPr>
        <w:t>PART IV.</w:t>
      </w:r>
    </w:p>
    <w:p>
      <w:pPr>
        <w:spacing w:after="0" w:line="156"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460" w:type="dxa"/>
            <w:vAlign w:val="bottom"/>
            <w:tcBorders>
              <w:bottom w:val="single" w:sz="8" w:color="auto"/>
            </w:tcBorders>
          </w:tcPr>
          <w:p>
            <w:pPr>
              <w:spacing w:after="0"/>
              <w:rPr>
                <w:sz w:val="20"/>
                <w:szCs w:val="20"/>
                <w:color w:val="auto"/>
              </w:rPr>
            </w:pPr>
            <w:r>
              <w:rPr>
                <w:rFonts w:ascii="Arial" w:cs="Arial" w:eastAsia="Arial" w:hAnsi="Arial"/>
                <w:sz w:val="12"/>
                <w:szCs w:val="12"/>
                <w:color w:val="auto"/>
                <w:w w:val="90"/>
              </w:rPr>
              <w:t>ITEM 15.</w:t>
            </w:r>
          </w:p>
        </w:tc>
        <w:tc>
          <w:tcPr>
            <w:tcW w:w="180" w:type="dxa"/>
            <w:vAlign w:val="bottom"/>
          </w:tcPr>
          <w:p>
            <w:pPr>
              <w:spacing w:after="0"/>
              <w:rPr>
                <w:sz w:val="12"/>
                <w:szCs w:val="12"/>
                <w:color w:val="auto"/>
              </w:rPr>
            </w:pPr>
          </w:p>
        </w:tc>
        <w:tc>
          <w:tcPr>
            <w:tcW w:w="2960" w:type="dxa"/>
            <w:vAlign w:val="bottom"/>
            <w:tcBorders>
              <w:bottom w:val="single" w:sz="8" w:color="auto"/>
            </w:tcBorders>
            <w:gridSpan w:val="3"/>
          </w:tcPr>
          <w:p>
            <w:pPr>
              <w:spacing w:after="0"/>
              <w:rPr>
                <w:sz w:val="20"/>
                <w:szCs w:val="20"/>
                <w:color w:val="auto"/>
              </w:rPr>
            </w:pPr>
            <w:r>
              <w:rPr>
                <w:rFonts w:ascii="Arial" w:cs="Arial" w:eastAsia="Arial" w:hAnsi="Arial"/>
                <w:sz w:val="12"/>
                <w:szCs w:val="12"/>
                <w:color w:val="auto"/>
                <w:w w:val="97"/>
              </w:rPr>
              <w:t>EXHIBITS AND FINANCIAL STATEMENT SCHEDULES</w:t>
            </w:r>
          </w:p>
        </w:tc>
        <w:tc>
          <w:tcPr>
            <w:tcW w:w="7620" w:type="dxa"/>
            <w:vAlign w:val="bottom"/>
          </w:tcPr>
          <w:p>
            <w:pPr>
              <w:spacing w:after="0"/>
              <w:rPr>
                <w:sz w:val="12"/>
                <w:szCs w:val="12"/>
                <w:color w:val="auto"/>
              </w:rPr>
            </w:pPr>
          </w:p>
        </w:tc>
      </w:tr>
      <w:tr>
        <w:trPr>
          <w:trHeight w:val="286"/>
        </w:trPr>
        <w:tc>
          <w:tcPr>
            <w:tcW w:w="460" w:type="dxa"/>
            <w:vAlign w:val="bottom"/>
          </w:tcPr>
          <w:p>
            <w:pPr>
              <w:spacing w:after="0"/>
              <w:rPr>
                <w:sz w:val="20"/>
                <w:szCs w:val="20"/>
                <w:color w:val="auto"/>
              </w:rPr>
            </w:pPr>
            <w:r>
              <w:rPr>
                <w:rFonts w:ascii="Arial" w:cs="Arial" w:eastAsia="Arial" w:hAnsi="Arial"/>
                <w:sz w:val="12"/>
                <w:szCs w:val="12"/>
                <w:color w:val="auto"/>
              </w:rPr>
              <w:t>(a)</w:t>
            </w:r>
          </w:p>
        </w:tc>
        <w:tc>
          <w:tcPr>
            <w:tcW w:w="660" w:type="dxa"/>
            <w:vAlign w:val="bottom"/>
            <w:gridSpan w:val="2"/>
          </w:tcPr>
          <w:p>
            <w:pPr>
              <w:jc w:val="right"/>
              <w:ind w:right="420"/>
              <w:spacing w:after="0"/>
              <w:rPr>
                <w:sz w:val="20"/>
                <w:szCs w:val="20"/>
                <w:color w:val="auto"/>
              </w:rPr>
            </w:pPr>
            <w:r>
              <w:rPr>
                <w:rFonts w:ascii="Arial" w:cs="Arial" w:eastAsia="Arial" w:hAnsi="Arial"/>
                <w:sz w:val="12"/>
                <w:szCs w:val="12"/>
                <w:color w:val="auto"/>
              </w:rPr>
              <w:t>1.</w:t>
            </w:r>
          </w:p>
        </w:tc>
        <w:tc>
          <w:tcPr>
            <w:tcW w:w="10100" w:type="dxa"/>
            <w:vAlign w:val="bottom"/>
            <w:gridSpan w:val="3"/>
          </w:tcPr>
          <w:p>
            <w:pPr>
              <w:spacing w:after="0"/>
              <w:rPr>
                <w:sz w:val="20"/>
                <w:szCs w:val="20"/>
                <w:color w:val="auto"/>
              </w:rPr>
            </w:pPr>
            <w:r>
              <w:rPr>
                <w:rFonts w:ascii="Arial" w:cs="Arial" w:eastAsia="Arial" w:hAnsi="Arial"/>
                <w:sz w:val="12"/>
                <w:szCs w:val="12"/>
                <w:color w:val="auto"/>
              </w:rPr>
              <w:t>Financial Statements</w:t>
            </w:r>
          </w:p>
        </w:tc>
      </w:tr>
      <w:tr>
        <w:trPr>
          <w:trHeight w:val="20"/>
        </w:trPr>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100" w:type="dxa"/>
            <w:vAlign w:val="bottom"/>
            <w:gridSpan w:val="2"/>
          </w:tcPr>
          <w:p>
            <w:pPr>
              <w:spacing w:after="0" w:line="20" w:lineRule="exact"/>
              <w:rPr>
                <w:sz w:val="1"/>
                <w:szCs w:val="1"/>
                <w:color w:val="auto"/>
              </w:rPr>
            </w:pPr>
          </w:p>
        </w:tc>
      </w:tr>
      <w:tr>
        <w:trPr>
          <w:trHeight w:val="142"/>
        </w:trPr>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100" w:type="dxa"/>
            <w:vAlign w:val="bottom"/>
            <w:gridSpan w:val="3"/>
          </w:tcPr>
          <w:p>
            <w:pPr>
              <w:spacing w:after="0"/>
              <w:rPr>
                <w:sz w:val="20"/>
                <w:szCs w:val="20"/>
                <w:color w:val="auto"/>
              </w:rPr>
            </w:pPr>
            <w:r>
              <w:rPr>
                <w:rFonts w:ascii="Arial" w:cs="Arial" w:eastAsia="Arial" w:hAnsi="Arial"/>
                <w:sz w:val="12"/>
                <w:szCs w:val="12"/>
                <w:color w:val="auto"/>
                <w:w w:val="90"/>
              </w:rPr>
              <w:t>All of our financial statements are incorporated herein by reference as set forth in the annual report to be delivered to shareholders in connection with the April 19, 2022 Annual Meeting of Shareholders (filed as</w:t>
            </w:r>
          </w:p>
        </w:tc>
      </w:tr>
      <w:tr>
        <w:trPr>
          <w:trHeight w:val="153"/>
        </w:trPr>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100" w:type="dxa"/>
            <w:vAlign w:val="bottom"/>
            <w:gridSpan w:val="3"/>
          </w:tcPr>
          <w:p>
            <w:pPr>
              <w:spacing w:after="0"/>
              <w:rPr>
                <w:sz w:val="20"/>
                <w:szCs w:val="20"/>
                <w:color w:val="auto"/>
              </w:rPr>
            </w:pPr>
            <w:r>
              <w:rPr>
                <w:rFonts w:ascii="Arial" w:cs="Arial" w:eastAsia="Arial" w:hAnsi="Arial"/>
                <w:sz w:val="12"/>
                <w:szCs w:val="12"/>
                <w:color w:val="auto"/>
              </w:rPr>
              <w:t>exhibit 13 to this report on Form 10-K.)</w:t>
            </w:r>
          </w:p>
        </w:tc>
      </w:tr>
      <w:tr>
        <w:trPr>
          <w:trHeight w:val="279"/>
        </w:trPr>
        <w:tc>
          <w:tcPr>
            <w:tcW w:w="460" w:type="dxa"/>
            <w:vAlign w:val="bottom"/>
          </w:tcPr>
          <w:p>
            <w:pPr>
              <w:spacing w:after="0"/>
              <w:rPr>
                <w:sz w:val="24"/>
                <w:szCs w:val="24"/>
                <w:color w:val="auto"/>
              </w:rPr>
            </w:pPr>
          </w:p>
        </w:tc>
        <w:tc>
          <w:tcPr>
            <w:tcW w:w="660" w:type="dxa"/>
            <w:vAlign w:val="bottom"/>
            <w:gridSpan w:val="2"/>
          </w:tcPr>
          <w:p>
            <w:pPr>
              <w:jc w:val="right"/>
              <w:ind w:right="420"/>
              <w:spacing w:after="0"/>
              <w:rPr>
                <w:sz w:val="20"/>
                <w:szCs w:val="20"/>
                <w:color w:val="auto"/>
              </w:rPr>
            </w:pPr>
            <w:r>
              <w:rPr>
                <w:rFonts w:ascii="Arial" w:cs="Arial" w:eastAsia="Arial" w:hAnsi="Arial"/>
                <w:sz w:val="12"/>
                <w:szCs w:val="12"/>
                <w:color w:val="auto"/>
              </w:rPr>
              <w:t>2.</w:t>
            </w:r>
          </w:p>
        </w:tc>
        <w:tc>
          <w:tcPr>
            <w:tcW w:w="10100" w:type="dxa"/>
            <w:vAlign w:val="bottom"/>
            <w:gridSpan w:val="3"/>
          </w:tcPr>
          <w:p>
            <w:pPr>
              <w:spacing w:after="0"/>
              <w:rPr>
                <w:sz w:val="20"/>
                <w:szCs w:val="20"/>
                <w:color w:val="auto"/>
              </w:rPr>
            </w:pPr>
            <w:r>
              <w:rPr>
                <w:rFonts w:ascii="Arial" w:cs="Arial" w:eastAsia="Arial" w:hAnsi="Arial"/>
                <w:sz w:val="12"/>
                <w:szCs w:val="12"/>
                <w:color w:val="auto"/>
              </w:rPr>
              <w:t>Exhibits (Numbered in accordance with Item 601 of Regulation S-K)</w:t>
            </w:r>
          </w:p>
        </w:tc>
      </w:tr>
      <w:tr>
        <w:trPr>
          <w:trHeight w:val="153"/>
        </w:trPr>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100" w:type="dxa"/>
            <w:vAlign w:val="bottom"/>
            <w:gridSpan w:val="3"/>
          </w:tcPr>
          <w:p>
            <w:pPr>
              <w:spacing w:after="0"/>
              <w:rPr>
                <w:sz w:val="20"/>
                <w:szCs w:val="20"/>
                <w:color w:val="auto"/>
              </w:rPr>
            </w:pPr>
            <w:r>
              <w:rPr>
                <w:rFonts w:ascii="Arial" w:cs="Arial" w:eastAsia="Arial" w:hAnsi="Arial"/>
                <w:sz w:val="12"/>
                <w:szCs w:val="12"/>
                <w:color w:val="auto"/>
              </w:rPr>
              <w:t>The Exhibit Index is located below.</w:t>
            </w:r>
          </w:p>
        </w:tc>
      </w:tr>
    </w:tbl>
    <w:p>
      <w:pPr>
        <w:spacing w:after="0" w:line="148" w:lineRule="exact"/>
        <w:rPr>
          <w:sz w:val="20"/>
          <w:szCs w:val="20"/>
          <w:color w:val="auto"/>
        </w:rPr>
      </w:pPr>
    </w:p>
    <w:p>
      <w:pPr>
        <w:ind w:left="8"/>
        <w:spacing w:after="0"/>
        <w:rPr>
          <w:sz w:val="20"/>
          <w:szCs w:val="20"/>
          <w:color w:val="auto"/>
        </w:rPr>
      </w:pPr>
      <w:r>
        <w:rPr>
          <w:rFonts w:ascii="Arial" w:cs="Arial" w:eastAsia="Arial" w:hAnsi="Arial"/>
          <w:sz w:val="14"/>
          <w:szCs w:val="14"/>
          <w:u w:val="single" w:color="auto"/>
          <w:color w:val="auto"/>
        </w:rPr>
        <w:t>EXHIBIT INDEX</w:t>
      </w:r>
    </w:p>
    <w:p>
      <w:pPr>
        <w:spacing w:after="0" w:line="163" w:lineRule="exact"/>
        <w:rPr>
          <w:sz w:val="20"/>
          <w:szCs w:val="20"/>
          <w:color w:val="auto"/>
        </w:rPr>
      </w:pPr>
    </w:p>
    <w:p>
      <w:pPr>
        <w:ind w:left="8"/>
        <w:spacing w:after="0"/>
        <w:rPr>
          <w:sz w:val="20"/>
          <w:szCs w:val="20"/>
          <w:color w:val="auto"/>
        </w:rPr>
      </w:pPr>
      <w:r>
        <w:rPr>
          <w:rFonts w:ascii="Arial" w:cs="Arial" w:eastAsia="Arial" w:hAnsi="Arial"/>
          <w:sz w:val="14"/>
          <w:szCs w:val="14"/>
          <w:u w:val="single" w:color="auto"/>
          <w:color w:val="auto"/>
        </w:rPr>
        <w:t>Exhibit number and description</w:t>
      </w:r>
    </w:p>
    <w:p>
      <w:pPr>
        <w:spacing w:after="0" w:line="13" w:lineRule="exact"/>
        <w:rPr>
          <w:sz w:val="20"/>
          <w:szCs w:val="20"/>
          <w:color w:val="auto"/>
        </w:rPr>
      </w:pPr>
    </w:p>
    <w:p>
      <w:pPr>
        <w:ind w:left="8"/>
        <w:spacing w:after="0"/>
        <w:rPr>
          <w:sz w:val="20"/>
          <w:szCs w:val="20"/>
          <w:color w:val="auto"/>
        </w:rPr>
      </w:pPr>
      <w:r>
        <w:rPr>
          <w:rFonts w:ascii="Arial" w:cs="Arial" w:eastAsia="Arial" w:hAnsi="Arial"/>
          <w:sz w:val="14"/>
          <w:szCs w:val="14"/>
          <w:color w:val="auto"/>
        </w:rPr>
        <w:t>EXHIBITS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7178040" cy="1828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182880"/>
                    </a:xfrm>
                    <a:prstGeom prst="rect">
                      <a:avLst/>
                    </a:prstGeom>
                    <a:noFill/>
                  </pic:spPr>
                </pic:pic>
              </a:graphicData>
            </a:graphic>
          </wp:anchor>
        </w:drawing>
      </w:r>
    </w:p>
    <w:p>
      <w:pPr>
        <w:ind w:left="908" w:hanging="908"/>
        <w:spacing w:after="0" w:line="249" w:lineRule="auto"/>
        <w:tabs>
          <w:tab w:leader="none" w:pos="908" w:val="left"/>
        </w:tabs>
        <w:numPr>
          <w:ilvl w:val="0"/>
          <w:numId w:val="7"/>
        </w:numPr>
        <w:rPr>
          <w:rFonts w:ascii="Arial" w:cs="Arial" w:eastAsia="Arial" w:hAnsi="Arial"/>
          <w:sz w:val="12"/>
          <w:szCs w:val="12"/>
          <w:u w:val="single" w:color="auto"/>
          <w:color w:val="0000EE"/>
        </w:rPr>
      </w:pPr>
      <w:r>
        <w:rPr>
          <w:rFonts w:ascii="Arial" w:cs="Arial" w:eastAsia="Arial" w:hAnsi="Arial"/>
          <w:sz w:val="12"/>
          <w:szCs w:val="12"/>
          <w:color w:val="auto"/>
        </w:rPr>
        <w:t>Annual report, relating to the April 19, 2022 Annual Meeting of Shareholders. This annual report will be delivered to our shareholders in compliance with Rule 14(a)-3 of the Securities Exchange Act of 1934, as amended.</w:t>
      </w:r>
    </w:p>
    <w:p>
      <w:pPr>
        <w:spacing w:after="0" w:line="1" w:lineRule="exact"/>
        <w:rPr>
          <w:sz w:val="20"/>
          <w:szCs w:val="20"/>
          <w:color w:val="auto"/>
        </w:rPr>
      </w:pPr>
    </w:p>
    <w:p>
      <w:pPr>
        <w:ind w:left="908" w:hanging="908"/>
        <w:spacing w:after="0"/>
        <w:tabs>
          <w:tab w:leader="none" w:pos="908" w:val="left"/>
        </w:tabs>
        <w:numPr>
          <w:ilvl w:val="0"/>
          <w:numId w:val="8"/>
        </w:numPr>
        <w:rPr>
          <w:rFonts w:ascii="Arial" w:cs="Arial" w:eastAsia="Arial" w:hAnsi="Arial"/>
          <w:sz w:val="12"/>
          <w:szCs w:val="12"/>
          <w:u w:val="single" w:color="auto"/>
          <w:color w:val="0000EE"/>
        </w:rPr>
      </w:pPr>
      <w:r>
        <w:rPr>
          <w:rFonts w:ascii="Arial" w:cs="Arial" w:eastAsia="Arial" w:hAnsi="Arial"/>
          <w:sz w:val="12"/>
          <w:szCs w:val="12"/>
          <w:color w:val="auto"/>
        </w:rPr>
        <w:t>List of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78040" cy="914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ind w:left="908" w:hanging="908"/>
        <w:spacing w:after="0"/>
        <w:tabs>
          <w:tab w:leader="none" w:pos="908" w:val="left"/>
        </w:tabs>
        <w:numPr>
          <w:ilvl w:val="0"/>
          <w:numId w:val="9"/>
        </w:numPr>
        <w:rPr>
          <w:rFonts w:ascii="Arial" w:cs="Arial" w:eastAsia="Arial" w:hAnsi="Arial"/>
          <w:sz w:val="12"/>
          <w:szCs w:val="12"/>
          <w:u w:val="single" w:color="auto"/>
          <w:color w:val="0000EE"/>
        </w:rPr>
      </w:pPr>
      <w:r>
        <w:rPr>
          <w:rFonts w:ascii="Arial" w:cs="Arial" w:eastAsia="Arial" w:hAnsi="Arial"/>
          <w:sz w:val="12"/>
          <w:szCs w:val="12"/>
          <w:color w:val="auto"/>
        </w:rPr>
        <w:t>Consent of Independent Registered Public Accounting Firm (Crowe LLP).</w:t>
      </w:r>
    </w:p>
    <w:p>
      <w:pPr>
        <w:spacing w:after="0" w:line="6" w:lineRule="exact"/>
        <w:rPr>
          <w:rFonts w:ascii="Arial" w:cs="Arial" w:eastAsia="Arial" w:hAnsi="Arial"/>
          <w:sz w:val="12"/>
          <w:szCs w:val="12"/>
          <w:u w:val="single" w:color="auto"/>
          <w:color w:val="0000EE"/>
        </w:rPr>
      </w:pPr>
    </w:p>
    <w:p>
      <w:pPr>
        <w:ind w:left="908" w:hanging="908"/>
        <w:spacing w:after="0" w:line="203" w:lineRule="auto"/>
        <w:tabs>
          <w:tab w:leader="none" w:pos="908" w:val="left"/>
        </w:tabs>
        <w:numPr>
          <w:ilvl w:val="0"/>
          <w:numId w:val="9"/>
        </w:numPr>
        <w:rPr>
          <w:rFonts w:ascii="Arial" w:cs="Arial" w:eastAsia="Arial" w:hAnsi="Arial"/>
          <w:sz w:val="12"/>
          <w:szCs w:val="12"/>
          <w:color w:val="0000EE"/>
        </w:rPr>
      </w:pPr>
      <w:r>
        <w:rPr>
          <w:rFonts w:ascii="Arial" w:cs="Arial" w:eastAsia="Arial" w:hAnsi="Arial"/>
          <w:sz w:val="12"/>
          <w:szCs w:val="12"/>
          <w:color w:val="auto"/>
        </w:rPr>
        <w:t>Power of Attorney (included on page 28).</w:t>
      </w:r>
    </w:p>
    <w:p>
      <w:pPr>
        <w:spacing w:after="0" w:line="20" w:lineRule="exact"/>
        <w:rPr>
          <w:sz w:val="20"/>
          <w:szCs w:val="20"/>
          <w:color w:val="auto"/>
        </w:rPr>
      </w:pPr>
    </w:p>
    <w:tbl>
      <w:tblPr>
        <w:tblLayout w:type="fixed"/>
        <w:tblInd w:w="8" w:type="dxa"/>
        <w:tblCellMar>
          <w:top w:w="0" w:type="dxa"/>
          <w:left w:w="0" w:type="dxa"/>
          <w:bottom w:w="0" w:type="dxa"/>
          <w:right w:w="0" w:type="dxa"/>
        </w:tblCellMar>
      </w:tblPr>
      <w:tr>
        <w:trPr>
          <w:trHeight w:val="20"/>
        </w:trPr>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100" w:type="dxa"/>
            <w:vAlign w:val="bottom"/>
          </w:tcPr>
          <w:p>
            <w:pPr>
              <w:spacing w:after="0" w:line="20" w:lineRule="exact"/>
              <w:rPr>
                <w:sz w:val="1"/>
                <w:szCs w:val="1"/>
                <w:color w:val="auto"/>
              </w:rPr>
            </w:pPr>
          </w:p>
        </w:tc>
      </w:tr>
      <w:tr>
        <w:trPr>
          <w:trHeight w:val="111"/>
        </w:trPr>
        <w:tc>
          <w:tcPr>
            <w:tcW w:w="200" w:type="dxa"/>
            <w:vAlign w:val="bottom"/>
            <w:tcBorders>
              <w:bottom w:val="single" w:sz="8" w:color="0000EE"/>
            </w:tcBorders>
            <w:gridSpan w:val="2"/>
            <w:shd w:val="clear" w:color="auto" w:fill="CCEEFF"/>
          </w:tcPr>
          <w:p>
            <w:pPr>
              <w:jc w:val="right"/>
              <w:spacing w:after="0" w:line="104" w:lineRule="exact"/>
              <w:rPr>
                <w:rFonts w:ascii="Arial" w:cs="Arial" w:eastAsia="Arial" w:hAnsi="Arial"/>
                <w:sz w:val="12"/>
                <w:szCs w:val="12"/>
                <w:color w:val="0000EE"/>
                <w:w w:val="76"/>
              </w:rPr>
            </w:pPr>
            <w:hyperlink w:anchor="page133">
              <w:r>
                <w:rPr>
                  <w:rFonts w:ascii="Arial" w:cs="Arial" w:eastAsia="Arial" w:hAnsi="Arial"/>
                  <w:sz w:val="12"/>
                  <w:szCs w:val="12"/>
                  <w:color w:val="0000EE"/>
                  <w:w w:val="76"/>
                </w:rPr>
                <w:t>31.</w:t>
              </w:r>
              <w:r>
                <w:rPr>
                  <w:rFonts w:ascii="Arial" w:cs="Arial" w:eastAsia="Arial" w:hAnsi="Arial"/>
                  <w:sz w:val="12"/>
                  <w:szCs w:val="12"/>
                  <w:u w:val="single" w:color="auto"/>
                  <w:color w:val="0000EE"/>
                  <w:w w:val="76"/>
                </w:rPr>
                <w:t>1</w:t>
              </w:r>
            </w:hyperlink>
          </w:p>
        </w:tc>
        <w:tc>
          <w:tcPr>
            <w:tcW w:w="11100" w:type="dxa"/>
            <w:vAlign w:val="bottom"/>
            <w:tcBorders>
              <w:bottom w:val="single" w:sz="8" w:color="CCEEFF"/>
            </w:tcBorders>
            <w:shd w:val="clear" w:color="auto" w:fill="CCEEFF"/>
          </w:tcPr>
          <w:p>
            <w:pPr>
              <w:ind w:left="700"/>
              <w:spacing w:after="0" w:line="104" w:lineRule="exact"/>
              <w:rPr>
                <w:sz w:val="20"/>
                <w:szCs w:val="20"/>
                <w:color w:val="auto"/>
              </w:rPr>
            </w:pPr>
            <w:r>
              <w:rPr>
                <w:rFonts w:ascii="Arial" w:cs="Arial" w:eastAsia="Arial" w:hAnsi="Arial"/>
                <w:sz w:val="12"/>
                <w:szCs w:val="12"/>
                <w:color w:val="auto"/>
              </w:rPr>
              <w:t>Certificate of the Chief Executive Officer of Independent Bank Corporation pursuant to Section 302 of the Sarbanes-Oxley Act of 2002.</w:t>
            </w:r>
          </w:p>
        </w:tc>
      </w:tr>
      <w:tr>
        <w:trPr>
          <w:trHeight w:val="124"/>
        </w:trPr>
        <w:tc>
          <w:tcPr>
            <w:tcW w:w="200" w:type="dxa"/>
            <w:vAlign w:val="bottom"/>
            <w:tcBorders>
              <w:bottom w:val="single" w:sz="8" w:color="0000EE"/>
            </w:tcBorders>
            <w:gridSpan w:val="2"/>
          </w:tcPr>
          <w:p>
            <w:pPr>
              <w:jc w:val="right"/>
              <w:spacing w:after="0" w:line="117" w:lineRule="exact"/>
              <w:rPr>
                <w:rFonts w:ascii="Arial" w:cs="Arial" w:eastAsia="Arial" w:hAnsi="Arial"/>
                <w:sz w:val="12"/>
                <w:szCs w:val="12"/>
                <w:color w:val="0000EE"/>
                <w:w w:val="76"/>
              </w:rPr>
            </w:pPr>
            <w:hyperlink w:anchor="page134">
              <w:r>
                <w:rPr>
                  <w:rFonts w:ascii="Arial" w:cs="Arial" w:eastAsia="Arial" w:hAnsi="Arial"/>
                  <w:sz w:val="12"/>
                  <w:szCs w:val="12"/>
                  <w:color w:val="0000EE"/>
                  <w:w w:val="76"/>
                </w:rPr>
                <w:t>31.</w:t>
              </w:r>
              <w:r>
                <w:rPr>
                  <w:rFonts w:ascii="Arial" w:cs="Arial" w:eastAsia="Arial" w:hAnsi="Arial"/>
                  <w:sz w:val="12"/>
                  <w:szCs w:val="12"/>
                  <w:u w:val="single" w:color="auto"/>
                  <w:color w:val="0000EE"/>
                  <w:w w:val="76"/>
                </w:rPr>
                <w:t>2</w:t>
              </w:r>
            </w:hyperlink>
          </w:p>
        </w:tc>
        <w:tc>
          <w:tcPr>
            <w:tcW w:w="11100" w:type="dxa"/>
            <w:vAlign w:val="bottom"/>
          </w:tcPr>
          <w:p>
            <w:pPr>
              <w:ind w:left="700"/>
              <w:spacing w:after="0" w:line="117" w:lineRule="exact"/>
              <w:rPr>
                <w:sz w:val="20"/>
                <w:szCs w:val="20"/>
                <w:color w:val="auto"/>
              </w:rPr>
            </w:pPr>
            <w:r>
              <w:rPr>
                <w:rFonts w:ascii="Arial" w:cs="Arial" w:eastAsia="Arial" w:hAnsi="Arial"/>
                <w:sz w:val="12"/>
                <w:szCs w:val="12"/>
                <w:color w:val="auto"/>
              </w:rPr>
              <w:t>Certificate of the Chief Financial Officer of Independent Bank Corporation pursuant to Section 302 of the Sarbanes-Oxley Act of 2002.</w:t>
            </w:r>
          </w:p>
        </w:tc>
      </w:tr>
      <w:tr>
        <w:trPr>
          <w:trHeight w:val="124"/>
        </w:trPr>
        <w:tc>
          <w:tcPr>
            <w:tcW w:w="200" w:type="dxa"/>
            <w:vAlign w:val="bottom"/>
            <w:tcBorders>
              <w:bottom w:val="single" w:sz="8" w:color="0000EE"/>
            </w:tcBorders>
            <w:gridSpan w:val="2"/>
            <w:shd w:val="clear" w:color="auto" w:fill="CCEEFF"/>
          </w:tcPr>
          <w:p>
            <w:pPr>
              <w:jc w:val="right"/>
              <w:spacing w:after="0" w:line="117" w:lineRule="exact"/>
              <w:rPr>
                <w:rFonts w:ascii="Arial" w:cs="Arial" w:eastAsia="Arial" w:hAnsi="Arial"/>
                <w:sz w:val="12"/>
                <w:szCs w:val="12"/>
                <w:color w:val="0000EE"/>
                <w:w w:val="76"/>
              </w:rPr>
            </w:pPr>
            <w:hyperlink w:anchor="page135">
              <w:r>
                <w:rPr>
                  <w:rFonts w:ascii="Arial" w:cs="Arial" w:eastAsia="Arial" w:hAnsi="Arial"/>
                  <w:sz w:val="12"/>
                  <w:szCs w:val="12"/>
                  <w:color w:val="0000EE"/>
                  <w:w w:val="76"/>
                </w:rPr>
                <w:t>32.</w:t>
              </w:r>
              <w:r>
                <w:rPr>
                  <w:rFonts w:ascii="Arial" w:cs="Arial" w:eastAsia="Arial" w:hAnsi="Arial"/>
                  <w:sz w:val="12"/>
                  <w:szCs w:val="12"/>
                  <w:u w:val="single" w:color="auto"/>
                  <w:color w:val="0000EE"/>
                  <w:w w:val="76"/>
                </w:rPr>
                <w:t>1</w:t>
              </w:r>
            </w:hyperlink>
          </w:p>
        </w:tc>
        <w:tc>
          <w:tcPr>
            <w:tcW w:w="11100" w:type="dxa"/>
            <w:vAlign w:val="bottom"/>
            <w:tcBorders>
              <w:bottom w:val="single" w:sz="8" w:color="CCEEFF"/>
            </w:tcBorders>
            <w:shd w:val="clear" w:color="auto" w:fill="CCEEFF"/>
          </w:tcPr>
          <w:p>
            <w:pPr>
              <w:ind w:left="700"/>
              <w:spacing w:after="0" w:line="117" w:lineRule="exact"/>
              <w:rPr>
                <w:sz w:val="20"/>
                <w:szCs w:val="20"/>
                <w:color w:val="auto"/>
              </w:rPr>
            </w:pPr>
            <w:r>
              <w:rPr>
                <w:rFonts w:ascii="Arial" w:cs="Arial" w:eastAsia="Arial" w:hAnsi="Arial"/>
                <w:sz w:val="12"/>
                <w:szCs w:val="12"/>
                <w:color w:val="auto"/>
              </w:rPr>
              <w:t>Certificate of the Chief Executive Officer of Independent Bank Corporation pursuant to Section 906 of the Sarbanes-Oxley Act of 2002.</w:t>
            </w:r>
          </w:p>
        </w:tc>
      </w:tr>
      <w:tr>
        <w:trPr>
          <w:trHeight w:val="117"/>
        </w:trPr>
        <w:tc>
          <w:tcPr>
            <w:tcW w:w="200" w:type="dxa"/>
            <w:vAlign w:val="bottom"/>
            <w:tcBorders>
              <w:bottom w:val="single" w:sz="8" w:color="0000EE"/>
            </w:tcBorders>
            <w:gridSpan w:val="2"/>
          </w:tcPr>
          <w:p>
            <w:pPr>
              <w:jc w:val="right"/>
              <w:spacing w:after="0" w:line="117" w:lineRule="exact"/>
              <w:rPr>
                <w:rFonts w:ascii="Arial" w:cs="Arial" w:eastAsia="Arial" w:hAnsi="Arial"/>
                <w:sz w:val="12"/>
                <w:szCs w:val="12"/>
                <w:color w:val="0000EE"/>
                <w:w w:val="76"/>
              </w:rPr>
            </w:pPr>
            <w:hyperlink w:anchor="page136">
              <w:r>
                <w:rPr>
                  <w:rFonts w:ascii="Arial" w:cs="Arial" w:eastAsia="Arial" w:hAnsi="Arial"/>
                  <w:sz w:val="12"/>
                  <w:szCs w:val="12"/>
                  <w:color w:val="0000EE"/>
                  <w:w w:val="76"/>
                </w:rPr>
                <w:t>32.</w:t>
              </w:r>
              <w:r>
                <w:rPr>
                  <w:rFonts w:ascii="Arial" w:cs="Arial" w:eastAsia="Arial" w:hAnsi="Arial"/>
                  <w:sz w:val="12"/>
                  <w:szCs w:val="12"/>
                  <w:u w:val="single" w:color="auto"/>
                  <w:color w:val="0000EE"/>
                  <w:w w:val="76"/>
                </w:rPr>
                <w:t>2</w:t>
              </w:r>
            </w:hyperlink>
          </w:p>
        </w:tc>
        <w:tc>
          <w:tcPr>
            <w:tcW w:w="11100" w:type="dxa"/>
            <w:vAlign w:val="bottom"/>
          </w:tcPr>
          <w:p>
            <w:pPr>
              <w:ind w:left="700"/>
              <w:spacing w:after="0" w:line="117" w:lineRule="exact"/>
              <w:rPr>
                <w:sz w:val="20"/>
                <w:szCs w:val="20"/>
                <w:color w:val="auto"/>
              </w:rPr>
            </w:pPr>
            <w:r>
              <w:rPr>
                <w:rFonts w:ascii="Arial" w:cs="Arial" w:eastAsia="Arial" w:hAnsi="Arial"/>
                <w:sz w:val="12"/>
                <w:szCs w:val="12"/>
                <w:color w:val="auto"/>
              </w:rPr>
              <w:t>Certificate of the Chief Financial Officer of Independent Bank Corporation pursuant to Section 906 of the Sarbanes-Oxley Act of 2002.</w:t>
            </w:r>
          </w:p>
        </w:tc>
      </w:tr>
    </w:tbl>
    <w:p>
      <w:pPr>
        <w:spacing w:after="0" w:line="166" w:lineRule="exact"/>
        <w:rPr>
          <w:sz w:val="20"/>
          <w:szCs w:val="20"/>
          <w:color w:val="auto"/>
        </w:rPr>
      </w:pPr>
    </w:p>
    <w:p>
      <w:pPr>
        <w:ind w:left="8"/>
        <w:spacing w:after="0"/>
        <w:rPr>
          <w:sz w:val="20"/>
          <w:szCs w:val="20"/>
          <w:color w:val="auto"/>
        </w:rPr>
      </w:pPr>
      <w:r>
        <w:rPr>
          <w:rFonts w:ascii="Arial" w:cs="Arial" w:eastAsia="Arial" w:hAnsi="Arial"/>
          <w:sz w:val="14"/>
          <w:szCs w:val="14"/>
          <w:color w:val="auto"/>
        </w:rPr>
        <w:t>101.INS Inline XBRL Instance Document (the instance document does not appear in the Interactive Data File because its XBRL tags are embedded within the Inline XBRL document)</w:t>
      </w:r>
    </w:p>
    <w:p>
      <w:pPr>
        <w:spacing w:after="0" w:line="13" w:lineRule="exact"/>
        <w:rPr>
          <w:sz w:val="20"/>
          <w:szCs w:val="20"/>
          <w:color w:val="auto"/>
        </w:rPr>
      </w:pPr>
    </w:p>
    <w:p>
      <w:pPr>
        <w:ind w:left="8"/>
        <w:spacing w:after="0"/>
        <w:rPr>
          <w:sz w:val="20"/>
          <w:szCs w:val="20"/>
          <w:color w:val="auto"/>
        </w:rPr>
      </w:pPr>
      <w:r>
        <w:rPr>
          <w:rFonts w:ascii="Arial" w:cs="Arial" w:eastAsia="Arial" w:hAnsi="Arial"/>
          <w:sz w:val="14"/>
          <w:szCs w:val="14"/>
          <w:color w:val="auto"/>
        </w:rPr>
        <w:t>101.SCH Inline XBRL Taxonomy Extension Schema Document</w:t>
      </w:r>
    </w:p>
    <w:p>
      <w:pPr>
        <w:spacing w:after="0" w:line="1" w:lineRule="exact"/>
        <w:rPr>
          <w:sz w:val="20"/>
          <w:szCs w:val="20"/>
          <w:color w:val="auto"/>
        </w:rPr>
      </w:pPr>
    </w:p>
    <w:p>
      <w:pPr>
        <w:ind w:left="8"/>
        <w:spacing w:after="0"/>
        <w:rPr>
          <w:sz w:val="20"/>
          <w:szCs w:val="20"/>
          <w:color w:val="auto"/>
        </w:rPr>
      </w:pPr>
      <w:r>
        <w:rPr>
          <w:rFonts w:ascii="Arial" w:cs="Arial" w:eastAsia="Arial" w:hAnsi="Arial"/>
          <w:sz w:val="14"/>
          <w:szCs w:val="14"/>
          <w:color w:val="auto"/>
        </w:rPr>
        <w:t>101.CAL Inline XBRL Taxonomy Extension Calculation Linkbase Document</w:t>
      </w:r>
    </w:p>
    <w:p>
      <w:pPr>
        <w:spacing w:after="0" w:line="1" w:lineRule="exact"/>
        <w:rPr>
          <w:sz w:val="20"/>
          <w:szCs w:val="20"/>
          <w:color w:val="auto"/>
        </w:rPr>
      </w:pPr>
    </w:p>
    <w:p>
      <w:pPr>
        <w:ind w:left="8"/>
        <w:spacing w:after="0"/>
        <w:rPr>
          <w:sz w:val="20"/>
          <w:szCs w:val="20"/>
          <w:color w:val="auto"/>
        </w:rPr>
      </w:pPr>
      <w:r>
        <w:rPr>
          <w:rFonts w:ascii="Arial" w:cs="Arial" w:eastAsia="Arial" w:hAnsi="Arial"/>
          <w:sz w:val="14"/>
          <w:szCs w:val="14"/>
          <w:color w:val="auto"/>
        </w:rPr>
        <w:t>101.DEF Inline XBRL Taxonomy Extension Definition Linkbase Document</w:t>
      </w:r>
    </w:p>
    <w:p>
      <w:pPr>
        <w:spacing w:after="0" w:line="1" w:lineRule="exact"/>
        <w:rPr>
          <w:sz w:val="20"/>
          <w:szCs w:val="20"/>
          <w:color w:val="auto"/>
        </w:rPr>
      </w:pPr>
    </w:p>
    <w:p>
      <w:pPr>
        <w:ind w:left="8"/>
        <w:spacing w:after="0"/>
        <w:rPr>
          <w:sz w:val="20"/>
          <w:szCs w:val="20"/>
          <w:color w:val="auto"/>
        </w:rPr>
      </w:pPr>
      <w:r>
        <w:rPr>
          <w:rFonts w:ascii="Arial" w:cs="Arial" w:eastAsia="Arial" w:hAnsi="Arial"/>
          <w:sz w:val="14"/>
          <w:szCs w:val="14"/>
          <w:color w:val="auto"/>
        </w:rPr>
        <w:t>101.LAB Inline XBRL Taxonomy Extension Label Linkbase Document</w:t>
      </w:r>
    </w:p>
    <w:p>
      <w:pPr>
        <w:spacing w:after="0" w:line="1" w:lineRule="exact"/>
        <w:rPr>
          <w:sz w:val="20"/>
          <w:szCs w:val="20"/>
          <w:color w:val="auto"/>
        </w:rPr>
      </w:pPr>
    </w:p>
    <w:p>
      <w:pPr>
        <w:ind w:left="8"/>
        <w:spacing w:after="0"/>
        <w:rPr>
          <w:sz w:val="20"/>
          <w:szCs w:val="20"/>
          <w:color w:val="auto"/>
        </w:rPr>
      </w:pPr>
      <w:r>
        <w:rPr>
          <w:rFonts w:ascii="Arial" w:cs="Arial" w:eastAsia="Arial" w:hAnsi="Arial"/>
          <w:sz w:val="14"/>
          <w:szCs w:val="14"/>
          <w:color w:val="auto"/>
        </w:rPr>
        <w:t>101.PRE Inline XBRL Taxonomy Extension Presentation Linkbase Document</w:t>
      </w:r>
    </w:p>
    <w:p>
      <w:pPr>
        <w:spacing w:after="0" w:line="1" w:lineRule="exact"/>
        <w:rPr>
          <w:sz w:val="20"/>
          <w:szCs w:val="20"/>
          <w:color w:val="auto"/>
        </w:rPr>
      </w:pPr>
    </w:p>
    <w:p>
      <w:pPr>
        <w:ind w:left="8"/>
        <w:spacing w:after="0"/>
        <w:rPr>
          <w:sz w:val="20"/>
          <w:szCs w:val="20"/>
          <w:color w:val="auto"/>
        </w:rPr>
      </w:pPr>
      <w:r>
        <w:rPr>
          <w:rFonts w:ascii="Arial" w:cs="Arial" w:eastAsia="Arial" w:hAnsi="Arial"/>
          <w:sz w:val="14"/>
          <w:szCs w:val="14"/>
          <w:color w:val="auto"/>
        </w:rPr>
        <w:t>104 Cover page interactive data file (formatted as inline XBRL and contained in Exhibit 101)</w:t>
      </w:r>
    </w:p>
    <w:p>
      <w:pPr>
        <w:spacing w:after="0" w:line="151" w:lineRule="exact"/>
        <w:rPr>
          <w:sz w:val="20"/>
          <w:szCs w:val="20"/>
          <w:color w:val="auto"/>
        </w:rPr>
      </w:pPr>
    </w:p>
    <w:p>
      <w:pPr>
        <w:ind w:left="8"/>
        <w:spacing w:after="0"/>
        <w:rPr>
          <w:sz w:val="20"/>
          <w:szCs w:val="20"/>
          <w:color w:val="auto"/>
        </w:rPr>
      </w:pPr>
      <w:r>
        <w:rPr>
          <w:rFonts w:ascii="Arial" w:cs="Arial" w:eastAsia="Arial" w:hAnsi="Arial"/>
          <w:sz w:val="14"/>
          <w:szCs w:val="14"/>
          <w:color w:val="auto"/>
        </w:rPr>
        <w:t>EXHIBITS INCORPORATED BY REFERENCE</w:t>
      </w:r>
    </w:p>
    <w:p>
      <w:pPr>
        <w:spacing w:after="0" w:line="156"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260" w:type="dxa"/>
            <w:vAlign w:val="bottom"/>
            <w:gridSpan w:val="2"/>
            <w:shd w:val="clear" w:color="auto" w:fill="CCEEFF"/>
          </w:tcPr>
          <w:p>
            <w:pPr>
              <w:spacing w:after="0"/>
              <w:rPr>
                <w:rFonts w:ascii="Arial" w:cs="Arial" w:eastAsia="Arial" w:hAnsi="Arial"/>
                <w:sz w:val="12"/>
                <w:szCs w:val="12"/>
                <w:color w:val="0000EE"/>
              </w:rPr>
            </w:pPr>
            <w:hyperlink r:id="rId47">
              <w:r>
                <w:rPr>
                  <w:rFonts w:ascii="Arial" w:cs="Arial" w:eastAsia="Arial" w:hAnsi="Arial"/>
                  <w:sz w:val="12"/>
                  <w:szCs w:val="12"/>
                  <w:color w:val="0000EE"/>
                </w:rPr>
                <w:t>3.</w:t>
              </w:r>
              <w:r>
                <w:rPr>
                  <w:rFonts w:ascii="Arial" w:cs="Arial" w:eastAsia="Arial" w:hAnsi="Arial"/>
                  <w:sz w:val="12"/>
                  <w:szCs w:val="12"/>
                  <w:u w:val="single" w:color="auto"/>
                  <w:color w:val="0000EE"/>
                </w:rPr>
                <w:t>1</w:t>
              </w:r>
            </w:hyperlink>
          </w:p>
        </w:tc>
        <w:tc>
          <w:tcPr>
            <w:tcW w:w="320" w:type="dxa"/>
            <w:vAlign w:val="bottom"/>
            <w:shd w:val="clear" w:color="auto" w:fill="CCEEFF"/>
          </w:tcPr>
          <w:p>
            <w:pPr>
              <w:spacing w:after="0"/>
              <w:rPr>
                <w:sz w:val="12"/>
                <w:szCs w:val="12"/>
                <w:color w:val="auto"/>
              </w:rPr>
            </w:pPr>
          </w:p>
        </w:tc>
        <w:tc>
          <w:tcPr>
            <w:tcW w:w="10720" w:type="dxa"/>
            <w:vAlign w:val="bottom"/>
            <w:shd w:val="clear" w:color="auto" w:fill="CCEEFF"/>
          </w:tcPr>
          <w:p>
            <w:pPr>
              <w:ind w:left="320"/>
              <w:spacing w:after="0"/>
              <w:rPr>
                <w:sz w:val="20"/>
                <w:szCs w:val="20"/>
                <w:color w:val="auto"/>
              </w:rPr>
            </w:pPr>
            <w:r>
              <w:rPr>
                <w:rFonts w:ascii="Arial" w:cs="Arial" w:eastAsia="Arial" w:hAnsi="Arial"/>
                <w:sz w:val="12"/>
                <w:szCs w:val="12"/>
                <w:color w:val="auto"/>
              </w:rPr>
              <w:t>Restated Articles of Incorporation (incorporated herein by reference to Exhibit 3.1 to our quarterly report on Form 10-Q filed November 3, 2017).</w:t>
            </w:r>
          </w:p>
        </w:tc>
      </w:tr>
      <w:tr>
        <w:trPr>
          <w:trHeight w:val="27"/>
        </w:trPr>
        <w:tc>
          <w:tcPr>
            <w:tcW w:w="140" w:type="dxa"/>
            <w:vAlign w:val="bottom"/>
            <w:shd w:val="clear" w:color="auto" w:fill="0000EE"/>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720" w:type="dxa"/>
            <w:vAlign w:val="bottom"/>
            <w:shd w:val="clear" w:color="auto" w:fill="CCEEFF"/>
          </w:tcPr>
          <w:p>
            <w:pPr>
              <w:spacing w:after="0"/>
              <w:rPr>
                <w:sz w:val="2"/>
                <w:szCs w:val="2"/>
                <w:color w:val="auto"/>
              </w:rPr>
            </w:pPr>
          </w:p>
        </w:tc>
      </w:tr>
      <w:tr>
        <w:trPr>
          <w:trHeight w:val="117"/>
        </w:trPr>
        <w:tc>
          <w:tcPr>
            <w:tcW w:w="260" w:type="dxa"/>
            <w:vAlign w:val="bottom"/>
            <w:gridSpan w:val="2"/>
          </w:tcPr>
          <w:p>
            <w:pPr>
              <w:spacing w:after="0" w:line="117" w:lineRule="exact"/>
              <w:rPr>
                <w:rFonts w:ascii="Arial" w:cs="Arial" w:eastAsia="Arial" w:hAnsi="Arial"/>
                <w:sz w:val="12"/>
                <w:szCs w:val="12"/>
                <w:color w:val="0000EE"/>
              </w:rPr>
            </w:pPr>
            <w:hyperlink r:id="rId48">
              <w:r>
                <w:rPr>
                  <w:rFonts w:ascii="Arial" w:cs="Arial" w:eastAsia="Arial" w:hAnsi="Arial"/>
                  <w:sz w:val="12"/>
                  <w:szCs w:val="12"/>
                  <w:color w:val="0000EE"/>
                </w:rPr>
                <w:t>3.</w:t>
              </w:r>
              <w:r>
                <w:rPr>
                  <w:rFonts w:ascii="Arial" w:cs="Arial" w:eastAsia="Arial" w:hAnsi="Arial"/>
                  <w:sz w:val="12"/>
                  <w:szCs w:val="12"/>
                  <w:u w:val="single" w:color="auto"/>
                  <w:color w:val="0000EE"/>
                </w:rPr>
                <w:t>2</w:t>
              </w:r>
            </w:hyperlink>
          </w:p>
        </w:tc>
        <w:tc>
          <w:tcPr>
            <w:tcW w:w="320" w:type="dxa"/>
            <w:vAlign w:val="bottom"/>
          </w:tcPr>
          <w:p>
            <w:pPr>
              <w:spacing w:after="0"/>
              <w:rPr>
                <w:sz w:val="10"/>
                <w:szCs w:val="10"/>
                <w:color w:val="auto"/>
              </w:rPr>
            </w:pPr>
          </w:p>
        </w:tc>
        <w:tc>
          <w:tcPr>
            <w:tcW w:w="10720" w:type="dxa"/>
            <w:vAlign w:val="bottom"/>
          </w:tcPr>
          <w:p>
            <w:pPr>
              <w:ind w:left="320"/>
              <w:spacing w:after="0" w:line="117" w:lineRule="exact"/>
              <w:rPr>
                <w:sz w:val="20"/>
                <w:szCs w:val="20"/>
                <w:color w:val="auto"/>
              </w:rPr>
            </w:pPr>
            <w:r>
              <w:rPr>
                <w:rFonts w:ascii="Arial" w:cs="Arial" w:eastAsia="Arial" w:hAnsi="Arial"/>
                <w:sz w:val="12"/>
                <w:szCs w:val="12"/>
                <w:color w:val="auto"/>
              </w:rPr>
              <w:t>Amended and Restated Bylaws (incorporated here by reference to Exhibit 3.2 to our annual report on Form 10-K filed March 7, 2017).</w:t>
            </w:r>
          </w:p>
        </w:tc>
      </w:tr>
      <w:tr>
        <w:trPr>
          <w:trHeight w:val="27"/>
        </w:trPr>
        <w:tc>
          <w:tcPr>
            <w:tcW w:w="14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720" w:type="dxa"/>
            <w:vAlign w:val="bottom"/>
          </w:tcPr>
          <w:p>
            <w:pPr>
              <w:spacing w:after="0"/>
              <w:rPr>
                <w:sz w:val="2"/>
                <w:szCs w:val="2"/>
                <w:color w:val="auto"/>
              </w:rPr>
            </w:pPr>
          </w:p>
        </w:tc>
      </w:tr>
      <w:tr>
        <w:trPr>
          <w:trHeight w:val="117"/>
        </w:trPr>
        <w:tc>
          <w:tcPr>
            <w:tcW w:w="260" w:type="dxa"/>
            <w:vAlign w:val="bottom"/>
            <w:gridSpan w:val="2"/>
            <w:shd w:val="clear" w:color="auto" w:fill="CCEEFF"/>
          </w:tcPr>
          <w:p>
            <w:pPr>
              <w:spacing w:after="0" w:line="117" w:lineRule="exact"/>
              <w:rPr>
                <w:rFonts w:ascii="Arial" w:cs="Arial" w:eastAsia="Arial" w:hAnsi="Arial"/>
                <w:sz w:val="12"/>
                <w:szCs w:val="12"/>
                <w:color w:val="0000EE"/>
              </w:rPr>
            </w:pPr>
            <w:hyperlink r:id="rId49">
              <w:r>
                <w:rPr>
                  <w:rFonts w:ascii="Arial" w:cs="Arial" w:eastAsia="Arial" w:hAnsi="Arial"/>
                  <w:sz w:val="12"/>
                  <w:szCs w:val="12"/>
                  <w:color w:val="0000EE"/>
                </w:rPr>
                <w:t>4.</w:t>
              </w:r>
              <w:r>
                <w:rPr>
                  <w:rFonts w:ascii="Arial" w:cs="Arial" w:eastAsia="Arial" w:hAnsi="Arial"/>
                  <w:sz w:val="12"/>
                  <w:szCs w:val="12"/>
                  <w:u w:val="single" w:color="auto"/>
                  <w:color w:val="0000EE"/>
                </w:rPr>
                <w:t>1</w:t>
              </w:r>
            </w:hyperlink>
          </w:p>
        </w:tc>
        <w:tc>
          <w:tcPr>
            <w:tcW w:w="320" w:type="dxa"/>
            <w:vAlign w:val="bottom"/>
            <w:shd w:val="clear" w:color="auto" w:fill="CCEEFF"/>
          </w:tcPr>
          <w:p>
            <w:pPr>
              <w:spacing w:after="0"/>
              <w:rPr>
                <w:sz w:val="10"/>
                <w:szCs w:val="10"/>
                <w:color w:val="auto"/>
              </w:rPr>
            </w:pPr>
          </w:p>
        </w:tc>
        <w:tc>
          <w:tcPr>
            <w:tcW w:w="10720" w:type="dxa"/>
            <w:vAlign w:val="bottom"/>
            <w:shd w:val="clear" w:color="auto" w:fill="CCEEFF"/>
          </w:tcPr>
          <w:p>
            <w:pPr>
              <w:ind w:left="320"/>
              <w:spacing w:after="0" w:line="117" w:lineRule="exact"/>
              <w:rPr>
                <w:sz w:val="20"/>
                <w:szCs w:val="20"/>
                <w:color w:val="auto"/>
              </w:rPr>
            </w:pPr>
            <w:r>
              <w:rPr>
                <w:rFonts w:ascii="Arial" w:cs="Arial" w:eastAsia="Arial" w:hAnsi="Arial"/>
                <w:sz w:val="12"/>
                <w:szCs w:val="12"/>
                <w:color w:val="auto"/>
              </w:rPr>
              <w:t>Description of Registrant’s Common Stock (incorporated here by reference to Exhibit 4 to our annual report on Form 10-K filed March 6, 2020).</w:t>
            </w:r>
          </w:p>
        </w:tc>
      </w:tr>
      <w:tr>
        <w:trPr>
          <w:trHeight w:val="27"/>
        </w:trPr>
        <w:tc>
          <w:tcPr>
            <w:tcW w:w="140" w:type="dxa"/>
            <w:vAlign w:val="bottom"/>
            <w:shd w:val="clear" w:color="auto" w:fill="0000EE"/>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720" w:type="dxa"/>
            <w:vAlign w:val="bottom"/>
            <w:shd w:val="clear" w:color="auto" w:fill="CCEEFF"/>
          </w:tcPr>
          <w:p>
            <w:pPr>
              <w:spacing w:after="0"/>
              <w:rPr>
                <w:sz w:val="2"/>
                <w:szCs w:val="2"/>
                <w:color w:val="auto"/>
              </w:rPr>
            </w:pPr>
          </w:p>
        </w:tc>
      </w:tr>
      <w:tr>
        <w:trPr>
          <w:trHeight w:val="117"/>
        </w:trPr>
        <w:tc>
          <w:tcPr>
            <w:tcW w:w="260" w:type="dxa"/>
            <w:vAlign w:val="bottom"/>
            <w:gridSpan w:val="2"/>
          </w:tcPr>
          <w:p>
            <w:pPr>
              <w:spacing w:after="0" w:line="117" w:lineRule="exact"/>
              <w:rPr>
                <w:rFonts w:ascii="Arial" w:cs="Arial" w:eastAsia="Arial" w:hAnsi="Arial"/>
                <w:sz w:val="12"/>
                <w:szCs w:val="12"/>
                <w:color w:val="0000EE"/>
              </w:rPr>
            </w:pPr>
            <w:hyperlink r:id="rId50">
              <w:r>
                <w:rPr>
                  <w:rFonts w:ascii="Arial" w:cs="Arial" w:eastAsia="Arial" w:hAnsi="Arial"/>
                  <w:sz w:val="12"/>
                  <w:szCs w:val="12"/>
                  <w:color w:val="0000EE"/>
                </w:rPr>
                <w:t>4.</w:t>
              </w:r>
              <w:r>
                <w:rPr>
                  <w:rFonts w:ascii="Arial" w:cs="Arial" w:eastAsia="Arial" w:hAnsi="Arial"/>
                  <w:sz w:val="12"/>
                  <w:szCs w:val="12"/>
                  <w:u w:val="single" w:color="auto"/>
                  <w:color w:val="0000EE"/>
                </w:rPr>
                <w:t>2</w:t>
              </w:r>
            </w:hyperlink>
          </w:p>
        </w:tc>
        <w:tc>
          <w:tcPr>
            <w:tcW w:w="320" w:type="dxa"/>
            <w:vAlign w:val="bottom"/>
          </w:tcPr>
          <w:p>
            <w:pPr>
              <w:spacing w:after="0"/>
              <w:rPr>
                <w:sz w:val="10"/>
                <w:szCs w:val="10"/>
                <w:color w:val="auto"/>
              </w:rPr>
            </w:pPr>
          </w:p>
        </w:tc>
        <w:tc>
          <w:tcPr>
            <w:tcW w:w="10720" w:type="dxa"/>
            <w:vAlign w:val="bottom"/>
          </w:tcPr>
          <w:p>
            <w:pPr>
              <w:ind w:left="320"/>
              <w:spacing w:after="0" w:line="117" w:lineRule="exact"/>
              <w:rPr>
                <w:sz w:val="20"/>
                <w:szCs w:val="20"/>
                <w:color w:val="auto"/>
              </w:rPr>
            </w:pPr>
            <w:r>
              <w:rPr>
                <w:rFonts w:ascii="Arial" w:cs="Arial" w:eastAsia="Arial" w:hAnsi="Arial"/>
                <w:sz w:val="12"/>
                <w:szCs w:val="12"/>
                <w:color w:val="auto"/>
                <w:w w:val="96"/>
              </w:rPr>
              <w:t>Form of 5.95% Fixed-to-Floating Rate Subordinated Note due 2030 (included as Exhibit A to the Form of Subordinated Note Purchase Agreement filed as Exhibit 10.8 to this Annual Report on Form 10-K).</w:t>
            </w:r>
          </w:p>
        </w:tc>
      </w:tr>
      <w:tr>
        <w:trPr>
          <w:trHeight w:val="27"/>
        </w:trPr>
        <w:tc>
          <w:tcPr>
            <w:tcW w:w="14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720" w:type="dxa"/>
            <w:vAlign w:val="bottom"/>
          </w:tcPr>
          <w:p>
            <w:pPr>
              <w:spacing w:after="0"/>
              <w:rPr>
                <w:sz w:val="2"/>
                <w:szCs w:val="2"/>
                <w:color w:val="auto"/>
              </w:rPr>
            </w:pPr>
          </w:p>
        </w:tc>
      </w:tr>
      <w:tr>
        <w:trPr>
          <w:trHeight w:val="117"/>
        </w:trPr>
        <w:tc>
          <w:tcPr>
            <w:tcW w:w="580" w:type="dxa"/>
            <w:vAlign w:val="bottom"/>
            <w:gridSpan w:val="3"/>
            <w:shd w:val="clear" w:color="auto" w:fill="CCEEFF"/>
          </w:tcPr>
          <w:p>
            <w:pPr>
              <w:spacing w:after="0" w:line="117" w:lineRule="exact"/>
              <w:rPr>
                <w:rFonts w:ascii="Arial" w:cs="Arial" w:eastAsia="Arial" w:hAnsi="Arial"/>
                <w:sz w:val="12"/>
                <w:szCs w:val="12"/>
                <w:color w:val="0000EE"/>
              </w:rPr>
            </w:pPr>
            <w:hyperlink r:id="rId51">
              <w:r>
                <w:rPr>
                  <w:rFonts w:ascii="Arial" w:cs="Arial" w:eastAsia="Arial" w:hAnsi="Arial"/>
                  <w:sz w:val="12"/>
                  <w:szCs w:val="12"/>
                  <w:color w:val="0000EE"/>
                </w:rPr>
                <w:t>10.</w:t>
              </w:r>
              <w:r>
                <w:rPr>
                  <w:rFonts w:ascii="Arial" w:cs="Arial" w:eastAsia="Arial" w:hAnsi="Arial"/>
                  <w:sz w:val="12"/>
                  <w:szCs w:val="12"/>
                  <w:u w:val="single" w:color="auto"/>
                  <w:color w:val="0000EE"/>
                </w:rPr>
                <w:t>1*</w:t>
              </w:r>
            </w:hyperlink>
          </w:p>
        </w:tc>
        <w:tc>
          <w:tcPr>
            <w:tcW w:w="10720" w:type="dxa"/>
            <w:vAlign w:val="bottom"/>
            <w:shd w:val="clear" w:color="auto" w:fill="CCEEFF"/>
          </w:tcPr>
          <w:p>
            <w:pPr>
              <w:ind w:left="320"/>
              <w:spacing w:after="0" w:line="117" w:lineRule="exact"/>
              <w:rPr>
                <w:sz w:val="20"/>
                <w:szCs w:val="20"/>
                <w:color w:val="auto"/>
              </w:rPr>
            </w:pPr>
            <w:r>
              <w:rPr>
                <w:rFonts w:ascii="Arial" w:cs="Arial" w:eastAsia="Arial" w:hAnsi="Arial"/>
                <w:sz w:val="12"/>
                <w:szCs w:val="12"/>
                <w:color w:val="auto"/>
              </w:rPr>
              <w:t>The form of Indemnity Agreement, as executed with all of the directors of the registrant (incorporated herein by reference to Exhibit 10.3 to the Form S-4 we filed on December 29, 2017).</w:t>
            </w:r>
          </w:p>
        </w:tc>
      </w:tr>
      <w:tr>
        <w:trPr>
          <w:trHeight w:val="27"/>
        </w:trPr>
        <w:tc>
          <w:tcPr>
            <w:tcW w:w="14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720" w:type="dxa"/>
            <w:vAlign w:val="bottom"/>
            <w:shd w:val="clear" w:color="auto" w:fill="CCEEFF"/>
          </w:tcPr>
          <w:p>
            <w:pPr>
              <w:spacing w:after="0"/>
              <w:rPr>
                <w:sz w:val="2"/>
                <w:szCs w:val="2"/>
                <w:color w:val="auto"/>
              </w:rPr>
            </w:pPr>
          </w:p>
        </w:tc>
      </w:tr>
      <w:tr>
        <w:trPr>
          <w:trHeight w:val="117"/>
        </w:trPr>
        <w:tc>
          <w:tcPr>
            <w:tcW w:w="580" w:type="dxa"/>
            <w:vAlign w:val="bottom"/>
            <w:gridSpan w:val="3"/>
          </w:tcPr>
          <w:p>
            <w:pPr>
              <w:spacing w:after="0" w:line="117" w:lineRule="exact"/>
              <w:rPr>
                <w:rFonts w:ascii="Arial" w:cs="Arial" w:eastAsia="Arial" w:hAnsi="Arial"/>
                <w:sz w:val="12"/>
                <w:szCs w:val="12"/>
                <w:color w:val="0000EE"/>
              </w:rPr>
            </w:pPr>
            <w:hyperlink r:id="rId52">
              <w:r>
                <w:rPr>
                  <w:rFonts w:ascii="Arial" w:cs="Arial" w:eastAsia="Arial" w:hAnsi="Arial"/>
                  <w:sz w:val="12"/>
                  <w:szCs w:val="12"/>
                  <w:color w:val="0000EE"/>
                </w:rPr>
                <w:t>10.</w:t>
              </w:r>
              <w:r>
                <w:rPr>
                  <w:rFonts w:ascii="Arial" w:cs="Arial" w:eastAsia="Arial" w:hAnsi="Arial"/>
                  <w:sz w:val="12"/>
                  <w:szCs w:val="12"/>
                  <w:u w:val="single" w:color="auto"/>
                  <w:color w:val="0000EE"/>
                </w:rPr>
                <w:t>2*</w:t>
              </w:r>
            </w:hyperlink>
          </w:p>
        </w:tc>
        <w:tc>
          <w:tcPr>
            <w:tcW w:w="10720" w:type="dxa"/>
            <w:vAlign w:val="bottom"/>
          </w:tcPr>
          <w:p>
            <w:pPr>
              <w:ind w:left="320"/>
              <w:spacing w:after="0" w:line="117" w:lineRule="exact"/>
              <w:rPr>
                <w:sz w:val="20"/>
                <w:szCs w:val="20"/>
                <w:color w:val="auto"/>
              </w:rPr>
            </w:pPr>
            <w:r>
              <w:rPr>
                <w:rFonts w:ascii="Arial" w:cs="Arial" w:eastAsia="Arial" w:hAnsi="Arial"/>
                <w:sz w:val="12"/>
                <w:szCs w:val="12"/>
                <w:color w:val="auto"/>
                <w:w w:val="92"/>
              </w:rPr>
              <w:t>The form of Management Continuity Agreement as executed with executive officers and certain senior managers (incorporated herein by reference to Exhibit 10.4 to the Form S-4 we filed on December 29, 2017).</w:t>
            </w:r>
          </w:p>
        </w:tc>
      </w:tr>
      <w:tr>
        <w:trPr>
          <w:trHeight w:val="27"/>
        </w:trPr>
        <w:tc>
          <w:tcPr>
            <w:tcW w:w="14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20" w:type="dxa"/>
            <w:vAlign w:val="bottom"/>
          </w:tcPr>
          <w:p>
            <w:pPr>
              <w:spacing w:after="0"/>
              <w:rPr>
                <w:sz w:val="2"/>
                <w:szCs w:val="2"/>
                <w:color w:val="auto"/>
              </w:rPr>
            </w:pPr>
          </w:p>
        </w:tc>
        <w:tc>
          <w:tcPr>
            <w:tcW w:w="10720" w:type="dxa"/>
            <w:vAlign w:val="bottom"/>
          </w:tcPr>
          <w:p>
            <w:pPr>
              <w:spacing w:after="0"/>
              <w:rPr>
                <w:sz w:val="2"/>
                <w:szCs w:val="2"/>
                <w:color w:val="auto"/>
              </w:rPr>
            </w:pPr>
          </w:p>
        </w:tc>
      </w:tr>
      <w:tr>
        <w:trPr>
          <w:trHeight w:val="124"/>
        </w:trPr>
        <w:tc>
          <w:tcPr>
            <w:tcW w:w="580" w:type="dxa"/>
            <w:vAlign w:val="bottom"/>
            <w:gridSpan w:val="3"/>
            <w:shd w:val="clear" w:color="auto" w:fill="CCEEFF"/>
          </w:tcPr>
          <w:p>
            <w:pPr>
              <w:spacing w:after="0" w:line="117" w:lineRule="exact"/>
              <w:rPr>
                <w:rFonts w:ascii="Arial" w:cs="Arial" w:eastAsia="Arial" w:hAnsi="Arial"/>
                <w:sz w:val="12"/>
                <w:szCs w:val="12"/>
                <w:color w:val="0000EE"/>
              </w:rPr>
            </w:pPr>
            <w:hyperlink r:id="rId53">
              <w:r>
                <w:rPr>
                  <w:rFonts w:ascii="Arial" w:cs="Arial" w:eastAsia="Arial" w:hAnsi="Arial"/>
                  <w:sz w:val="12"/>
                  <w:szCs w:val="12"/>
                  <w:color w:val="0000EE"/>
                </w:rPr>
                <w:t>10.</w:t>
              </w:r>
              <w:r>
                <w:rPr>
                  <w:rFonts w:ascii="Arial" w:cs="Arial" w:eastAsia="Arial" w:hAnsi="Arial"/>
                  <w:sz w:val="12"/>
                  <w:szCs w:val="12"/>
                  <w:u w:val="single" w:color="auto"/>
                  <w:color w:val="0000EE"/>
                </w:rPr>
                <w:t>3*</w:t>
              </w:r>
            </w:hyperlink>
          </w:p>
        </w:tc>
        <w:tc>
          <w:tcPr>
            <w:tcW w:w="10720" w:type="dxa"/>
            <w:vAlign w:val="bottom"/>
            <w:shd w:val="clear" w:color="auto" w:fill="CCEEFF"/>
          </w:tcPr>
          <w:p>
            <w:pPr>
              <w:ind w:left="320"/>
              <w:spacing w:after="0" w:line="117" w:lineRule="exact"/>
              <w:rPr>
                <w:sz w:val="20"/>
                <w:szCs w:val="20"/>
                <w:color w:val="auto"/>
              </w:rPr>
            </w:pPr>
            <w:r>
              <w:rPr>
                <w:rFonts w:ascii="Arial" w:cs="Arial" w:eastAsia="Arial" w:hAnsi="Arial"/>
                <w:sz w:val="12"/>
                <w:szCs w:val="12"/>
                <w:color w:val="auto"/>
                <w:w w:val="97"/>
              </w:rPr>
              <w:t>2021 Independent Bank Corporation Long-Term Incentive Plan, effective April 20, 2021 (incorporated herein by reference to Appendix A to our proxy statement filed on Schedule 14A on March 5, 2021).</w:t>
            </w:r>
          </w:p>
        </w:tc>
      </w:tr>
      <w:tr>
        <w:trPr>
          <w:trHeight w:val="388"/>
        </w:trPr>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10720" w:type="dxa"/>
            <w:vAlign w:val="bottom"/>
            <w:tcBorders>
              <w:top w:val="single" w:sz="8" w:color="CCEEFF"/>
            </w:tcBorders>
          </w:tcPr>
          <w:p>
            <w:pPr>
              <w:ind w:left="5020"/>
              <w:spacing w:after="0"/>
              <w:rPr>
                <w:sz w:val="20"/>
                <w:szCs w:val="20"/>
                <w:color w:val="auto"/>
              </w:rPr>
            </w:pPr>
            <w:r>
              <w:rPr>
                <w:rFonts w:ascii="Arial" w:cs="Arial" w:eastAsia="Arial" w:hAnsi="Arial"/>
                <w:sz w:val="10"/>
                <w:szCs w:val="10"/>
                <w:color w:val="auto"/>
              </w:rPr>
              <w:t>26</w:t>
            </w:r>
          </w:p>
        </w:tc>
      </w:tr>
      <w:tr>
        <w:trPr>
          <w:trHeight w:val="26"/>
        </w:trPr>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720" w:type="dxa"/>
            <w:vAlign w:val="bottom"/>
            <w:tcBorders>
              <w:bottom w:val="single" w:sz="8" w:color="auto"/>
            </w:tcBorders>
          </w:tcPr>
          <w:p>
            <w:pPr>
              <w:spacing w:after="0"/>
              <w:rPr>
                <w:sz w:val="2"/>
                <w:szCs w:val="2"/>
                <w:color w:val="auto"/>
              </w:rPr>
            </w:pPr>
          </w:p>
        </w:tc>
      </w:tr>
    </w:tbl>
    <w:p>
      <w:pPr>
        <w:sectPr>
          <w:pgSz w:w="11900" w:h="16838" w:orient="portrait"/>
          <w:cols w:equalWidth="0" w:num="1">
            <w:col w:w="11308"/>
          </w:cols>
          <w:pgMar w:left="292" w:top="125" w:right="299" w:bottom="1440" w:gutter="0" w:footer="0" w:header="0"/>
        </w:sectPr>
      </w:pPr>
    </w:p>
    <w:bookmarkStart w:id="26" w:name="page27"/>
    <w:bookmarkEnd w:id="26"/>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580" w:type="dxa"/>
            <w:vAlign w:val="bottom"/>
            <w:gridSpan w:val="2"/>
            <w:shd w:val="clear" w:color="auto" w:fill="CCEEFF"/>
          </w:tcPr>
          <w:p>
            <w:pPr>
              <w:spacing w:after="0"/>
              <w:rPr>
                <w:rFonts w:ascii="Arial" w:cs="Arial" w:eastAsia="Arial" w:hAnsi="Arial"/>
                <w:sz w:val="12"/>
                <w:szCs w:val="12"/>
                <w:color w:val="0000EE"/>
              </w:rPr>
            </w:pPr>
            <w:hyperlink r:id="rId54">
              <w:r>
                <w:rPr>
                  <w:rFonts w:ascii="Arial" w:cs="Arial" w:eastAsia="Arial" w:hAnsi="Arial"/>
                  <w:sz w:val="12"/>
                  <w:szCs w:val="12"/>
                  <w:color w:val="0000EE"/>
                </w:rPr>
                <w:t>10.</w:t>
              </w:r>
              <w:r>
                <w:rPr>
                  <w:rFonts w:ascii="Arial" w:cs="Arial" w:eastAsia="Arial" w:hAnsi="Arial"/>
                  <w:sz w:val="12"/>
                  <w:szCs w:val="12"/>
                  <w:u w:val="single" w:color="auto"/>
                  <w:color w:val="0000EE"/>
                </w:rPr>
                <w:t>4*</w:t>
              </w:r>
            </w:hyperlink>
          </w:p>
        </w:tc>
        <w:tc>
          <w:tcPr>
            <w:tcW w:w="10720" w:type="dxa"/>
            <w:vAlign w:val="bottom"/>
            <w:shd w:val="clear" w:color="auto" w:fill="CCEEFF"/>
          </w:tcPr>
          <w:p>
            <w:pPr>
              <w:ind w:left="320"/>
              <w:spacing w:after="0"/>
              <w:rPr>
                <w:sz w:val="20"/>
                <w:szCs w:val="20"/>
                <w:color w:val="auto"/>
              </w:rPr>
            </w:pPr>
            <w:r>
              <w:rPr>
                <w:rFonts w:ascii="Arial" w:cs="Arial" w:eastAsia="Arial" w:hAnsi="Arial"/>
                <w:sz w:val="12"/>
                <w:szCs w:val="12"/>
                <w:color w:val="auto"/>
                <w:w w:val="91"/>
              </w:rPr>
              <w:t>Amended and Restated Deferred Compensation and Stock Purchase Plan for Nonemployee Directors, as amended through March 19, 2019 (incorporated herein by reference to Exhibit 10.1 to our quarterly report on</w:t>
            </w:r>
          </w:p>
        </w:tc>
      </w:tr>
      <w:tr>
        <w:trPr>
          <w:trHeight w:val="151"/>
        </w:trPr>
        <w:tc>
          <w:tcPr>
            <w:tcW w:w="260" w:type="dxa"/>
            <w:vAlign w:val="bottom"/>
            <w:tcBorders>
              <w:top w:val="single" w:sz="8" w:color="0000EE"/>
              <w:right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1072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Form 10-Q filed May 3, 2019).</w:t>
            </w:r>
          </w:p>
        </w:tc>
      </w:tr>
      <w:tr>
        <w:trPr>
          <w:trHeight w:val="117"/>
        </w:trPr>
        <w:tc>
          <w:tcPr>
            <w:tcW w:w="580" w:type="dxa"/>
            <w:vAlign w:val="bottom"/>
            <w:gridSpan w:val="2"/>
          </w:tcPr>
          <w:p>
            <w:pPr>
              <w:spacing w:after="0" w:line="117" w:lineRule="exact"/>
              <w:rPr>
                <w:rFonts w:ascii="Arial" w:cs="Arial" w:eastAsia="Arial" w:hAnsi="Arial"/>
                <w:sz w:val="12"/>
                <w:szCs w:val="12"/>
                <w:color w:val="0000EE"/>
              </w:rPr>
            </w:pPr>
            <w:hyperlink r:id="rId55">
              <w:r>
                <w:rPr>
                  <w:rFonts w:ascii="Arial" w:cs="Arial" w:eastAsia="Arial" w:hAnsi="Arial"/>
                  <w:sz w:val="12"/>
                  <w:szCs w:val="12"/>
                  <w:color w:val="0000EE"/>
                </w:rPr>
                <w:t>10.</w:t>
              </w:r>
              <w:r>
                <w:rPr>
                  <w:rFonts w:ascii="Arial" w:cs="Arial" w:eastAsia="Arial" w:hAnsi="Arial"/>
                  <w:sz w:val="12"/>
                  <w:szCs w:val="12"/>
                  <w:u w:val="single" w:color="auto"/>
                  <w:color w:val="0000EE"/>
                </w:rPr>
                <w:t>5*</w:t>
              </w:r>
            </w:hyperlink>
          </w:p>
        </w:tc>
        <w:tc>
          <w:tcPr>
            <w:tcW w:w="10720" w:type="dxa"/>
            <w:vAlign w:val="bottom"/>
          </w:tcPr>
          <w:p>
            <w:pPr>
              <w:ind w:left="320"/>
              <w:spacing w:after="0" w:line="117" w:lineRule="exact"/>
              <w:rPr>
                <w:sz w:val="20"/>
                <w:szCs w:val="20"/>
                <w:color w:val="auto"/>
              </w:rPr>
            </w:pPr>
            <w:r>
              <w:rPr>
                <w:rFonts w:ascii="Arial" w:cs="Arial" w:eastAsia="Arial" w:hAnsi="Arial"/>
                <w:sz w:val="12"/>
                <w:szCs w:val="12"/>
                <w:color w:val="auto"/>
                <w:w w:val="99"/>
              </w:rPr>
              <w:t>Form of Restricted Stock Unit Grant Agreement as executed with certain executive officers (incorporated herein by reference to Exhibit 10.2 to our quarterly report on Form 10-Q filed May 9, 2011).</w:t>
            </w:r>
          </w:p>
        </w:tc>
      </w:tr>
      <w:tr>
        <w:trPr>
          <w:trHeight w:val="27"/>
        </w:trPr>
        <w:tc>
          <w:tcPr>
            <w:tcW w:w="260" w:type="dxa"/>
            <w:vAlign w:val="bottom"/>
            <w:tcBorders>
              <w:right w:val="single" w:sz="8" w:color="0000EE"/>
            </w:tcBorders>
            <w:shd w:val="clear" w:color="auto" w:fill="0000EE"/>
          </w:tcPr>
          <w:p>
            <w:pPr>
              <w:spacing w:after="0"/>
              <w:rPr>
                <w:sz w:val="2"/>
                <w:szCs w:val="2"/>
                <w:color w:val="auto"/>
              </w:rPr>
            </w:pPr>
          </w:p>
        </w:tc>
        <w:tc>
          <w:tcPr>
            <w:tcW w:w="320" w:type="dxa"/>
            <w:vAlign w:val="bottom"/>
          </w:tcPr>
          <w:p>
            <w:pPr>
              <w:spacing w:after="0"/>
              <w:rPr>
                <w:sz w:val="2"/>
                <w:szCs w:val="2"/>
                <w:color w:val="auto"/>
              </w:rPr>
            </w:pPr>
          </w:p>
        </w:tc>
        <w:tc>
          <w:tcPr>
            <w:tcW w:w="10720" w:type="dxa"/>
            <w:vAlign w:val="bottom"/>
          </w:tcPr>
          <w:p>
            <w:pPr>
              <w:spacing w:after="0"/>
              <w:rPr>
                <w:sz w:val="2"/>
                <w:szCs w:val="2"/>
                <w:color w:val="auto"/>
              </w:rPr>
            </w:pPr>
          </w:p>
        </w:tc>
      </w:tr>
      <w:tr>
        <w:trPr>
          <w:trHeight w:val="117"/>
        </w:trPr>
        <w:tc>
          <w:tcPr>
            <w:tcW w:w="580" w:type="dxa"/>
            <w:vAlign w:val="bottom"/>
            <w:gridSpan w:val="2"/>
            <w:shd w:val="clear" w:color="auto" w:fill="CCEEFF"/>
          </w:tcPr>
          <w:p>
            <w:pPr>
              <w:spacing w:after="0" w:line="117" w:lineRule="exact"/>
              <w:rPr>
                <w:rFonts w:ascii="Arial" w:cs="Arial" w:eastAsia="Arial" w:hAnsi="Arial"/>
                <w:sz w:val="12"/>
                <w:szCs w:val="12"/>
                <w:color w:val="0000EE"/>
              </w:rPr>
            </w:pPr>
            <w:hyperlink r:id="rId56">
              <w:r>
                <w:rPr>
                  <w:rFonts w:ascii="Arial" w:cs="Arial" w:eastAsia="Arial" w:hAnsi="Arial"/>
                  <w:sz w:val="12"/>
                  <w:szCs w:val="12"/>
                  <w:color w:val="0000EE"/>
                </w:rPr>
                <w:t>10.</w:t>
              </w:r>
              <w:r>
                <w:rPr>
                  <w:rFonts w:ascii="Arial" w:cs="Arial" w:eastAsia="Arial" w:hAnsi="Arial"/>
                  <w:sz w:val="12"/>
                  <w:szCs w:val="12"/>
                  <w:u w:val="single" w:color="auto"/>
                  <w:color w:val="0000EE"/>
                </w:rPr>
                <w:t>6*</w:t>
              </w:r>
            </w:hyperlink>
          </w:p>
        </w:tc>
        <w:tc>
          <w:tcPr>
            <w:tcW w:w="10720" w:type="dxa"/>
            <w:vAlign w:val="bottom"/>
            <w:shd w:val="clear" w:color="auto" w:fill="CCEEFF"/>
          </w:tcPr>
          <w:p>
            <w:pPr>
              <w:ind w:left="320"/>
              <w:spacing w:after="0" w:line="117" w:lineRule="exact"/>
              <w:rPr>
                <w:sz w:val="20"/>
                <w:szCs w:val="20"/>
                <w:color w:val="auto"/>
              </w:rPr>
            </w:pPr>
            <w:r>
              <w:rPr>
                <w:rFonts w:ascii="Arial" w:cs="Arial" w:eastAsia="Arial" w:hAnsi="Arial"/>
                <w:sz w:val="12"/>
                <w:szCs w:val="12"/>
                <w:color w:val="auto"/>
                <w:w w:val="97"/>
              </w:rPr>
              <w:t>Form of TSR Performance Share Award Agreement as executed with certain executive officers (incorporated herein by reference to Exhibit 10.12 to our annual report on Form 10-K filed March 7, 2014).</w:t>
            </w:r>
          </w:p>
        </w:tc>
      </w:tr>
      <w:tr>
        <w:trPr>
          <w:trHeight w:val="27"/>
        </w:trPr>
        <w:tc>
          <w:tcPr>
            <w:tcW w:w="260" w:type="dxa"/>
            <w:vAlign w:val="bottom"/>
            <w:tcBorders>
              <w:right w:val="single" w:sz="8" w:color="0000EE"/>
            </w:tcBorders>
            <w:shd w:val="clear" w:color="auto" w:fill="0000EE"/>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720" w:type="dxa"/>
            <w:vAlign w:val="bottom"/>
            <w:shd w:val="clear" w:color="auto" w:fill="CCEEFF"/>
          </w:tcPr>
          <w:p>
            <w:pPr>
              <w:spacing w:after="0"/>
              <w:rPr>
                <w:sz w:val="2"/>
                <w:szCs w:val="2"/>
                <w:color w:val="auto"/>
              </w:rPr>
            </w:pPr>
          </w:p>
        </w:tc>
      </w:tr>
      <w:tr>
        <w:trPr>
          <w:trHeight w:val="124"/>
        </w:trPr>
        <w:tc>
          <w:tcPr>
            <w:tcW w:w="580" w:type="dxa"/>
            <w:vAlign w:val="bottom"/>
            <w:gridSpan w:val="2"/>
          </w:tcPr>
          <w:p>
            <w:pPr>
              <w:spacing w:after="0" w:line="117" w:lineRule="exact"/>
              <w:rPr>
                <w:rFonts w:ascii="Arial" w:cs="Arial" w:eastAsia="Arial" w:hAnsi="Arial"/>
                <w:sz w:val="12"/>
                <w:szCs w:val="12"/>
                <w:color w:val="0000EE"/>
              </w:rPr>
            </w:pPr>
            <w:hyperlink r:id="rId57">
              <w:r>
                <w:rPr>
                  <w:rFonts w:ascii="Arial" w:cs="Arial" w:eastAsia="Arial" w:hAnsi="Arial"/>
                  <w:sz w:val="12"/>
                  <w:szCs w:val="12"/>
                  <w:color w:val="0000EE"/>
                </w:rPr>
                <w:t>10.</w:t>
              </w:r>
              <w:r>
                <w:rPr>
                  <w:rFonts w:ascii="Arial" w:cs="Arial" w:eastAsia="Arial" w:hAnsi="Arial"/>
                  <w:sz w:val="12"/>
                  <w:szCs w:val="12"/>
                  <w:u w:val="single" w:color="auto"/>
                  <w:color w:val="0000EE"/>
                </w:rPr>
                <w:t>7*</w:t>
              </w:r>
            </w:hyperlink>
          </w:p>
        </w:tc>
        <w:tc>
          <w:tcPr>
            <w:tcW w:w="10720" w:type="dxa"/>
            <w:vAlign w:val="bottom"/>
          </w:tcPr>
          <w:p>
            <w:pPr>
              <w:ind w:left="320"/>
              <w:spacing w:after="0" w:line="117" w:lineRule="exact"/>
              <w:rPr>
                <w:sz w:val="20"/>
                <w:szCs w:val="20"/>
                <w:color w:val="auto"/>
              </w:rPr>
            </w:pPr>
            <w:r>
              <w:rPr>
                <w:rFonts w:ascii="Arial" w:cs="Arial" w:eastAsia="Arial" w:hAnsi="Arial"/>
                <w:sz w:val="12"/>
                <w:szCs w:val="12"/>
                <w:color w:val="auto"/>
              </w:rPr>
              <w:t>Summary of Independent Bank Corporation Management Incentive Compensation Plan (incorporated herein by reference to Exhibit 10.10 to our annual report on Form 10-K filed March 6, 2015).</w:t>
            </w:r>
          </w:p>
        </w:tc>
      </w:tr>
      <w:tr>
        <w:trPr>
          <w:trHeight w:val="117"/>
        </w:trPr>
        <w:tc>
          <w:tcPr>
            <w:tcW w:w="260" w:type="dxa"/>
            <w:vAlign w:val="bottom"/>
            <w:tcBorders>
              <w:top w:val="single" w:sz="8" w:color="0000EE"/>
              <w:right w:val="single" w:sz="8" w:color="CCEEFF"/>
            </w:tcBorders>
            <w:shd w:val="clear" w:color="auto" w:fill="CCEEFF"/>
          </w:tcPr>
          <w:p>
            <w:pPr>
              <w:spacing w:after="0" w:line="117" w:lineRule="exact"/>
              <w:rPr>
                <w:rFonts w:ascii="Arial" w:cs="Arial" w:eastAsia="Arial" w:hAnsi="Arial"/>
                <w:sz w:val="12"/>
                <w:szCs w:val="12"/>
                <w:color w:val="0000EE"/>
                <w:w w:val="93"/>
              </w:rPr>
            </w:pPr>
            <w:hyperlink r:id="rId50">
              <w:r>
                <w:rPr>
                  <w:rFonts w:ascii="Arial" w:cs="Arial" w:eastAsia="Arial" w:hAnsi="Arial"/>
                  <w:sz w:val="12"/>
                  <w:szCs w:val="12"/>
                  <w:color w:val="0000EE"/>
                  <w:w w:val="93"/>
                </w:rPr>
                <w:t>10.</w:t>
              </w:r>
              <w:r>
                <w:rPr>
                  <w:rFonts w:ascii="Arial" w:cs="Arial" w:eastAsia="Arial" w:hAnsi="Arial"/>
                  <w:sz w:val="12"/>
                  <w:szCs w:val="12"/>
                  <w:u w:val="single" w:color="auto"/>
                  <w:color w:val="0000EE"/>
                  <w:w w:val="93"/>
                </w:rPr>
                <w:t>8</w:t>
              </w:r>
            </w:hyperlink>
          </w:p>
        </w:tc>
        <w:tc>
          <w:tcPr>
            <w:tcW w:w="320" w:type="dxa"/>
            <w:vAlign w:val="bottom"/>
            <w:shd w:val="clear" w:color="auto" w:fill="CCEEFF"/>
          </w:tcPr>
          <w:p>
            <w:pPr>
              <w:spacing w:after="0"/>
              <w:rPr>
                <w:sz w:val="10"/>
                <w:szCs w:val="10"/>
                <w:color w:val="auto"/>
              </w:rPr>
            </w:pPr>
          </w:p>
        </w:tc>
        <w:tc>
          <w:tcPr>
            <w:tcW w:w="10720" w:type="dxa"/>
            <w:vAlign w:val="bottom"/>
            <w:shd w:val="clear" w:color="auto" w:fill="CCEEFF"/>
          </w:tcPr>
          <w:p>
            <w:pPr>
              <w:ind w:left="320"/>
              <w:spacing w:after="0" w:line="117" w:lineRule="exact"/>
              <w:rPr>
                <w:sz w:val="20"/>
                <w:szCs w:val="20"/>
                <w:color w:val="auto"/>
              </w:rPr>
            </w:pPr>
            <w:r>
              <w:rPr>
                <w:rFonts w:ascii="Arial" w:cs="Arial" w:eastAsia="Arial" w:hAnsi="Arial"/>
                <w:sz w:val="12"/>
                <w:szCs w:val="12"/>
                <w:color w:val="auto"/>
                <w:w w:val="92"/>
              </w:rPr>
              <w:t>Form of Subordinated Note Purchase Agreement dated May 27, 2020, by and among Independent Bank Corporation and the Purchasers (incorporated herein by reference to Exhibit 10.1 to our Current Report on</w:t>
            </w:r>
          </w:p>
        </w:tc>
      </w:tr>
      <w:tr>
        <w:trPr>
          <w:trHeight w:val="151"/>
        </w:trPr>
        <w:tc>
          <w:tcPr>
            <w:tcW w:w="260" w:type="dxa"/>
            <w:vAlign w:val="bottom"/>
            <w:tcBorders>
              <w:top w:val="single" w:sz="8" w:color="0000EE"/>
              <w:right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1072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Form 8-K filed on May 27, 2020).</w:t>
            </w:r>
          </w:p>
        </w:tc>
      </w:tr>
    </w:tbl>
    <w:p>
      <w:pPr>
        <w:spacing w:after="0" w:line="90" w:lineRule="exact"/>
        <w:rPr>
          <w:sz w:val="20"/>
          <w:szCs w:val="20"/>
          <w:color w:val="auto"/>
        </w:rPr>
      </w:pPr>
    </w:p>
    <w:p>
      <w:pPr>
        <w:ind w:left="88" w:hanging="88"/>
        <w:spacing w:after="0"/>
        <w:tabs>
          <w:tab w:leader="none" w:pos="88" w:val="left"/>
        </w:tabs>
        <w:numPr>
          <w:ilvl w:val="0"/>
          <w:numId w:val="10"/>
        </w:numPr>
        <w:rPr>
          <w:rFonts w:ascii="Arial" w:cs="Arial" w:eastAsia="Arial" w:hAnsi="Arial"/>
          <w:sz w:val="24"/>
          <w:szCs w:val="24"/>
          <w:color w:val="auto"/>
          <w:vertAlign w:val="superscript"/>
        </w:rPr>
      </w:pPr>
      <w:r>
        <w:rPr>
          <w:rFonts w:ascii="Arial" w:cs="Arial" w:eastAsia="Arial" w:hAnsi="Arial"/>
          <w:sz w:val="14"/>
          <w:szCs w:val="14"/>
          <w:color w:val="auto"/>
        </w:rPr>
        <w:t>Represents a compensation plan.</w:t>
      </w:r>
    </w:p>
    <w:p>
      <w:pPr>
        <w:spacing w:after="0" w:line="147" w:lineRule="exact"/>
        <w:rPr>
          <w:sz w:val="20"/>
          <w:szCs w:val="20"/>
          <w:color w:val="auto"/>
        </w:rPr>
      </w:pPr>
    </w:p>
    <w:p>
      <w:pPr>
        <w:ind w:left="8"/>
        <w:spacing w:after="0"/>
        <w:tabs>
          <w:tab w:leader="none" w:pos="628" w:val="left"/>
        </w:tabs>
        <w:rPr>
          <w:sz w:val="20"/>
          <w:szCs w:val="20"/>
          <w:color w:val="auto"/>
        </w:rPr>
      </w:pPr>
      <w:r>
        <w:rPr>
          <w:rFonts w:ascii="Arial" w:cs="Arial" w:eastAsia="Arial" w:hAnsi="Arial"/>
          <w:sz w:val="12"/>
          <w:szCs w:val="12"/>
          <w:u w:val="single" w:color="auto"/>
          <w:color w:val="auto"/>
        </w:rPr>
        <w:t>ITEM 16.</w:t>
      </w:r>
      <w:r>
        <w:rPr>
          <w:sz w:val="20"/>
          <w:szCs w:val="20"/>
          <w:color w:val="auto"/>
        </w:rPr>
        <w:tab/>
      </w:r>
      <w:r>
        <w:rPr>
          <w:rFonts w:ascii="Arial" w:cs="Arial" w:eastAsia="Arial" w:hAnsi="Arial"/>
          <w:sz w:val="11"/>
          <w:szCs w:val="11"/>
          <w:u w:val="single" w:color="auto"/>
          <w:color w:val="auto"/>
        </w:rPr>
        <w:t>FORM 10-K SUMMARY</w:t>
      </w:r>
    </w:p>
    <w:p>
      <w:pPr>
        <w:spacing w:after="0" w:line="163" w:lineRule="exact"/>
        <w:rPr>
          <w:sz w:val="20"/>
          <w:szCs w:val="20"/>
          <w:color w:val="auto"/>
        </w:rPr>
      </w:pPr>
    </w:p>
    <w:p>
      <w:pPr>
        <w:ind w:left="8"/>
        <w:spacing w:after="0"/>
        <w:rPr>
          <w:sz w:val="20"/>
          <w:szCs w:val="20"/>
          <w:color w:val="auto"/>
        </w:rPr>
      </w:pPr>
      <w:r>
        <w:rPr>
          <w:rFonts w:ascii="Arial" w:cs="Arial" w:eastAsia="Arial" w:hAnsi="Arial"/>
          <w:sz w:val="14"/>
          <w:szCs w:val="14"/>
          <w:color w:val="auto"/>
        </w:rPr>
        <w:t>Not applicable.</w:t>
      </w:r>
    </w:p>
    <w:p>
      <w:pPr>
        <w:spacing w:after="0" w:line="282" w:lineRule="exact"/>
        <w:rPr>
          <w:sz w:val="20"/>
          <w:szCs w:val="20"/>
          <w:color w:val="auto"/>
        </w:rPr>
      </w:pPr>
    </w:p>
    <w:p>
      <w:pPr>
        <w:jc w:val="center"/>
        <w:ind w:right="-7"/>
        <w:spacing w:after="0"/>
        <w:rPr>
          <w:sz w:val="20"/>
          <w:szCs w:val="20"/>
          <w:color w:val="auto"/>
        </w:rPr>
      </w:pPr>
      <w:r>
        <w:rPr>
          <w:rFonts w:ascii="Arial" w:cs="Arial" w:eastAsia="Arial" w:hAnsi="Arial"/>
          <w:sz w:val="10"/>
          <w:szCs w:val="1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78040" cy="114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19" w:right="299" w:bottom="1440" w:gutter="0" w:footer="0" w:header="0"/>
        </w:sectPr>
      </w:pPr>
    </w:p>
    <w:bookmarkStart w:id="27" w:name="page28"/>
    <w:bookmarkEnd w:id="27"/>
    <w:p>
      <w:pPr>
        <w:jc w:val="center"/>
        <w:spacing w:after="0"/>
        <w:rPr>
          <w:sz w:val="20"/>
          <w:szCs w:val="20"/>
          <w:color w:val="auto"/>
        </w:rPr>
      </w:pPr>
      <w:r>
        <w:rPr>
          <w:rFonts w:ascii="Arial" w:cs="Arial" w:eastAsia="Arial" w:hAnsi="Arial"/>
          <w:sz w:val="14"/>
          <w:szCs w:val="14"/>
          <w:u w:val="single" w:color="auto"/>
          <w:color w:val="auto"/>
        </w:rPr>
        <w:t>SIGNATURES</w:t>
      </w:r>
    </w:p>
    <w:p>
      <w:pPr>
        <w:spacing w:after="0" w:line="163"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 dated March 4, 2022.</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color w:val="auto"/>
        </w:rPr>
        <w:t>INDEPENDENT BANK CORPORATION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980" w:type="dxa"/>
            <w:vAlign w:val="bottom"/>
            <w:tcBorders>
              <w:bottom w:val="single" w:sz="8" w:color="auto"/>
            </w:tcBorders>
          </w:tcPr>
          <w:p>
            <w:pPr>
              <w:ind w:left="200"/>
              <w:spacing w:after="0"/>
              <w:rPr>
                <w:sz w:val="20"/>
                <w:szCs w:val="20"/>
                <w:color w:val="auto"/>
              </w:rPr>
            </w:pPr>
            <w:r>
              <w:rPr>
                <w:rFonts w:ascii="Arial" w:cs="Arial" w:eastAsia="Arial" w:hAnsi="Arial"/>
                <w:sz w:val="12"/>
                <w:szCs w:val="12"/>
                <w:color w:val="auto"/>
              </w:rPr>
              <w:t>s/Gavin A. Mohr</w:t>
            </w:r>
          </w:p>
        </w:tc>
        <w:tc>
          <w:tcPr>
            <w:tcW w:w="3100" w:type="dxa"/>
            <w:vAlign w:val="bottom"/>
          </w:tcPr>
          <w:p>
            <w:pPr>
              <w:ind w:left="120"/>
              <w:spacing w:after="0"/>
              <w:rPr>
                <w:sz w:val="20"/>
                <w:szCs w:val="20"/>
                <w:color w:val="auto"/>
              </w:rPr>
            </w:pPr>
            <w:r>
              <w:rPr>
                <w:rFonts w:ascii="Arial" w:cs="Arial" w:eastAsia="Arial" w:hAnsi="Arial"/>
                <w:sz w:val="12"/>
                <w:szCs w:val="12"/>
                <w:color w:val="auto"/>
                <w:w w:val="91"/>
              </w:rPr>
              <w:t>Gavin A. Mohr, Executive Vice President and Chief Financial</w:t>
            </w:r>
          </w:p>
        </w:tc>
      </w:tr>
      <w:tr>
        <w:trPr>
          <w:trHeight w:val="135"/>
        </w:trPr>
        <w:tc>
          <w:tcPr>
            <w:tcW w:w="2980" w:type="dxa"/>
            <w:vAlign w:val="bottom"/>
          </w:tcPr>
          <w:p>
            <w:pPr>
              <w:spacing w:after="0"/>
              <w:rPr>
                <w:sz w:val="11"/>
                <w:szCs w:val="11"/>
                <w:color w:val="auto"/>
              </w:rPr>
            </w:pPr>
          </w:p>
        </w:tc>
        <w:tc>
          <w:tcPr>
            <w:tcW w:w="3100" w:type="dxa"/>
            <w:vAlign w:val="bottom"/>
          </w:tcPr>
          <w:p>
            <w:pPr>
              <w:ind w:left="460"/>
              <w:spacing w:after="0" w:line="135" w:lineRule="exact"/>
              <w:rPr>
                <w:sz w:val="20"/>
                <w:szCs w:val="20"/>
                <w:color w:val="auto"/>
              </w:rPr>
            </w:pPr>
            <w:r>
              <w:rPr>
                <w:rFonts w:ascii="Arial" w:cs="Arial" w:eastAsia="Arial" w:hAnsi="Arial"/>
                <w:sz w:val="12"/>
                <w:szCs w:val="12"/>
                <w:color w:val="auto"/>
              </w:rPr>
              <w:t>Officer (Principal Financial Officer)</w:t>
            </w:r>
          </w:p>
        </w:tc>
      </w:tr>
    </w:tbl>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Pursuant to the requirements of the Securities Exchange Act of 1934, this report has been signed below by the following persons on behalf of the registrant and in the capacities and on the dates indicated. Each director whose signature appears below hereby appoints William B. Kessel and Gavin A. Mohr and each of them severally, as his or her attorney-in-fact, to sign in his or her name and on his or her behalf, as a director, and to file with the Securities and Exchange Commission any and all amendments to this Annual Report on Form 10-K.</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960" w:type="dxa"/>
            <w:vAlign w:val="bottom"/>
          </w:tcPr>
          <w:p>
            <w:pPr>
              <w:spacing w:after="0"/>
              <w:rPr>
                <w:sz w:val="20"/>
                <w:szCs w:val="20"/>
                <w:color w:val="auto"/>
              </w:rPr>
            </w:pPr>
            <w:r>
              <w:rPr>
                <w:rFonts w:ascii="Arial" w:cs="Arial" w:eastAsia="Arial" w:hAnsi="Arial"/>
                <w:sz w:val="12"/>
                <w:szCs w:val="12"/>
                <w:color w:val="auto"/>
              </w:rPr>
              <w:t>William B. Kessel, President, Chief</w:t>
            </w:r>
          </w:p>
        </w:tc>
        <w:tc>
          <w:tcPr>
            <w:tcW w:w="14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520" w:type="dxa"/>
            <w:vAlign w:val="bottom"/>
          </w:tcPr>
          <w:p>
            <w:pPr>
              <w:spacing w:after="0"/>
              <w:rPr>
                <w:sz w:val="12"/>
                <w:szCs w:val="12"/>
                <w:color w:val="auto"/>
              </w:rPr>
            </w:pPr>
          </w:p>
        </w:tc>
      </w:tr>
      <w:tr>
        <w:trPr>
          <w:trHeight w:val="144"/>
        </w:trPr>
        <w:tc>
          <w:tcPr>
            <w:tcW w:w="3960" w:type="dxa"/>
            <w:vAlign w:val="bottom"/>
          </w:tcPr>
          <w:p>
            <w:pPr>
              <w:ind w:left="100"/>
              <w:spacing w:after="0"/>
              <w:rPr>
                <w:sz w:val="20"/>
                <w:szCs w:val="20"/>
                <w:color w:val="auto"/>
              </w:rPr>
            </w:pPr>
            <w:r>
              <w:rPr>
                <w:rFonts w:ascii="Arial" w:cs="Arial" w:eastAsia="Arial" w:hAnsi="Arial"/>
                <w:sz w:val="12"/>
                <w:szCs w:val="12"/>
                <w:color w:val="auto"/>
              </w:rPr>
              <w:t>Executive Officer, and Director</w:t>
            </w:r>
          </w:p>
        </w:tc>
        <w:tc>
          <w:tcPr>
            <w:tcW w:w="14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520" w:type="dxa"/>
            <w:vAlign w:val="bottom"/>
          </w:tcPr>
          <w:p>
            <w:pPr>
              <w:spacing w:after="0"/>
              <w:rPr>
                <w:sz w:val="12"/>
                <w:szCs w:val="12"/>
                <w:color w:val="auto"/>
              </w:rPr>
            </w:pPr>
          </w:p>
        </w:tc>
      </w:tr>
      <w:tr>
        <w:trPr>
          <w:trHeight w:val="153"/>
        </w:trPr>
        <w:tc>
          <w:tcPr>
            <w:tcW w:w="3960" w:type="dxa"/>
            <w:vAlign w:val="bottom"/>
          </w:tcPr>
          <w:p>
            <w:pPr>
              <w:ind w:left="100"/>
              <w:spacing w:after="0"/>
              <w:rPr>
                <w:sz w:val="20"/>
                <w:szCs w:val="20"/>
                <w:color w:val="auto"/>
              </w:rPr>
            </w:pPr>
            <w:r>
              <w:rPr>
                <w:rFonts w:ascii="Arial" w:cs="Arial" w:eastAsia="Arial" w:hAnsi="Arial"/>
                <w:sz w:val="12"/>
                <w:szCs w:val="12"/>
                <w:color w:val="auto"/>
              </w:rPr>
              <w:t>(Principal Executive Officer)</w:t>
            </w:r>
          </w:p>
        </w:tc>
        <w:tc>
          <w:tcPr>
            <w:tcW w:w="14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s/William B. Kessel</w:t>
            </w:r>
          </w:p>
        </w:tc>
        <w:tc>
          <w:tcPr>
            <w:tcW w:w="1420" w:type="dxa"/>
            <w:vAlign w:val="bottom"/>
            <w:tcBorders>
              <w:bottom w:val="single" w:sz="8" w:color="auto"/>
            </w:tcBorders>
          </w:tcPr>
          <w:p>
            <w:pPr>
              <w:spacing w:after="0"/>
              <w:rPr>
                <w:sz w:val="13"/>
                <w:szCs w:val="13"/>
                <w:color w:val="auto"/>
              </w:rPr>
            </w:pPr>
          </w:p>
        </w:tc>
        <w:tc>
          <w:tcPr>
            <w:tcW w:w="4520" w:type="dxa"/>
            <w:vAlign w:val="bottom"/>
          </w:tcPr>
          <w:p>
            <w:pPr>
              <w:ind w:left="1700"/>
              <w:spacing w:after="0"/>
              <w:rPr>
                <w:sz w:val="20"/>
                <w:szCs w:val="20"/>
                <w:color w:val="auto"/>
              </w:rPr>
            </w:pPr>
            <w:r>
              <w:rPr>
                <w:rFonts w:ascii="Arial" w:cs="Arial" w:eastAsia="Arial" w:hAnsi="Arial"/>
                <w:sz w:val="12"/>
                <w:szCs w:val="12"/>
                <w:color w:val="auto"/>
              </w:rPr>
              <w:t>March 1, 2022</w:t>
            </w:r>
          </w:p>
        </w:tc>
      </w:tr>
      <w:tr>
        <w:trPr>
          <w:trHeight w:val="133"/>
        </w:trPr>
        <w:tc>
          <w:tcPr>
            <w:tcW w:w="3960" w:type="dxa"/>
            <w:vAlign w:val="bottom"/>
          </w:tcPr>
          <w:p>
            <w:pPr>
              <w:spacing w:after="0" w:line="133" w:lineRule="exact"/>
              <w:rPr>
                <w:sz w:val="20"/>
                <w:szCs w:val="20"/>
                <w:color w:val="auto"/>
              </w:rPr>
            </w:pPr>
            <w:r>
              <w:rPr>
                <w:rFonts w:ascii="Arial" w:cs="Arial" w:eastAsia="Arial" w:hAnsi="Arial"/>
                <w:sz w:val="12"/>
                <w:szCs w:val="12"/>
                <w:color w:val="auto"/>
              </w:rPr>
              <w:t>Gavin A. Mohr, Executive Vice</w:t>
            </w:r>
          </w:p>
        </w:tc>
        <w:tc>
          <w:tcPr>
            <w:tcW w:w="14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4520" w:type="dxa"/>
            <w:vAlign w:val="bottom"/>
          </w:tcPr>
          <w:p>
            <w:pPr>
              <w:spacing w:after="0"/>
              <w:rPr>
                <w:sz w:val="11"/>
                <w:szCs w:val="11"/>
                <w:color w:val="auto"/>
              </w:rPr>
            </w:pPr>
          </w:p>
        </w:tc>
      </w:tr>
      <w:tr>
        <w:trPr>
          <w:trHeight w:val="144"/>
        </w:trPr>
        <w:tc>
          <w:tcPr>
            <w:tcW w:w="3960" w:type="dxa"/>
            <w:vAlign w:val="bottom"/>
          </w:tcPr>
          <w:p>
            <w:pPr>
              <w:ind w:left="100"/>
              <w:spacing w:after="0"/>
              <w:rPr>
                <w:sz w:val="20"/>
                <w:szCs w:val="20"/>
                <w:color w:val="auto"/>
              </w:rPr>
            </w:pPr>
            <w:r>
              <w:rPr>
                <w:rFonts w:ascii="Arial" w:cs="Arial" w:eastAsia="Arial" w:hAnsi="Arial"/>
                <w:sz w:val="12"/>
                <w:szCs w:val="12"/>
                <w:color w:val="auto"/>
              </w:rPr>
              <w:t>President and Chief Financial Officer</w:t>
            </w:r>
          </w:p>
        </w:tc>
        <w:tc>
          <w:tcPr>
            <w:tcW w:w="14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520" w:type="dxa"/>
            <w:vAlign w:val="bottom"/>
          </w:tcPr>
          <w:p>
            <w:pPr>
              <w:spacing w:after="0"/>
              <w:rPr>
                <w:sz w:val="12"/>
                <w:szCs w:val="12"/>
                <w:color w:val="auto"/>
              </w:rPr>
            </w:pPr>
          </w:p>
        </w:tc>
      </w:tr>
      <w:tr>
        <w:trPr>
          <w:trHeight w:val="153"/>
        </w:trPr>
        <w:tc>
          <w:tcPr>
            <w:tcW w:w="3960" w:type="dxa"/>
            <w:vAlign w:val="bottom"/>
          </w:tcPr>
          <w:p>
            <w:pPr>
              <w:ind w:left="100"/>
              <w:spacing w:after="0"/>
              <w:rPr>
                <w:sz w:val="20"/>
                <w:szCs w:val="20"/>
                <w:color w:val="auto"/>
              </w:rPr>
            </w:pPr>
            <w:r>
              <w:rPr>
                <w:rFonts w:ascii="Arial" w:cs="Arial" w:eastAsia="Arial" w:hAnsi="Arial"/>
                <w:sz w:val="12"/>
                <w:szCs w:val="12"/>
                <w:color w:val="auto"/>
              </w:rPr>
              <w:t>(Principal Financial Officer)</w:t>
            </w:r>
          </w:p>
        </w:tc>
        <w:tc>
          <w:tcPr>
            <w:tcW w:w="14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s/Gavin A. Mohr</w:t>
            </w:r>
          </w:p>
        </w:tc>
        <w:tc>
          <w:tcPr>
            <w:tcW w:w="1420" w:type="dxa"/>
            <w:vAlign w:val="bottom"/>
            <w:tcBorders>
              <w:bottom w:val="single" w:sz="8" w:color="auto"/>
            </w:tcBorders>
          </w:tcPr>
          <w:p>
            <w:pPr>
              <w:spacing w:after="0"/>
              <w:rPr>
                <w:sz w:val="13"/>
                <w:szCs w:val="13"/>
                <w:color w:val="auto"/>
              </w:rPr>
            </w:pPr>
          </w:p>
        </w:tc>
        <w:tc>
          <w:tcPr>
            <w:tcW w:w="4520" w:type="dxa"/>
            <w:vAlign w:val="bottom"/>
          </w:tcPr>
          <w:p>
            <w:pPr>
              <w:ind w:left="1700"/>
              <w:spacing w:after="0"/>
              <w:rPr>
                <w:sz w:val="20"/>
                <w:szCs w:val="20"/>
                <w:color w:val="auto"/>
              </w:rPr>
            </w:pPr>
            <w:r>
              <w:rPr>
                <w:rFonts w:ascii="Arial" w:cs="Arial" w:eastAsia="Arial" w:hAnsi="Arial"/>
                <w:sz w:val="12"/>
                <w:szCs w:val="12"/>
                <w:color w:val="auto"/>
              </w:rPr>
              <w:t>March 4, 2022</w:t>
            </w:r>
          </w:p>
        </w:tc>
      </w:tr>
      <w:tr>
        <w:trPr>
          <w:trHeight w:val="133"/>
        </w:trPr>
        <w:tc>
          <w:tcPr>
            <w:tcW w:w="3960" w:type="dxa"/>
            <w:vAlign w:val="bottom"/>
          </w:tcPr>
          <w:p>
            <w:pPr>
              <w:spacing w:after="0" w:line="133" w:lineRule="exact"/>
              <w:rPr>
                <w:sz w:val="20"/>
                <w:szCs w:val="20"/>
                <w:color w:val="auto"/>
              </w:rPr>
            </w:pPr>
            <w:r>
              <w:rPr>
                <w:rFonts w:ascii="Arial" w:cs="Arial" w:eastAsia="Arial" w:hAnsi="Arial"/>
                <w:sz w:val="12"/>
                <w:szCs w:val="12"/>
                <w:color w:val="auto"/>
              </w:rPr>
              <w:t>James J. Twarozynski, Senior Vice</w:t>
            </w:r>
          </w:p>
        </w:tc>
        <w:tc>
          <w:tcPr>
            <w:tcW w:w="14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4520" w:type="dxa"/>
            <w:vAlign w:val="bottom"/>
          </w:tcPr>
          <w:p>
            <w:pPr>
              <w:spacing w:after="0"/>
              <w:rPr>
                <w:sz w:val="11"/>
                <w:szCs w:val="11"/>
                <w:color w:val="auto"/>
              </w:rPr>
            </w:pPr>
          </w:p>
        </w:tc>
      </w:tr>
      <w:tr>
        <w:trPr>
          <w:trHeight w:val="144"/>
        </w:trPr>
        <w:tc>
          <w:tcPr>
            <w:tcW w:w="3960" w:type="dxa"/>
            <w:vAlign w:val="bottom"/>
          </w:tcPr>
          <w:p>
            <w:pPr>
              <w:ind w:left="100"/>
              <w:spacing w:after="0"/>
              <w:rPr>
                <w:sz w:val="20"/>
                <w:szCs w:val="20"/>
                <w:color w:val="auto"/>
              </w:rPr>
            </w:pPr>
            <w:r>
              <w:rPr>
                <w:rFonts w:ascii="Arial" w:cs="Arial" w:eastAsia="Arial" w:hAnsi="Arial"/>
                <w:sz w:val="12"/>
                <w:szCs w:val="12"/>
                <w:color w:val="auto"/>
              </w:rPr>
              <w:t>President and Chief Accounting</w:t>
            </w:r>
          </w:p>
        </w:tc>
        <w:tc>
          <w:tcPr>
            <w:tcW w:w="14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520" w:type="dxa"/>
            <w:vAlign w:val="bottom"/>
          </w:tcPr>
          <w:p>
            <w:pPr>
              <w:spacing w:after="0"/>
              <w:rPr>
                <w:sz w:val="12"/>
                <w:szCs w:val="12"/>
                <w:color w:val="auto"/>
              </w:rPr>
            </w:pPr>
          </w:p>
        </w:tc>
      </w:tr>
      <w:tr>
        <w:trPr>
          <w:trHeight w:val="144"/>
        </w:trPr>
        <w:tc>
          <w:tcPr>
            <w:tcW w:w="3960" w:type="dxa"/>
            <w:vAlign w:val="bottom"/>
          </w:tcPr>
          <w:p>
            <w:pPr>
              <w:ind w:left="100"/>
              <w:spacing w:after="0"/>
              <w:rPr>
                <w:sz w:val="20"/>
                <w:szCs w:val="20"/>
                <w:color w:val="auto"/>
              </w:rPr>
            </w:pPr>
            <w:r>
              <w:rPr>
                <w:rFonts w:ascii="Arial" w:cs="Arial" w:eastAsia="Arial" w:hAnsi="Arial"/>
                <w:sz w:val="12"/>
                <w:szCs w:val="12"/>
                <w:color w:val="auto"/>
              </w:rPr>
              <w:t>Officer</w:t>
            </w:r>
          </w:p>
        </w:tc>
        <w:tc>
          <w:tcPr>
            <w:tcW w:w="14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520" w:type="dxa"/>
            <w:vAlign w:val="bottom"/>
          </w:tcPr>
          <w:p>
            <w:pPr>
              <w:spacing w:after="0"/>
              <w:rPr>
                <w:sz w:val="12"/>
                <w:szCs w:val="12"/>
                <w:color w:val="auto"/>
              </w:rPr>
            </w:pPr>
          </w:p>
        </w:tc>
      </w:tr>
      <w:tr>
        <w:trPr>
          <w:trHeight w:val="153"/>
        </w:trPr>
        <w:tc>
          <w:tcPr>
            <w:tcW w:w="3960" w:type="dxa"/>
            <w:vAlign w:val="bottom"/>
          </w:tcPr>
          <w:p>
            <w:pPr>
              <w:ind w:left="100"/>
              <w:spacing w:after="0"/>
              <w:rPr>
                <w:sz w:val="20"/>
                <w:szCs w:val="20"/>
                <w:color w:val="auto"/>
              </w:rPr>
            </w:pPr>
            <w:r>
              <w:rPr>
                <w:rFonts w:ascii="Arial" w:cs="Arial" w:eastAsia="Arial" w:hAnsi="Arial"/>
                <w:sz w:val="12"/>
                <w:szCs w:val="12"/>
                <w:color w:val="auto"/>
              </w:rPr>
              <w:t>(Principal Accounting Officer)</w:t>
            </w:r>
          </w:p>
        </w:tc>
        <w:tc>
          <w:tcPr>
            <w:tcW w:w="14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s/James J. Twarozynski</w:t>
            </w:r>
          </w:p>
        </w:tc>
        <w:tc>
          <w:tcPr>
            <w:tcW w:w="1420" w:type="dxa"/>
            <w:vAlign w:val="bottom"/>
            <w:tcBorders>
              <w:bottom w:val="single" w:sz="8" w:color="auto"/>
            </w:tcBorders>
          </w:tcPr>
          <w:p>
            <w:pPr>
              <w:spacing w:after="0"/>
              <w:rPr>
                <w:sz w:val="13"/>
                <w:szCs w:val="13"/>
                <w:color w:val="auto"/>
              </w:rPr>
            </w:pPr>
          </w:p>
        </w:tc>
        <w:tc>
          <w:tcPr>
            <w:tcW w:w="4520" w:type="dxa"/>
            <w:vAlign w:val="bottom"/>
          </w:tcPr>
          <w:p>
            <w:pPr>
              <w:ind w:left="1700"/>
              <w:spacing w:after="0"/>
              <w:rPr>
                <w:sz w:val="20"/>
                <w:szCs w:val="20"/>
                <w:color w:val="auto"/>
              </w:rPr>
            </w:pPr>
            <w:r>
              <w:rPr>
                <w:rFonts w:ascii="Arial" w:cs="Arial" w:eastAsia="Arial" w:hAnsi="Arial"/>
                <w:sz w:val="12"/>
                <w:szCs w:val="12"/>
                <w:color w:val="auto"/>
              </w:rPr>
              <w:t>March 3, 2022</w:t>
            </w:r>
          </w:p>
        </w:tc>
      </w:tr>
      <w:tr>
        <w:trPr>
          <w:trHeight w:val="277"/>
        </w:trPr>
        <w:tc>
          <w:tcPr>
            <w:tcW w:w="3960" w:type="dxa"/>
            <w:vAlign w:val="bottom"/>
          </w:tcPr>
          <w:p>
            <w:pPr>
              <w:spacing w:after="0"/>
              <w:rPr>
                <w:sz w:val="20"/>
                <w:szCs w:val="20"/>
                <w:color w:val="auto"/>
              </w:rPr>
            </w:pPr>
            <w:r>
              <w:rPr>
                <w:rFonts w:ascii="Arial" w:cs="Arial" w:eastAsia="Arial" w:hAnsi="Arial"/>
                <w:sz w:val="12"/>
                <w:szCs w:val="12"/>
                <w:color w:val="auto"/>
              </w:rPr>
              <w:t>Michael M. Magee, Jr.</w:t>
            </w:r>
          </w:p>
        </w:tc>
        <w:tc>
          <w:tcPr>
            <w:tcW w:w="1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153"/>
        </w:trPr>
        <w:tc>
          <w:tcPr>
            <w:tcW w:w="3960" w:type="dxa"/>
            <w:vAlign w:val="bottom"/>
          </w:tcPr>
          <w:p>
            <w:pPr>
              <w:ind w:left="100"/>
              <w:spacing w:after="0"/>
              <w:rPr>
                <w:sz w:val="20"/>
                <w:szCs w:val="20"/>
                <w:color w:val="auto"/>
              </w:rPr>
            </w:pPr>
            <w:r>
              <w:rPr>
                <w:rFonts w:ascii="Arial" w:cs="Arial" w:eastAsia="Arial" w:hAnsi="Arial"/>
                <w:sz w:val="12"/>
                <w:szCs w:val="12"/>
                <w:color w:val="auto"/>
              </w:rPr>
              <w:t>Chairperson and Director</w:t>
            </w:r>
          </w:p>
        </w:tc>
        <w:tc>
          <w:tcPr>
            <w:tcW w:w="14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s/Michael M. Magee Jr.</w:t>
            </w:r>
          </w:p>
        </w:tc>
        <w:tc>
          <w:tcPr>
            <w:tcW w:w="1420" w:type="dxa"/>
            <w:vAlign w:val="bottom"/>
            <w:tcBorders>
              <w:bottom w:val="single" w:sz="8" w:color="auto"/>
            </w:tcBorders>
          </w:tcPr>
          <w:p>
            <w:pPr>
              <w:spacing w:after="0"/>
              <w:rPr>
                <w:sz w:val="13"/>
                <w:szCs w:val="13"/>
                <w:color w:val="auto"/>
              </w:rPr>
            </w:pPr>
          </w:p>
        </w:tc>
        <w:tc>
          <w:tcPr>
            <w:tcW w:w="4520" w:type="dxa"/>
            <w:vAlign w:val="bottom"/>
          </w:tcPr>
          <w:p>
            <w:pPr>
              <w:ind w:left="1700"/>
              <w:spacing w:after="0"/>
              <w:rPr>
                <w:sz w:val="20"/>
                <w:szCs w:val="20"/>
                <w:color w:val="auto"/>
              </w:rPr>
            </w:pPr>
            <w:r>
              <w:rPr>
                <w:rFonts w:ascii="Arial" w:cs="Arial" w:eastAsia="Arial" w:hAnsi="Arial"/>
                <w:sz w:val="12"/>
                <w:szCs w:val="12"/>
                <w:color w:val="auto"/>
              </w:rPr>
              <w:t>March 3, 2022</w:t>
            </w:r>
          </w:p>
        </w:tc>
      </w:tr>
      <w:tr>
        <w:trPr>
          <w:trHeight w:val="430"/>
        </w:trPr>
        <w:tc>
          <w:tcPr>
            <w:tcW w:w="3960" w:type="dxa"/>
            <w:vAlign w:val="bottom"/>
          </w:tcPr>
          <w:p>
            <w:pPr>
              <w:spacing w:after="0"/>
              <w:rPr>
                <w:sz w:val="20"/>
                <w:szCs w:val="20"/>
                <w:color w:val="auto"/>
              </w:rPr>
            </w:pPr>
            <w:r>
              <w:rPr>
                <w:rFonts w:ascii="Arial" w:cs="Arial" w:eastAsia="Arial" w:hAnsi="Arial"/>
                <w:sz w:val="12"/>
                <w:szCs w:val="12"/>
                <w:color w:val="auto"/>
              </w:rPr>
              <w:t>Dennis W. Archer, Jr., Director</w:t>
            </w:r>
          </w:p>
        </w:tc>
        <w:tc>
          <w:tcPr>
            <w:tcW w:w="14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s/Dennis W. Archer, Jr.</w:t>
            </w:r>
          </w:p>
        </w:tc>
        <w:tc>
          <w:tcPr>
            <w:tcW w:w="1420" w:type="dxa"/>
            <w:vAlign w:val="bottom"/>
            <w:tcBorders>
              <w:bottom w:val="single" w:sz="8" w:color="auto"/>
            </w:tcBorders>
          </w:tcPr>
          <w:p>
            <w:pPr>
              <w:spacing w:after="0"/>
              <w:rPr>
                <w:sz w:val="24"/>
                <w:szCs w:val="24"/>
                <w:color w:val="auto"/>
              </w:rPr>
            </w:pPr>
          </w:p>
        </w:tc>
        <w:tc>
          <w:tcPr>
            <w:tcW w:w="4520" w:type="dxa"/>
            <w:vAlign w:val="bottom"/>
          </w:tcPr>
          <w:p>
            <w:pPr>
              <w:ind w:left="1700"/>
              <w:spacing w:after="0"/>
              <w:rPr>
                <w:sz w:val="20"/>
                <w:szCs w:val="20"/>
                <w:color w:val="auto"/>
              </w:rPr>
            </w:pPr>
            <w:r>
              <w:rPr>
                <w:rFonts w:ascii="Arial" w:cs="Arial" w:eastAsia="Arial" w:hAnsi="Arial"/>
                <w:sz w:val="12"/>
                <w:szCs w:val="12"/>
                <w:color w:val="auto"/>
              </w:rPr>
              <w:t>March 2, 2022</w:t>
            </w:r>
          </w:p>
        </w:tc>
      </w:tr>
      <w:tr>
        <w:trPr>
          <w:trHeight w:val="430"/>
        </w:trPr>
        <w:tc>
          <w:tcPr>
            <w:tcW w:w="3960" w:type="dxa"/>
            <w:vAlign w:val="bottom"/>
          </w:tcPr>
          <w:p>
            <w:pPr>
              <w:spacing w:after="0"/>
              <w:rPr>
                <w:sz w:val="20"/>
                <w:szCs w:val="20"/>
                <w:color w:val="auto"/>
              </w:rPr>
            </w:pPr>
            <w:r>
              <w:rPr>
                <w:rFonts w:ascii="Arial" w:cs="Arial" w:eastAsia="Arial" w:hAnsi="Arial"/>
                <w:sz w:val="12"/>
                <w:szCs w:val="12"/>
                <w:color w:val="auto"/>
              </w:rPr>
              <w:t>Terance L. Beia, Director</w:t>
            </w:r>
          </w:p>
        </w:tc>
        <w:tc>
          <w:tcPr>
            <w:tcW w:w="14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s/Terance L. Beia</w:t>
            </w:r>
          </w:p>
        </w:tc>
        <w:tc>
          <w:tcPr>
            <w:tcW w:w="1420" w:type="dxa"/>
            <w:vAlign w:val="bottom"/>
            <w:tcBorders>
              <w:bottom w:val="single" w:sz="8" w:color="auto"/>
            </w:tcBorders>
          </w:tcPr>
          <w:p>
            <w:pPr>
              <w:spacing w:after="0"/>
              <w:rPr>
                <w:sz w:val="24"/>
                <w:szCs w:val="24"/>
                <w:color w:val="auto"/>
              </w:rPr>
            </w:pPr>
          </w:p>
        </w:tc>
        <w:tc>
          <w:tcPr>
            <w:tcW w:w="4520" w:type="dxa"/>
            <w:vAlign w:val="bottom"/>
          </w:tcPr>
          <w:p>
            <w:pPr>
              <w:ind w:left="1700"/>
              <w:spacing w:after="0"/>
              <w:rPr>
                <w:sz w:val="20"/>
                <w:szCs w:val="20"/>
                <w:color w:val="auto"/>
              </w:rPr>
            </w:pPr>
            <w:r>
              <w:rPr>
                <w:rFonts w:ascii="Arial" w:cs="Arial" w:eastAsia="Arial" w:hAnsi="Arial"/>
                <w:sz w:val="12"/>
                <w:szCs w:val="12"/>
                <w:color w:val="auto"/>
              </w:rPr>
              <w:t>March 2, 2022</w:t>
            </w:r>
          </w:p>
        </w:tc>
      </w:tr>
      <w:tr>
        <w:trPr>
          <w:trHeight w:val="430"/>
        </w:trPr>
        <w:tc>
          <w:tcPr>
            <w:tcW w:w="3960" w:type="dxa"/>
            <w:vAlign w:val="bottom"/>
          </w:tcPr>
          <w:p>
            <w:pPr>
              <w:spacing w:after="0"/>
              <w:rPr>
                <w:sz w:val="20"/>
                <w:szCs w:val="20"/>
                <w:color w:val="auto"/>
              </w:rPr>
            </w:pPr>
            <w:r>
              <w:rPr>
                <w:rFonts w:ascii="Arial" w:cs="Arial" w:eastAsia="Arial" w:hAnsi="Arial"/>
                <w:sz w:val="12"/>
                <w:szCs w:val="12"/>
                <w:color w:val="auto"/>
              </w:rPr>
              <w:t>William J. Boer, Director</w:t>
            </w:r>
          </w:p>
        </w:tc>
        <w:tc>
          <w:tcPr>
            <w:tcW w:w="14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s/William J. Boer</w:t>
            </w:r>
          </w:p>
        </w:tc>
        <w:tc>
          <w:tcPr>
            <w:tcW w:w="1420" w:type="dxa"/>
            <w:vAlign w:val="bottom"/>
            <w:tcBorders>
              <w:bottom w:val="single" w:sz="8" w:color="auto"/>
            </w:tcBorders>
          </w:tcPr>
          <w:p>
            <w:pPr>
              <w:spacing w:after="0"/>
              <w:rPr>
                <w:sz w:val="24"/>
                <w:szCs w:val="24"/>
                <w:color w:val="auto"/>
              </w:rPr>
            </w:pPr>
          </w:p>
        </w:tc>
        <w:tc>
          <w:tcPr>
            <w:tcW w:w="4520" w:type="dxa"/>
            <w:vAlign w:val="bottom"/>
          </w:tcPr>
          <w:p>
            <w:pPr>
              <w:ind w:left="1700"/>
              <w:spacing w:after="0"/>
              <w:rPr>
                <w:sz w:val="20"/>
                <w:szCs w:val="20"/>
                <w:color w:val="auto"/>
              </w:rPr>
            </w:pPr>
            <w:r>
              <w:rPr>
                <w:rFonts w:ascii="Arial" w:cs="Arial" w:eastAsia="Arial" w:hAnsi="Arial"/>
                <w:sz w:val="12"/>
                <w:szCs w:val="12"/>
                <w:color w:val="auto"/>
              </w:rPr>
              <w:t>March 3, 2022</w:t>
            </w:r>
          </w:p>
        </w:tc>
      </w:tr>
      <w:tr>
        <w:trPr>
          <w:trHeight w:val="430"/>
        </w:trPr>
        <w:tc>
          <w:tcPr>
            <w:tcW w:w="3960" w:type="dxa"/>
            <w:vAlign w:val="bottom"/>
          </w:tcPr>
          <w:p>
            <w:pPr>
              <w:spacing w:after="0"/>
              <w:rPr>
                <w:sz w:val="20"/>
                <w:szCs w:val="20"/>
                <w:color w:val="auto"/>
              </w:rPr>
            </w:pPr>
            <w:r>
              <w:rPr>
                <w:rFonts w:ascii="Arial" w:cs="Arial" w:eastAsia="Arial" w:hAnsi="Arial"/>
                <w:sz w:val="12"/>
                <w:szCs w:val="12"/>
                <w:color w:val="auto"/>
              </w:rPr>
              <w:t>Joan A. Budden, Director</w:t>
            </w:r>
          </w:p>
        </w:tc>
        <w:tc>
          <w:tcPr>
            <w:tcW w:w="14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4520" w:type="dxa"/>
            <w:vAlign w:val="bottom"/>
          </w:tcPr>
          <w:p>
            <w:pPr>
              <w:spacing w:after="0"/>
              <w:rPr>
                <w:sz w:val="24"/>
                <w:szCs w:val="24"/>
                <w:color w:val="auto"/>
              </w:rPr>
            </w:pPr>
          </w:p>
        </w:tc>
      </w:tr>
      <w:tr>
        <w:trPr>
          <w:trHeight w:val="430"/>
        </w:trPr>
        <w:tc>
          <w:tcPr>
            <w:tcW w:w="3960" w:type="dxa"/>
            <w:vAlign w:val="bottom"/>
          </w:tcPr>
          <w:p>
            <w:pPr>
              <w:spacing w:after="0"/>
              <w:rPr>
                <w:sz w:val="20"/>
                <w:szCs w:val="20"/>
                <w:color w:val="auto"/>
              </w:rPr>
            </w:pPr>
            <w:r>
              <w:rPr>
                <w:rFonts w:ascii="Arial" w:cs="Arial" w:eastAsia="Arial" w:hAnsi="Arial"/>
                <w:sz w:val="12"/>
                <w:szCs w:val="12"/>
                <w:color w:val="auto"/>
              </w:rPr>
              <w:t>Michael J. Cok, Director</w:t>
            </w:r>
          </w:p>
        </w:tc>
        <w:tc>
          <w:tcPr>
            <w:tcW w:w="14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s/Michael J. Cok</w:t>
            </w:r>
          </w:p>
        </w:tc>
        <w:tc>
          <w:tcPr>
            <w:tcW w:w="1420" w:type="dxa"/>
            <w:vAlign w:val="bottom"/>
            <w:tcBorders>
              <w:bottom w:val="single" w:sz="8" w:color="auto"/>
            </w:tcBorders>
          </w:tcPr>
          <w:p>
            <w:pPr>
              <w:spacing w:after="0"/>
              <w:rPr>
                <w:sz w:val="24"/>
                <w:szCs w:val="24"/>
                <w:color w:val="auto"/>
              </w:rPr>
            </w:pPr>
          </w:p>
        </w:tc>
        <w:tc>
          <w:tcPr>
            <w:tcW w:w="4520" w:type="dxa"/>
            <w:vAlign w:val="bottom"/>
          </w:tcPr>
          <w:p>
            <w:pPr>
              <w:ind w:left="1700"/>
              <w:spacing w:after="0"/>
              <w:rPr>
                <w:sz w:val="20"/>
                <w:szCs w:val="20"/>
                <w:color w:val="auto"/>
              </w:rPr>
            </w:pPr>
            <w:r>
              <w:rPr>
                <w:rFonts w:ascii="Arial" w:cs="Arial" w:eastAsia="Arial" w:hAnsi="Arial"/>
                <w:sz w:val="12"/>
                <w:szCs w:val="12"/>
                <w:color w:val="auto"/>
              </w:rPr>
              <w:t>March 2, 2022</w:t>
            </w:r>
          </w:p>
        </w:tc>
      </w:tr>
      <w:tr>
        <w:trPr>
          <w:trHeight w:val="430"/>
        </w:trPr>
        <w:tc>
          <w:tcPr>
            <w:tcW w:w="3960" w:type="dxa"/>
            <w:vAlign w:val="bottom"/>
          </w:tcPr>
          <w:p>
            <w:pPr>
              <w:spacing w:after="0"/>
              <w:rPr>
                <w:sz w:val="20"/>
                <w:szCs w:val="20"/>
                <w:color w:val="auto"/>
              </w:rPr>
            </w:pPr>
            <w:r>
              <w:rPr>
                <w:rFonts w:ascii="Arial" w:cs="Arial" w:eastAsia="Arial" w:hAnsi="Arial"/>
                <w:sz w:val="12"/>
                <w:szCs w:val="12"/>
                <w:color w:val="auto"/>
              </w:rPr>
              <w:t>Stephen L. Gulis, Jr., Director</w:t>
            </w:r>
          </w:p>
        </w:tc>
        <w:tc>
          <w:tcPr>
            <w:tcW w:w="14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s/Stephen L. Gulis, Jr.</w:t>
            </w:r>
          </w:p>
        </w:tc>
        <w:tc>
          <w:tcPr>
            <w:tcW w:w="1420" w:type="dxa"/>
            <w:vAlign w:val="bottom"/>
            <w:tcBorders>
              <w:bottom w:val="single" w:sz="8" w:color="auto"/>
            </w:tcBorders>
          </w:tcPr>
          <w:p>
            <w:pPr>
              <w:spacing w:after="0"/>
              <w:rPr>
                <w:sz w:val="24"/>
                <w:szCs w:val="24"/>
                <w:color w:val="auto"/>
              </w:rPr>
            </w:pPr>
          </w:p>
        </w:tc>
        <w:tc>
          <w:tcPr>
            <w:tcW w:w="4520" w:type="dxa"/>
            <w:vAlign w:val="bottom"/>
          </w:tcPr>
          <w:p>
            <w:pPr>
              <w:ind w:left="1700"/>
              <w:spacing w:after="0"/>
              <w:rPr>
                <w:sz w:val="20"/>
                <w:szCs w:val="20"/>
                <w:color w:val="auto"/>
              </w:rPr>
            </w:pPr>
            <w:r>
              <w:rPr>
                <w:rFonts w:ascii="Arial" w:cs="Arial" w:eastAsia="Arial" w:hAnsi="Arial"/>
                <w:sz w:val="12"/>
                <w:szCs w:val="12"/>
                <w:color w:val="auto"/>
              </w:rPr>
              <w:t>March 3, 2022</w:t>
            </w:r>
          </w:p>
        </w:tc>
      </w:tr>
      <w:tr>
        <w:trPr>
          <w:trHeight w:val="430"/>
        </w:trPr>
        <w:tc>
          <w:tcPr>
            <w:tcW w:w="3960" w:type="dxa"/>
            <w:vAlign w:val="bottom"/>
          </w:tcPr>
          <w:p>
            <w:pPr>
              <w:spacing w:after="0"/>
              <w:rPr>
                <w:sz w:val="20"/>
                <w:szCs w:val="20"/>
                <w:color w:val="auto"/>
              </w:rPr>
            </w:pPr>
            <w:r>
              <w:rPr>
                <w:rFonts w:ascii="Arial" w:cs="Arial" w:eastAsia="Arial" w:hAnsi="Arial"/>
                <w:sz w:val="12"/>
                <w:szCs w:val="12"/>
                <w:color w:val="auto"/>
              </w:rPr>
              <w:t>Christina L. Keller, Director</w:t>
            </w:r>
          </w:p>
        </w:tc>
        <w:tc>
          <w:tcPr>
            <w:tcW w:w="14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4520" w:type="dxa"/>
            <w:vAlign w:val="bottom"/>
          </w:tcPr>
          <w:p>
            <w:pPr>
              <w:spacing w:after="0"/>
              <w:rPr>
                <w:sz w:val="24"/>
                <w:szCs w:val="24"/>
                <w:color w:val="auto"/>
              </w:rPr>
            </w:pPr>
          </w:p>
        </w:tc>
      </w:tr>
      <w:tr>
        <w:trPr>
          <w:trHeight w:val="430"/>
        </w:trPr>
        <w:tc>
          <w:tcPr>
            <w:tcW w:w="3960" w:type="dxa"/>
            <w:vAlign w:val="bottom"/>
          </w:tcPr>
          <w:p>
            <w:pPr>
              <w:spacing w:after="0"/>
              <w:rPr>
                <w:sz w:val="20"/>
                <w:szCs w:val="20"/>
                <w:color w:val="auto"/>
              </w:rPr>
            </w:pPr>
            <w:r>
              <w:rPr>
                <w:rFonts w:ascii="Arial" w:cs="Arial" w:eastAsia="Arial" w:hAnsi="Arial"/>
                <w:sz w:val="12"/>
                <w:szCs w:val="12"/>
                <w:color w:val="auto"/>
              </w:rPr>
              <w:t>William B. Kessel, Director</w:t>
            </w:r>
          </w:p>
        </w:tc>
        <w:tc>
          <w:tcPr>
            <w:tcW w:w="14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s/William B. Kessel</w:t>
            </w:r>
          </w:p>
        </w:tc>
        <w:tc>
          <w:tcPr>
            <w:tcW w:w="1420" w:type="dxa"/>
            <w:vAlign w:val="bottom"/>
            <w:tcBorders>
              <w:bottom w:val="single" w:sz="8" w:color="auto"/>
            </w:tcBorders>
          </w:tcPr>
          <w:p>
            <w:pPr>
              <w:spacing w:after="0"/>
              <w:rPr>
                <w:sz w:val="24"/>
                <w:szCs w:val="24"/>
                <w:color w:val="auto"/>
              </w:rPr>
            </w:pPr>
          </w:p>
        </w:tc>
        <w:tc>
          <w:tcPr>
            <w:tcW w:w="4520" w:type="dxa"/>
            <w:vAlign w:val="bottom"/>
          </w:tcPr>
          <w:p>
            <w:pPr>
              <w:ind w:left="1700"/>
              <w:spacing w:after="0"/>
              <w:rPr>
                <w:sz w:val="20"/>
                <w:szCs w:val="20"/>
                <w:color w:val="auto"/>
              </w:rPr>
            </w:pPr>
            <w:r>
              <w:rPr>
                <w:rFonts w:ascii="Arial" w:cs="Arial" w:eastAsia="Arial" w:hAnsi="Arial"/>
                <w:sz w:val="12"/>
                <w:szCs w:val="12"/>
                <w:color w:val="auto"/>
              </w:rPr>
              <w:t>March 1, 2022</w:t>
            </w:r>
          </w:p>
        </w:tc>
      </w:tr>
      <w:tr>
        <w:trPr>
          <w:trHeight w:val="430"/>
        </w:trPr>
        <w:tc>
          <w:tcPr>
            <w:tcW w:w="3960" w:type="dxa"/>
            <w:vAlign w:val="bottom"/>
          </w:tcPr>
          <w:p>
            <w:pPr>
              <w:spacing w:after="0"/>
              <w:rPr>
                <w:sz w:val="20"/>
                <w:szCs w:val="20"/>
                <w:color w:val="auto"/>
              </w:rPr>
            </w:pPr>
            <w:r>
              <w:rPr>
                <w:rFonts w:ascii="Arial" w:cs="Arial" w:eastAsia="Arial" w:hAnsi="Arial"/>
                <w:sz w:val="12"/>
                <w:szCs w:val="12"/>
                <w:color w:val="auto"/>
              </w:rPr>
              <w:t>Ronia F. Kruse, Director</w:t>
            </w:r>
          </w:p>
        </w:tc>
        <w:tc>
          <w:tcPr>
            <w:tcW w:w="14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4520" w:type="dxa"/>
            <w:vAlign w:val="bottom"/>
          </w:tcPr>
          <w:p>
            <w:pPr>
              <w:spacing w:after="0"/>
              <w:rPr>
                <w:sz w:val="24"/>
                <w:szCs w:val="24"/>
                <w:color w:val="auto"/>
              </w:rPr>
            </w:pPr>
          </w:p>
        </w:tc>
      </w:tr>
      <w:tr>
        <w:trPr>
          <w:trHeight w:val="286"/>
        </w:trPr>
        <w:tc>
          <w:tcPr>
            <w:tcW w:w="3960" w:type="dxa"/>
            <w:vAlign w:val="bottom"/>
          </w:tcPr>
          <w:p>
            <w:pPr>
              <w:spacing w:after="0"/>
              <w:rPr>
                <w:sz w:val="20"/>
                <w:szCs w:val="20"/>
                <w:color w:val="auto"/>
              </w:rPr>
            </w:pPr>
            <w:r>
              <w:rPr>
                <w:rFonts w:ascii="Arial" w:cs="Arial" w:eastAsia="Arial" w:hAnsi="Arial"/>
                <w:sz w:val="12"/>
                <w:szCs w:val="12"/>
                <w:color w:val="auto"/>
              </w:rPr>
              <w:t>Matthew J. Missad, Director</w:t>
            </w:r>
          </w:p>
        </w:tc>
        <w:tc>
          <w:tcPr>
            <w:tcW w:w="14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s/Matthew J. Missad</w:t>
            </w:r>
          </w:p>
        </w:tc>
        <w:tc>
          <w:tcPr>
            <w:tcW w:w="1420" w:type="dxa"/>
            <w:vAlign w:val="bottom"/>
            <w:tcBorders>
              <w:bottom w:val="single" w:sz="8" w:color="auto"/>
            </w:tcBorders>
          </w:tcPr>
          <w:p>
            <w:pPr>
              <w:spacing w:after="0"/>
              <w:rPr>
                <w:sz w:val="24"/>
                <w:szCs w:val="24"/>
                <w:color w:val="auto"/>
              </w:rPr>
            </w:pPr>
          </w:p>
        </w:tc>
        <w:tc>
          <w:tcPr>
            <w:tcW w:w="4520" w:type="dxa"/>
            <w:vAlign w:val="bottom"/>
          </w:tcPr>
          <w:p>
            <w:pPr>
              <w:ind w:left="1700"/>
              <w:spacing w:after="0"/>
              <w:rPr>
                <w:sz w:val="20"/>
                <w:szCs w:val="20"/>
                <w:color w:val="auto"/>
              </w:rPr>
            </w:pPr>
            <w:r>
              <w:rPr>
                <w:rFonts w:ascii="Arial" w:cs="Arial" w:eastAsia="Arial" w:hAnsi="Arial"/>
                <w:sz w:val="12"/>
                <w:szCs w:val="12"/>
                <w:color w:val="auto"/>
              </w:rPr>
              <w:t>March 1, 2022</w:t>
            </w:r>
          </w:p>
        </w:tc>
      </w:tr>
      <w:tr>
        <w:trPr>
          <w:trHeight w:val="431"/>
        </w:trPr>
        <w:tc>
          <w:tcPr>
            <w:tcW w:w="3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20" w:type="dxa"/>
            <w:vAlign w:val="bottom"/>
          </w:tcPr>
          <w:p>
            <w:pPr>
              <w:jc w:val="right"/>
              <w:ind w:right="1032"/>
              <w:spacing w:after="0"/>
              <w:rPr>
                <w:sz w:val="20"/>
                <w:szCs w:val="20"/>
                <w:color w:val="auto"/>
              </w:rPr>
            </w:pPr>
            <w:r>
              <w:rPr>
                <w:rFonts w:ascii="Arial" w:cs="Arial" w:eastAsia="Arial" w:hAnsi="Arial"/>
                <w:sz w:val="10"/>
                <w:szCs w:val="10"/>
                <w:color w:val="auto"/>
              </w:rPr>
              <w:t>28</w:t>
            </w:r>
          </w:p>
        </w:tc>
        <w:tc>
          <w:tcPr>
            <w:tcW w:w="4520" w:type="dxa"/>
            <w:vAlign w:val="bottom"/>
          </w:tcPr>
          <w:p>
            <w:pPr>
              <w:spacing w:after="0"/>
              <w:rPr>
                <w:sz w:val="24"/>
                <w:szCs w:val="24"/>
                <w:color w:val="auto"/>
              </w:rPr>
            </w:pPr>
          </w:p>
        </w:tc>
      </w:tr>
      <w:tr>
        <w:trPr>
          <w:trHeight w:val="62"/>
        </w:trPr>
        <w:tc>
          <w:tcPr>
            <w:tcW w:w="396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4520" w:type="dxa"/>
            <w:vAlign w:val="bottom"/>
            <w:tcBorders>
              <w:bottom w:val="single" w:sz="8" w:color="auto"/>
            </w:tcBorders>
          </w:tcPr>
          <w:p>
            <w:pPr>
              <w:spacing w:after="0"/>
              <w:rPr>
                <w:sz w:val="5"/>
                <w:szCs w:val="5"/>
                <w:color w:val="auto"/>
              </w:rPr>
            </w:pPr>
          </w:p>
        </w:tc>
      </w:tr>
    </w:tbl>
    <w:p>
      <w:pPr>
        <w:sectPr>
          <w:pgSz w:w="11900" w:h="16838" w:orient="portrait"/>
          <w:cols w:equalWidth="0" w:num="1">
            <w:col w:w="11300"/>
          </w:cols>
          <w:pgMar w:left="300" w:top="125" w:right="299" w:bottom="1440" w:gutter="0" w:footer="0" w:header="0"/>
        </w:sectPr>
      </w:pPr>
    </w:p>
    <w:bookmarkStart w:id="28" w:name="page29"/>
    <w:bookmarkEnd w:id="2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114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4"/>
        </w:trPr>
        <w:tc>
          <w:tcPr>
            <w:tcW w:w="52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Performance Graph</w:t>
            </w:r>
          </w:p>
        </w:tc>
        <w:tc>
          <w:tcPr>
            <w:tcW w:w="6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r>
      <w:tr>
        <w:trPr>
          <w:trHeight w:val="144"/>
        </w:trPr>
        <w:tc>
          <w:tcPr>
            <w:tcW w:w="5220" w:type="dxa"/>
            <w:vAlign w:val="bottom"/>
          </w:tcPr>
          <w:p>
            <w:pPr>
              <w:spacing w:after="0"/>
              <w:rPr>
                <w:sz w:val="20"/>
                <w:szCs w:val="20"/>
                <w:color w:val="auto"/>
              </w:rPr>
            </w:pPr>
            <w:r>
              <w:rPr>
                <w:rFonts w:ascii="Arial" w:cs="Arial" w:eastAsia="Arial" w:hAnsi="Arial"/>
                <w:sz w:val="12"/>
                <w:szCs w:val="12"/>
                <w:b w:val="1"/>
                <w:bCs w:val="1"/>
                <w:color w:val="auto"/>
              </w:rPr>
              <w:t>Selected Consolidated Financial Data</w:t>
            </w:r>
          </w:p>
        </w:tc>
        <w:tc>
          <w:tcPr>
            <w:tcW w:w="6080" w:type="dxa"/>
            <w:vAlign w:val="bottom"/>
          </w:tcPr>
          <w:p>
            <w:pPr>
              <w:jc w:val="right"/>
              <w:spacing w:after="0"/>
              <w:rPr>
                <w:sz w:val="20"/>
                <w:szCs w:val="20"/>
                <w:color w:val="auto"/>
              </w:rPr>
            </w:pPr>
            <w:r>
              <w:rPr>
                <w:rFonts w:ascii="Arial" w:cs="Arial" w:eastAsia="Arial" w:hAnsi="Arial"/>
                <w:sz w:val="12"/>
                <w:szCs w:val="12"/>
                <w:color w:val="auto"/>
              </w:rPr>
              <w:t>11</w:t>
            </w:r>
          </w:p>
        </w:tc>
      </w:tr>
      <w:tr>
        <w:trPr>
          <w:trHeight w:val="144"/>
        </w:trPr>
        <w:tc>
          <w:tcPr>
            <w:tcW w:w="52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Management’s Discussion and Analysis of Financial Condition and Results of Operations</w:t>
            </w:r>
          </w:p>
        </w:tc>
        <w:tc>
          <w:tcPr>
            <w:tcW w:w="6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r>
      <w:tr>
        <w:trPr>
          <w:trHeight w:val="144"/>
        </w:trPr>
        <w:tc>
          <w:tcPr>
            <w:tcW w:w="5220" w:type="dxa"/>
            <w:vAlign w:val="bottom"/>
          </w:tcPr>
          <w:p>
            <w:pPr>
              <w:spacing w:after="0"/>
              <w:rPr>
                <w:sz w:val="20"/>
                <w:szCs w:val="20"/>
                <w:color w:val="auto"/>
              </w:rPr>
            </w:pPr>
            <w:r>
              <w:rPr>
                <w:rFonts w:ascii="Arial" w:cs="Arial" w:eastAsia="Arial" w:hAnsi="Arial"/>
                <w:sz w:val="12"/>
                <w:szCs w:val="12"/>
                <w:b w:val="1"/>
                <w:bCs w:val="1"/>
                <w:color w:val="auto"/>
              </w:rPr>
              <w:t>Management’s Annual Report on Internal Control Over Financial Reporting (PCAOB ID 173)</w:t>
            </w:r>
          </w:p>
        </w:tc>
        <w:tc>
          <w:tcPr>
            <w:tcW w:w="6080" w:type="dxa"/>
            <w:vAlign w:val="bottom"/>
          </w:tcPr>
          <w:p>
            <w:pPr>
              <w:jc w:val="right"/>
              <w:spacing w:after="0"/>
              <w:rPr>
                <w:sz w:val="20"/>
                <w:szCs w:val="20"/>
                <w:color w:val="auto"/>
              </w:rPr>
            </w:pPr>
            <w:r>
              <w:rPr>
                <w:rFonts w:ascii="Arial" w:cs="Arial" w:eastAsia="Arial" w:hAnsi="Arial"/>
                <w:sz w:val="12"/>
                <w:szCs w:val="12"/>
                <w:color w:val="auto"/>
              </w:rPr>
              <w:t>36</w:t>
            </w:r>
          </w:p>
        </w:tc>
      </w:tr>
      <w:tr>
        <w:trPr>
          <w:trHeight w:val="144"/>
        </w:trPr>
        <w:tc>
          <w:tcPr>
            <w:tcW w:w="52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Report of Independent Registered Public Accounting Firm</w:t>
            </w:r>
          </w:p>
        </w:tc>
        <w:tc>
          <w:tcPr>
            <w:tcW w:w="6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w:t>
            </w:r>
          </w:p>
        </w:tc>
      </w:tr>
      <w:tr>
        <w:trPr>
          <w:trHeight w:val="144"/>
        </w:trPr>
        <w:tc>
          <w:tcPr>
            <w:tcW w:w="5220" w:type="dxa"/>
            <w:vAlign w:val="bottom"/>
          </w:tcPr>
          <w:p>
            <w:pPr>
              <w:spacing w:after="0"/>
              <w:rPr>
                <w:sz w:val="20"/>
                <w:szCs w:val="20"/>
                <w:color w:val="auto"/>
              </w:rPr>
            </w:pPr>
            <w:r>
              <w:rPr>
                <w:rFonts w:ascii="Arial" w:cs="Arial" w:eastAsia="Arial" w:hAnsi="Arial"/>
                <w:sz w:val="12"/>
                <w:szCs w:val="12"/>
                <w:b w:val="1"/>
                <w:bCs w:val="1"/>
                <w:color w:val="auto"/>
              </w:rPr>
              <w:t>Consolidated Financial Statements</w:t>
            </w:r>
          </w:p>
        </w:tc>
        <w:tc>
          <w:tcPr>
            <w:tcW w:w="6080" w:type="dxa"/>
            <w:vAlign w:val="bottom"/>
          </w:tcPr>
          <w:p>
            <w:pPr>
              <w:jc w:val="right"/>
              <w:spacing w:after="0"/>
              <w:rPr>
                <w:sz w:val="20"/>
                <w:szCs w:val="20"/>
                <w:color w:val="auto"/>
              </w:rPr>
            </w:pPr>
            <w:r>
              <w:rPr>
                <w:rFonts w:ascii="Arial" w:cs="Arial" w:eastAsia="Arial" w:hAnsi="Arial"/>
                <w:sz w:val="12"/>
                <w:szCs w:val="12"/>
                <w:color w:val="auto"/>
              </w:rPr>
              <w:t>39</w:t>
            </w:r>
          </w:p>
        </w:tc>
      </w:tr>
      <w:tr>
        <w:trPr>
          <w:trHeight w:val="144"/>
        </w:trPr>
        <w:tc>
          <w:tcPr>
            <w:tcW w:w="52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Notes to Consolidated Financial Statements</w:t>
            </w:r>
          </w:p>
        </w:tc>
        <w:tc>
          <w:tcPr>
            <w:tcW w:w="6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w:t>
            </w:r>
          </w:p>
        </w:tc>
      </w:tr>
      <w:tr>
        <w:trPr>
          <w:trHeight w:val="157"/>
        </w:trPr>
        <w:tc>
          <w:tcPr>
            <w:tcW w:w="5220" w:type="dxa"/>
            <w:vAlign w:val="bottom"/>
          </w:tcPr>
          <w:p>
            <w:pPr>
              <w:spacing w:after="0"/>
              <w:rPr>
                <w:sz w:val="20"/>
                <w:szCs w:val="20"/>
                <w:color w:val="auto"/>
              </w:rPr>
            </w:pPr>
            <w:r>
              <w:rPr>
                <w:rFonts w:ascii="Arial" w:cs="Arial" w:eastAsia="Arial" w:hAnsi="Arial"/>
                <w:sz w:val="12"/>
                <w:szCs w:val="12"/>
                <w:b w:val="1"/>
                <w:bCs w:val="1"/>
                <w:color w:val="auto"/>
              </w:rPr>
              <w:t>Quarterly Data</w:t>
            </w:r>
          </w:p>
        </w:tc>
        <w:tc>
          <w:tcPr>
            <w:tcW w:w="6080" w:type="dxa"/>
            <w:vAlign w:val="bottom"/>
          </w:tcPr>
          <w:p>
            <w:pPr>
              <w:jc w:val="right"/>
              <w:spacing w:after="0"/>
              <w:rPr>
                <w:sz w:val="20"/>
                <w:szCs w:val="20"/>
                <w:color w:val="auto"/>
              </w:rPr>
            </w:pPr>
            <w:r>
              <w:rPr>
                <w:rFonts w:ascii="Arial" w:cs="Arial" w:eastAsia="Arial" w:hAnsi="Arial"/>
                <w:sz w:val="12"/>
                <w:szCs w:val="12"/>
                <w:color w:val="auto"/>
              </w:rPr>
              <w:t>110</w:t>
            </w:r>
          </w:p>
        </w:tc>
      </w:tr>
      <w:tr>
        <w:trPr>
          <w:trHeight w:val="357"/>
        </w:trPr>
        <w:tc>
          <w:tcPr>
            <w:tcW w:w="5220" w:type="dxa"/>
            <w:vAlign w:val="bottom"/>
          </w:tcPr>
          <w:p>
            <w:pPr>
              <w:spacing w:after="0"/>
              <w:rPr>
                <w:sz w:val="24"/>
                <w:szCs w:val="24"/>
                <w:color w:val="auto"/>
              </w:rPr>
            </w:pPr>
          </w:p>
        </w:tc>
        <w:tc>
          <w:tcPr>
            <w:tcW w:w="6080" w:type="dxa"/>
            <w:vAlign w:val="bottom"/>
          </w:tcPr>
          <w:p>
            <w:pPr>
              <w:jc w:val="right"/>
              <w:ind w:right="5581"/>
              <w:spacing w:after="0"/>
              <w:rPr>
                <w:sz w:val="20"/>
                <w:szCs w:val="20"/>
                <w:color w:val="auto"/>
              </w:rPr>
            </w:pPr>
            <w:r>
              <w:rPr>
                <w:rFonts w:ascii="Arial" w:cs="Arial" w:eastAsia="Arial" w:hAnsi="Arial"/>
                <w:sz w:val="10"/>
                <w:szCs w:val="10"/>
                <w:color w:val="auto"/>
              </w:rPr>
              <w:t>9</w:t>
            </w:r>
          </w:p>
        </w:tc>
      </w:tr>
      <w:tr>
        <w:trPr>
          <w:trHeight w:val="26"/>
        </w:trPr>
        <w:tc>
          <w:tcPr>
            <w:tcW w:w="5220" w:type="dxa"/>
            <w:vAlign w:val="bottom"/>
            <w:tcBorders>
              <w:bottom w:val="single" w:sz="8" w:color="auto"/>
            </w:tcBorders>
          </w:tcPr>
          <w:p>
            <w:pPr>
              <w:spacing w:after="0"/>
              <w:rPr>
                <w:sz w:val="2"/>
                <w:szCs w:val="2"/>
                <w:color w:val="auto"/>
              </w:rPr>
            </w:pPr>
          </w:p>
        </w:tc>
        <w:tc>
          <w:tcPr>
            <w:tcW w:w="6080" w:type="dxa"/>
            <w:vAlign w:val="bottom"/>
            <w:tcBorders>
              <w:bottom w:val="single" w:sz="8" w:color="auto"/>
            </w:tcBorders>
          </w:tcPr>
          <w:p>
            <w:pPr>
              <w:spacing w:after="0"/>
              <w:rPr>
                <w:sz w:val="2"/>
                <w:szCs w:val="2"/>
                <w:color w:val="auto"/>
              </w:rPr>
            </w:pPr>
          </w:p>
        </w:tc>
      </w:tr>
    </w:tbl>
    <w:p>
      <w:pPr>
        <w:sectPr>
          <w:pgSz w:w="11900" w:h="16838" w:orient="portrait"/>
          <w:cols w:equalWidth="0" w:num="1">
            <w:col w:w="11300"/>
          </w:cols>
          <w:pgMar w:left="300" w:top="365" w:right="299" w:bottom="1440" w:gutter="0" w:footer="0" w:header="0"/>
        </w:sectPr>
      </w:pPr>
    </w:p>
    <w:bookmarkStart w:id="29" w:name="page30"/>
    <w:bookmarkEnd w:id="29"/>
    <w:p>
      <w:pPr>
        <w:jc w:val="center"/>
        <w:spacing w:after="0"/>
        <w:rPr>
          <w:sz w:val="20"/>
          <w:szCs w:val="20"/>
          <w:color w:val="auto"/>
        </w:rPr>
      </w:pPr>
      <w:r>
        <w:rPr>
          <w:rFonts w:ascii="Arial" w:cs="Arial" w:eastAsia="Arial" w:hAnsi="Arial"/>
          <w:sz w:val="12"/>
          <w:szCs w:val="12"/>
          <w:b w:val="1"/>
          <w:bCs w:val="1"/>
          <w:color w:val="auto"/>
        </w:rPr>
        <w:t>PERFORMANCE GRAPH</w:t>
      </w:r>
    </w:p>
    <w:p>
      <w:pPr>
        <w:spacing w:after="0" w:line="154" w:lineRule="exact"/>
        <w:rPr>
          <w:sz w:val="20"/>
          <w:szCs w:val="20"/>
          <w:color w:val="auto"/>
        </w:rPr>
      </w:pPr>
    </w:p>
    <w:p>
      <w:pPr>
        <w:jc w:val="both"/>
        <w:ind w:right="20" w:firstLine="240"/>
        <w:spacing w:after="0" w:line="263" w:lineRule="auto"/>
        <w:rPr>
          <w:sz w:val="20"/>
          <w:szCs w:val="20"/>
          <w:color w:val="auto"/>
        </w:rPr>
      </w:pPr>
      <w:r>
        <w:rPr>
          <w:rFonts w:ascii="Arial" w:cs="Arial" w:eastAsia="Arial" w:hAnsi="Arial"/>
          <w:sz w:val="12"/>
          <w:szCs w:val="12"/>
          <w:color w:val="auto"/>
        </w:rPr>
        <w:t>The graph below compares the total returns (assuming reinvestment of dividends) of Independent Bank Corporation common stock, the NASDAQ Composite Index and the NASDAQ Bank Stock Index. The graph assumes $100 invested in Independent Bank Corporation common stock (returns based on stock prices per the NASDAQ) and each of the indices on December 31, 2016, and the reinvestment of all dividends during the periods presented. The performance shown on the graph is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178040" cy="31946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7178040" cy="3194685"/>
                    </a:xfrm>
                    <a:prstGeom prst="rect">
                      <a:avLst/>
                    </a:prstGeom>
                    <a:noFill/>
                  </pic:spPr>
                </pic:pic>
              </a:graphicData>
            </a:graphic>
          </wp:anchor>
        </w:drawing>
      </w:r>
    </w:p>
    <w:p>
      <w:pPr>
        <w:spacing w:after="0" w:line="11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Independent Bank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2"/>
                <w:szCs w:val="12"/>
                <w:b w:val="1"/>
                <w:bCs w:val="1"/>
                <w:i w:val="1"/>
                <w:iCs w:val="1"/>
                <w:color w:val="auto"/>
              </w:rPr>
              <w:t>Period Ending</w:t>
            </w:r>
          </w:p>
        </w:tc>
        <w:tc>
          <w:tcPr>
            <w:tcW w:w="8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3280" w:type="dxa"/>
            <w:vAlign w:val="bottom"/>
            <w:gridSpan w:val="2"/>
          </w:tcPr>
          <w:p>
            <w:pPr>
              <w:spacing w:after="0"/>
              <w:rPr>
                <w:sz w:val="20"/>
                <w:szCs w:val="20"/>
                <w:color w:val="auto"/>
              </w:rPr>
            </w:pPr>
            <w:r>
              <w:rPr>
                <w:rFonts w:ascii="Arial" w:cs="Arial" w:eastAsia="Arial" w:hAnsi="Arial"/>
                <w:sz w:val="12"/>
                <w:szCs w:val="12"/>
                <w:b w:val="1"/>
                <w:bCs w:val="1"/>
                <w:color w:val="auto"/>
              </w:rPr>
              <w:t>Index</w:t>
            </w:r>
          </w:p>
        </w:tc>
        <w:tc>
          <w:tcPr>
            <w:tcW w:w="200" w:type="dxa"/>
            <w:vAlign w:val="bottom"/>
          </w:tcPr>
          <w:p>
            <w:pPr>
              <w:spacing w:after="0"/>
              <w:rPr>
                <w:sz w:val="12"/>
                <w:szCs w:val="12"/>
                <w:color w:val="auto"/>
              </w:rPr>
            </w:pPr>
          </w:p>
        </w:tc>
        <w:tc>
          <w:tcPr>
            <w:tcW w:w="940" w:type="dxa"/>
            <w:vAlign w:val="bottom"/>
          </w:tcPr>
          <w:p>
            <w:pPr>
              <w:jc w:val="right"/>
              <w:ind w:right="300"/>
              <w:spacing w:after="0"/>
              <w:rPr>
                <w:sz w:val="20"/>
                <w:szCs w:val="20"/>
                <w:color w:val="auto"/>
              </w:rPr>
            </w:pPr>
            <w:r>
              <w:rPr>
                <w:rFonts w:ascii="Arial" w:cs="Arial" w:eastAsia="Arial" w:hAnsi="Arial"/>
                <w:sz w:val="12"/>
                <w:szCs w:val="12"/>
                <w:b w:val="1"/>
                <w:bCs w:val="1"/>
                <w:color w:val="auto"/>
              </w:rPr>
              <w:t>12/31/16</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ind w:right="302"/>
              <w:spacing w:after="0"/>
              <w:rPr>
                <w:sz w:val="20"/>
                <w:szCs w:val="20"/>
                <w:color w:val="auto"/>
              </w:rPr>
            </w:pPr>
            <w:r>
              <w:rPr>
                <w:rFonts w:ascii="Arial" w:cs="Arial" w:eastAsia="Arial" w:hAnsi="Arial"/>
                <w:sz w:val="12"/>
                <w:szCs w:val="12"/>
                <w:b w:val="1"/>
                <w:bCs w:val="1"/>
                <w:color w:val="auto"/>
              </w:rPr>
              <w:t>12/31/17</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right"/>
              <w:ind w:right="280"/>
              <w:spacing w:after="0"/>
              <w:rPr>
                <w:sz w:val="20"/>
                <w:szCs w:val="20"/>
                <w:color w:val="auto"/>
              </w:rPr>
            </w:pPr>
            <w:r>
              <w:rPr>
                <w:rFonts w:ascii="Arial" w:cs="Arial" w:eastAsia="Arial" w:hAnsi="Arial"/>
                <w:sz w:val="12"/>
                <w:szCs w:val="12"/>
                <w:b w:val="1"/>
                <w:bCs w:val="1"/>
                <w:color w:val="auto"/>
              </w:rPr>
              <w:t>12/31/18</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right"/>
              <w:ind w:right="280"/>
              <w:spacing w:after="0"/>
              <w:rPr>
                <w:sz w:val="20"/>
                <w:szCs w:val="20"/>
                <w:color w:val="auto"/>
              </w:rPr>
            </w:pPr>
            <w:r>
              <w:rPr>
                <w:rFonts w:ascii="Arial" w:cs="Arial" w:eastAsia="Arial" w:hAnsi="Arial"/>
                <w:sz w:val="12"/>
                <w:szCs w:val="12"/>
                <w:b w:val="1"/>
                <w:bCs w:val="1"/>
                <w:color w:val="auto"/>
              </w:rPr>
              <w:t>12/31/19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right"/>
              <w:ind w:right="280"/>
              <w:spacing w:after="0"/>
              <w:rPr>
                <w:sz w:val="20"/>
                <w:szCs w:val="20"/>
                <w:color w:val="auto"/>
              </w:rPr>
            </w:pPr>
            <w:r>
              <w:rPr>
                <w:rFonts w:ascii="Arial" w:cs="Arial" w:eastAsia="Arial" w:hAnsi="Arial"/>
                <w:sz w:val="12"/>
                <w:szCs w:val="12"/>
                <w:b w:val="1"/>
                <w:bCs w:val="1"/>
                <w:color w:val="auto"/>
              </w:rPr>
              <w:t>12/31/20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right"/>
              <w:ind w:right="280"/>
              <w:spacing w:after="0"/>
              <w:rPr>
                <w:sz w:val="20"/>
                <w:szCs w:val="20"/>
                <w:color w:val="auto"/>
              </w:rPr>
            </w:pPr>
            <w:r>
              <w:rPr>
                <w:rFonts w:ascii="Arial" w:cs="Arial" w:eastAsia="Arial" w:hAnsi="Arial"/>
                <w:sz w:val="12"/>
                <w:szCs w:val="12"/>
                <w:b w:val="1"/>
                <w:bCs w:val="1"/>
                <w:color w:val="auto"/>
              </w:rPr>
              <w:t>12/31/21</w:t>
            </w:r>
          </w:p>
        </w:tc>
        <w:tc>
          <w:tcPr>
            <w:tcW w:w="120" w:type="dxa"/>
            <w:vAlign w:val="bottom"/>
          </w:tcPr>
          <w:p>
            <w:pPr>
              <w:spacing w:after="0"/>
              <w:rPr>
                <w:sz w:val="12"/>
                <w:szCs w:val="12"/>
                <w:color w:val="auto"/>
              </w:rPr>
            </w:pPr>
          </w:p>
        </w:tc>
      </w:tr>
      <w:tr>
        <w:trPr>
          <w:trHeight w:val="142"/>
        </w:trPr>
        <w:tc>
          <w:tcPr>
            <w:tcW w:w="3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Independent Bank Corporation</w:t>
            </w:r>
          </w:p>
        </w:tc>
        <w:tc>
          <w:tcPr>
            <w:tcW w:w="12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100.00</w:t>
            </w:r>
          </w:p>
        </w:tc>
        <w:tc>
          <w:tcPr>
            <w:tcW w:w="24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EEFF"/>
          </w:tcPr>
          <w:p>
            <w:pPr>
              <w:jc w:val="center"/>
              <w:ind w:left="542"/>
              <w:spacing w:after="0"/>
              <w:rPr>
                <w:sz w:val="20"/>
                <w:szCs w:val="20"/>
                <w:color w:val="auto"/>
              </w:rPr>
            </w:pPr>
            <w:r>
              <w:rPr>
                <w:rFonts w:ascii="Arial" w:cs="Arial" w:eastAsia="Arial" w:hAnsi="Arial"/>
                <w:sz w:val="12"/>
                <w:szCs w:val="12"/>
                <w:color w:val="auto"/>
                <w:w w:val="92"/>
              </w:rPr>
              <w:t>105.03</w:t>
            </w:r>
          </w:p>
        </w:tc>
        <w:tc>
          <w:tcPr>
            <w:tcW w:w="24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101.29</w:t>
            </w:r>
          </w:p>
        </w:tc>
        <w:tc>
          <w:tcPr>
            <w:tcW w:w="22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2"/>
                <w:szCs w:val="12"/>
                <w:color w:val="auto"/>
                <w:w w:val="81"/>
              </w:rPr>
              <w:t>112.84</w:t>
            </w:r>
          </w:p>
        </w:tc>
        <w:tc>
          <w:tcPr>
            <w:tcW w:w="22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96.72</w:t>
            </w:r>
          </w:p>
        </w:tc>
        <w:tc>
          <w:tcPr>
            <w:tcW w:w="22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2"/>
                <w:szCs w:val="12"/>
                <w:color w:val="auto"/>
                <w:w w:val="81"/>
              </w:rPr>
              <w:t>129.79</w:t>
            </w:r>
          </w:p>
        </w:tc>
        <w:tc>
          <w:tcPr>
            <w:tcW w:w="120" w:type="dxa"/>
            <w:vAlign w:val="bottom"/>
            <w:shd w:val="clear" w:color="auto" w:fill="CCEEFF"/>
          </w:tcPr>
          <w:p>
            <w:pPr>
              <w:spacing w:after="0"/>
              <w:rPr>
                <w:sz w:val="12"/>
                <w:szCs w:val="12"/>
                <w:color w:val="auto"/>
              </w:rPr>
            </w:pPr>
          </w:p>
        </w:tc>
      </w:tr>
      <w:tr>
        <w:trPr>
          <w:trHeight w:val="144"/>
        </w:trPr>
        <w:tc>
          <w:tcPr>
            <w:tcW w:w="3280" w:type="dxa"/>
            <w:vAlign w:val="bottom"/>
            <w:gridSpan w:val="2"/>
          </w:tcPr>
          <w:p>
            <w:pPr>
              <w:spacing w:after="0"/>
              <w:rPr>
                <w:sz w:val="20"/>
                <w:szCs w:val="20"/>
                <w:color w:val="auto"/>
              </w:rPr>
            </w:pPr>
            <w:r>
              <w:rPr>
                <w:rFonts w:ascii="Arial" w:cs="Arial" w:eastAsia="Arial" w:hAnsi="Arial"/>
                <w:sz w:val="12"/>
                <w:szCs w:val="12"/>
                <w:color w:val="auto"/>
              </w:rPr>
              <w:t>NASDAQ Composite</w:t>
            </w: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100.00</w:t>
            </w:r>
          </w:p>
        </w:tc>
        <w:tc>
          <w:tcPr>
            <w:tcW w:w="200" w:type="dxa"/>
            <w:vAlign w:val="bottom"/>
          </w:tcPr>
          <w:p>
            <w:pPr>
              <w:spacing w:after="0"/>
              <w:rPr>
                <w:sz w:val="12"/>
                <w:szCs w:val="12"/>
                <w:color w:val="auto"/>
              </w:rPr>
            </w:pPr>
          </w:p>
        </w:tc>
        <w:tc>
          <w:tcPr>
            <w:tcW w:w="1180" w:type="dxa"/>
            <w:vAlign w:val="bottom"/>
            <w:gridSpan w:val="2"/>
          </w:tcPr>
          <w:p>
            <w:pPr>
              <w:jc w:val="center"/>
              <w:ind w:left="302"/>
              <w:spacing w:after="0"/>
              <w:rPr>
                <w:sz w:val="20"/>
                <w:szCs w:val="20"/>
                <w:color w:val="auto"/>
              </w:rPr>
            </w:pPr>
            <w:r>
              <w:rPr>
                <w:rFonts w:ascii="Arial" w:cs="Arial" w:eastAsia="Arial" w:hAnsi="Arial"/>
                <w:sz w:val="12"/>
                <w:szCs w:val="12"/>
                <w:color w:val="auto"/>
                <w:w w:val="92"/>
              </w:rPr>
              <w:t>129.64</w:t>
            </w:r>
          </w:p>
        </w:tc>
        <w:tc>
          <w:tcPr>
            <w:tcW w:w="20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125.96</w:t>
            </w:r>
          </w:p>
        </w:tc>
        <w:tc>
          <w:tcPr>
            <w:tcW w:w="280" w:type="dxa"/>
            <w:vAlign w:val="bottom"/>
          </w:tcPr>
          <w:p>
            <w:pPr>
              <w:spacing w:after="0"/>
              <w:rPr>
                <w:sz w:val="12"/>
                <w:szCs w:val="12"/>
                <w:color w:val="auto"/>
              </w:rPr>
            </w:pPr>
          </w:p>
        </w:tc>
        <w:tc>
          <w:tcPr>
            <w:tcW w:w="1060" w:type="dxa"/>
            <w:vAlign w:val="bottom"/>
            <w:gridSpan w:val="2"/>
          </w:tcPr>
          <w:p>
            <w:pPr>
              <w:ind w:left="520"/>
              <w:spacing w:after="0"/>
              <w:rPr>
                <w:sz w:val="20"/>
                <w:szCs w:val="20"/>
                <w:color w:val="auto"/>
              </w:rPr>
            </w:pPr>
            <w:r>
              <w:rPr>
                <w:rFonts w:ascii="Arial" w:cs="Arial" w:eastAsia="Arial" w:hAnsi="Arial"/>
                <w:sz w:val="12"/>
                <w:szCs w:val="12"/>
                <w:color w:val="auto"/>
              </w:rPr>
              <w:t>172.17</w:t>
            </w:r>
          </w:p>
        </w:tc>
        <w:tc>
          <w:tcPr>
            <w:tcW w:w="20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249.51</w:t>
            </w:r>
          </w:p>
        </w:tc>
        <w:tc>
          <w:tcPr>
            <w:tcW w:w="200" w:type="dxa"/>
            <w:vAlign w:val="bottom"/>
          </w:tcPr>
          <w:p>
            <w:pPr>
              <w:spacing w:after="0"/>
              <w:rPr>
                <w:sz w:val="12"/>
                <w:szCs w:val="12"/>
                <w:color w:val="auto"/>
              </w:rPr>
            </w:pPr>
          </w:p>
        </w:tc>
        <w:tc>
          <w:tcPr>
            <w:tcW w:w="1040" w:type="dxa"/>
            <w:vAlign w:val="bottom"/>
            <w:gridSpan w:val="2"/>
          </w:tcPr>
          <w:p>
            <w:pPr>
              <w:ind w:left="600"/>
              <w:spacing w:after="0"/>
              <w:rPr>
                <w:sz w:val="20"/>
                <w:szCs w:val="20"/>
                <w:color w:val="auto"/>
              </w:rPr>
            </w:pPr>
            <w:r>
              <w:rPr>
                <w:rFonts w:ascii="Arial" w:cs="Arial" w:eastAsia="Arial" w:hAnsi="Arial"/>
                <w:sz w:val="12"/>
                <w:szCs w:val="12"/>
                <w:color w:val="auto"/>
              </w:rPr>
              <w:t>304.85</w:t>
            </w:r>
          </w:p>
        </w:tc>
      </w:tr>
      <w:tr>
        <w:trPr>
          <w:trHeight w:val="144"/>
        </w:trPr>
        <w:tc>
          <w:tcPr>
            <w:tcW w:w="32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NASDAQ Bank</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100.00</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center"/>
              <w:ind w:left="322"/>
              <w:spacing w:after="0"/>
              <w:rPr>
                <w:sz w:val="20"/>
                <w:szCs w:val="20"/>
                <w:color w:val="auto"/>
              </w:rPr>
            </w:pPr>
            <w:r>
              <w:rPr>
                <w:rFonts w:ascii="Arial" w:cs="Arial" w:eastAsia="Arial" w:hAnsi="Arial"/>
                <w:sz w:val="12"/>
                <w:szCs w:val="12"/>
                <w:color w:val="auto"/>
                <w:w w:val="87"/>
              </w:rPr>
              <w:t>118.39</w:t>
            </w: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98.98</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2"/>
                <w:szCs w:val="12"/>
                <w:color w:val="auto"/>
              </w:rPr>
              <w:t>135.78</w:t>
            </w: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118.40</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600"/>
              <w:spacing w:after="0"/>
              <w:rPr>
                <w:sz w:val="20"/>
                <w:szCs w:val="20"/>
                <w:color w:val="auto"/>
              </w:rPr>
            </w:pPr>
            <w:r>
              <w:rPr>
                <w:rFonts w:ascii="Arial" w:cs="Arial" w:eastAsia="Arial" w:hAnsi="Arial"/>
                <w:sz w:val="12"/>
                <w:szCs w:val="12"/>
                <w:color w:val="auto"/>
              </w:rPr>
              <w:t>162.58</w:t>
            </w:r>
          </w:p>
        </w:tc>
      </w:tr>
      <w:tr>
        <w:trPr>
          <w:trHeight w:val="370"/>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center"/>
              <w:ind w:left="582"/>
              <w:spacing w:after="0"/>
              <w:rPr>
                <w:sz w:val="20"/>
                <w:szCs w:val="20"/>
                <w:color w:val="auto"/>
              </w:rPr>
            </w:pPr>
            <w:r>
              <w:rPr>
                <w:rFonts w:ascii="Arial" w:cs="Arial" w:eastAsia="Arial" w:hAnsi="Arial"/>
                <w:sz w:val="10"/>
                <w:szCs w:val="10"/>
                <w:color w:val="auto"/>
                <w:w w:val="89"/>
              </w:rPr>
              <w:t>10</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
        </w:trPr>
        <w:tc>
          <w:tcPr>
            <w:tcW w:w="3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bl>
    <w:p>
      <w:pPr>
        <w:sectPr>
          <w:pgSz w:w="11900" w:h="16838" w:orient="portrait"/>
          <w:cols w:equalWidth="0" w:num="1">
            <w:col w:w="11300"/>
          </w:cols>
          <w:pgMar w:left="300" w:top="127" w:right="299" w:bottom="144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480" w:type="dxa"/>
            <w:vAlign w:val="bottom"/>
          </w:tcPr>
          <w:p>
            <w:pPr>
              <w:spacing w:after="0"/>
              <w:rPr>
                <w:sz w:val="13"/>
                <w:szCs w:val="13"/>
                <w:color w:val="auto"/>
              </w:rPr>
            </w:pPr>
          </w:p>
        </w:tc>
        <w:tc>
          <w:tcPr>
            <w:tcW w:w="3720" w:type="dxa"/>
            <w:vAlign w:val="bottom"/>
            <w:gridSpan w:val="6"/>
          </w:tcPr>
          <w:p>
            <w:pPr>
              <w:jc w:val="right"/>
              <w:ind w:right="140"/>
              <w:spacing w:after="0"/>
              <w:rPr>
                <w:sz w:val="20"/>
                <w:szCs w:val="20"/>
                <w:color w:val="auto"/>
              </w:rPr>
            </w:pPr>
            <w:r>
              <w:rPr>
                <w:rFonts w:ascii="Arial" w:cs="Arial" w:eastAsia="Arial" w:hAnsi="Arial"/>
                <w:sz w:val="12"/>
                <w:szCs w:val="12"/>
                <w:b w:val="1"/>
                <w:bCs w:val="1"/>
                <w:color w:val="auto"/>
              </w:rPr>
              <w:t>SELECTED CONSOLIDATED FINANCIAL DATA</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3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2"/>
                <w:szCs w:val="12"/>
                <w:b w:val="1"/>
                <w:bCs w:val="1"/>
                <w:color w:val="auto"/>
                <w:w w:val="92"/>
              </w:rPr>
              <w:t>Year Ended December 31,</w:t>
            </w:r>
          </w:p>
        </w:tc>
        <w:tc>
          <w:tcPr>
            <w:tcW w:w="4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4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2021</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2019</w:t>
            </w:r>
          </w:p>
        </w:tc>
        <w:tc>
          <w:tcPr>
            <w:tcW w:w="22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w w:val="82"/>
              </w:rPr>
              <w:t>2018</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480" w:type="dxa"/>
            <w:vAlign w:val="bottom"/>
            <w:vMerge w:val="restart"/>
          </w:tcPr>
          <w:p>
            <w:pPr>
              <w:spacing w:after="0"/>
              <w:rPr>
                <w:sz w:val="20"/>
                <w:szCs w:val="20"/>
                <w:color w:val="auto"/>
              </w:rPr>
            </w:pPr>
            <w:r>
              <w:rPr>
                <w:rFonts w:ascii="Arial" w:cs="Arial" w:eastAsia="Arial" w:hAnsi="Arial"/>
                <w:sz w:val="12"/>
                <w:szCs w:val="12"/>
                <w:color w:val="auto"/>
              </w:rPr>
              <w:t>SUMMARY OF OPERATIONS</w:t>
            </w: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900" w:type="dxa"/>
            <w:vAlign w:val="bottom"/>
            <w:gridSpan w:val="6"/>
          </w:tcPr>
          <w:p>
            <w:pPr>
              <w:jc w:val="right"/>
              <w:spacing w:after="0"/>
              <w:rPr>
                <w:sz w:val="20"/>
                <w:szCs w:val="20"/>
                <w:color w:val="auto"/>
              </w:rPr>
            </w:pPr>
            <w:r>
              <w:rPr>
                <w:rFonts w:ascii="Arial" w:cs="Arial" w:eastAsia="Arial" w:hAnsi="Arial"/>
                <w:sz w:val="12"/>
                <w:szCs w:val="12"/>
                <w:b w:val="1"/>
                <w:bCs w:val="1"/>
                <w:color w:val="auto"/>
              </w:rPr>
              <w:t>(Dollars in thousands, except per share amounts)</w:t>
            </w: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480" w:type="dxa"/>
            <w:vAlign w:val="bottom"/>
            <w:vMerge w:val="continue"/>
          </w:tcPr>
          <w:p>
            <w:pPr>
              <w:spacing w:after="0"/>
              <w:rPr>
                <w:sz w:val="11"/>
                <w:szCs w:val="11"/>
                <w:color w:val="auto"/>
              </w:rPr>
            </w:pP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4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Interest income</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138,080</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139,829</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148,928</w:t>
            </w:r>
          </w:p>
        </w:tc>
        <w:tc>
          <w:tcPr>
            <w:tcW w:w="440" w:type="dxa"/>
            <w:vAlign w:val="bottom"/>
            <w:shd w:val="clear" w:color="auto" w:fill="CCEEFF"/>
          </w:tcPr>
          <w:p>
            <w:pPr>
              <w:jc w:val="right"/>
              <w:ind w:right="332"/>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130,773</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98,309</w:t>
            </w:r>
          </w:p>
        </w:tc>
        <w:tc>
          <w:tcPr>
            <w:tcW w:w="0" w:type="dxa"/>
            <w:vAlign w:val="bottom"/>
          </w:tcPr>
          <w:p>
            <w:pPr>
              <w:spacing w:after="0"/>
              <w:rPr>
                <w:sz w:val="1"/>
                <w:szCs w:val="1"/>
                <w:color w:val="auto"/>
              </w:rPr>
            </w:pPr>
          </w:p>
        </w:tc>
      </w:tr>
      <w:tr>
        <w:trPr>
          <w:trHeight w:val="144"/>
        </w:trPr>
        <w:tc>
          <w:tcPr>
            <w:tcW w:w="3480" w:type="dxa"/>
            <w:vAlign w:val="bottom"/>
          </w:tcPr>
          <w:p>
            <w:pPr>
              <w:ind w:left="100"/>
              <w:spacing w:after="0"/>
              <w:rPr>
                <w:sz w:val="20"/>
                <w:szCs w:val="20"/>
                <w:color w:val="auto"/>
              </w:rPr>
            </w:pPr>
            <w:r>
              <w:rPr>
                <w:rFonts w:ascii="Arial" w:cs="Arial" w:eastAsia="Arial" w:hAnsi="Arial"/>
                <w:sz w:val="12"/>
                <w:szCs w:val="12"/>
                <w:color w:val="auto"/>
              </w:rPr>
              <w:t>Interest expense</w:t>
            </w: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8,315</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16,217</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26,347</w:t>
            </w:r>
          </w:p>
        </w:tc>
        <w:tc>
          <w:tcPr>
            <w:tcW w:w="440" w:type="dxa"/>
            <w:vAlign w:val="bottom"/>
          </w:tcPr>
          <w:p>
            <w:pPr>
              <w:spacing w:after="0"/>
              <w:rPr>
                <w:sz w:val="12"/>
                <w:szCs w:val="1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2"/>
                <w:szCs w:val="12"/>
                <w:color w:val="auto"/>
              </w:rPr>
              <w:t>17,491</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9,123</w:t>
            </w:r>
          </w:p>
        </w:tc>
        <w:tc>
          <w:tcPr>
            <w:tcW w:w="0" w:type="dxa"/>
            <w:vAlign w:val="bottom"/>
          </w:tcPr>
          <w:p>
            <w:pPr>
              <w:spacing w:after="0"/>
              <w:rPr>
                <w:sz w:val="1"/>
                <w:szCs w:val="1"/>
                <w:color w:val="auto"/>
              </w:rPr>
            </w:pPr>
          </w:p>
        </w:tc>
      </w:tr>
      <w:tr>
        <w:trPr>
          <w:trHeight w:val="142"/>
        </w:trPr>
        <w:tc>
          <w:tcPr>
            <w:tcW w:w="34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Net interest income</w:t>
            </w:r>
          </w:p>
        </w:tc>
        <w:tc>
          <w:tcPr>
            <w:tcW w:w="116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129,765</w:t>
            </w:r>
          </w:p>
        </w:tc>
        <w:tc>
          <w:tcPr>
            <w:tcW w:w="24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123,612</w:t>
            </w:r>
          </w:p>
        </w:tc>
        <w:tc>
          <w:tcPr>
            <w:tcW w:w="18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122,581</w:t>
            </w:r>
          </w:p>
        </w:tc>
        <w:tc>
          <w:tcPr>
            <w:tcW w:w="220" w:type="dxa"/>
            <w:vAlign w:val="bottom"/>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113,282</w:t>
            </w:r>
          </w:p>
        </w:tc>
        <w:tc>
          <w:tcPr>
            <w:tcW w:w="2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89,186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80" w:type="dxa"/>
            <w:vAlign w:val="bottom"/>
          </w:tcPr>
          <w:p>
            <w:pPr>
              <w:ind w:left="100"/>
              <w:spacing w:after="0" w:line="144" w:lineRule="exact"/>
              <w:rPr>
                <w:sz w:val="20"/>
                <w:szCs w:val="20"/>
                <w:color w:val="auto"/>
              </w:rPr>
            </w:pPr>
            <w:r>
              <w:rPr>
                <w:rFonts w:ascii="Arial" w:cs="Arial" w:eastAsia="Arial" w:hAnsi="Arial"/>
                <w:sz w:val="10"/>
                <w:szCs w:val="10"/>
                <w:color w:val="auto"/>
              </w:rPr>
              <w:t>Provision for credit losses</w:t>
            </w:r>
            <w:r>
              <w:rPr>
                <w:rFonts w:ascii="Arial" w:cs="Arial" w:eastAsia="Arial" w:hAnsi="Arial"/>
                <w:sz w:val="16"/>
                <w:szCs w:val="16"/>
                <w:color w:val="auto"/>
                <w:vertAlign w:val="superscript"/>
              </w:rPr>
              <w:t>(1)</w:t>
            </w: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(1,928)</w:t>
            </w: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12,463</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824</w:t>
            </w:r>
          </w:p>
        </w:tc>
        <w:tc>
          <w:tcPr>
            <w:tcW w:w="440" w:type="dxa"/>
            <w:vAlign w:val="bottom"/>
          </w:tcPr>
          <w:p>
            <w:pPr>
              <w:spacing w:after="0"/>
              <w:rPr>
                <w:sz w:val="12"/>
                <w:szCs w:val="1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2"/>
                <w:szCs w:val="12"/>
                <w:color w:val="auto"/>
              </w:rPr>
              <w:t>1,503</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1,199</w:t>
            </w:r>
          </w:p>
        </w:tc>
        <w:tc>
          <w:tcPr>
            <w:tcW w:w="0" w:type="dxa"/>
            <w:vAlign w:val="bottom"/>
          </w:tcPr>
          <w:p>
            <w:pPr>
              <w:spacing w:after="0"/>
              <w:rPr>
                <w:sz w:val="1"/>
                <w:szCs w:val="1"/>
                <w:color w:val="auto"/>
              </w:rPr>
            </w:pPr>
          </w:p>
        </w:tc>
      </w:tr>
      <w:tr>
        <w:trPr>
          <w:trHeight w:val="144"/>
        </w:trPr>
        <w:tc>
          <w:tcPr>
            <w:tcW w:w="34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Net gains on securities available for sale</w:t>
            </w: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1,411</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267</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307</w:t>
            </w: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138</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260</w:t>
            </w:r>
          </w:p>
        </w:tc>
        <w:tc>
          <w:tcPr>
            <w:tcW w:w="0" w:type="dxa"/>
            <w:vAlign w:val="bottom"/>
          </w:tcPr>
          <w:p>
            <w:pPr>
              <w:spacing w:after="0"/>
              <w:rPr>
                <w:sz w:val="1"/>
                <w:szCs w:val="1"/>
                <w:color w:val="auto"/>
              </w:rPr>
            </w:pPr>
          </w:p>
        </w:tc>
      </w:tr>
      <w:tr>
        <w:trPr>
          <w:trHeight w:val="144"/>
        </w:trPr>
        <w:tc>
          <w:tcPr>
            <w:tcW w:w="3480" w:type="dxa"/>
            <w:vAlign w:val="bottom"/>
          </w:tcPr>
          <w:p>
            <w:pPr>
              <w:ind w:left="100"/>
              <w:spacing w:after="0"/>
              <w:rPr>
                <w:sz w:val="20"/>
                <w:szCs w:val="20"/>
                <w:color w:val="auto"/>
              </w:rPr>
            </w:pPr>
            <w:r>
              <w:rPr>
                <w:rFonts w:ascii="Arial" w:cs="Arial" w:eastAsia="Arial" w:hAnsi="Arial"/>
                <w:sz w:val="12"/>
                <w:szCs w:val="12"/>
                <w:color w:val="auto"/>
              </w:rPr>
              <w:t>Other non-interest income</w:t>
            </w: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75,232</w:t>
            </w: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80,478</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47,429</w:t>
            </w:r>
          </w:p>
        </w:tc>
        <w:tc>
          <w:tcPr>
            <w:tcW w:w="440" w:type="dxa"/>
            <w:vAlign w:val="bottom"/>
          </w:tcPr>
          <w:p>
            <w:pPr>
              <w:spacing w:after="0"/>
              <w:rPr>
                <w:sz w:val="12"/>
                <w:szCs w:val="1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2"/>
                <w:szCs w:val="12"/>
                <w:color w:val="auto"/>
              </w:rPr>
              <w:t>44,677</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42,273</w:t>
            </w:r>
          </w:p>
        </w:tc>
        <w:tc>
          <w:tcPr>
            <w:tcW w:w="0" w:type="dxa"/>
            <w:vAlign w:val="bottom"/>
          </w:tcPr>
          <w:p>
            <w:pPr>
              <w:spacing w:after="0"/>
              <w:rPr>
                <w:sz w:val="1"/>
                <w:szCs w:val="1"/>
                <w:color w:val="auto"/>
              </w:rPr>
            </w:pPr>
          </w:p>
        </w:tc>
      </w:tr>
      <w:tr>
        <w:trPr>
          <w:trHeight w:val="144"/>
        </w:trPr>
        <w:tc>
          <w:tcPr>
            <w:tcW w:w="34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Non-interest expense</w:t>
            </w: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131,023</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122,413</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111,733</w:t>
            </w: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107,461</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92,082</w:t>
            </w:r>
          </w:p>
        </w:tc>
        <w:tc>
          <w:tcPr>
            <w:tcW w:w="0" w:type="dxa"/>
            <w:vAlign w:val="bottom"/>
          </w:tcPr>
          <w:p>
            <w:pPr>
              <w:spacing w:after="0"/>
              <w:rPr>
                <w:sz w:val="1"/>
                <w:szCs w:val="1"/>
                <w:color w:val="auto"/>
              </w:rPr>
            </w:pPr>
          </w:p>
        </w:tc>
      </w:tr>
      <w:tr>
        <w:trPr>
          <w:trHeight w:val="20"/>
        </w:trPr>
        <w:tc>
          <w:tcPr>
            <w:tcW w:w="348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480" w:type="dxa"/>
            <w:vAlign w:val="bottom"/>
          </w:tcPr>
          <w:p>
            <w:pPr>
              <w:ind w:left="200"/>
              <w:spacing w:after="0"/>
              <w:rPr>
                <w:sz w:val="20"/>
                <w:szCs w:val="20"/>
                <w:color w:val="auto"/>
              </w:rPr>
            </w:pPr>
            <w:r>
              <w:rPr>
                <w:rFonts w:ascii="Arial" w:cs="Arial" w:eastAsia="Arial" w:hAnsi="Arial"/>
                <w:sz w:val="12"/>
                <w:szCs w:val="12"/>
                <w:color w:val="auto"/>
              </w:rPr>
              <w:t>Income before income tax</w:t>
            </w: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77,313</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69,481</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57,760</w:t>
            </w:r>
          </w:p>
        </w:tc>
        <w:tc>
          <w:tcPr>
            <w:tcW w:w="440" w:type="dxa"/>
            <w:vAlign w:val="bottom"/>
          </w:tcPr>
          <w:p>
            <w:pPr>
              <w:spacing w:after="0"/>
              <w:rPr>
                <w:sz w:val="12"/>
                <w:szCs w:val="1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2"/>
                <w:szCs w:val="12"/>
                <w:color w:val="auto"/>
              </w:rPr>
              <w:t>49,133</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38,438</w:t>
            </w:r>
          </w:p>
        </w:tc>
        <w:tc>
          <w:tcPr>
            <w:tcW w:w="0" w:type="dxa"/>
            <w:vAlign w:val="bottom"/>
          </w:tcPr>
          <w:p>
            <w:pPr>
              <w:spacing w:after="0"/>
              <w:rPr>
                <w:sz w:val="1"/>
                <w:szCs w:val="1"/>
                <w:color w:val="auto"/>
              </w:rPr>
            </w:pPr>
          </w:p>
        </w:tc>
      </w:tr>
      <w:tr>
        <w:trPr>
          <w:trHeight w:val="144"/>
        </w:trPr>
        <w:tc>
          <w:tcPr>
            <w:tcW w:w="34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Income tax expense</w:t>
            </w: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14,418</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13,329</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11,325</w:t>
            </w: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9,294</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17,963</w:t>
            </w:r>
          </w:p>
        </w:tc>
        <w:tc>
          <w:tcPr>
            <w:tcW w:w="0" w:type="dxa"/>
            <w:vAlign w:val="bottom"/>
          </w:tcPr>
          <w:p>
            <w:pPr>
              <w:spacing w:after="0"/>
              <w:rPr>
                <w:sz w:val="1"/>
                <w:szCs w:val="1"/>
                <w:color w:val="auto"/>
              </w:rPr>
            </w:pPr>
          </w:p>
        </w:tc>
      </w:tr>
      <w:tr>
        <w:trPr>
          <w:trHeight w:val="20"/>
        </w:trPr>
        <w:tc>
          <w:tcPr>
            <w:tcW w:w="348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480" w:type="dxa"/>
            <w:vAlign w:val="bottom"/>
          </w:tcPr>
          <w:p>
            <w:pPr>
              <w:ind w:left="320"/>
              <w:spacing w:after="0"/>
              <w:rPr>
                <w:sz w:val="20"/>
                <w:szCs w:val="20"/>
                <w:color w:val="auto"/>
              </w:rPr>
            </w:pPr>
            <w:r>
              <w:rPr>
                <w:rFonts w:ascii="Arial" w:cs="Arial" w:eastAsia="Arial" w:hAnsi="Arial"/>
                <w:sz w:val="12"/>
                <w:szCs w:val="12"/>
                <w:color w:val="auto"/>
              </w:rPr>
              <w:t>Net income</w:t>
            </w:r>
          </w:p>
        </w:tc>
        <w:tc>
          <w:tcPr>
            <w:tcW w:w="14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62,895</w:t>
            </w: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56,152</w:t>
            </w:r>
          </w:p>
        </w:tc>
        <w:tc>
          <w:tcPr>
            <w:tcW w:w="4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46,435</w:t>
            </w:r>
          </w:p>
        </w:tc>
        <w:tc>
          <w:tcPr>
            <w:tcW w:w="440" w:type="dxa"/>
            <w:vAlign w:val="bottom"/>
          </w:tcPr>
          <w:p>
            <w:pPr>
              <w:jc w:val="right"/>
              <w:ind w:right="332"/>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20"/>
              <w:spacing w:after="0"/>
              <w:rPr>
                <w:sz w:val="20"/>
                <w:szCs w:val="20"/>
                <w:color w:val="auto"/>
              </w:rPr>
            </w:pPr>
            <w:r>
              <w:rPr>
                <w:rFonts w:ascii="Arial" w:cs="Arial" w:eastAsia="Arial" w:hAnsi="Arial"/>
                <w:sz w:val="12"/>
                <w:szCs w:val="12"/>
                <w:color w:val="auto"/>
              </w:rPr>
              <w:t>39,839</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20,475</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34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40" w:type="dxa"/>
            <w:vAlign w:val="bottom"/>
            <w:tcBorders>
              <w:right w:val="single" w:sz="8" w:color="CCEEFF"/>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480" w:type="dxa"/>
            <w:vAlign w:val="bottom"/>
          </w:tcPr>
          <w:p>
            <w:pPr>
              <w:spacing w:after="0"/>
              <w:rPr>
                <w:sz w:val="20"/>
                <w:szCs w:val="20"/>
                <w:color w:val="auto"/>
              </w:rPr>
            </w:pPr>
            <w:r>
              <w:rPr>
                <w:rFonts w:ascii="Arial" w:cs="Arial" w:eastAsia="Arial" w:hAnsi="Arial"/>
                <w:sz w:val="12"/>
                <w:szCs w:val="12"/>
                <w:color w:val="auto"/>
              </w:rPr>
              <w:t>PER COMMON SHARE DATA</w:t>
            </w: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Net income per common share</w:t>
            </w: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80" w:type="dxa"/>
            <w:vAlign w:val="bottom"/>
          </w:tcPr>
          <w:p>
            <w:pPr>
              <w:ind w:left="200"/>
              <w:spacing w:after="0"/>
              <w:rPr>
                <w:sz w:val="20"/>
                <w:szCs w:val="20"/>
                <w:color w:val="auto"/>
              </w:rPr>
            </w:pPr>
            <w:r>
              <w:rPr>
                <w:rFonts w:ascii="Arial" w:cs="Arial" w:eastAsia="Arial" w:hAnsi="Arial"/>
                <w:sz w:val="12"/>
                <w:szCs w:val="12"/>
                <w:color w:val="auto"/>
              </w:rPr>
              <w:t>Basic</w:t>
            </w:r>
          </w:p>
        </w:tc>
        <w:tc>
          <w:tcPr>
            <w:tcW w:w="14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2.91</w:t>
            </w: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2.56</w:t>
            </w:r>
          </w:p>
        </w:tc>
        <w:tc>
          <w:tcPr>
            <w:tcW w:w="4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2.03</w:t>
            </w:r>
          </w:p>
        </w:tc>
        <w:tc>
          <w:tcPr>
            <w:tcW w:w="440" w:type="dxa"/>
            <w:vAlign w:val="bottom"/>
          </w:tcPr>
          <w:p>
            <w:pPr>
              <w:jc w:val="right"/>
              <w:ind w:right="332"/>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20"/>
              <w:spacing w:after="0"/>
              <w:rPr>
                <w:sz w:val="20"/>
                <w:szCs w:val="20"/>
                <w:color w:val="auto"/>
              </w:rPr>
            </w:pPr>
            <w:r>
              <w:rPr>
                <w:rFonts w:ascii="Arial" w:cs="Arial" w:eastAsia="Arial" w:hAnsi="Arial"/>
                <w:sz w:val="12"/>
                <w:szCs w:val="12"/>
                <w:color w:val="auto"/>
              </w:rPr>
              <w:t>1.70</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0.96</w:t>
            </w:r>
          </w:p>
        </w:tc>
        <w:tc>
          <w:tcPr>
            <w:tcW w:w="0" w:type="dxa"/>
            <w:vAlign w:val="bottom"/>
          </w:tcPr>
          <w:p>
            <w:pPr>
              <w:spacing w:after="0"/>
              <w:rPr>
                <w:sz w:val="1"/>
                <w:szCs w:val="1"/>
                <w:color w:val="auto"/>
              </w:rPr>
            </w:pPr>
          </w:p>
        </w:tc>
      </w:tr>
      <w:tr>
        <w:trPr>
          <w:trHeight w:val="144"/>
        </w:trPr>
        <w:tc>
          <w:tcPr>
            <w:tcW w:w="34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Diluted</w:t>
            </w: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2.88</w:t>
            </w:r>
          </w:p>
        </w:tc>
        <w:tc>
          <w:tcPr>
            <w:tcW w:w="240" w:type="dxa"/>
            <w:vAlign w:val="bottom"/>
            <w:shd w:val="clear" w:color="auto" w:fill="CCEEFF"/>
          </w:tcPr>
          <w:p>
            <w:pPr>
              <w:spacing w:after="0"/>
              <w:rPr>
                <w:sz w:val="12"/>
                <w:szCs w:val="12"/>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2.53</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2.00</w:t>
            </w: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1.68</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0.95</w:t>
            </w:r>
          </w:p>
        </w:tc>
        <w:tc>
          <w:tcPr>
            <w:tcW w:w="0" w:type="dxa"/>
            <w:vAlign w:val="bottom"/>
          </w:tcPr>
          <w:p>
            <w:pPr>
              <w:spacing w:after="0"/>
              <w:rPr>
                <w:sz w:val="1"/>
                <w:szCs w:val="1"/>
                <w:color w:val="auto"/>
              </w:rPr>
            </w:pPr>
          </w:p>
        </w:tc>
      </w:tr>
      <w:tr>
        <w:trPr>
          <w:trHeight w:val="144"/>
        </w:trPr>
        <w:tc>
          <w:tcPr>
            <w:tcW w:w="3480" w:type="dxa"/>
            <w:vAlign w:val="bottom"/>
          </w:tcPr>
          <w:p>
            <w:pPr>
              <w:ind w:left="100"/>
              <w:spacing w:after="0"/>
              <w:rPr>
                <w:sz w:val="20"/>
                <w:szCs w:val="20"/>
                <w:color w:val="auto"/>
              </w:rPr>
            </w:pPr>
            <w:r>
              <w:rPr>
                <w:rFonts w:ascii="Arial" w:cs="Arial" w:eastAsia="Arial" w:hAnsi="Arial"/>
                <w:sz w:val="12"/>
                <w:szCs w:val="12"/>
                <w:color w:val="auto"/>
              </w:rPr>
              <w:t>Cash dividends declared and paid</w:t>
            </w: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0.84</w:t>
            </w: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0.80</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0.72</w:t>
            </w:r>
          </w:p>
        </w:tc>
        <w:tc>
          <w:tcPr>
            <w:tcW w:w="440" w:type="dxa"/>
            <w:vAlign w:val="bottom"/>
          </w:tcPr>
          <w:p>
            <w:pPr>
              <w:spacing w:after="0"/>
              <w:rPr>
                <w:sz w:val="12"/>
                <w:szCs w:val="1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2"/>
                <w:szCs w:val="12"/>
                <w:color w:val="auto"/>
              </w:rPr>
              <w:t>0.60</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0.42</w:t>
            </w:r>
          </w:p>
        </w:tc>
        <w:tc>
          <w:tcPr>
            <w:tcW w:w="0" w:type="dxa"/>
            <w:vAlign w:val="bottom"/>
          </w:tcPr>
          <w:p>
            <w:pPr>
              <w:spacing w:after="0"/>
              <w:rPr>
                <w:sz w:val="1"/>
                <w:szCs w:val="1"/>
                <w:color w:val="auto"/>
              </w:rPr>
            </w:pPr>
          </w:p>
        </w:tc>
      </w:tr>
      <w:tr>
        <w:trPr>
          <w:trHeight w:val="144"/>
        </w:trPr>
        <w:tc>
          <w:tcPr>
            <w:tcW w:w="34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Book value</w:t>
            </w: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18.82</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17.82</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15.58</w:t>
            </w: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14.38</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12.42</w:t>
            </w:r>
          </w:p>
        </w:tc>
        <w:tc>
          <w:tcPr>
            <w:tcW w:w="0" w:type="dxa"/>
            <w:vAlign w:val="bottom"/>
          </w:tcPr>
          <w:p>
            <w:pPr>
              <w:spacing w:after="0"/>
              <w:rPr>
                <w:sz w:val="1"/>
                <w:szCs w:val="1"/>
                <w:color w:val="auto"/>
              </w:rPr>
            </w:pPr>
          </w:p>
        </w:tc>
      </w:tr>
      <w:tr>
        <w:trPr>
          <w:trHeight w:val="144"/>
        </w:trPr>
        <w:tc>
          <w:tcPr>
            <w:tcW w:w="34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80" w:type="dxa"/>
            <w:vAlign w:val="bottom"/>
            <w:shd w:val="clear" w:color="auto" w:fill="CCEEFF"/>
          </w:tcPr>
          <w:p>
            <w:pPr>
              <w:spacing w:after="0"/>
              <w:rPr>
                <w:sz w:val="20"/>
                <w:szCs w:val="20"/>
                <w:color w:val="auto"/>
              </w:rPr>
            </w:pPr>
            <w:r>
              <w:rPr>
                <w:rFonts w:ascii="Arial" w:cs="Arial" w:eastAsia="Arial" w:hAnsi="Arial"/>
                <w:sz w:val="12"/>
                <w:szCs w:val="12"/>
                <w:color w:val="auto"/>
              </w:rPr>
              <w:t>SELECTED BALANCES</w:t>
            </w: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80" w:type="dxa"/>
            <w:vAlign w:val="bottom"/>
          </w:tcPr>
          <w:p>
            <w:pPr>
              <w:ind w:left="100"/>
              <w:spacing w:after="0"/>
              <w:rPr>
                <w:sz w:val="20"/>
                <w:szCs w:val="20"/>
                <w:color w:val="auto"/>
              </w:rPr>
            </w:pPr>
            <w:r>
              <w:rPr>
                <w:rFonts w:ascii="Arial" w:cs="Arial" w:eastAsia="Arial" w:hAnsi="Arial"/>
                <w:sz w:val="12"/>
                <w:szCs w:val="12"/>
                <w:color w:val="auto"/>
              </w:rPr>
              <w:t>Assets</w:t>
            </w:r>
          </w:p>
        </w:tc>
        <w:tc>
          <w:tcPr>
            <w:tcW w:w="14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4,704,740</w:t>
            </w:r>
          </w:p>
        </w:tc>
        <w:tc>
          <w:tcPr>
            <w:tcW w:w="240" w:type="dxa"/>
            <w:vAlign w:val="bottom"/>
          </w:tcPr>
          <w:p>
            <w:pPr>
              <w:spacing w:after="0"/>
              <w:rPr>
                <w:sz w:val="12"/>
                <w:szCs w:val="12"/>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4,204,013</w:t>
            </w:r>
          </w:p>
        </w:tc>
        <w:tc>
          <w:tcPr>
            <w:tcW w:w="4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3,564,694</w:t>
            </w:r>
          </w:p>
        </w:tc>
        <w:tc>
          <w:tcPr>
            <w:tcW w:w="440" w:type="dxa"/>
            <w:vAlign w:val="bottom"/>
          </w:tcPr>
          <w:p>
            <w:pPr>
              <w:jc w:val="right"/>
              <w:ind w:right="332"/>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20"/>
              <w:spacing w:after="0"/>
              <w:rPr>
                <w:sz w:val="20"/>
                <w:szCs w:val="20"/>
                <w:color w:val="auto"/>
              </w:rPr>
            </w:pPr>
            <w:r>
              <w:rPr>
                <w:rFonts w:ascii="Arial" w:cs="Arial" w:eastAsia="Arial" w:hAnsi="Arial"/>
                <w:sz w:val="12"/>
                <w:szCs w:val="12"/>
                <w:color w:val="auto"/>
              </w:rPr>
              <w:t>3,353,281</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2,789,355</w:t>
            </w:r>
          </w:p>
        </w:tc>
        <w:tc>
          <w:tcPr>
            <w:tcW w:w="0" w:type="dxa"/>
            <w:vAlign w:val="bottom"/>
          </w:tcPr>
          <w:p>
            <w:pPr>
              <w:spacing w:after="0"/>
              <w:rPr>
                <w:sz w:val="1"/>
                <w:szCs w:val="1"/>
                <w:color w:val="auto"/>
              </w:rPr>
            </w:pPr>
          </w:p>
        </w:tc>
      </w:tr>
      <w:tr>
        <w:trPr>
          <w:trHeight w:val="144"/>
        </w:trPr>
        <w:tc>
          <w:tcPr>
            <w:tcW w:w="34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Loans</w:t>
            </w: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2,905,045</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2,733,678</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2,725,023</w:t>
            </w: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2,582,520</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2,018,817</w:t>
            </w:r>
          </w:p>
        </w:tc>
        <w:tc>
          <w:tcPr>
            <w:tcW w:w="0" w:type="dxa"/>
            <w:vAlign w:val="bottom"/>
          </w:tcPr>
          <w:p>
            <w:pPr>
              <w:spacing w:after="0"/>
              <w:rPr>
                <w:sz w:val="1"/>
                <w:szCs w:val="1"/>
                <w:color w:val="auto"/>
              </w:rPr>
            </w:pPr>
          </w:p>
        </w:tc>
      </w:tr>
      <w:tr>
        <w:trPr>
          <w:trHeight w:val="144"/>
        </w:trPr>
        <w:tc>
          <w:tcPr>
            <w:tcW w:w="3480" w:type="dxa"/>
            <w:vAlign w:val="bottom"/>
          </w:tcPr>
          <w:p>
            <w:pPr>
              <w:ind w:left="100"/>
              <w:spacing w:after="0" w:line="144" w:lineRule="exact"/>
              <w:rPr>
                <w:sz w:val="20"/>
                <w:szCs w:val="20"/>
                <w:color w:val="auto"/>
              </w:rPr>
            </w:pPr>
            <w:r>
              <w:rPr>
                <w:rFonts w:ascii="Arial" w:cs="Arial" w:eastAsia="Arial" w:hAnsi="Arial"/>
                <w:sz w:val="10"/>
                <w:szCs w:val="10"/>
                <w:color w:val="auto"/>
              </w:rPr>
              <w:t>Allowance for credit losses</w:t>
            </w:r>
            <w:r>
              <w:rPr>
                <w:rFonts w:ascii="Arial" w:cs="Arial" w:eastAsia="Arial" w:hAnsi="Arial"/>
                <w:sz w:val="16"/>
                <w:szCs w:val="16"/>
                <w:color w:val="auto"/>
                <w:vertAlign w:val="superscript"/>
              </w:rPr>
              <w:t>(1)</w:t>
            </w: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47,252</w:t>
            </w: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35,429</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26,148</w:t>
            </w:r>
          </w:p>
        </w:tc>
        <w:tc>
          <w:tcPr>
            <w:tcW w:w="440" w:type="dxa"/>
            <w:vAlign w:val="bottom"/>
          </w:tcPr>
          <w:p>
            <w:pPr>
              <w:spacing w:after="0"/>
              <w:rPr>
                <w:sz w:val="12"/>
                <w:szCs w:val="1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2"/>
                <w:szCs w:val="12"/>
                <w:color w:val="auto"/>
              </w:rPr>
              <w:t>24,888</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22,587</w:t>
            </w:r>
          </w:p>
        </w:tc>
        <w:tc>
          <w:tcPr>
            <w:tcW w:w="0" w:type="dxa"/>
            <w:vAlign w:val="bottom"/>
          </w:tcPr>
          <w:p>
            <w:pPr>
              <w:spacing w:after="0"/>
              <w:rPr>
                <w:sz w:val="1"/>
                <w:szCs w:val="1"/>
                <w:color w:val="auto"/>
              </w:rPr>
            </w:pPr>
          </w:p>
        </w:tc>
      </w:tr>
      <w:tr>
        <w:trPr>
          <w:trHeight w:val="144"/>
        </w:trPr>
        <w:tc>
          <w:tcPr>
            <w:tcW w:w="34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Deposits</w:t>
            </w: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4,117,090</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3,637,355</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3,036,727</w:t>
            </w: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2,913,428</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2,400,534</w:t>
            </w:r>
          </w:p>
        </w:tc>
        <w:tc>
          <w:tcPr>
            <w:tcW w:w="0" w:type="dxa"/>
            <w:vAlign w:val="bottom"/>
          </w:tcPr>
          <w:p>
            <w:pPr>
              <w:spacing w:after="0"/>
              <w:rPr>
                <w:sz w:val="1"/>
                <w:szCs w:val="1"/>
                <w:color w:val="auto"/>
              </w:rPr>
            </w:pPr>
          </w:p>
        </w:tc>
      </w:tr>
      <w:tr>
        <w:trPr>
          <w:trHeight w:val="144"/>
        </w:trPr>
        <w:tc>
          <w:tcPr>
            <w:tcW w:w="3480" w:type="dxa"/>
            <w:vAlign w:val="bottom"/>
          </w:tcPr>
          <w:p>
            <w:pPr>
              <w:ind w:left="100"/>
              <w:spacing w:after="0"/>
              <w:rPr>
                <w:sz w:val="20"/>
                <w:szCs w:val="20"/>
                <w:color w:val="auto"/>
              </w:rPr>
            </w:pPr>
            <w:r>
              <w:rPr>
                <w:rFonts w:ascii="Arial" w:cs="Arial" w:eastAsia="Arial" w:hAnsi="Arial"/>
                <w:sz w:val="12"/>
                <w:szCs w:val="12"/>
                <w:color w:val="auto"/>
              </w:rPr>
              <w:t>Shareholders’ equity</w:t>
            </w: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398,484</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389,522</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350,169</w:t>
            </w:r>
          </w:p>
        </w:tc>
        <w:tc>
          <w:tcPr>
            <w:tcW w:w="440" w:type="dxa"/>
            <w:vAlign w:val="bottom"/>
          </w:tcPr>
          <w:p>
            <w:pPr>
              <w:spacing w:after="0"/>
              <w:rPr>
                <w:sz w:val="12"/>
                <w:szCs w:val="1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2"/>
                <w:szCs w:val="12"/>
                <w:color w:val="auto"/>
              </w:rPr>
              <w:t>338,994</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264,933</w:t>
            </w:r>
          </w:p>
        </w:tc>
        <w:tc>
          <w:tcPr>
            <w:tcW w:w="0" w:type="dxa"/>
            <w:vAlign w:val="bottom"/>
          </w:tcPr>
          <w:p>
            <w:pPr>
              <w:spacing w:after="0"/>
              <w:rPr>
                <w:sz w:val="1"/>
                <w:szCs w:val="1"/>
                <w:color w:val="auto"/>
              </w:rPr>
            </w:pPr>
          </w:p>
        </w:tc>
      </w:tr>
      <w:tr>
        <w:trPr>
          <w:trHeight w:val="144"/>
        </w:trPr>
        <w:tc>
          <w:tcPr>
            <w:tcW w:w="34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Other borrowings</w:t>
            </w: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30,009</w:t>
            </w:r>
          </w:p>
        </w:tc>
        <w:tc>
          <w:tcPr>
            <w:tcW w:w="240" w:type="dxa"/>
            <w:vAlign w:val="bottom"/>
            <w:shd w:val="clear" w:color="auto" w:fill="CCEEFF"/>
          </w:tcPr>
          <w:p>
            <w:pPr>
              <w:spacing w:after="0"/>
              <w:rPr>
                <w:sz w:val="12"/>
                <w:szCs w:val="12"/>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30,012</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88,646</w:t>
            </w: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25,700</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54,600</w:t>
            </w:r>
          </w:p>
        </w:tc>
        <w:tc>
          <w:tcPr>
            <w:tcW w:w="0" w:type="dxa"/>
            <w:vAlign w:val="bottom"/>
          </w:tcPr>
          <w:p>
            <w:pPr>
              <w:spacing w:after="0"/>
              <w:rPr>
                <w:sz w:val="1"/>
                <w:szCs w:val="1"/>
                <w:color w:val="auto"/>
              </w:rPr>
            </w:pPr>
          </w:p>
        </w:tc>
      </w:tr>
      <w:tr>
        <w:trPr>
          <w:trHeight w:val="144"/>
        </w:trPr>
        <w:tc>
          <w:tcPr>
            <w:tcW w:w="3480" w:type="dxa"/>
            <w:vAlign w:val="bottom"/>
          </w:tcPr>
          <w:p>
            <w:pPr>
              <w:ind w:left="100"/>
              <w:spacing w:after="0"/>
              <w:rPr>
                <w:sz w:val="20"/>
                <w:szCs w:val="20"/>
                <w:color w:val="auto"/>
              </w:rPr>
            </w:pPr>
            <w:r>
              <w:rPr>
                <w:rFonts w:ascii="Arial" w:cs="Arial" w:eastAsia="Arial" w:hAnsi="Arial"/>
                <w:sz w:val="12"/>
                <w:szCs w:val="12"/>
                <w:color w:val="auto"/>
              </w:rPr>
              <w:t>Subordinated debt</w:t>
            </w: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39,357</w:t>
            </w: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39,281</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2"/>
                <w:szCs w:val="1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4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Subordinated debentures</w:t>
            </w: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39,592</w:t>
            </w:r>
          </w:p>
        </w:tc>
        <w:tc>
          <w:tcPr>
            <w:tcW w:w="240" w:type="dxa"/>
            <w:vAlign w:val="bottom"/>
            <w:shd w:val="clear" w:color="auto" w:fill="CCEEFF"/>
          </w:tcPr>
          <w:p>
            <w:pPr>
              <w:spacing w:after="0"/>
              <w:rPr>
                <w:sz w:val="12"/>
                <w:szCs w:val="12"/>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39,524</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39,456</w:t>
            </w: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39,388</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35,569</w:t>
            </w:r>
          </w:p>
        </w:tc>
        <w:tc>
          <w:tcPr>
            <w:tcW w:w="0" w:type="dxa"/>
            <w:vAlign w:val="bottom"/>
          </w:tcPr>
          <w:p>
            <w:pPr>
              <w:spacing w:after="0"/>
              <w:rPr>
                <w:sz w:val="1"/>
                <w:szCs w:val="1"/>
                <w:color w:val="auto"/>
              </w:rPr>
            </w:pPr>
          </w:p>
        </w:tc>
      </w:tr>
      <w:tr>
        <w:trPr>
          <w:trHeight w:val="144"/>
        </w:trPr>
        <w:tc>
          <w:tcPr>
            <w:tcW w:w="34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80" w:type="dxa"/>
            <w:vAlign w:val="bottom"/>
            <w:shd w:val="clear" w:color="auto" w:fill="CCEEFF"/>
          </w:tcPr>
          <w:p>
            <w:pPr>
              <w:spacing w:after="0"/>
              <w:rPr>
                <w:sz w:val="20"/>
                <w:szCs w:val="20"/>
                <w:color w:val="auto"/>
              </w:rPr>
            </w:pPr>
            <w:r>
              <w:rPr>
                <w:rFonts w:ascii="Arial" w:cs="Arial" w:eastAsia="Arial" w:hAnsi="Arial"/>
                <w:sz w:val="12"/>
                <w:szCs w:val="12"/>
                <w:color w:val="auto"/>
              </w:rPr>
              <w:t>SELECTED RATIOS</w:t>
            </w: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80" w:type="dxa"/>
            <w:vAlign w:val="bottom"/>
          </w:tcPr>
          <w:p>
            <w:pPr>
              <w:ind w:left="100"/>
              <w:spacing w:after="0"/>
              <w:rPr>
                <w:sz w:val="20"/>
                <w:szCs w:val="20"/>
                <w:color w:val="auto"/>
              </w:rPr>
            </w:pPr>
            <w:r>
              <w:rPr>
                <w:rFonts w:ascii="Arial" w:cs="Arial" w:eastAsia="Arial" w:hAnsi="Arial"/>
                <w:sz w:val="12"/>
                <w:szCs w:val="12"/>
                <w:color w:val="auto"/>
              </w:rPr>
              <w:t>Net interest income to average interest earning assets</w:t>
            </w: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2"/>
                <w:szCs w:val="12"/>
                <w:color w:val="auto"/>
              </w:rPr>
              <w:t>3.10%</w:t>
            </w:r>
          </w:p>
        </w:tc>
        <w:tc>
          <w:tcPr>
            <w:tcW w:w="240" w:type="dxa"/>
            <w:vAlign w:val="bottom"/>
          </w:tcPr>
          <w:p>
            <w:pPr>
              <w:spacing w:after="0"/>
              <w:rPr>
                <w:sz w:val="12"/>
                <w:szCs w:val="12"/>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2"/>
                <w:szCs w:val="12"/>
                <w:color w:val="auto"/>
              </w:rPr>
              <w:t>3.34%</w:t>
            </w:r>
          </w:p>
        </w:tc>
        <w:tc>
          <w:tcPr>
            <w:tcW w:w="2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3.80%</w:t>
            </w:r>
          </w:p>
        </w:tc>
        <w:tc>
          <w:tcPr>
            <w:tcW w:w="4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3.88%</w:t>
            </w:r>
          </w:p>
        </w:tc>
        <w:tc>
          <w:tcPr>
            <w:tcW w:w="260" w:type="dxa"/>
            <w:vAlign w:val="bottom"/>
          </w:tcPr>
          <w:p>
            <w:pPr>
              <w:spacing w:after="0"/>
              <w:rPr>
                <w:sz w:val="12"/>
                <w:szCs w:val="12"/>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2"/>
                <w:szCs w:val="12"/>
                <w:color w:val="auto"/>
              </w:rPr>
              <w:t>3.65%</w:t>
            </w:r>
          </w:p>
        </w:tc>
        <w:tc>
          <w:tcPr>
            <w:tcW w:w="0" w:type="dxa"/>
            <w:vAlign w:val="bottom"/>
          </w:tcPr>
          <w:p>
            <w:pPr>
              <w:spacing w:after="0"/>
              <w:rPr>
                <w:sz w:val="1"/>
                <w:szCs w:val="1"/>
                <w:color w:val="auto"/>
              </w:rPr>
            </w:pPr>
          </w:p>
        </w:tc>
      </w:tr>
      <w:tr>
        <w:trPr>
          <w:trHeight w:val="144"/>
        </w:trPr>
        <w:tc>
          <w:tcPr>
            <w:tcW w:w="34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Net income to</w:t>
            </w: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80" w:type="dxa"/>
            <w:vAlign w:val="bottom"/>
          </w:tcPr>
          <w:p>
            <w:pPr>
              <w:ind w:left="200"/>
              <w:spacing w:after="0"/>
              <w:rPr>
                <w:sz w:val="20"/>
                <w:szCs w:val="20"/>
                <w:color w:val="auto"/>
              </w:rPr>
            </w:pPr>
            <w:r>
              <w:rPr>
                <w:rFonts w:ascii="Arial" w:cs="Arial" w:eastAsia="Arial" w:hAnsi="Arial"/>
                <w:sz w:val="12"/>
                <w:szCs w:val="12"/>
                <w:color w:val="auto"/>
              </w:rPr>
              <w:t>Average shareholders' equity</w:t>
            </w: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16.13</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15.68</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13.63</w:t>
            </w:r>
          </w:p>
        </w:tc>
        <w:tc>
          <w:tcPr>
            <w:tcW w:w="440" w:type="dxa"/>
            <w:vAlign w:val="bottom"/>
          </w:tcPr>
          <w:p>
            <w:pPr>
              <w:spacing w:after="0"/>
              <w:rPr>
                <w:sz w:val="12"/>
                <w:szCs w:val="1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2"/>
                <w:szCs w:val="12"/>
                <w:color w:val="auto"/>
              </w:rPr>
              <w:t>12.38</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7.82</w:t>
            </w:r>
          </w:p>
        </w:tc>
        <w:tc>
          <w:tcPr>
            <w:tcW w:w="0" w:type="dxa"/>
            <w:vAlign w:val="bottom"/>
          </w:tcPr>
          <w:p>
            <w:pPr>
              <w:spacing w:after="0"/>
              <w:rPr>
                <w:sz w:val="1"/>
                <w:szCs w:val="1"/>
                <w:color w:val="auto"/>
              </w:rPr>
            </w:pPr>
          </w:p>
        </w:tc>
      </w:tr>
      <w:tr>
        <w:trPr>
          <w:trHeight w:val="144"/>
        </w:trPr>
        <w:tc>
          <w:tcPr>
            <w:tcW w:w="34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Average assets</w:t>
            </w: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1.41</w:t>
            </w:r>
          </w:p>
        </w:tc>
        <w:tc>
          <w:tcPr>
            <w:tcW w:w="240" w:type="dxa"/>
            <w:vAlign w:val="bottom"/>
            <w:shd w:val="clear" w:color="auto" w:fill="CCEEFF"/>
          </w:tcPr>
          <w:p>
            <w:pPr>
              <w:spacing w:after="0"/>
              <w:rPr>
                <w:sz w:val="12"/>
                <w:szCs w:val="12"/>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1.43</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1.35</w:t>
            </w: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1.27</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0.77</w:t>
            </w:r>
          </w:p>
        </w:tc>
        <w:tc>
          <w:tcPr>
            <w:tcW w:w="0" w:type="dxa"/>
            <w:vAlign w:val="bottom"/>
          </w:tcPr>
          <w:p>
            <w:pPr>
              <w:spacing w:after="0"/>
              <w:rPr>
                <w:sz w:val="1"/>
                <w:szCs w:val="1"/>
                <w:color w:val="auto"/>
              </w:rPr>
            </w:pPr>
          </w:p>
        </w:tc>
      </w:tr>
      <w:tr>
        <w:trPr>
          <w:trHeight w:val="144"/>
        </w:trPr>
        <w:tc>
          <w:tcPr>
            <w:tcW w:w="3480" w:type="dxa"/>
            <w:vAlign w:val="bottom"/>
          </w:tcPr>
          <w:p>
            <w:pPr>
              <w:ind w:left="100"/>
              <w:spacing w:after="0"/>
              <w:rPr>
                <w:sz w:val="20"/>
                <w:szCs w:val="20"/>
                <w:color w:val="auto"/>
              </w:rPr>
            </w:pPr>
            <w:r>
              <w:rPr>
                <w:rFonts w:ascii="Arial" w:cs="Arial" w:eastAsia="Arial" w:hAnsi="Arial"/>
                <w:sz w:val="12"/>
                <w:szCs w:val="12"/>
                <w:color w:val="auto"/>
              </w:rPr>
              <w:t>Average shareholders’ equity to average assets</w:t>
            </w: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8.73</w:t>
            </w: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9.10</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9.90</w:t>
            </w:r>
          </w:p>
        </w:tc>
        <w:tc>
          <w:tcPr>
            <w:tcW w:w="440" w:type="dxa"/>
            <w:vAlign w:val="bottom"/>
          </w:tcPr>
          <w:p>
            <w:pPr>
              <w:spacing w:after="0"/>
              <w:rPr>
                <w:sz w:val="12"/>
                <w:szCs w:val="1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2"/>
                <w:szCs w:val="12"/>
                <w:color w:val="auto"/>
              </w:rPr>
              <w:t>10.27</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9.88</w:t>
            </w:r>
          </w:p>
        </w:tc>
        <w:tc>
          <w:tcPr>
            <w:tcW w:w="0" w:type="dxa"/>
            <w:vAlign w:val="bottom"/>
          </w:tcPr>
          <w:p>
            <w:pPr>
              <w:spacing w:after="0"/>
              <w:rPr>
                <w:sz w:val="1"/>
                <w:szCs w:val="1"/>
                <w:color w:val="auto"/>
              </w:rPr>
            </w:pPr>
          </w:p>
        </w:tc>
      </w:tr>
      <w:tr>
        <w:trPr>
          <w:trHeight w:val="144"/>
        </w:trPr>
        <w:tc>
          <w:tcPr>
            <w:tcW w:w="34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Tier 1 capital to average assets</w:t>
            </w: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8.79</w:t>
            </w:r>
          </w:p>
        </w:tc>
        <w:tc>
          <w:tcPr>
            <w:tcW w:w="240" w:type="dxa"/>
            <w:vAlign w:val="bottom"/>
            <w:shd w:val="clear" w:color="auto" w:fill="CCEEFF"/>
          </w:tcPr>
          <w:p>
            <w:pPr>
              <w:spacing w:after="0"/>
              <w:rPr>
                <w:sz w:val="12"/>
                <w:szCs w:val="12"/>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9.15</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10.11</w:t>
            </w: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10.47</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10.57</w:t>
            </w:r>
          </w:p>
        </w:tc>
        <w:tc>
          <w:tcPr>
            <w:tcW w:w="0" w:type="dxa"/>
            <w:vAlign w:val="bottom"/>
          </w:tcPr>
          <w:p>
            <w:pPr>
              <w:spacing w:after="0"/>
              <w:rPr>
                <w:sz w:val="1"/>
                <w:szCs w:val="1"/>
                <w:color w:val="auto"/>
              </w:rPr>
            </w:pPr>
          </w:p>
        </w:tc>
      </w:tr>
      <w:tr>
        <w:trPr>
          <w:trHeight w:val="153"/>
        </w:trPr>
        <w:tc>
          <w:tcPr>
            <w:tcW w:w="3480" w:type="dxa"/>
            <w:vAlign w:val="bottom"/>
          </w:tcPr>
          <w:p>
            <w:pPr>
              <w:ind w:left="100"/>
              <w:spacing w:after="0"/>
              <w:rPr>
                <w:sz w:val="20"/>
                <w:szCs w:val="20"/>
                <w:color w:val="auto"/>
              </w:rPr>
            </w:pPr>
            <w:r>
              <w:rPr>
                <w:rFonts w:ascii="Arial" w:cs="Arial" w:eastAsia="Arial" w:hAnsi="Arial"/>
                <w:sz w:val="12"/>
                <w:szCs w:val="12"/>
                <w:color w:val="auto"/>
              </w:rPr>
              <w:t>Non-performing loans to Portfolio Loans</w:t>
            </w: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0.18</w:t>
            </w: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0.29</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0.35</w:t>
            </w:r>
          </w:p>
        </w:tc>
        <w:tc>
          <w:tcPr>
            <w:tcW w:w="440" w:type="dxa"/>
            <w:vAlign w:val="bottom"/>
          </w:tcPr>
          <w:p>
            <w:pPr>
              <w:spacing w:after="0"/>
              <w:rPr>
                <w:sz w:val="13"/>
                <w:szCs w:val="1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2"/>
                <w:szCs w:val="12"/>
                <w:color w:val="auto"/>
              </w:rPr>
              <w:t>0.33</w:t>
            </w:r>
          </w:p>
        </w:tc>
        <w:tc>
          <w:tcPr>
            <w:tcW w:w="26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0.39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85725</wp:posOffset>
            </wp:positionV>
            <wp:extent cx="931545" cy="114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931545" cy="1143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color w:val="auto"/>
        </w:rPr>
        <w:t>(1) Beginning January 1, 2021, calculation is based on CECL methodology. Prior to January 1, 2021, calculation was based on the probable incurred loss methodology.</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31" w:name="page32"/>
    <w:bookmarkEnd w:id="31"/>
    <w:p>
      <w:pPr>
        <w:jc w:val="center"/>
        <w:spacing w:after="0"/>
        <w:rPr>
          <w:sz w:val="20"/>
          <w:szCs w:val="20"/>
          <w:color w:val="auto"/>
        </w:rPr>
      </w:pPr>
      <w:r>
        <w:rPr>
          <w:rFonts w:ascii="Arial" w:cs="Arial" w:eastAsia="Arial" w:hAnsi="Arial"/>
          <w:sz w:val="12"/>
          <w:szCs w:val="12"/>
          <w:b w:val="1"/>
          <w:bCs w:val="1"/>
          <w:color w:val="auto"/>
        </w:rPr>
        <w:t>MANAGEMENT’S DISCUSSION AND ANALYSIS OF</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FINANCIAL CONDITION AND RESULTS OF OPERATIONS</w:t>
      </w:r>
    </w:p>
    <w:p>
      <w:pPr>
        <w:spacing w:after="0" w:line="141"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2"/>
          <w:szCs w:val="12"/>
          <w:i w:val="1"/>
          <w:iCs w:val="1"/>
          <w:color w:val="auto"/>
        </w:rPr>
        <w:t xml:space="preserve">Disclaimer Regarding Forward-Looking Statements. </w:t>
      </w:r>
      <w:r>
        <w:rPr>
          <w:rFonts w:ascii="Arial" w:cs="Arial" w:eastAsia="Arial" w:hAnsi="Arial"/>
          <w:sz w:val="12"/>
          <w:szCs w:val="12"/>
          <w:color w:val="auto"/>
        </w:rPr>
        <w:t>Statements in this report that are not statements of historical fact, including statements that include terms such as “will,” “may,” “should,” “believe,” “expect,” “forecast,”</w:t>
      </w:r>
      <w:r>
        <w:rPr>
          <w:rFonts w:ascii="Arial" w:cs="Arial" w:eastAsia="Arial" w:hAnsi="Arial"/>
          <w:sz w:val="12"/>
          <w:szCs w:val="12"/>
          <w:i w:val="1"/>
          <w:iCs w:val="1"/>
          <w:color w:val="auto"/>
        </w:rPr>
        <w:t xml:space="preserve"> </w:t>
      </w:r>
      <w:r>
        <w:rPr>
          <w:rFonts w:ascii="Arial" w:cs="Arial" w:eastAsia="Arial" w:hAnsi="Arial"/>
          <w:sz w:val="12"/>
          <w:szCs w:val="12"/>
          <w:color w:val="auto"/>
        </w:rPr>
        <w:t>“anticipate,” “estimate,” “project,” “intend,” “likely,” “optimistic” and “plan” and statements about future or projected financial and operating results, plans, projections, objectives, expectations, and intentions, are forward-looking statements. Forward-looking statements include, but are not limited to, descriptions of plans and objectives for future operations, products or services; projections of our future revenue, earnings or other measures of economic performance; forecasts of credit losses and other asset quality trends; statements about our business and growth strategies; and expectations about economic and market conditions and trends. These forward-looking statements express our current expectations, forecasts of future events, or long-term goals. They are based on assumptions, estimates, and forecasts that, although believed to be reasonable, may turn out to be incorrect. Actual results could differ materially from those discussed in the forward-looking statements for a variety of reasons, including:</w:t>
      </w:r>
    </w:p>
    <w:p>
      <w:pPr>
        <w:spacing w:after="0" w:line="128" w:lineRule="exact"/>
        <w:rPr>
          <w:sz w:val="20"/>
          <w:szCs w:val="20"/>
          <w:color w:val="auto"/>
        </w:rPr>
      </w:pPr>
    </w:p>
    <w:p>
      <w:pPr>
        <w:ind w:left="520" w:hanging="294"/>
        <w:spacing w:after="0"/>
        <w:tabs>
          <w:tab w:leader="none" w:pos="5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economic, market, operational, liquidity, credit, and interest rate risks associated with our business including the impact of the ongoing COVID-19 pandemic on each of these items;</w:t>
      </w:r>
    </w:p>
    <w:p>
      <w:pPr>
        <w:spacing w:after="0" w:line="150" w:lineRule="exact"/>
        <w:rPr>
          <w:rFonts w:ascii="Arial" w:cs="Arial" w:eastAsia="Arial" w:hAnsi="Arial"/>
          <w:sz w:val="12"/>
          <w:szCs w:val="12"/>
          <w:color w:val="auto"/>
        </w:rPr>
      </w:pPr>
    </w:p>
    <w:p>
      <w:pPr>
        <w:ind w:left="520" w:right="20" w:hanging="294"/>
        <w:spacing w:after="0" w:line="276" w:lineRule="auto"/>
        <w:tabs>
          <w:tab w:leader="none" w:pos="5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economic conditions generally and in the financial services industry, particularly economic conditions within Michigan and the regional and local real estate markets in which our bank operates including the economic impact of the ongoing COVID-19 pandemic in each of these areas;</w:t>
      </w:r>
    </w:p>
    <w:p>
      <w:pPr>
        <w:spacing w:after="0" w:line="114" w:lineRule="exact"/>
        <w:rPr>
          <w:rFonts w:ascii="Arial" w:cs="Arial" w:eastAsia="Arial" w:hAnsi="Arial"/>
          <w:sz w:val="12"/>
          <w:szCs w:val="12"/>
          <w:color w:val="auto"/>
        </w:rPr>
      </w:pPr>
    </w:p>
    <w:p>
      <w:pPr>
        <w:ind w:left="520" w:hanging="294"/>
        <w:spacing w:after="0"/>
        <w:tabs>
          <w:tab w:leader="none" w:pos="5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failure of assumptions underlying the establishment of, and provisions made to, our allowance for credit losses;</w:t>
      </w:r>
    </w:p>
    <w:p>
      <w:pPr>
        <w:spacing w:after="0" w:line="150" w:lineRule="exact"/>
        <w:rPr>
          <w:rFonts w:ascii="Arial" w:cs="Arial" w:eastAsia="Arial" w:hAnsi="Arial"/>
          <w:sz w:val="12"/>
          <w:szCs w:val="12"/>
          <w:color w:val="auto"/>
        </w:rPr>
      </w:pPr>
    </w:p>
    <w:p>
      <w:pPr>
        <w:ind w:left="520" w:hanging="294"/>
        <w:spacing w:after="0"/>
        <w:tabs>
          <w:tab w:leader="none" w:pos="5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increased competition in the financial services industry, either nationally or regionally;</w:t>
      </w:r>
    </w:p>
    <w:p>
      <w:pPr>
        <w:spacing w:after="0" w:line="150" w:lineRule="exact"/>
        <w:rPr>
          <w:rFonts w:ascii="Arial" w:cs="Arial" w:eastAsia="Arial" w:hAnsi="Arial"/>
          <w:sz w:val="12"/>
          <w:szCs w:val="12"/>
          <w:color w:val="auto"/>
        </w:rPr>
      </w:pPr>
    </w:p>
    <w:p>
      <w:pPr>
        <w:ind w:left="520" w:hanging="294"/>
        <w:spacing w:after="0"/>
        <w:tabs>
          <w:tab w:leader="none" w:pos="5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our ability to achieve loan and deposit growth;</w:t>
      </w:r>
    </w:p>
    <w:p>
      <w:pPr>
        <w:spacing w:after="0" w:line="150" w:lineRule="exact"/>
        <w:rPr>
          <w:rFonts w:ascii="Arial" w:cs="Arial" w:eastAsia="Arial" w:hAnsi="Arial"/>
          <w:sz w:val="12"/>
          <w:szCs w:val="12"/>
          <w:color w:val="auto"/>
        </w:rPr>
      </w:pPr>
    </w:p>
    <w:p>
      <w:pPr>
        <w:ind w:left="520" w:hanging="294"/>
        <w:spacing w:after="0"/>
        <w:tabs>
          <w:tab w:leader="none" w:pos="5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volatility and direction of market interest rates;</w:t>
      </w:r>
    </w:p>
    <w:p>
      <w:pPr>
        <w:spacing w:after="0" w:line="150" w:lineRule="exact"/>
        <w:rPr>
          <w:rFonts w:ascii="Arial" w:cs="Arial" w:eastAsia="Arial" w:hAnsi="Arial"/>
          <w:sz w:val="12"/>
          <w:szCs w:val="12"/>
          <w:color w:val="auto"/>
        </w:rPr>
      </w:pPr>
    </w:p>
    <w:p>
      <w:pPr>
        <w:ind w:left="520" w:hanging="294"/>
        <w:spacing w:after="0"/>
        <w:tabs>
          <w:tab w:leader="none" w:pos="5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continued services of our management team; and</w:t>
      </w:r>
    </w:p>
    <w:p>
      <w:pPr>
        <w:spacing w:after="0" w:line="150" w:lineRule="exact"/>
        <w:rPr>
          <w:rFonts w:ascii="Arial" w:cs="Arial" w:eastAsia="Arial" w:hAnsi="Arial"/>
          <w:sz w:val="12"/>
          <w:szCs w:val="12"/>
          <w:color w:val="auto"/>
        </w:rPr>
      </w:pPr>
    </w:p>
    <w:p>
      <w:pPr>
        <w:ind w:left="520" w:hanging="294"/>
        <w:spacing w:after="0"/>
        <w:tabs>
          <w:tab w:leader="none" w:pos="5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implementation of new legislation, which may have significant effects on us and the financial services industry.</w:t>
      </w:r>
    </w:p>
    <w:p>
      <w:pPr>
        <w:spacing w:after="0" w:line="150" w:lineRule="exact"/>
        <w:rPr>
          <w:sz w:val="20"/>
          <w:szCs w:val="20"/>
          <w:color w:val="auto"/>
        </w:rPr>
      </w:pPr>
    </w:p>
    <w:p>
      <w:pPr>
        <w:jc w:val="both"/>
        <w:ind w:firstLine="240"/>
        <w:spacing w:after="0" w:line="283" w:lineRule="auto"/>
        <w:rPr>
          <w:sz w:val="20"/>
          <w:szCs w:val="20"/>
          <w:color w:val="auto"/>
        </w:rPr>
      </w:pPr>
      <w:r>
        <w:rPr>
          <w:rFonts w:ascii="Arial" w:cs="Arial" w:eastAsia="Arial" w:hAnsi="Arial"/>
          <w:sz w:val="11"/>
          <w:szCs w:val="11"/>
          <w:color w:val="auto"/>
        </w:rPr>
        <w:t>This list provides examples of factors that could affect the results described by forward-looking statements contained in this report, but the list is not intended to be all-inclusive. The risk factors disclosed in Part I – Item 1A of our Annual Report on Form 10-K for the year ended December 31, 2021, as updated by any new or modified risk factors disclosed in Part II – Item 1A of any subsequently filed Quarterly Report on Form 10-Q, include the primary risks our management believes could materially affect the results described by forward-looking statements in this report. However, those risks are not the only risks we face. Our results of operations, cash flows, financial position, and prospects could also be materially and adversely affected by additional factors that are not presently known to us, that we currently consider to be immaterial, or that develop after the date of this report. We cannot assure you that our future results will meet expectations. While we believe the forward-looking statements in this report are reasonable, you should not place undue reliance on any forward-looking statement. In addition, these statements speak only as of the date made. We do not undertake, and expressly disclaim, any obligation to update or alter any statements, whether as a result of new information, future events, or otherwise, except as required by applicable law.</w:t>
      </w:r>
    </w:p>
    <w:p>
      <w:pPr>
        <w:spacing w:after="0" w:line="113" w:lineRule="exact"/>
        <w:rPr>
          <w:sz w:val="20"/>
          <w:szCs w:val="20"/>
          <w:color w:val="auto"/>
        </w:rPr>
      </w:pPr>
    </w:p>
    <w:p>
      <w:pPr>
        <w:jc w:val="both"/>
        <w:ind w:firstLine="240"/>
        <w:spacing w:after="0" w:line="298" w:lineRule="auto"/>
        <w:rPr>
          <w:sz w:val="20"/>
          <w:szCs w:val="20"/>
          <w:color w:val="auto"/>
        </w:rPr>
      </w:pPr>
      <w:r>
        <w:rPr>
          <w:rFonts w:ascii="Arial" w:cs="Arial" w:eastAsia="Arial" w:hAnsi="Arial"/>
          <w:sz w:val="11"/>
          <w:szCs w:val="11"/>
          <w:i w:val="1"/>
          <w:iCs w:val="1"/>
          <w:color w:val="auto"/>
        </w:rPr>
        <w:t xml:space="preserve">Introduction. </w:t>
      </w:r>
      <w:r>
        <w:rPr>
          <w:rFonts w:ascii="Arial" w:cs="Arial" w:eastAsia="Arial" w:hAnsi="Arial"/>
          <w:sz w:val="11"/>
          <w:szCs w:val="11"/>
          <w:color w:val="auto"/>
        </w:rPr>
        <w:t>The following section presents additional information to assess the financial condition and results of operations of Independent Bank Corporation (“IBCP”), its wholly-owned bank, Independent Bank (the “Bank”),</w:t>
      </w:r>
      <w:r>
        <w:rPr>
          <w:rFonts w:ascii="Arial" w:cs="Arial" w:eastAsia="Arial" w:hAnsi="Arial"/>
          <w:sz w:val="11"/>
          <w:szCs w:val="11"/>
          <w:i w:val="1"/>
          <w:iCs w:val="1"/>
          <w:color w:val="auto"/>
        </w:rPr>
        <w:t xml:space="preserve"> </w:t>
      </w:r>
      <w:r>
        <w:rPr>
          <w:rFonts w:ascii="Arial" w:cs="Arial" w:eastAsia="Arial" w:hAnsi="Arial"/>
          <w:sz w:val="11"/>
          <w:szCs w:val="11"/>
          <w:color w:val="auto"/>
        </w:rPr>
        <w:t>and their subsidiaries. This section should be read in conjunction with the consolidated financial statements and the supplemental financial data contained elsewhere in this annual report. We also encourage you to read our Annual Report on Form 10-K filed with the U.S. Securities and Exchange Commission (“SEC”). That report includes a list of risk factors that you should consider in connection with any decision to buy or sell our securities.</w:t>
      </w:r>
    </w:p>
    <w:p>
      <w:pPr>
        <w:spacing w:after="0" w:line="105" w:lineRule="exact"/>
        <w:rPr>
          <w:sz w:val="20"/>
          <w:szCs w:val="20"/>
          <w:color w:val="auto"/>
        </w:rPr>
      </w:pPr>
    </w:p>
    <w:p>
      <w:pPr>
        <w:jc w:val="both"/>
        <w:ind w:firstLine="240"/>
        <w:spacing w:after="0" w:line="276" w:lineRule="auto"/>
        <w:rPr>
          <w:sz w:val="20"/>
          <w:szCs w:val="20"/>
          <w:color w:val="auto"/>
        </w:rPr>
      </w:pPr>
      <w:r>
        <w:rPr>
          <w:rFonts w:ascii="Arial" w:cs="Arial" w:eastAsia="Arial" w:hAnsi="Arial"/>
          <w:sz w:val="12"/>
          <w:szCs w:val="12"/>
          <w:i w:val="1"/>
          <w:iCs w:val="1"/>
          <w:color w:val="auto"/>
        </w:rPr>
        <w:t xml:space="preserve">Overview. </w:t>
      </w:r>
      <w:r>
        <w:rPr>
          <w:rFonts w:ascii="Arial" w:cs="Arial" w:eastAsia="Arial" w:hAnsi="Arial"/>
          <w:sz w:val="12"/>
          <w:szCs w:val="12"/>
          <w:color w:val="auto"/>
        </w:rPr>
        <w:t>We provide banking services to customers located primarily in Michigan’s Lower Peninsula and also have two loan production offices in Ohio (Columbus and Fairlawn). As a result, our success depends to a great extent</w:t>
      </w:r>
      <w:r>
        <w:rPr>
          <w:rFonts w:ascii="Arial" w:cs="Arial" w:eastAsia="Arial" w:hAnsi="Arial"/>
          <w:sz w:val="12"/>
          <w:szCs w:val="12"/>
          <w:i w:val="1"/>
          <w:iCs w:val="1"/>
          <w:color w:val="auto"/>
        </w:rPr>
        <w:t xml:space="preserve"> </w:t>
      </w:r>
      <w:r>
        <w:rPr>
          <w:rFonts w:ascii="Arial" w:cs="Arial" w:eastAsia="Arial" w:hAnsi="Arial"/>
          <w:sz w:val="12"/>
          <w:szCs w:val="12"/>
          <w:color w:val="auto"/>
        </w:rPr>
        <w:t>upon the economic conditions in Michigan’s Lower Peninsula.</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32" w:name="page33"/>
    <w:bookmarkEnd w:id="32"/>
    <w:p>
      <w:pPr>
        <w:jc w:val="both"/>
        <w:ind w:firstLine="240"/>
        <w:spacing w:after="0" w:line="276" w:lineRule="auto"/>
        <w:rPr>
          <w:sz w:val="20"/>
          <w:szCs w:val="20"/>
          <w:color w:val="auto"/>
        </w:rPr>
      </w:pPr>
      <w:r>
        <w:rPr>
          <w:rFonts w:ascii="Arial" w:cs="Arial" w:eastAsia="Arial" w:hAnsi="Arial"/>
          <w:sz w:val="12"/>
          <w:szCs w:val="12"/>
          <w:i w:val="1"/>
          <w:iCs w:val="1"/>
          <w:color w:val="auto"/>
        </w:rPr>
        <w:t xml:space="preserve">Significant Developments. </w:t>
      </w:r>
      <w:r>
        <w:rPr>
          <w:rFonts w:ascii="Arial" w:cs="Arial" w:eastAsia="Arial" w:hAnsi="Arial"/>
          <w:sz w:val="12"/>
          <w:szCs w:val="12"/>
          <w:color w:val="auto"/>
        </w:rPr>
        <w:t>The COVID-19 pandemic and the related government mandates, restrictions, and guidance have created and may continue to create and contribute to significant economic uncertainty and market</w:t>
      </w:r>
      <w:r>
        <w:rPr>
          <w:rFonts w:ascii="Arial" w:cs="Arial" w:eastAsia="Arial" w:hAnsi="Arial"/>
          <w:sz w:val="12"/>
          <w:szCs w:val="12"/>
          <w:i w:val="1"/>
          <w:iCs w:val="1"/>
          <w:color w:val="auto"/>
        </w:rPr>
        <w:t xml:space="preserve"> </w:t>
      </w:r>
      <w:r>
        <w:rPr>
          <w:rFonts w:ascii="Arial" w:cs="Arial" w:eastAsia="Arial" w:hAnsi="Arial"/>
          <w:sz w:val="12"/>
          <w:szCs w:val="12"/>
          <w:color w:val="auto"/>
        </w:rPr>
        <w:t>disruptions. Throughout 2020 and 2021, the volatility created by the pandemic and responses to the pandemic impacted our performance, customers, and the markets we serve.</w:t>
      </w:r>
    </w:p>
    <w:p>
      <w:pPr>
        <w:spacing w:after="0" w:line="115" w:lineRule="exact"/>
        <w:rPr>
          <w:sz w:val="20"/>
          <w:szCs w:val="20"/>
          <w:color w:val="auto"/>
        </w:rPr>
      </w:pPr>
    </w:p>
    <w:p>
      <w:pPr>
        <w:jc w:val="both"/>
        <w:ind w:firstLine="240"/>
        <w:spacing w:after="0" w:line="285" w:lineRule="auto"/>
        <w:rPr>
          <w:sz w:val="20"/>
          <w:szCs w:val="20"/>
          <w:color w:val="auto"/>
        </w:rPr>
      </w:pPr>
      <w:r>
        <w:rPr>
          <w:rFonts w:ascii="Arial" w:cs="Arial" w:eastAsia="Arial" w:hAnsi="Arial"/>
          <w:sz w:val="11"/>
          <w:szCs w:val="11"/>
          <w:color w:val="auto"/>
        </w:rPr>
        <w:t>Federal and state government responses have also created uncertainty. On November 4, 2021, the U.S. Department of Labor implemented an emergency temporary standard (ETS) mandating that all employers with 100 workers or more must require their employees to be fully vaccinated or submit to weekly testing. The ETS has been met with many subsequent legal challenges. On January 13, 2022, the U.S. Supreme Court stayed the ETS, sending the case back to the U.S. Court of Appeals for the Sixth Circuit for a decision on the merits. The timeline for such a decision is undetermined, and the outcomes remain unpredictable. In Michigan, the Department of Health and Human Services announced its intent to update quarantine and isolation periods to align with the Centers for Disease Control and Prevention’s newly shortened guidelines. These impending mandates and guidelines may have significant effects on the U.S. and Michigan economies, the banking sector generally, and our business specifically, the scope of which cannot be foreseen.</w:t>
      </w:r>
    </w:p>
    <w:p>
      <w:pPr>
        <w:spacing w:after="0" w:line="113" w:lineRule="exact"/>
        <w:rPr>
          <w:sz w:val="20"/>
          <w:szCs w:val="20"/>
          <w:color w:val="auto"/>
        </w:rPr>
      </w:pPr>
    </w:p>
    <w:p>
      <w:pPr>
        <w:jc w:val="both"/>
        <w:ind w:firstLine="240"/>
        <w:spacing w:after="0" w:line="276" w:lineRule="auto"/>
        <w:rPr>
          <w:sz w:val="20"/>
          <w:szCs w:val="20"/>
          <w:color w:val="auto"/>
        </w:rPr>
      </w:pPr>
      <w:r>
        <w:rPr>
          <w:rFonts w:ascii="Arial" w:cs="Arial" w:eastAsia="Arial" w:hAnsi="Arial"/>
          <w:sz w:val="12"/>
          <w:szCs w:val="12"/>
          <w:color w:val="auto"/>
        </w:rPr>
        <w:t>Based on this uncertainty, it is difficult to predict the extent to which the pandemic will continue to adversely impact our business, results of operations, financial condition, and customers. The potential impacts may include, but are not limited to:</w:t>
      </w:r>
    </w:p>
    <w:p>
      <w:pPr>
        <w:spacing w:after="0" w:line="115" w:lineRule="exact"/>
        <w:rPr>
          <w:sz w:val="20"/>
          <w:szCs w:val="20"/>
          <w:color w:val="auto"/>
        </w:rPr>
      </w:pPr>
    </w:p>
    <w:p>
      <w:pPr>
        <w:ind w:left="520" w:hanging="294"/>
        <w:spacing w:after="0"/>
        <w:tabs>
          <w:tab w:leader="none" w:pos="5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difficulties encountered by our business customers in addressing the effects of the pandemic may cause increases in loan delinquencies, foreclosures and defaults;</w:t>
      </w:r>
    </w:p>
    <w:p>
      <w:pPr>
        <w:spacing w:after="0" w:line="150" w:lineRule="exact"/>
        <w:rPr>
          <w:rFonts w:ascii="Arial" w:cs="Arial" w:eastAsia="Arial" w:hAnsi="Arial"/>
          <w:sz w:val="12"/>
          <w:szCs w:val="12"/>
          <w:color w:val="auto"/>
        </w:rPr>
      </w:pPr>
    </w:p>
    <w:p>
      <w:pPr>
        <w:ind w:left="520" w:hanging="294"/>
        <w:spacing w:after="0"/>
        <w:tabs>
          <w:tab w:leader="none" w:pos="5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increases in our allowance for credit losses may be necessary;</w:t>
      </w:r>
    </w:p>
    <w:p>
      <w:pPr>
        <w:spacing w:after="0" w:line="150" w:lineRule="exact"/>
        <w:rPr>
          <w:rFonts w:ascii="Arial" w:cs="Arial" w:eastAsia="Arial" w:hAnsi="Arial"/>
          <w:sz w:val="12"/>
          <w:szCs w:val="12"/>
          <w:color w:val="auto"/>
        </w:rPr>
      </w:pPr>
    </w:p>
    <w:p>
      <w:pPr>
        <w:ind w:left="520" w:hanging="294"/>
        <w:spacing w:after="0"/>
        <w:tabs>
          <w:tab w:leader="none" w:pos="5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declines in collateral values may occur;</w:t>
      </w:r>
    </w:p>
    <w:p>
      <w:pPr>
        <w:spacing w:after="0" w:line="150" w:lineRule="exact"/>
        <w:rPr>
          <w:rFonts w:ascii="Arial" w:cs="Arial" w:eastAsia="Arial" w:hAnsi="Arial"/>
          <w:sz w:val="12"/>
          <w:szCs w:val="12"/>
          <w:color w:val="auto"/>
        </w:rPr>
      </w:pPr>
    </w:p>
    <w:p>
      <w:pPr>
        <w:ind w:left="520" w:hanging="294"/>
        <w:spacing w:after="0"/>
        <w:tabs>
          <w:tab w:leader="none" w:pos="5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third party disruptions may occur, including outages at network providers, on-line banking vendors and other suppliers;</w:t>
      </w:r>
    </w:p>
    <w:p>
      <w:pPr>
        <w:spacing w:after="0" w:line="150" w:lineRule="exact"/>
        <w:rPr>
          <w:rFonts w:ascii="Arial" w:cs="Arial" w:eastAsia="Arial" w:hAnsi="Arial"/>
          <w:sz w:val="12"/>
          <w:szCs w:val="12"/>
          <w:color w:val="auto"/>
        </w:rPr>
      </w:pPr>
    </w:p>
    <w:p>
      <w:pPr>
        <w:ind w:left="520" w:hanging="294"/>
        <w:spacing w:after="0"/>
        <w:tabs>
          <w:tab w:leader="none" w:pos="5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there is increased cyber and payment fraud risk, as cybercriminals attempt to profit from the disruption, given increased online and remote activity;</w:t>
      </w:r>
    </w:p>
    <w:p>
      <w:pPr>
        <w:spacing w:after="0" w:line="150" w:lineRule="exact"/>
        <w:rPr>
          <w:rFonts w:ascii="Arial" w:cs="Arial" w:eastAsia="Arial" w:hAnsi="Arial"/>
          <w:sz w:val="12"/>
          <w:szCs w:val="12"/>
          <w:color w:val="auto"/>
        </w:rPr>
      </w:pPr>
    </w:p>
    <w:p>
      <w:pPr>
        <w:ind w:left="520" w:hanging="294"/>
        <w:spacing w:after="0"/>
        <w:tabs>
          <w:tab w:leader="none" w:pos="5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we may experience operational failures due to changes in our normal business practices necessitated by the pandemic and related governmental actions; and/or</w:t>
      </w:r>
    </w:p>
    <w:p>
      <w:pPr>
        <w:spacing w:after="0" w:line="150" w:lineRule="exact"/>
        <w:rPr>
          <w:rFonts w:ascii="Arial" w:cs="Arial" w:eastAsia="Arial" w:hAnsi="Arial"/>
          <w:sz w:val="12"/>
          <w:szCs w:val="12"/>
          <w:color w:val="auto"/>
        </w:rPr>
      </w:pPr>
    </w:p>
    <w:p>
      <w:pPr>
        <w:ind w:left="520" w:hanging="294"/>
        <w:spacing w:after="0"/>
        <w:tabs>
          <w:tab w:leader="none" w:pos="5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our production and efficiency may suffer due to employee illnesses and/or employees having to work remotely.</w:t>
      </w:r>
    </w:p>
    <w:p>
      <w:pPr>
        <w:spacing w:after="0" w:line="15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Given the ongoing uncertainty with respect to the pandemic and potential government responses, these risk factors may continue to some degree for a significant period of time.</w:t>
      </w:r>
    </w:p>
    <w:p>
      <w:pPr>
        <w:spacing w:after="0" w:line="150" w:lineRule="exact"/>
        <w:rPr>
          <w:sz w:val="20"/>
          <w:szCs w:val="20"/>
          <w:color w:val="auto"/>
        </w:rPr>
      </w:pPr>
    </w:p>
    <w:p>
      <w:pPr>
        <w:jc w:val="both"/>
        <w:ind w:firstLine="240"/>
        <w:spacing w:after="0" w:line="256" w:lineRule="auto"/>
        <w:rPr>
          <w:sz w:val="20"/>
          <w:szCs w:val="20"/>
          <w:color w:val="auto"/>
        </w:rPr>
      </w:pPr>
      <w:r>
        <w:rPr>
          <w:rFonts w:ascii="Arial" w:cs="Arial" w:eastAsia="Arial" w:hAnsi="Arial"/>
          <w:sz w:val="12"/>
          <w:szCs w:val="12"/>
          <w:color w:val="auto"/>
        </w:rPr>
        <w:t>The extent to which the COVID-19 pandemic may impact our business, results of operations, asset valuations, financial condition, and customers will depend on future developments, which continue to be highly uncertain and difficult to predict. Those developments and factors are expected to include the evolution of the virus and new and emerging virus variants, vaccination rates and subsequent vaccine-“boosters,” actions taken by governmental authorities to address the foregoing, and the enforcement thereof, and how quickly and to what extent normal economic and operating conditions stabilize. Potential developments also include market factors such as interest rates, supply chain disruptions, inflation, consumer-welfare, and employment rates. We do not know the full extent of the potential impact. Material adverse impacts may include all or a combination of valuation impairments on our intangible assets, securities available for sale, loans, capitalized mortgage loan servicing rights or deferred tax assets.</w:t>
      </w:r>
    </w:p>
    <w:p>
      <w:pPr>
        <w:spacing w:after="0" w:line="128" w:lineRule="exact"/>
        <w:rPr>
          <w:sz w:val="20"/>
          <w:szCs w:val="20"/>
          <w:color w:val="auto"/>
        </w:rPr>
      </w:pPr>
    </w:p>
    <w:p>
      <w:pPr>
        <w:ind w:left="240"/>
        <w:spacing w:after="0"/>
        <w:rPr>
          <w:sz w:val="20"/>
          <w:szCs w:val="20"/>
          <w:color w:val="auto"/>
        </w:rPr>
      </w:pPr>
      <w:r>
        <w:rPr>
          <w:rFonts w:ascii="Arial" w:cs="Arial" w:eastAsia="Arial" w:hAnsi="Arial"/>
          <w:sz w:val="12"/>
          <w:szCs w:val="12"/>
          <w:color w:val="auto"/>
        </w:rPr>
        <w:t>It is against this backdrop that we discuss our results of operations and financial condition in 2021 as compared to earlier periods.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RESULTS OF OPERATIONS</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1"/>
          <w:szCs w:val="11"/>
          <w:i w:val="1"/>
          <w:iCs w:val="1"/>
          <w:color w:val="auto"/>
        </w:rPr>
        <w:t xml:space="preserve">Summary. </w:t>
      </w:r>
      <w:r>
        <w:rPr>
          <w:rFonts w:ascii="Arial" w:cs="Arial" w:eastAsia="Arial" w:hAnsi="Arial"/>
          <w:sz w:val="11"/>
          <w:szCs w:val="11"/>
          <w:color w:val="auto"/>
        </w:rPr>
        <w:t>We recorded net income of $62.9 million, or $2.88 per diluted share, in 2021, net income of $56.2 million, or $2.53 per diluted share, in 2020, and net income of $46.4 million, or $2.00 per diluted share, in 2019.</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57"/>
        </w:trPr>
        <w:tc>
          <w:tcPr>
            <w:tcW w:w="7340" w:type="dxa"/>
            <w:vAlign w:val="bottom"/>
          </w:tcPr>
          <w:p>
            <w:pPr>
              <w:spacing w:after="0"/>
              <w:rPr>
                <w:sz w:val="20"/>
                <w:szCs w:val="20"/>
                <w:color w:val="auto"/>
              </w:rPr>
            </w:pPr>
            <w:r>
              <w:rPr>
                <w:rFonts w:ascii="Arial" w:cs="Arial" w:eastAsia="Arial" w:hAnsi="Arial"/>
                <w:sz w:val="12"/>
                <w:szCs w:val="12"/>
                <w:b w:val="1"/>
                <w:bCs w:val="1"/>
                <w:color w:val="auto"/>
              </w:rPr>
              <w:t>KEY PERFORMANCE RATIOS</w:t>
            </w: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734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2"/>
                <w:szCs w:val="12"/>
                <w:b w:val="1"/>
                <w:bCs w:val="1"/>
                <w:color w:val="auto"/>
                <w:w w:val="90"/>
              </w:rPr>
              <w:t>Year Ended December 31,</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7340" w:type="dxa"/>
            <w:vAlign w:val="bottom"/>
          </w:tcPr>
          <w:p>
            <w:pPr>
              <w:spacing w:after="0"/>
              <w:rPr>
                <w:sz w:val="12"/>
                <w:szCs w:val="12"/>
                <w:color w:val="auto"/>
              </w:rPr>
            </w:pPr>
          </w:p>
        </w:tc>
        <w:tc>
          <w:tcPr>
            <w:tcW w:w="780" w:type="dxa"/>
            <w:vAlign w:val="bottom"/>
            <w:tcBorders>
              <w:bottom w:val="single" w:sz="8" w:color="auto"/>
            </w:tcBorders>
          </w:tcPr>
          <w:p>
            <w:pPr>
              <w:jc w:val="right"/>
              <w:ind w:right="26"/>
              <w:spacing w:after="0"/>
              <w:rPr>
                <w:sz w:val="20"/>
                <w:szCs w:val="20"/>
                <w:color w:val="auto"/>
              </w:rPr>
            </w:pPr>
            <w:r>
              <w:rPr>
                <w:rFonts w:ascii="Arial" w:cs="Arial" w:eastAsia="Arial" w:hAnsi="Arial"/>
                <w:sz w:val="12"/>
                <w:szCs w:val="12"/>
                <w:b w:val="1"/>
                <w:bCs w:val="1"/>
                <w:color w:val="auto"/>
              </w:rPr>
              <w:t>2021</w:t>
            </w:r>
          </w:p>
        </w:tc>
        <w:tc>
          <w:tcPr>
            <w:tcW w:w="3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2020</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2"/>
                <w:szCs w:val="12"/>
                <w:color w:val="auto"/>
              </w:rPr>
            </w:pPr>
          </w:p>
        </w:tc>
      </w:tr>
      <w:tr>
        <w:trPr>
          <w:trHeight w:val="142"/>
        </w:trPr>
        <w:tc>
          <w:tcPr>
            <w:tcW w:w="7340" w:type="dxa"/>
            <w:vAlign w:val="bottom"/>
          </w:tcPr>
          <w:p>
            <w:pPr>
              <w:spacing w:after="0"/>
              <w:rPr>
                <w:sz w:val="20"/>
                <w:szCs w:val="20"/>
                <w:color w:val="auto"/>
              </w:rPr>
            </w:pPr>
            <w:r>
              <w:rPr>
                <w:rFonts w:ascii="Arial" w:cs="Arial" w:eastAsia="Arial" w:hAnsi="Arial"/>
                <w:sz w:val="12"/>
                <w:szCs w:val="12"/>
                <w:color w:val="auto"/>
              </w:rPr>
              <w:t>Net income to</w:t>
            </w: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73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Average shareholders' equity</w:t>
            </w:r>
          </w:p>
        </w:tc>
        <w:tc>
          <w:tcPr>
            <w:tcW w:w="7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16.13%</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15.68%</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13.63%</w:t>
            </w:r>
          </w:p>
        </w:tc>
      </w:tr>
      <w:tr>
        <w:trPr>
          <w:trHeight w:val="144"/>
        </w:trPr>
        <w:tc>
          <w:tcPr>
            <w:tcW w:w="7340" w:type="dxa"/>
            <w:vAlign w:val="bottom"/>
          </w:tcPr>
          <w:p>
            <w:pPr>
              <w:ind w:left="100"/>
              <w:spacing w:after="0"/>
              <w:rPr>
                <w:sz w:val="20"/>
                <w:szCs w:val="20"/>
                <w:color w:val="auto"/>
              </w:rPr>
            </w:pPr>
            <w:r>
              <w:rPr>
                <w:rFonts w:ascii="Arial" w:cs="Arial" w:eastAsia="Arial" w:hAnsi="Arial"/>
                <w:sz w:val="12"/>
                <w:szCs w:val="12"/>
                <w:color w:val="auto"/>
              </w:rPr>
              <w:t>Average assets</w:t>
            </w:r>
          </w:p>
        </w:tc>
        <w:tc>
          <w:tcPr>
            <w:tcW w:w="78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1.41</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1.43</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1.35</w:t>
            </w:r>
          </w:p>
        </w:tc>
      </w:tr>
      <w:tr>
        <w:trPr>
          <w:trHeight w:val="144"/>
        </w:trPr>
        <w:tc>
          <w:tcPr>
            <w:tcW w:w="7340" w:type="dxa"/>
            <w:vAlign w:val="bottom"/>
            <w:shd w:val="clear" w:color="auto" w:fill="CCEEFF"/>
          </w:tcPr>
          <w:p>
            <w:pPr>
              <w:spacing w:after="0"/>
              <w:rPr>
                <w:sz w:val="20"/>
                <w:szCs w:val="20"/>
                <w:color w:val="auto"/>
              </w:rPr>
            </w:pPr>
            <w:r>
              <w:rPr>
                <w:rFonts w:ascii="Arial" w:cs="Arial" w:eastAsia="Arial" w:hAnsi="Arial"/>
                <w:sz w:val="12"/>
                <w:szCs w:val="12"/>
                <w:color w:val="auto"/>
              </w:rPr>
              <w:t>Net income per common share</w:t>
            </w:r>
          </w:p>
        </w:tc>
        <w:tc>
          <w:tcPr>
            <w:tcW w:w="7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7340" w:type="dxa"/>
            <w:vAlign w:val="bottom"/>
          </w:tcPr>
          <w:p>
            <w:pPr>
              <w:ind w:left="100"/>
              <w:spacing w:after="0"/>
              <w:rPr>
                <w:sz w:val="20"/>
                <w:szCs w:val="20"/>
                <w:color w:val="auto"/>
              </w:rPr>
            </w:pPr>
            <w:r>
              <w:rPr>
                <w:rFonts w:ascii="Arial" w:cs="Arial" w:eastAsia="Arial" w:hAnsi="Arial"/>
                <w:sz w:val="12"/>
                <w:szCs w:val="12"/>
                <w:color w:val="auto"/>
              </w:rPr>
              <w:t>Basic</w:t>
            </w:r>
          </w:p>
        </w:tc>
        <w:tc>
          <w:tcPr>
            <w:tcW w:w="780" w:type="dxa"/>
            <w:vAlign w:val="bottom"/>
          </w:tcPr>
          <w:p>
            <w:pPr>
              <w:jc w:val="right"/>
              <w:ind w:right="666"/>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2.91</w:t>
            </w:r>
          </w:p>
        </w:tc>
        <w:tc>
          <w:tcPr>
            <w:tcW w:w="3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2.56</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2.03</w:t>
            </w:r>
          </w:p>
        </w:tc>
      </w:tr>
      <w:tr>
        <w:trPr>
          <w:trHeight w:val="144"/>
        </w:trPr>
        <w:tc>
          <w:tcPr>
            <w:tcW w:w="73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Diluted</w:t>
            </w:r>
          </w:p>
        </w:tc>
        <w:tc>
          <w:tcPr>
            <w:tcW w:w="7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2.88</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2.53</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2.00</w:t>
            </w:r>
          </w:p>
        </w:tc>
      </w:tr>
    </w:tbl>
    <w:p>
      <w:pPr>
        <w:spacing w:after="0" w:line="135" w:lineRule="exact"/>
        <w:rPr>
          <w:sz w:val="20"/>
          <w:szCs w:val="20"/>
          <w:color w:val="auto"/>
        </w:rPr>
      </w:pPr>
    </w:p>
    <w:p>
      <w:pPr>
        <w:jc w:val="both"/>
        <w:ind w:firstLine="240"/>
        <w:spacing w:after="0" w:line="289" w:lineRule="auto"/>
        <w:rPr>
          <w:sz w:val="20"/>
          <w:szCs w:val="20"/>
          <w:color w:val="auto"/>
        </w:rPr>
      </w:pPr>
      <w:r>
        <w:rPr>
          <w:rFonts w:ascii="Arial" w:cs="Arial" w:eastAsia="Arial" w:hAnsi="Arial"/>
          <w:sz w:val="11"/>
          <w:szCs w:val="11"/>
          <w:i w:val="1"/>
          <w:iCs w:val="1"/>
          <w:color w:val="auto"/>
        </w:rPr>
        <w:t xml:space="preserve">Net interest income. </w:t>
      </w:r>
      <w:r>
        <w:rPr>
          <w:rFonts w:ascii="Arial" w:cs="Arial" w:eastAsia="Arial" w:hAnsi="Arial"/>
          <w:sz w:val="11"/>
          <w:szCs w:val="11"/>
          <w:color w:val="auto"/>
        </w:rPr>
        <w:t>Net interest income is the most important source of our earnings and thus is critical in evaluating our results of operations. Changes in our net interest income are primarily influenced by our level of interest-earning assets and the income or yield that we earn on those assets and the manner and cost of funding our interest-earning assets. Certain macro-economic factors can also influence our net interest income such as the level and direction of interest rates, the difference between short-term and long-term interest rates (the steepness of the yield curve) and the general strength of the economies in which we are doing business. Finally, risk management plays an important role in our level of net interest income. The ineffective management of credit risk and interest-rate risk in particular can adversely impact our net interest income.</w:t>
      </w:r>
    </w:p>
    <w:p>
      <w:pPr>
        <w:spacing w:after="0" w:line="111" w:lineRule="exact"/>
        <w:rPr>
          <w:sz w:val="20"/>
          <w:szCs w:val="20"/>
          <w:color w:val="auto"/>
        </w:rPr>
      </w:pPr>
    </w:p>
    <w:p>
      <w:pPr>
        <w:jc w:val="both"/>
        <w:ind w:firstLine="240"/>
        <w:spacing w:after="0" w:line="323" w:lineRule="auto"/>
        <w:rPr>
          <w:sz w:val="20"/>
          <w:szCs w:val="20"/>
          <w:color w:val="auto"/>
        </w:rPr>
      </w:pPr>
      <w:r>
        <w:rPr>
          <w:rFonts w:ascii="Arial" w:cs="Arial" w:eastAsia="Arial" w:hAnsi="Arial"/>
          <w:sz w:val="11"/>
          <w:szCs w:val="11"/>
          <w:color w:val="auto"/>
        </w:rPr>
        <w:t>Net interest income totaled $129.8 million during 2021, compared to $123.6 million and $122.6 million during 2020 and 2019, respectively. The increase in net interest income in 2021 compared to 2020 primarily reflects a $529.9 million increase in average interest-earning assets that was partially offset by a 24 basis point decrease in our tax equivalent net interest income as a percent of average interest-earning assets (the “net interest margin”).</w:t>
      </w:r>
    </w:p>
    <w:p>
      <w:pPr>
        <w:spacing w:after="0" w:line="92" w:lineRule="exact"/>
        <w:rPr>
          <w:sz w:val="20"/>
          <w:szCs w:val="20"/>
          <w:color w:val="auto"/>
        </w:rPr>
      </w:pPr>
    </w:p>
    <w:p>
      <w:pPr>
        <w:ind w:left="240"/>
        <w:spacing w:after="0"/>
        <w:rPr>
          <w:sz w:val="20"/>
          <w:szCs w:val="20"/>
          <w:color w:val="auto"/>
        </w:rPr>
      </w:pPr>
      <w:r>
        <w:rPr>
          <w:rFonts w:ascii="Arial" w:cs="Arial" w:eastAsia="Arial" w:hAnsi="Arial"/>
          <w:sz w:val="11"/>
          <w:szCs w:val="11"/>
          <w:color w:val="auto"/>
        </w:rPr>
        <w:t>The increase in net interest income in 2020 compared to 2019 primarily reflects a $483.8 million increase in average interest-earning assets that was partially offset by a 46 basis point decrease in our net interest margin.</w:t>
      </w:r>
    </w:p>
    <w:p>
      <w:pPr>
        <w:spacing w:after="0" w:line="162" w:lineRule="exact"/>
        <w:rPr>
          <w:sz w:val="20"/>
          <w:szCs w:val="20"/>
          <w:color w:val="auto"/>
        </w:rPr>
      </w:pPr>
    </w:p>
    <w:p>
      <w:pPr>
        <w:jc w:val="both"/>
        <w:ind w:firstLine="240"/>
        <w:spacing w:after="0" w:line="276" w:lineRule="auto"/>
        <w:rPr>
          <w:sz w:val="20"/>
          <w:szCs w:val="20"/>
          <w:color w:val="auto"/>
        </w:rPr>
      </w:pPr>
      <w:r>
        <w:rPr>
          <w:rFonts w:ascii="Arial" w:cs="Arial" w:eastAsia="Arial" w:hAnsi="Arial"/>
          <w:sz w:val="12"/>
          <w:szCs w:val="12"/>
          <w:color w:val="auto"/>
        </w:rPr>
        <w:t>The increase in average interest-earning assets during 2021 primarily reflects an increase in securities available for sale and interest bearing cash deposits. The significant increases in these balances is primarily due to the deployment of funds from a substantial increase in deposits.</w:t>
      </w:r>
    </w:p>
    <w:p>
      <w:pPr>
        <w:spacing w:after="0" w:line="115" w:lineRule="exact"/>
        <w:rPr>
          <w:sz w:val="20"/>
          <w:szCs w:val="20"/>
          <w:color w:val="auto"/>
        </w:rPr>
      </w:pPr>
    </w:p>
    <w:p>
      <w:pPr>
        <w:jc w:val="both"/>
        <w:ind w:firstLine="240"/>
        <w:spacing w:after="0" w:line="263" w:lineRule="auto"/>
        <w:rPr>
          <w:sz w:val="20"/>
          <w:szCs w:val="20"/>
          <w:color w:val="auto"/>
        </w:rPr>
      </w:pPr>
      <w:r>
        <w:rPr>
          <w:rFonts w:ascii="Arial" w:cs="Arial" w:eastAsia="Arial" w:hAnsi="Arial"/>
          <w:sz w:val="12"/>
          <w:szCs w:val="12"/>
          <w:color w:val="auto"/>
        </w:rPr>
        <w:t>The decrease in the net interest margin during 2021 as compared to 2020 primarily reflects a change in the mix of earning assets as well as the origination of new loans and the purchase of securities available for sale at lower rates than those same instruments that have matured or paid off. These decreases were partially offset by the impact of Payroll Protection Program (“PPP”) loans and accelerated amortization of certain deferred losses on derivative financial instruments that were de-designated.</w:t>
      </w:r>
    </w:p>
    <w:p>
      <w:pPr>
        <w:spacing w:after="0" w:line="122" w:lineRule="exact"/>
        <w:rPr>
          <w:sz w:val="20"/>
          <w:szCs w:val="20"/>
          <w:color w:val="auto"/>
        </w:rPr>
      </w:pPr>
    </w:p>
    <w:p>
      <w:pPr>
        <w:jc w:val="both"/>
        <w:ind w:right="20" w:firstLine="240"/>
        <w:spacing w:after="0" w:line="276" w:lineRule="auto"/>
        <w:rPr>
          <w:sz w:val="20"/>
          <w:szCs w:val="20"/>
          <w:color w:val="auto"/>
        </w:rPr>
      </w:pPr>
      <w:r>
        <w:rPr>
          <w:rFonts w:ascii="Arial" w:cs="Arial" w:eastAsia="Arial" w:hAnsi="Arial"/>
          <w:sz w:val="12"/>
          <w:szCs w:val="12"/>
          <w:color w:val="auto"/>
        </w:rPr>
        <w:t>Due to the economic impact of COVID-19, the Federal Reserve Bank has taken a variety of actions to stimulate the economy, including lowering short-term interest rates. These actions, along with lower long-term interest rates, have placed pressure on our net interest margin.</w:t>
      </w:r>
    </w:p>
    <w:p>
      <w:pPr>
        <w:spacing w:after="0" w:line="115" w:lineRule="exact"/>
        <w:rPr>
          <w:sz w:val="20"/>
          <w:szCs w:val="20"/>
          <w:color w:val="auto"/>
        </w:rPr>
      </w:pPr>
    </w:p>
    <w:p>
      <w:pPr>
        <w:ind w:left="240"/>
        <w:spacing w:after="0"/>
        <w:rPr>
          <w:sz w:val="20"/>
          <w:szCs w:val="20"/>
          <w:color w:val="auto"/>
        </w:rPr>
      </w:pPr>
      <w:r>
        <w:rPr>
          <w:rFonts w:ascii="Arial" w:cs="Arial" w:eastAsia="Arial" w:hAnsi="Arial"/>
          <w:sz w:val="12"/>
          <w:szCs w:val="12"/>
          <w:color w:val="auto"/>
        </w:rPr>
        <w:t>Interest and fees on loans in 2021 include $8.9 million of accretion of net loan fees on PPP loans compared to $5.6 million in 2020. No such accretion is included in 2019.</w:t>
      </w:r>
    </w:p>
    <w:p>
      <w:pPr>
        <w:spacing w:after="0" w:line="150" w:lineRule="exact"/>
        <w:rPr>
          <w:sz w:val="20"/>
          <w:szCs w:val="20"/>
          <w:color w:val="auto"/>
        </w:rPr>
      </w:pPr>
    </w:p>
    <w:p>
      <w:pPr>
        <w:jc w:val="both"/>
        <w:ind w:firstLine="240"/>
        <w:spacing w:after="0" w:line="276" w:lineRule="auto"/>
        <w:rPr>
          <w:sz w:val="20"/>
          <w:szCs w:val="20"/>
          <w:color w:val="auto"/>
        </w:rPr>
      </w:pPr>
      <w:r>
        <w:rPr>
          <w:rFonts w:ascii="Arial" w:cs="Arial" w:eastAsia="Arial" w:hAnsi="Arial"/>
          <w:sz w:val="12"/>
          <w:szCs w:val="12"/>
          <w:color w:val="auto"/>
        </w:rPr>
        <w:t>Interest expense in 2020 included $1.6 million of accelerated amortization of deferred loss on certain derivative financial instruments that were de-designated. No such amortization is included in 2021 or 2019. See note #16 to the Consolidated Financial Statements for discussion regarding these derivative financial instruments.</w:t>
      </w:r>
    </w:p>
    <w:p>
      <w:pPr>
        <w:spacing w:after="0" w:line="115" w:lineRule="exact"/>
        <w:rPr>
          <w:sz w:val="20"/>
          <w:szCs w:val="20"/>
          <w:color w:val="auto"/>
        </w:rPr>
      </w:pPr>
    </w:p>
    <w:p>
      <w:pPr>
        <w:jc w:val="both"/>
        <w:ind w:firstLine="240"/>
        <w:spacing w:after="0" w:line="263" w:lineRule="auto"/>
        <w:rPr>
          <w:sz w:val="20"/>
          <w:szCs w:val="20"/>
          <w:color w:val="auto"/>
        </w:rPr>
      </w:pPr>
      <w:r>
        <w:rPr>
          <w:rFonts w:ascii="Arial" w:cs="Arial" w:eastAsia="Arial" w:hAnsi="Arial"/>
          <w:sz w:val="12"/>
          <w:szCs w:val="12"/>
          <w:color w:val="auto"/>
        </w:rPr>
        <w:t>The increase in average interest-earning assets during 2020 primarily reflects an increase in securities available for sale and interest bearing cash deposits. The significant increases in these balances is primarily due to the deployment of funds from a substantial increase in deposits. The decrease in the net interest margin during 2020 as compared to 2019 primarily reflects reductions in short-term interest rates during that year as well as a flattening of the yield curve.</w:t>
      </w:r>
    </w:p>
    <w:p>
      <w:pPr>
        <w:spacing w:after="0" w:line="122" w:lineRule="exact"/>
        <w:rPr>
          <w:sz w:val="20"/>
          <w:szCs w:val="20"/>
          <w:color w:val="auto"/>
        </w:rPr>
      </w:pPr>
    </w:p>
    <w:p>
      <w:pPr>
        <w:jc w:val="both"/>
        <w:ind w:right="20" w:firstLine="240"/>
        <w:spacing w:after="0" w:line="276" w:lineRule="auto"/>
        <w:rPr>
          <w:sz w:val="20"/>
          <w:szCs w:val="20"/>
          <w:color w:val="auto"/>
        </w:rPr>
      </w:pPr>
      <w:r>
        <w:rPr>
          <w:rFonts w:ascii="Arial" w:cs="Arial" w:eastAsia="Arial" w:hAnsi="Arial"/>
          <w:sz w:val="12"/>
          <w:szCs w:val="12"/>
          <w:color w:val="auto"/>
        </w:rPr>
        <w:t>2021, 2020 and 2019 interest income on loans includes $0.8 million, $1.1 million and $1.5 million, respectively, of accretion of the discount recorded on loans acquired in connection with our acquisition of Traverse City State Bank (“TCSB”) in 2018.</w:t>
      </w:r>
    </w:p>
    <w:p>
      <w:pPr>
        <w:spacing w:after="0" w:line="115"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Our net interest income is also impacted by our level of non-accrual loans. Average non-accrual loans totaled $6.2 million, $11.2 million and $8.1 million in 2021, 2020 and 2019, respectively.</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57"/>
        </w:trPr>
        <w:tc>
          <w:tcPr>
            <w:tcW w:w="2260" w:type="dxa"/>
            <w:vAlign w:val="bottom"/>
          </w:tcPr>
          <w:p>
            <w:pPr>
              <w:spacing w:after="0"/>
              <w:rPr>
                <w:sz w:val="20"/>
                <w:szCs w:val="20"/>
                <w:color w:val="auto"/>
              </w:rPr>
            </w:pPr>
            <w:r>
              <w:rPr>
                <w:rFonts w:ascii="Arial" w:cs="Arial" w:eastAsia="Arial" w:hAnsi="Arial"/>
                <w:sz w:val="12"/>
                <w:szCs w:val="12"/>
                <w:b w:val="1"/>
                <w:bCs w:val="1"/>
                <w:color w:val="auto"/>
              </w:rPr>
              <w:t>AVERAGE BALANCES AND RATES</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rPr>
              <w:t>2021</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2020</w:t>
            </w: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rPr>
              <w:t>2019</w:t>
            </w: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right"/>
              <w:ind w:right="440"/>
              <w:spacing w:after="0" w:line="129" w:lineRule="exact"/>
              <w:rPr>
                <w:sz w:val="20"/>
                <w:szCs w:val="20"/>
                <w:color w:val="auto"/>
              </w:rPr>
            </w:pPr>
            <w:r>
              <w:rPr>
                <w:rFonts w:ascii="Arial" w:cs="Arial" w:eastAsia="Arial" w:hAnsi="Arial"/>
                <w:sz w:val="12"/>
                <w:szCs w:val="12"/>
                <w:b w:val="1"/>
                <w:bCs w:val="1"/>
                <w:color w:val="auto"/>
                <w:w w:val="97"/>
              </w:rPr>
              <w:t>Average</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360"/>
              <w:spacing w:after="0" w:line="129" w:lineRule="exact"/>
              <w:rPr>
                <w:sz w:val="20"/>
                <w:szCs w:val="20"/>
                <w:color w:val="auto"/>
              </w:rPr>
            </w:pPr>
            <w:r>
              <w:rPr>
                <w:rFonts w:ascii="Arial" w:cs="Arial" w:eastAsia="Arial" w:hAnsi="Arial"/>
                <w:sz w:val="12"/>
                <w:szCs w:val="12"/>
                <w:b w:val="1"/>
                <w:bCs w:val="1"/>
                <w:color w:val="auto"/>
                <w:w w:val="97"/>
              </w:rPr>
              <w:t>Average</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400"/>
              <w:spacing w:after="0" w:line="129" w:lineRule="exact"/>
              <w:rPr>
                <w:sz w:val="20"/>
                <w:szCs w:val="20"/>
                <w:color w:val="auto"/>
              </w:rPr>
            </w:pPr>
            <w:r>
              <w:rPr>
                <w:rFonts w:ascii="Arial" w:cs="Arial" w:eastAsia="Arial" w:hAnsi="Arial"/>
                <w:sz w:val="12"/>
                <w:szCs w:val="12"/>
                <w:b w:val="1"/>
                <w:bCs w:val="1"/>
                <w:color w:val="auto"/>
                <w:w w:val="97"/>
              </w:rPr>
              <w:t>Average</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b w:val="1"/>
                <w:bCs w:val="1"/>
                <w:color w:val="auto"/>
                <w:w w:val="99"/>
              </w:rPr>
              <w:t>Balance</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b w:val="1"/>
                <w:bCs w:val="1"/>
                <w:color w:val="auto"/>
              </w:rPr>
              <w:t>Interest</w:t>
            </w:r>
          </w:p>
        </w:tc>
        <w:tc>
          <w:tcPr>
            <w:tcW w:w="220" w:type="dxa"/>
            <w:vAlign w:val="bottom"/>
          </w:tcPr>
          <w:p>
            <w:pPr>
              <w:spacing w:after="0"/>
              <w:rPr>
                <w:sz w:val="13"/>
                <w:szCs w:val="13"/>
                <w:color w:val="auto"/>
              </w:rPr>
            </w:pPr>
          </w:p>
        </w:tc>
        <w:tc>
          <w:tcPr>
            <w:tcW w:w="820" w:type="dxa"/>
            <w:vAlign w:val="bottom"/>
            <w:tcBorders>
              <w:bottom w:val="single" w:sz="8" w:color="auto"/>
            </w:tcBorders>
          </w:tcPr>
          <w:p>
            <w:pPr>
              <w:ind w:left="300"/>
              <w:spacing w:after="0"/>
              <w:rPr>
                <w:sz w:val="20"/>
                <w:szCs w:val="20"/>
                <w:color w:val="auto"/>
              </w:rPr>
            </w:pPr>
            <w:r>
              <w:rPr>
                <w:rFonts w:ascii="Arial" w:cs="Arial" w:eastAsia="Arial" w:hAnsi="Arial"/>
                <w:sz w:val="12"/>
                <w:szCs w:val="12"/>
                <w:b w:val="1"/>
                <w:bCs w:val="1"/>
                <w:color w:val="auto"/>
              </w:rPr>
              <w:t>Rate</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b w:val="1"/>
                <w:bCs w:val="1"/>
                <w:color w:val="auto"/>
                <w:w w:val="95"/>
              </w:rPr>
              <w:t>Balance</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b w:val="1"/>
                <w:bCs w:val="1"/>
                <w:color w:val="auto"/>
              </w:rPr>
              <w:t>Interest</w:t>
            </w:r>
          </w:p>
        </w:tc>
        <w:tc>
          <w:tcPr>
            <w:tcW w:w="200" w:type="dxa"/>
            <w:vAlign w:val="bottom"/>
          </w:tcPr>
          <w:p>
            <w:pPr>
              <w:spacing w:after="0"/>
              <w:rPr>
                <w:sz w:val="13"/>
                <w:szCs w:val="13"/>
                <w:color w:val="auto"/>
              </w:rPr>
            </w:pPr>
          </w:p>
        </w:tc>
        <w:tc>
          <w:tcPr>
            <w:tcW w:w="800" w:type="dxa"/>
            <w:vAlign w:val="bottom"/>
            <w:tcBorders>
              <w:bottom w:val="single" w:sz="8" w:color="auto"/>
            </w:tcBorders>
          </w:tcPr>
          <w:p>
            <w:pPr>
              <w:ind w:left="280"/>
              <w:spacing w:after="0"/>
              <w:rPr>
                <w:sz w:val="20"/>
                <w:szCs w:val="20"/>
                <w:color w:val="auto"/>
              </w:rPr>
            </w:pPr>
            <w:r>
              <w:rPr>
                <w:rFonts w:ascii="Arial" w:cs="Arial" w:eastAsia="Arial" w:hAnsi="Arial"/>
                <w:sz w:val="12"/>
                <w:szCs w:val="12"/>
                <w:b w:val="1"/>
                <w:bCs w:val="1"/>
                <w:color w:val="auto"/>
              </w:rPr>
              <w:t>Rate</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w w:val="99"/>
              </w:rPr>
              <w:t>Balance</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rPr>
              <w:t>Interest</w:t>
            </w:r>
          </w:p>
        </w:tc>
        <w:tc>
          <w:tcPr>
            <w:tcW w:w="220" w:type="dxa"/>
            <w:vAlign w:val="bottom"/>
          </w:tcPr>
          <w:p>
            <w:pPr>
              <w:spacing w:after="0"/>
              <w:rPr>
                <w:sz w:val="13"/>
                <w:szCs w:val="13"/>
                <w:color w:val="auto"/>
              </w:rPr>
            </w:pPr>
          </w:p>
        </w:tc>
        <w:tc>
          <w:tcPr>
            <w:tcW w:w="780" w:type="dxa"/>
            <w:vAlign w:val="bottom"/>
            <w:tcBorders>
              <w:bottom w:val="single" w:sz="8" w:color="auto"/>
            </w:tcBorders>
          </w:tcPr>
          <w:p>
            <w:pPr>
              <w:ind w:left="280"/>
              <w:spacing w:after="0"/>
              <w:rPr>
                <w:sz w:val="20"/>
                <w:szCs w:val="20"/>
                <w:color w:val="auto"/>
              </w:rPr>
            </w:pPr>
            <w:r>
              <w:rPr>
                <w:rFonts w:ascii="Arial" w:cs="Arial" w:eastAsia="Arial" w:hAnsi="Arial"/>
                <w:sz w:val="12"/>
                <w:szCs w:val="12"/>
                <w:b w:val="1"/>
                <w:bCs w:val="1"/>
                <w:color w:val="auto"/>
              </w:rPr>
              <w:t>Rate</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60" w:type="dxa"/>
            <w:vAlign w:val="bottom"/>
            <w:vMerge w:val="restart"/>
          </w:tcPr>
          <w:p>
            <w:pPr>
              <w:spacing w:after="0"/>
              <w:rPr>
                <w:sz w:val="20"/>
                <w:szCs w:val="20"/>
                <w:color w:val="auto"/>
              </w:rPr>
            </w:pPr>
            <w:r>
              <w:rPr>
                <w:rFonts w:ascii="Arial" w:cs="Arial" w:eastAsia="Arial" w:hAnsi="Arial"/>
                <w:sz w:val="12"/>
                <w:szCs w:val="12"/>
                <w:color w:val="auto"/>
              </w:rPr>
              <w:t>ASSETS</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40" w:type="dxa"/>
            <w:vAlign w:val="bottom"/>
            <w:gridSpan w:val="3"/>
          </w:tcPr>
          <w:p>
            <w:pPr>
              <w:jc w:val="right"/>
              <w:spacing w:after="0"/>
              <w:rPr>
                <w:sz w:val="20"/>
                <w:szCs w:val="20"/>
                <w:color w:val="auto"/>
              </w:rPr>
            </w:pPr>
            <w:r>
              <w:rPr>
                <w:rFonts w:ascii="Arial" w:cs="Arial" w:eastAsia="Arial" w:hAnsi="Arial"/>
                <w:sz w:val="12"/>
                <w:szCs w:val="12"/>
                <w:b w:val="1"/>
                <w:bCs w:val="1"/>
                <w:color w:val="auto"/>
                <w:w w:val="80"/>
              </w:rPr>
              <w:t>(Dollars in thousands)</w:t>
            </w: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2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2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Taxable loans</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2,881,950</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116,358</w:t>
            </w:r>
          </w:p>
        </w:tc>
        <w:tc>
          <w:tcPr>
            <w:tcW w:w="1040" w:type="dxa"/>
            <w:vAlign w:val="bottom"/>
            <w:gridSpan w:val="2"/>
            <w:shd w:val="clear" w:color="auto" w:fill="CCEEFF"/>
          </w:tcPr>
          <w:p>
            <w:pPr>
              <w:ind w:left="600"/>
              <w:spacing w:after="0"/>
              <w:rPr>
                <w:sz w:val="20"/>
                <w:szCs w:val="20"/>
                <w:color w:val="auto"/>
              </w:rPr>
            </w:pPr>
            <w:r>
              <w:rPr>
                <w:rFonts w:ascii="Arial" w:cs="Arial" w:eastAsia="Arial" w:hAnsi="Arial"/>
                <w:sz w:val="12"/>
                <w:szCs w:val="12"/>
                <w:color w:val="auto"/>
              </w:rPr>
              <w:t>4.04%</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2,863,846</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122,875</w:t>
            </w:r>
          </w:p>
        </w:tc>
        <w:tc>
          <w:tcPr>
            <w:tcW w:w="1000" w:type="dxa"/>
            <w:vAlign w:val="bottom"/>
            <w:gridSpan w:val="2"/>
            <w:shd w:val="clear" w:color="auto" w:fill="CCEEFF"/>
          </w:tcPr>
          <w:p>
            <w:pPr>
              <w:ind w:left="580"/>
              <w:spacing w:after="0"/>
              <w:rPr>
                <w:sz w:val="20"/>
                <w:szCs w:val="20"/>
                <w:color w:val="auto"/>
              </w:rPr>
            </w:pPr>
            <w:r>
              <w:rPr>
                <w:rFonts w:ascii="Arial" w:cs="Arial" w:eastAsia="Arial" w:hAnsi="Arial"/>
                <w:sz w:val="12"/>
                <w:szCs w:val="12"/>
                <w:color w:val="auto"/>
              </w:rPr>
              <w:t>4.29%</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2,713,690</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133,574</w:t>
            </w:r>
          </w:p>
        </w:tc>
        <w:tc>
          <w:tcPr>
            <w:tcW w:w="900" w:type="dxa"/>
            <w:vAlign w:val="bottom"/>
            <w:gridSpan w:val="2"/>
            <w:shd w:val="clear" w:color="auto" w:fill="CCEEFF"/>
          </w:tcPr>
          <w:p>
            <w:pPr>
              <w:ind w:left="580"/>
              <w:spacing w:after="0"/>
              <w:rPr>
                <w:sz w:val="20"/>
                <w:szCs w:val="20"/>
                <w:color w:val="auto"/>
              </w:rPr>
            </w:pPr>
            <w:r>
              <w:rPr>
                <w:rFonts w:ascii="Arial" w:cs="Arial" w:eastAsia="Arial" w:hAnsi="Arial"/>
                <w:sz w:val="12"/>
                <w:szCs w:val="12"/>
                <w:color w:val="auto"/>
                <w:w w:val="88"/>
              </w:rPr>
              <w:t>4.92%</w:t>
            </w:r>
          </w:p>
        </w:tc>
        <w:tc>
          <w:tcPr>
            <w:tcW w:w="0" w:type="dxa"/>
            <w:vAlign w:val="bottom"/>
          </w:tcPr>
          <w:p>
            <w:pPr>
              <w:spacing w:after="0"/>
              <w:rPr>
                <w:sz w:val="1"/>
                <w:szCs w:val="1"/>
                <w:color w:val="auto"/>
              </w:rPr>
            </w:pPr>
          </w:p>
        </w:tc>
      </w:tr>
      <w:tr>
        <w:trPr>
          <w:trHeight w:val="144"/>
        </w:trPr>
        <w:tc>
          <w:tcPr>
            <w:tcW w:w="2260" w:type="dxa"/>
            <w:vAlign w:val="bottom"/>
          </w:tcPr>
          <w:p>
            <w:pPr>
              <w:ind w:left="100"/>
              <w:spacing w:after="0" w:line="144" w:lineRule="exact"/>
              <w:rPr>
                <w:sz w:val="20"/>
                <w:szCs w:val="20"/>
                <w:color w:val="auto"/>
              </w:rPr>
            </w:pPr>
            <w:r>
              <w:rPr>
                <w:rFonts w:ascii="Arial" w:cs="Arial" w:eastAsia="Arial" w:hAnsi="Arial"/>
                <w:sz w:val="10"/>
                <w:szCs w:val="10"/>
                <w:color w:val="auto"/>
              </w:rPr>
              <w:t>Tax-exempt loans</w:t>
            </w:r>
            <w:r>
              <w:rPr>
                <w:rFonts w:ascii="Arial" w:cs="Arial" w:eastAsia="Arial" w:hAnsi="Arial"/>
                <w:sz w:val="16"/>
                <w:szCs w:val="16"/>
                <w:color w:val="auto"/>
                <w:vertAlign w:val="superscript"/>
              </w:rPr>
              <w:t>(1)</w:t>
            </w: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7,240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2"/>
                <w:szCs w:val="12"/>
                <w:color w:val="auto"/>
              </w:rPr>
              <w:t>362</w:t>
            </w:r>
          </w:p>
        </w:tc>
        <w:tc>
          <w:tcPr>
            <w:tcW w:w="1040" w:type="dxa"/>
            <w:vAlign w:val="bottom"/>
            <w:gridSpan w:val="2"/>
          </w:tcPr>
          <w:p>
            <w:pPr>
              <w:ind w:left="600"/>
              <w:spacing w:after="0"/>
              <w:rPr>
                <w:sz w:val="20"/>
                <w:szCs w:val="20"/>
                <w:color w:val="auto"/>
              </w:rPr>
            </w:pPr>
            <w:r>
              <w:rPr>
                <w:rFonts w:ascii="Arial" w:cs="Arial" w:eastAsia="Arial" w:hAnsi="Arial"/>
                <w:sz w:val="12"/>
                <w:szCs w:val="12"/>
                <w:color w:val="auto"/>
              </w:rPr>
              <w:t>5.00</w:t>
            </w:r>
          </w:p>
        </w:tc>
        <w:tc>
          <w:tcPr>
            <w:tcW w:w="14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7,145</w:t>
            </w:r>
          </w:p>
        </w:tc>
        <w:tc>
          <w:tcPr>
            <w:tcW w:w="12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2"/>
                <w:szCs w:val="12"/>
                <w:color w:val="auto"/>
              </w:rPr>
              <w:t>360</w:t>
            </w:r>
          </w:p>
        </w:tc>
        <w:tc>
          <w:tcPr>
            <w:tcW w:w="1000" w:type="dxa"/>
            <w:vAlign w:val="bottom"/>
            <w:gridSpan w:val="2"/>
          </w:tcPr>
          <w:p>
            <w:pPr>
              <w:ind w:left="580"/>
              <w:spacing w:after="0"/>
              <w:rPr>
                <w:sz w:val="20"/>
                <w:szCs w:val="20"/>
                <w:color w:val="auto"/>
              </w:rPr>
            </w:pPr>
            <w:r>
              <w:rPr>
                <w:rFonts w:ascii="Arial" w:cs="Arial" w:eastAsia="Arial" w:hAnsi="Arial"/>
                <w:sz w:val="12"/>
                <w:szCs w:val="12"/>
                <w:color w:val="auto"/>
              </w:rPr>
              <w:t>5.04</w:t>
            </w:r>
          </w:p>
        </w:tc>
        <w:tc>
          <w:tcPr>
            <w:tcW w:w="12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2"/>
                <w:szCs w:val="12"/>
                <w:color w:val="auto"/>
              </w:rPr>
              <w:t>7,937</w:t>
            </w:r>
          </w:p>
        </w:tc>
        <w:tc>
          <w:tcPr>
            <w:tcW w:w="14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391</w:t>
            </w:r>
          </w:p>
        </w:tc>
        <w:tc>
          <w:tcPr>
            <w:tcW w:w="900" w:type="dxa"/>
            <w:vAlign w:val="bottom"/>
            <w:gridSpan w:val="2"/>
          </w:tcPr>
          <w:p>
            <w:pPr>
              <w:ind w:left="580"/>
              <w:spacing w:after="0"/>
              <w:rPr>
                <w:sz w:val="20"/>
                <w:szCs w:val="20"/>
                <w:color w:val="auto"/>
              </w:rPr>
            </w:pPr>
            <w:r>
              <w:rPr>
                <w:rFonts w:ascii="Arial" w:cs="Arial" w:eastAsia="Arial" w:hAnsi="Arial"/>
                <w:sz w:val="12"/>
                <w:szCs w:val="12"/>
                <w:color w:val="auto"/>
              </w:rPr>
              <w:t>4.93</w:t>
            </w:r>
          </w:p>
        </w:tc>
        <w:tc>
          <w:tcPr>
            <w:tcW w:w="0" w:type="dxa"/>
            <w:vAlign w:val="bottom"/>
          </w:tcPr>
          <w:p>
            <w:pPr>
              <w:spacing w:after="0"/>
              <w:rPr>
                <w:sz w:val="1"/>
                <w:szCs w:val="1"/>
                <w:color w:val="auto"/>
              </w:rPr>
            </w:pPr>
          </w:p>
        </w:tc>
      </w:tr>
      <w:tr>
        <w:trPr>
          <w:trHeight w:val="144"/>
        </w:trPr>
        <w:tc>
          <w:tcPr>
            <w:tcW w:w="22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Taxable securities</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915,701</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14,488</w:t>
            </w:r>
          </w:p>
        </w:tc>
        <w:tc>
          <w:tcPr>
            <w:tcW w:w="1040" w:type="dxa"/>
            <w:vAlign w:val="bottom"/>
            <w:gridSpan w:val="2"/>
            <w:shd w:val="clear" w:color="auto" w:fill="CCEEFF"/>
          </w:tcPr>
          <w:p>
            <w:pPr>
              <w:ind w:left="600"/>
              <w:spacing w:after="0"/>
              <w:rPr>
                <w:sz w:val="20"/>
                <w:szCs w:val="20"/>
                <w:color w:val="auto"/>
              </w:rPr>
            </w:pPr>
            <w:r>
              <w:rPr>
                <w:rFonts w:ascii="Arial" w:cs="Arial" w:eastAsia="Arial" w:hAnsi="Arial"/>
                <w:sz w:val="12"/>
                <w:szCs w:val="12"/>
                <w:color w:val="auto"/>
              </w:rPr>
              <w:t>1.58</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635,914</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12,655</w:t>
            </w:r>
          </w:p>
        </w:tc>
        <w:tc>
          <w:tcPr>
            <w:tcW w:w="1000" w:type="dxa"/>
            <w:vAlign w:val="bottom"/>
            <w:gridSpan w:val="2"/>
            <w:shd w:val="clear" w:color="auto" w:fill="CCEEFF"/>
          </w:tcPr>
          <w:p>
            <w:pPr>
              <w:ind w:left="580"/>
              <w:spacing w:after="0"/>
              <w:rPr>
                <w:sz w:val="20"/>
                <w:szCs w:val="20"/>
                <w:color w:val="auto"/>
              </w:rPr>
            </w:pPr>
            <w:r>
              <w:rPr>
                <w:rFonts w:ascii="Arial" w:cs="Arial" w:eastAsia="Arial" w:hAnsi="Arial"/>
                <w:sz w:val="12"/>
                <w:szCs w:val="12"/>
                <w:color w:val="auto"/>
              </w:rPr>
              <w:t>1.99</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397,598</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11,842</w:t>
            </w:r>
          </w:p>
        </w:tc>
        <w:tc>
          <w:tcPr>
            <w:tcW w:w="900" w:type="dxa"/>
            <w:vAlign w:val="bottom"/>
            <w:gridSpan w:val="2"/>
            <w:shd w:val="clear" w:color="auto" w:fill="CCEEFF"/>
          </w:tcPr>
          <w:p>
            <w:pPr>
              <w:ind w:left="580"/>
              <w:spacing w:after="0"/>
              <w:rPr>
                <w:sz w:val="20"/>
                <w:szCs w:val="20"/>
                <w:color w:val="auto"/>
              </w:rPr>
            </w:pPr>
            <w:r>
              <w:rPr>
                <w:rFonts w:ascii="Arial" w:cs="Arial" w:eastAsia="Arial" w:hAnsi="Arial"/>
                <w:sz w:val="12"/>
                <w:szCs w:val="12"/>
                <w:color w:val="auto"/>
              </w:rPr>
              <w:t>2.98</w:t>
            </w:r>
          </w:p>
        </w:tc>
        <w:tc>
          <w:tcPr>
            <w:tcW w:w="0" w:type="dxa"/>
            <w:vAlign w:val="bottom"/>
          </w:tcPr>
          <w:p>
            <w:pPr>
              <w:spacing w:after="0"/>
              <w:rPr>
                <w:sz w:val="1"/>
                <w:szCs w:val="1"/>
                <w:color w:val="auto"/>
              </w:rPr>
            </w:pPr>
          </w:p>
        </w:tc>
      </w:tr>
      <w:tr>
        <w:trPr>
          <w:trHeight w:val="144"/>
        </w:trPr>
        <w:tc>
          <w:tcPr>
            <w:tcW w:w="2260" w:type="dxa"/>
            <w:vAlign w:val="bottom"/>
          </w:tcPr>
          <w:p>
            <w:pPr>
              <w:ind w:left="100"/>
              <w:spacing w:after="0" w:line="144" w:lineRule="exact"/>
              <w:rPr>
                <w:sz w:val="20"/>
                <w:szCs w:val="20"/>
                <w:color w:val="auto"/>
              </w:rPr>
            </w:pPr>
            <w:r>
              <w:rPr>
                <w:rFonts w:ascii="Arial" w:cs="Arial" w:eastAsia="Arial" w:hAnsi="Arial"/>
                <w:sz w:val="10"/>
                <w:szCs w:val="10"/>
                <w:color w:val="auto"/>
              </w:rPr>
              <w:t>Tax-exempt securities</w:t>
            </w:r>
            <w:r>
              <w:rPr>
                <w:rFonts w:ascii="Arial" w:cs="Arial" w:eastAsia="Arial" w:hAnsi="Arial"/>
                <w:sz w:val="16"/>
                <w:szCs w:val="16"/>
                <w:color w:val="auto"/>
                <w:vertAlign w:val="superscript"/>
              </w:rPr>
              <w:t>(1)</w:t>
            </w: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348,346</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2"/>
                <w:szCs w:val="12"/>
                <w:color w:val="auto"/>
              </w:rPr>
              <w:t>7,892</w:t>
            </w:r>
          </w:p>
        </w:tc>
        <w:tc>
          <w:tcPr>
            <w:tcW w:w="1040" w:type="dxa"/>
            <w:vAlign w:val="bottom"/>
            <w:gridSpan w:val="2"/>
          </w:tcPr>
          <w:p>
            <w:pPr>
              <w:ind w:left="600"/>
              <w:spacing w:after="0"/>
              <w:rPr>
                <w:sz w:val="20"/>
                <w:szCs w:val="20"/>
                <w:color w:val="auto"/>
              </w:rPr>
            </w:pPr>
            <w:r>
              <w:rPr>
                <w:rFonts w:ascii="Arial" w:cs="Arial" w:eastAsia="Arial" w:hAnsi="Arial"/>
                <w:sz w:val="12"/>
                <w:szCs w:val="12"/>
                <w:color w:val="auto"/>
              </w:rPr>
              <w:t>2.27</w:t>
            </w:r>
          </w:p>
        </w:tc>
        <w:tc>
          <w:tcPr>
            <w:tcW w:w="14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137,330</w:t>
            </w:r>
          </w:p>
        </w:tc>
        <w:tc>
          <w:tcPr>
            <w:tcW w:w="12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2"/>
                <w:szCs w:val="12"/>
                <w:color w:val="auto"/>
              </w:rPr>
              <w:t>3,673</w:t>
            </w:r>
          </w:p>
        </w:tc>
        <w:tc>
          <w:tcPr>
            <w:tcW w:w="1000" w:type="dxa"/>
            <w:vAlign w:val="bottom"/>
            <w:gridSpan w:val="2"/>
          </w:tcPr>
          <w:p>
            <w:pPr>
              <w:ind w:left="580"/>
              <w:spacing w:after="0"/>
              <w:rPr>
                <w:sz w:val="20"/>
                <w:szCs w:val="20"/>
                <w:color w:val="auto"/>
              </w:rPr>
            </w:pPr>
            <w:r>
              <w:rPr>
                <w:rFonts w:ascii="Arial" w:cs="Arial" w:eastAsia="Arial" w:hAnsi="Arial"/>
                <w:sz w:val="12"/>
                <w:szCs w:val="12"/>
                <w:color w:val="auto"/>
              </w:rPr>
              <w:t>2.67</w:t>
            </w:r>
          </w:p>
        </w:tc>
        <w:tc>
          <w:tcPr>
            <w:tcW w:w="12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2"/>
                <w:szCs w:val="12"/>
                <w:color w:val="auto"/>
              </w:rPr>
              <w:t>52,324</w:t>
            </w:r>
          </w:p>
        </w:tc>
        <w:tc>
          <w:tcPr>
            <w:tcW w:w="14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1,683</w:t>
            </w:r>
          </w:p>
        </w:tc>
        <w:tc>
          <w:tcPr>
            <w:tcW w:w="900" w:type="dxa"/>
            <w:vAlign w:val="bottom"/>
            <w:gridSpan w:val="2"/>
          </w:tcPr>
          <w:p>
            <w:pPr>
              <w:ind w:left="580"/>
              <w:spacing w:after="0"/>
              <w:rPr>
                <w:sz w:val="20"/>
                <w:szCs w:val="20"/>
                <w:color w:val="auto"/>
              </w:rPr>
            </w:pPr>
            <w:r>
              <w:rPr>
                <w:rFonts w:ascii="Arial" w:cs="Arial" w:eastAsia="Arial" w:hAnsi="Arial"/>
                <w:sz w:val="12"/>
                <w:szCs w:val="12"/>
                <w:color w:val="auto"/>
              </w:rPr>
              <w:t>3.22</w:t>
            </w:r>
          </w:p>
        </w:tc>
        <w:tc>
          <w:tcPr>
            <w:tcW w:w="0" w:type="dxa"/>
            <w:vAlign w:val="bottom"/>
          </w:tcPr>
          <w:p>
            <w:pPr>
              <w:spacing w:after="0"/>
              <w:rPr>
                <w:sz w:val="1"/>
                <w:szCs w:val="1"/>
                <w:color w:val="auto"/>
              </w:rPr>
            </w:pPr>
          </w:p>
        </w:tc>
      </w:tr>
      <w:tr>
        <w:trPr>
          <w:trHeight w:val="144"/>
        </w:trPr>
        <w:tc>
          <w:tcPr>
            <w:tcW w:w="22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Interest bearing cash</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79,915</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112</w:t>
            </w:r>
          </w:p>
        </w:tc>
        <w:tc>
          <w:tcPr>
            <w:tcW w:w="1040" w:type="dxa"/>
            <w:vAlign w:val="bottom"/>
            <w:gridSpan w:val="2"/>
            <w:shd w:val="clear" w:color="auto" w:fill="CCEEFF"/>
          </w:tcPr>
          <w:p>
            <w:pPr>
              <w:ind w:left="600"/>
              <w:spacing w:after="0"/>
              <w:rPr>
                <w:sz w:val="20"/>
                <w:szCs w:val="20"/>
                <w:color w:val="auto"/>
              </w:rPr>
            </w:pPr>
            <w:r>
              <w:rPr>
                <w:rFonts w:ascii="Arial" w:cs="Arial" w:eastAsia="Arial" w:hAnsi="Arial"/>
                <w:sz w:val="12"/>
                <w:szCs w:val="12"/>
                <w:color w:val="auto"/>
              </w:rPr>
              <w:t>0.14</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59,056</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184</w:t>
            </w:r>
          </w:p>
        </w:tc>
        <w:tc>
          <w:tcPr>
            <w:tcW w:w="1000" w:type="dxa"/>
            <w:vAlign w:val="bottom"/>
            <w:gridSpan w:val="2"/>
            <w:shd w:val="clear" w:color="auto" w:fill="CCEEFF"/>
          </w:tcPr>
          <w:p>
            <w:pPr>
              <w:ind w:left="580"/>
              <w:spacing w:after="0"/>
              <w:rPr>
                <w:sz w:val="20"/>
                <w:szCs w:val="20"/>
                <w:color w:val="auto"/>
              </w:rPr>
            </w:pPr>
            <w:r>
              <w:rPr>
                <w:rFonts w:ascii="Arial" w:cs="Arial" w:eastAsia="Arial" w:hAnsi="Arial"/>
                <w:sz w:val="12"/>
                <w:szCs w:val="12"/>
                <w:color w:val="auto"/>
              </w:rPr>
              <w:t>0.31</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48,023</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818</w:t>
            </w:r>
          </w:p>
        </w:tc>
        <w:tc>
          <w:tcPr>
            <w:tcW w:w="900" w:type="dxa"/>
            <w:vAlign w:val="bottom"/>
            <w:gridSpan w:val="2"/>
            <w:shd w:val="clear" w:color="auto" w:fill="CCEEFF"/>
          </w:tcPr>
          <w:p>
            <w:pPr>
              <w:ind w:left="580"/>
              <w:spacing w:after="0"/>
              <w:rPr>
                <w:sz w:val="20"/>
                <w:szCs w:val="20"/>
                <w:color w:val="auto"/>
              </w:rPr>
            </w:pPr>
            <w:r>
              <w:rPr>
                <w:rFonts w:ascii="Arial" w:cs="Arial" w:eastAsia="Arial" w:hAnsi="Arial"/>
                <w:sz w:val="12"/>
                <w:szCs w:val="12"/>
                <w:color w:val="auto"/>
              </w:rPr>
              <w:t>1.70</w:t>
            </w:r>
          </w:p>
        </w:tc>
        <w:tc>
          <w:tcPr>
            <w:tcW w:w="0" w:type="dxa"/>
            <w:vAlign w:val="bottom"/>
          </w:tcPr>
          <w:p>
            <w:pPr>
              <w:spacing w:after="0"/>
              <w:rPr>
                <w:sz w:val="1"/>
                <w:szCs w:val="1"/>
                <w:color w:val="auto"/>
              </w:rPr>
            </w:pPr>
          </w:p>
        </w:tc>
      </w:tr>
      <w:tr>
        <w:trPr>
          <w:trHeight w:val="144"/>
        </w:trPr>
        <w:tc>
          <w:tcPr>
            <w:tcW w:w="2260" w:type="dxa"/>
            <w:vAlign w:val="bottom"/>
          </w:tcPr>
          <w:p>
            <w:pPr>
              <w:ind w:left="100"/>
              <w:spacing w:after="0"/>
              <w:rPr>
                <w:sz w:val="20"/>
                <w:szCs w:val="20"/>
                <w:color w:val="auto"/>
              </w:rPr>
            </w:pPr>
            <w:r>
              <w:rPr>
                <w:rFonts w:ascii="Arial" w:cs="Arial" w:eastAsia="Arial" w:hAnsi="Arial"/>
                <w:sz w:val="12"/>
                <w:szCs w:val="12"/>
                <w:color w:val="auto"/>
              </w:rPr>
              <w:t>Other investments</w:t>
            </w:r>
          </w:p>
        </w:tc>
        <w:tc>
          <w:tcPr>
            <w:tcW w:w="120" w:type="dxa"/>
            <w:vAlign w:val="bottom"/>
          </w:tcPr>
          <w:p>
            <w:pPr>
              <w:spacing w:after="0"/>
              <w:rPr>
                <w:sz w:val="12"/>
                <w:szCs w:val="1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18,427</w:t>
            </w:r>
          </w:p>
        </w:tc>
        <w:tc>
          <w:tcPr>
            <w:tcW w:w="120" w:type="dxa"/>
            <w:vAlign w:val="bottom"/>
          </w:tcPr>
          <w:p>
            <w:pPr>
              <w:spacing w:after="0"/>
              <w:rPr>
                <w:sz w:val="12"/>
                <w:szCs w:val="1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2"/>
                <w:szCs w:val="12"/>
                <w:color w:val="auto"/>
              </w:rPr>
              <w:t>734</w:t>
            </w:r>
          </w:p>
        </w:tc>
        <w:tc>
          <w:tcPr>
            <w:tcW w:w="1040" w:type="dxa"/>
            <w:vAlign w:val="bottom"/>
            <w:gridSpan w:val="2"/>
          </w:tcPr>
          <w:p>
            <w:pPr>
              <w:ind w:left="600"/>
              <w:spacing w:after="0"/>
              <w:rPr>
                <w:sz w:val="20"/>
                <w:szCs w:val="20"/>
                <w:color w:val="auto"/>
              </w:rPr>
            </w:pPr>
            <w:r>
              <w:rPr>
                <w:rFonts w:ascii="Arial" w:cs="Arial" w:eastAsia="Arial" w:hAnsi="Arial"/>
                <w:sz w:val="12"/>
                <w:szCs w:val="12"/>
                <w:color w:val="auto"/>
              </w:rPr>
              <w:t>3.98</w:t>
            </w:r>
          </w:p>
        </w:tc>
        <w:tc>
          <w:tcPr>
            <w:tcW w:w="14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18,410</w:t>
            </w:r>
          </w:p>
        </w:tc>
        <w:tc>
          <w:tcPr>
            <w:tcW w:w="12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2"/>
                <w:szCs w:val="12"/>
                <w:color w:val="auto"/>
              </w:rPr>
              <w:t>905</w:t>
            </w:r>
          </w:p>
        </w:tc>
        <w:tc>
          <w:tcPr>
            <w:tcW w:w="1000" w:type="dxa"/>
            <w:vAlign w:val="bottom"/>
            <w:gridSpan w:val="2"/>
          </w:tcPr>
          <w:p>
            <w:pPr>
              <w:ind w:left="580"/>
              <w:spacing w:after="0"/>
              <w:rPr>
                <w:sz w:val="20"/>
                <w:szCs w:val="20"/>
                <w:color w:val="auto"/>
              </w:rPr>
            </w:pPr>
            <w:r>
              <w:rPr>
                <w:rFonts w:ascii="Arial" w:cs="Arial" w:eastAsia="Arial" w:hAnsi="Arial"/>
                <w:sz w:val="12"/>
                <w:szCs w:val="12"/>
                <w:color w:val="auto"/>
              </w:rPr>
              <w:t>4.92</w:t>
            </w:r>
          </w:p>
        </w:tc>
        <w:tc>
          <w:tcPr>
            <w:tcW w:w="12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2"/>
                <w:szCs w:val="12"/>
                <w:color w:val="auto"/>
              </w:rPr>
              <w:t>18,359</w:t>
            </w:r>
          </w:p>
        </w:tc>
        <w:tc>
          <w:tcPr>
            <w:tcW w:w="14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1,043</w:t>
            </w:r>
          </w:p>
        </w:tc>
        <w:tc>
          <w:tcPr>
            <w:tcW w:w="900" w:type="dxa"/>
            <w:vAlign w:val="bottom"/>
            <w:gridSpan w:val="2"/>
          </w:tcPr>
          <w:p>
            <w:pPr>
              <w:ind w:left="580"/>
              <w:spacing w:after="0"/>
              <w:rPr>
                <w:sz w:val="20"/>
                <w:szCs w:val="20"/>
                <w:color w:val="auto"/>
              </w:rPr>
            </w:pPr>
            <w:r>
              <w:rPr>
                <w:rFonts w:ascii="Arial" w:cs="Arial" w:eastAsia="Arial" w:hAnsi="Arial"/>
                <w:sz w:val="12"/>
                <w:szCs w:val="12"/>
                <w:color w:val="auto"/>
              </w:rPr>
              <w:t>5.68</w:t>
            </w:r>
          </w:p>
        </w:tc>
        <w:tc>
          <w:tcPr>
            <w:tcW w:w="0" w:type="dxa"/>
            <w:vAlign w:val="bottom"/>
          </w:tcPr>
          <w:p>
            <w:pPr>
              <w:spacing w:after="0"/>
              <w:rPr>
                <w:sz w:val="1"/>
                <w:szCs w:val="1"/>
                <w:color w:val="auto"/>
              </w:rPr>
            </w:pPr>
          </w:p>
        </w:tc>
      </w:tr>
      <w:tr>
        <w:trPr>
          <w:trHeight w:val="142"/>
        </w:trPr>
        <w:tc>
          <w:tcPr>
            <w:tcW w:w="2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Interest earning assets</w:t>
            </w:r>
          </w:p>
        </w:tc>
        <w:tc>
          <w:tcPr>
            <w:tcW w:w="120" w:type="dxa"/>
            <w:vAlign w:val="bottom"/>
            <w:tcBorders>
              <w:top w:val="single" w:sz="8" w:color="auto"/>
              <w:bottom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4,251,579</w:t>
            </w:r>
          </w:p>
        </w:tc>
        <w:tc>
          <w:tcPr>
            <w:tcW w:w="2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139,946</w:t>
            </w:r>
          </w:p>
        </w:tc>
        <w:tc>
          <w:tcPr>
            <w:tcW w:w="2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2"/>
                <w:szCs w:val="12"/>
                <w:color w:val="auto"/>
              </w:rPr>
              <w:t>3.30</w:t>
            </w:r>
          </w:p>
        </w:tc>
        <w:tc>
          <w:tcPr>
            <w:tcW w:w="140" w:type="dxa"/>
            <w:vAlign w:val="bottom"/>
            <w:tcBorders>
              <w:top w:val="single" w:sz="8" w:color="auto"/>
              <w:bottom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3,721,701</w:t>
            </w:r>
          </w:p>
        </w:tc>
        <w:tc>
          <w:tcPr>
            <w:tcW w:w="2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140,652</w:t>
            </w:r>
          </w:p>
        </w:tc>
        <w:tc>
          <w:tcPr>
            <w:tcW w:w="2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2"/>
                <w:szCs w:val="12"/>
                <w:color w:val="auto"/>
              </w:rPr>
              <w:t>3.78</w:t>
            </w:r>
          </w:p>
        </w:tc>
        <w:tc>
          <w:tcPr>
            <w:tcW w:w="120" w:type="dxa"/>
            <w:vAlign w:val="bottom"/>
            <w:tcBorders>
              <w:top w:val="single" w:sz="8" w:color="auto"/>
              <w:bottom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3,237,931</w:t>
            </w:r>
          </w:p>
        </w:tc>
        <w:tc>
          <w:tcPr>
            <w:tcW w:w="2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149,351</w:t>
            </w:r>
          </w:p>
        </w:tc>
        <w:tc>
          <w:tcPr>
            <w:tcW w:w="22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2"/>
                <w:szCs w:val="12"/>
                <w:color w:val="auto"/>
              </w:rPr>
              <w:t>4.61</w:t>
            </w:r>
          </w:p>
        </w:tc>
        <w:tc>
          <w:tcPr>
            <w:tcW w:w="0" w:type="dxa"/>
            <w:vAlign w:val="bottom"/>
          </w:tcPr>
          <w:p>
            <w:pPr>
              <w:spacing w:after="0"/>
              <w:rPr>
                <w:sz w:val="1"/>
                <w:szCs w:val="1"/>
                <w:color w:val="auto"/>
              </w:rPr>
            </w:pPr>
          </w:p>
        </w:tc>
      </w:tr>
      <w:tr>
        <w:trPr>
          <w:trHeight w:val="142"/>
        </w:trPr>
        <w:tc>
          <w:tcPr>
            <w:tcW w:w="2260" w:type="dxa"/>
            <w:vAlign w:val="bottom"/>
          </w:tcPr>
          <w:p>
            <w:pPr>
              <w:ind w:left="100"/>
              <w:spacing w:after="0"/>
              <w:rPr>
                <w:sz w:val="20"/>
                <w:szCs w:val="20"/>
                <w:color w:val="auto"/>
              </w:rPr>
            </w:pPr>
            <w:r>
              <w:rPr>
                <w:rFonts w:ascii="Arial" w:cs="Arial" w:eastAsia="Arial" w:hAnsi="Arial"/>
                <w:sz w:val="12"/>
                <w:szCs w:val="12"/>
                <w:color w:val="auto"/>
              </w:rPr>
              <w:t>Cash and due from banks</w:t>
            </w:r>
          </w:p>
        </w:tc>
        <w:tc>
          <w:tcPr>
            <w:tcW w:w="120" w:type="dxa"/>
            <w:vAlign w:val="bottom"/>
          </w:tcPr>
          <w:p>
            <w:pPr>
              <w:spacing w:after="0"/>
              <w:rPr>
                <w:sz w:val="12"/>
                <w:szCs w:val="1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56,474</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49,886</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2"/>
                <w:szCs w:val="12"/>
                <w:color w:val="auto"/>
              </w:rPr>
              <w:t>37,575</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Other assets, net</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157,524</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162,068</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164,726</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60" w:type="dxa"/>
            <w:vAlign w:val="bottom"/>
          </w:tcPr>
          <w:p>
            <w:pPr>
              <w:ind w:left="200"/>
              <w:spacing w:after="0"/>
              <w:rPr>
                <w:sz w:val="20"/>
                <w:szCs w:val="20"/>
                <w:color w:val="auto"/>
              </w:rPr>
            </w:pPr>
            <w:r>
              <w:rPr>
                <w:rFonts w:ascii="Arial" w:cs="Arial" w:eastAsia="Arial" w:hAnsi="Arial"/>
                <w:sz w:val="12"/>
                <w:szCs w:val="12"/>
                <w:color w:val="auto"/>
              </w:rPr>
              <w:t>Total assets</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4,465,577</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3,933,655</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00"/>
              <w:spacing w:after="0"/>
              <w:rPr>
                <w:sz w:val="20"/>
                <w:szCs w:val="20"/>
                <w:color w:val="auto"/>
              </w:rPr>
            </w:pPr>
            <w:r>
              <w:rPr>
                <w:rFonts w:ascii="Arial" w:cs="Arial" w:eastAsia="Arial" w:hAnsi="Arial"/>
                <w:sz w:val="12"/>
                <w:szCs w:val="12"/>
                <w:color w:val="auto"/>
              </w:rPr>
              <w:t>3,440,232</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260" w:type="dxa"/>
            <w:vAlign w:val="bottom"/>
            <w:shd w:val="clear" w:color="auto" w:fill="CCEEFF"/>
          </w:tcPr>
          <w:p>
            <w:pPr>
              <w:spacing w:after="0" w:line="120" w:lineRule="exact"/>
              <w:rPr>
                <w:sz w:val="20"/>
                <w:szCs w:val="20"/>
                <w:color w:val="auto"/>
              </w:rPr>
            </w:pPr>
            <w:r>
              <w:rPr>
                <w:rFonts w:ascii="Arial" w:cs="Arial" w:eastAsia="Arial" w:hAnsi="Arial"/>
                <w:sz w:val="12"/>
                <w:szCs w:val="12"/>
                <w:color w:val="auto"/>
              </w:rPr>
              <w:t>LIABILITIES</w:t>
            </w: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260" w:type="dxa"/>
            <w:vAlign w:val="bottom"/>
          </w:tcPr>
          <w:p>
            <w:pPr>
              <w:ind w:left="100"/>
              <w:spacing w:after="0"/>
              <w:rPr>
                <w:sz w:val="20"/>
                <w:szCs w:val="20"/>
                <w:color w:val="auto"/>
              </w:rPr>
            </w:pPr>
            <w:r>
              <w:rPr>
                <w:rFonts w:ascii="Arial" w:cs="Arial" w:eastAsia="Arial" w:hAnsi="Arial"/>
                <w:sz w:val="12"/>
                <w:szCs w:val="12"/>
                <w:color w:val="auto"/>
              </w:rPr>
              <w:t>Savings and interest-bearing checking</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2,282,607</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2"/>
                <w:szCs w:val="12"/>
                <w:color w:val="auto"/>
              </w:rPr>
              <w:t>2,693</w:t>
            </w:r>
          </w:p>
        </w:tc>
        <w:tc>
          <w:tcPr>
            <w:tcW w:w="1040" w:type="dxa"/>
            <w:vAlign w:val="bottom"/>
            <w:gridSpan w:val="2"/>
          </w:tcPr>
          <w:p>
            <w:pPr>
              <w:ind w:left="600"/>
              <w:spacing w:after="0"/>
              <w:rPr>
                <w:sz w:val="20"/>
                <w:szCs w:val="20"/>
                <w:color w:val="auto"/>
              </w:rPr>
            </w:pPr>
            <w:r>
              <w:rPr>
                <w:rFonts w:ascii="Arial" w:cs="Arial" w:eastAsia="Arial" w:hAnsi="Arial"/>
                <w:sz w:val="12"/>
                <w:szCs w:val="12"/>
                <w:color w:val="auto"/>
              </w:rPr>
              <w:t>0.12</w:t>
            </w: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1,821,115</w:t>
            </w:r>
          </w:p>
        </w:tc>
        <w:tc>
          <w:tcPr>
            <w:tcW w:w="12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2"/>
                <w:szCs w:val="12"/>
                <w:color w:val="auto"/>
              </w:rPr>
              <w:t>3,882</w:t>
            </w:r>
          </w:p>
        </w:tc>
        <w:tc>
          <w:tcPr>
            <w:tcW w:w="1000" w:type="dxa"/>
            <w:vAlign w:val="bottom"/>
            <w:gridSpan w:val="2"/>
          </w:tcPr>
          <w:p>
            <w:pPr>
              <w:ind w:left="580"/>
              <w:spacing w:after="0"/>
              <w:rPr>
                <w:sz w:val="20"/>
                <w:szCs w:val="20"/>
                <w:color w:val="auto"/>
              </w:rPr>
            </w:pPr>
            <w:r>
              <w:rPr>
                <w:rFonts w:ascii="Arial" w:cs="Arial" w:eastAsia="Arial" w:hAnsi="Arial"/>
                <w:sz w:val="12"/>
                <w:szCs w:val="12"/>
                <w:color w:val="auto"/>
              </w:rPr>
              <w:t>0.21</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00"/>
              <w:spacing w:after="0"/>
              <w:rPr>
                <w:sz w:val="20"/>
                <w:szCs w:val="20"/>
                <w:color w:val="auto"/>
              </w:rPr>
            </w:pPr>
            <w:r>
              <w:rPr>
                <w:rFonts w:ascii="Arial" w:cs="Arial" w:eastAsia="Arial" w:hAnsi="Arial"/>
                <w:sz w:val="12"/>
                <w:szCs w:val="12"/>
                <w:color w:val="auto"/>
              </w:rPr>
              <w:t>1,453,061</w:t>
            </w:r>
          </w:p>
        </w:tc>
        <w:tc>
          <w:tcPr>
            <w:tcW w:w="14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10,228</w:t>
            </w:r>
          </w:p>
        </w:tc>
        <w:tc>
          <w:tcPr>
            <w:tcW w:w="900" w:type="dxa"/>
            <w:vAlign w:val="bottom"/>
            <w:gridSpan w:val="2"/>
          </w:tcPr>
          <w:p>
            <w:pPr>
              <w:ind w:left="580"/>
              <w:spacing w:after="0"/>
              <w:rPr>
                <w:sz w:val="20"/>
                <w:szCs w:val="20"/>
                <w:color w:val="auto"/>
              </w:rPr>
            </w:pPr>
            <w:r>
              <w:rPr>
                <w:rFonts w:ascii="Arial" w:cs="Arial" w:eastAsia="Arial" w:hAnsi="Arial"/>
                <w:sz w:val="12"/>
                <w:szCs w:val="12"/>
                <w:color w:val="auto"/>
              </w:rPr>
              <w:t>0.70</w:t>
            </w:r>
          </w:p>
        </w:tc>
        <w:tc>
          <w:tcPr>
            <w:tcW w:w="0" w:type="dxa"/>
            <w:vAlign w:val="bottom"/>
          </w:tcPr>
          <w:p>
            <w:pPr>
              <w:spacing w:after="0"/>
              <w:rPr>
                <w:sz w:val="1"/>
                <w:szCs w:val="1"/>
                <w:color w:val="auto"/>
              </w:rPr>
            </w:pPr>
          </w:p>
        </w:tc>
      </w:tr>
      <w:tr>
        <w:trPr>
          <w:trHeight w:val="144"/>
        </w:trPr>
        <w:tc>
          <w:tcPr>
            <w:tcW w:w="22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Time deposits</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326,081</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1,772</w:t>
            </w:r>
          </w:p>
        </w:tc>
        <w:tc>
          <w:tcPr>
            <w:tcW w:w="1040" w:type="dxa"/>
            <w:vAlign w:val="bottom"/>
            <w:gridSpan w:val="2"/>
            <w:shd w:val="clear" w:color="auto" w:fill="CCEEFF"/>
          </w:tcPr>
          <w:p>
            <w:pPr>
              <w:ind w:left="600"/>
              <w:spacing w:after="0"/>
              <w:rPr>
                <w:sz w:val="20"/>
                <w:szCs w:val="20"/>
                <w:color w:val="auto"/>
              </w:rPr>
            </w:pPr>
            <w:r>
              <w:rPr>
                <w:rFonts w:ascii="Arial" w:cs="Arial" w:eastAsia="Arial" w:hAnsi="Arial"/>
                <w:sz w:val="12"/>
                <w:szCs w:val="12"/>
                <w:color w:val="auto"/>
              </w:rPr>
              <w:t>0.54</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516,306</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8,784</w:t>
            </w:r>
          </w:p>
        </w:tc>
        <w:tc>
          <w:tcPr>
            <w:tcW w:w="1000" w:type="dxa"/>
            <w:vAlign w:val="bottom"/>
            <w:gridSpan w:val="2"/>
            <w:shd w:val="clear" w:color="auto" w:fill="CCEEFF"/>
          </w:tcPr>
          <w:p>
            <w:pPr>
              <w:ind w:left="580"/>
              <w:spacing w:after="0"/>
              <w:rPr>
                <w:sz w:val="20"/>
                <w:szCs w:val="20"/>
                <w:color w:val="auto"/>
              </w:rPr>
            </w:pPr>
            <w:r>
              <w:rPr>
                <w:rFonts w:ascii="Arial" w:cs="Arial" w:eastAsia="Arial" w:hAnsi="Arial"/>
                <w:sz w:val="12"/>
                <w:szCs w:val="12"/>
                <w:color w:val="auto"/>
              </w:rPr>
              <w:t>1.70</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655,718</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13,197</w:t>
            </w:r>
          </w:p>
        </w:tc>
        <w:tc>
          <w:tcPr>
            <w:tcW w:w="900" w:type="dxa"/>
            <w:vAlign w:val="bottom"/>
            <w:gridSpan w:val="2"/>
            <w:shd w:val="clear" w:color="auto" w:fill="CCEEFF"/>
          </w:tcPr>
          <w:p>
            <w:pPr>
              <w:ind w:left="580"/>
              <w:spacing w:after="0"/>
              <w:rPr>
                <w:sz w:val="20"/>
                <w:szCs w:val="20"/>
                <w:color w:val="auto"/>
              </w:rPr>
            </w:pPr>
            <w:r>
              <w:rPr>
                <w:rFonts w:ascii="Arial" w:cs="Arial" w:eastAsia="Arial" w:hAnsi="Arial"/>
                <w:sz w:val="12"/>
                <w:szCs w:val="12"/>
                <w:color w:val="auto"/>
              </w:rPr>
              <w:t>2.01</w:t>
            </w:r>
          </w:p>
        </w:tc>
        <w:tc>
          <w:tcPr>
            <w:tcW w:w="0" w:type="dxa"/>
            <w:vAlign w:val="bottom"/>
          </w:tcPr>
          <w:p>
            <w:pPr>
              <w:spacing w:after="0"/>
              <w:rPr>
                <w:sz w:val="1"/>
                <w:szCs w:val="1"/>
                <w:color w:val="auto"/>
              </w:rPr>
            </w:pPr>
          </w:p>
        </w:tc>
      </w:tr>
      <w:tr>
        <w:trPr>
          <w:trHeight w:val="144"/>
        </w:trPr>
        <w:tc>
          <w:tcPr>
            <w:tcW w:w="2260" w:type="dxa"/>
            <w:vAlign w:val="bottom"/>
          </w:tcPr>
          <w:p>
            <w:pPr>
              <w:ind w:left="100"/>
              <w:spacing w:after="0"/>
              <w:rPr>
                <w:sz w:val="20"/>
                <w:szCs w:val="20"/>
                <w:color w:val="auto"/>
              </w:rPr>
            </w:pPr>
            <w:r>
              <w:rPr>
                <w:rFonts w:ascii="Arial" w:cs="Arial" w:eastAsia="Arial" w:hAnsi="Arial"/>
                <w:sz w:val="12"/>
                <w:szCs w:val="12"/>
                <w:color w:val="auto"/>
              </w:rPr>
              <w:t>Other borrowings</w:t>
            </w: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108,884</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2"/>
                <w:szCs w:val="12"/>
                <w:color w:val="auto"/>
              </w:rPr>
              <w:t>3,850</w:t>
            </w:r>
          </w:p>
        </w:tc>
        <w:tc>
          <w:tcPr>
            <w:tcW w:w="1040" w:type="dxa"/>
            <w:vAlign w:val="bottom"/>
            <w:gridSpan w:val="2"/>
          </w:tcPr>
          <w:p>
            <w:pPr>
              <w:ind w:left="600"/>
              <w:spacing w:after="0"/>
              <w:rPr>
                <w:sz w:val="20"/>
                <w:szCs w:val="20"/>
                <w:color w:val="auto"/>
              </w:rPr>
            </w:pPr>
            <w:r>
              <w:rPr>
                <w:rFonts w:ascii="Arial" w:cs="Arial" w:eastAsia="Arial" w:hAnsi="Arial"/>
                <w:sz w:val="12"/>
                <w:szCs w:val="12"/>
                <w:color w:val="auto"/>
              </w:rPr>
              <w:t>3.54</w:t>
            </w:r>
          </w:p>
        </w:tc>
        <w:tc>
          <w:tcPr>
            <w:tcW w:w="14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117,904</w:t>
            </w:r>
          </w:p>
        </w:tc>
        <w:tc>
          <w:tcPr>
            <w:tcW w:w="12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2"/>
                <w:szCs w:val="12"/>
                <w:color w:val="auto"/>
              </w:rPr>
              <w:t>3,551</w:t>
            </w:r>
          </w:p>
        </w:tc>
        <w:tc>
          <w:tcPr>
            <w:tcW w:w="1000" w:type="dxa"/>
            <w:vAlign w:val="bottom"/>
            <w:gridSpan w:val="2"/>
          </w:tcPr>
          <w:p>
            <w:pPr>
              <w:ind w:left="580"/>
              <w:spacing w:after="0"/>
              <w:rPr>
                <w:sz w:val="20"/>
                <w:szCs w:val="20"/>
                <w:color w:val="auto"/>
              </w:rPr>
            </w:pPr>
            <w:r>
              <w:rPr>
                <w:rFonts w:ascii="Arial" w:cs="Arial" w:eastAsia="Arial" w:hAnsi="Arial"/>
                <w:sz w:val="12"/>
                <w:szCs w:val="12"/>
                <w:color w:val="auto"/>
              </w:rPr>
              <w:t>3.01</w:t>
            </w:r>
          </w:p>
        </w:tc>
        <w:tc>
          <w:tcPr>
            <w:tcW w:w="12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2"/>
                <w:szCs w:val="12"/>
                <w:color w:val="auto"/>
              </w:rPr>
              <w:t>77,254</w:t>
            </w:r>
          </w:p>
        </w:tc>
        <w:tc>
          <w:tcPr>
            <w:tcW w:w="14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2,922</w:t>
            </w:r>
          </w:p>
        </w:tc>
        <w:tc>
          <w:tcPr>
            <w:tcW w:w="900" w:type="dxa"/>
            <w:vAlign w:val="bottom"/>
            <w:gridSpan w:val="2"/>
          </w:tcPr>
          <w:p>
            <w:pPr>
              <w:ind w:left="580"/>
              <w:spacing w:after="0"/>
              <w:rPr>
                <w:sz w:val="20"/>
                <w:szCs w:val="20"/>
                <w:color w:val="auto"/>
              </w:rPr>
            </w:pPr>
            <w:r>
              <w:rPr>
                <w:rFonts w:ascii="Arial" w:cs="Arial" w:eastAsia="Arial" w:hAnsi="Arial"/>
                <w:sz w:val="12"/>
                <w:szCs w:val="12"/>
                <w:color w:val="auto"/>
              </w:rPr>
              <w:t>3.78</w:t>
            </w:r>
          </w:p>
        </w:tc>
        <w:tc>
          <w:tcPr>
            <w:tcW w:w="0" w:type="dxa"/>
            <w:vAlign w:val="bottom"/>
          </w:tcPr>
          <w:p>
            <w:pPr>
              <w:spacing w:after="0"/>
              <w:rPr>
                <w:sz w:val="1"/>
                <w:szCs w:val="1"/>
                <w:color w:val="auto"/>
              </w:rPr>
            </w:pPr>
          </w:p>
        </w:tc>
      </w:tr>
      <w:tr>
        <w:trPr>
          <w:trHeight w:val="142"/>
        </w:trPr>
        <w:tc>
          <w:tcPr>
            <w:tcW w:w="2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Interest bearing liabilities</w:t>
            </w:r>
          </w:p>
        </w:tc>
        <w:tc>
          <w:tcPr>
            <w:tcW w:w="120" w:type="dxa"/>
            <w:vAlign w:val="bottom"/>
            <w:tcBorders>
              <w:top w:val="single" w:sz="8" w:color="auto"/>
              <w:bottom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2,717,572</w:t>
            </w:r>
          </w:p>
        </w:tc>
        <w:tc>
          <w:tcPr>
            <w:tcW w:w="2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8,315</w:t>
            </w:r>
          </w:p>
        </w:tc>
        <w:tc>
          <w:tcPr>
            <w:tcW w:w="2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2"/>
                <w:szCs w:val="12"/>
                <w:color w:val="auto"/>
              </w:rPr>
              <w:t>0.31</w:t>
            </w:r>
          </w:p>
        </w:tc>
        <w:tc>
          <w:tcPr>
            <w:tcW w:w="140" w:type="dxa"/>
            <w:vAlign w:val="bottom"/>
            <w:tcBorders>
              <w:top w:val="single" w:sz="8" w:color="auto"/>
              <w:bottom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2,455,325</w:t>
            </w:r>
          </w:p>
        </w:tc>
        <w:tc>
          <w:tcPr>
            <w:tcW w:w="2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16,217</w:t>
            </w:r>
          </w:p>
        </w:tc>
        <w:tc>
          <w:tcPr>
            <w:tcW w:w="2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2"/>
                <w:szCs w:val="12"/>
                <w:color w:val="auto"/>
              </w:rPr>
              <w:t>0.66</w:t>
            </w:r>
          </w:p>
        </w:tc>
        <w:tc>
          <w:tcPr>
            <w:tcW w:w="120" w:type="dxa"/>
            <w:vAlign w:val="bottom"/>
            <w:tcBorders>
              <w:top w:val="single" w:sz="8" w:color="auto"/>
              <w:bottom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2,186,033</w:t>
            </w:r>
          </w:p>
        </w:tc>
        <w:tc>
          <w:tcPr>
            <w:tcW w:w="2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26,347</w:t>
            </w:r>
          </w:p>
        </w:tc>
        <w:tc>
          <w:tcPr>
            <w:tcW w:w="22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2"/>
                <w:szCs w:val="12"/>
                <w:color w:val="auto"/>
              </w:rPr>
              <w:t>1.21</w:t>
            </w:r>
          </w:p>
        </w:tc>
        <w:tc>
          <w:tcPr>
            <w:tcW w:w="0" w:type="dxa"/>
            <w:vAlign w:val="bottom"/>
          </w:tcPr>
          <w:p>
            <w:pPr>
              <w:spacing w:after="0"/>
              <w:rPr>
                <w:sz w:val="1"/>
                <w:szCs w:val="1"/>
                <w:color w:val="auto"/>
              </w:rPr>
            </w:pPr>
          </w:p>
        </w:tc>
      </w:tr>
      <w:tr>
        <w:trPr>
          <w:trHeight w:val="142"/>
        </w:trPr>
        <w:tc>
          <w:tcPr>
            <w:tcW w:w="2260" w:type="dxa"/>
            <w:vAlign w:val="bottom"/>
          </w:tcPr>
          <w:p>
            <w:pPr>
              <w:ind w:left="100"/>
              <w:spacing w:after="0"/>
              <w:rPr>
                <w:sz w:val="20"/>
                <w:szCs w:val="20"/>
                <w:color w:val="auto"/>
              </w:rPr>
            </w:pPr>
            <w:r>
              <w:rPr>
                <w:rFonts w:ascii="Arial" w:cs="Arial" w:eastAsia="Arial" w:hAnsi="Arial"/>
                <w:sz w:val="12"/>
                <w:szCs w:val="12"/>
                <w:color w:val="auto"/>
              </w:rPr>
              <w:t>Non-interest bearing deposits</w:t>
            </w: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1,288,276</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1,054,230</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2"/>
                <w:szCs w:val="12"/>
                <w:color w:val="auto"/>
              </w:rPr>
              <w:t>867,314</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Other liabilities</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69,694</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65,943</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46,153</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60" w:type="dxa"/>
            <w:vAlign w:val="bottom"/>
          </w:tcPr>
          <w:p>
            <w:pPr>
              <w:ind w:left="100"/>
              <w:spacing w:after="0"/>
              <w:rPr>
                <w:sz w:val="20"/>
                <w:szCs w:val="20"/>
                <w:color w:val="auto"/>
              </w:rPr>
            </w:pPr>
            <w:r>
              <w:rPr>
                <w:rFonts w:ascii="Arial" w:cs="Arial" w:eastAsia="Arial" w:hAnsi="Arial"/>
                <w:sz w:val="12"/>
                <w:szCs w:val="12"/>
                <w:color w:val="auto"/>
              </w:rPr>
              <w:t>Shareholders’ equity</w:t>
            </w: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390,035</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358,157</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2"/>
                <w:szCs w:val="12"/>
                <w:color w:val="auto"/>
              </w:rPr>
              <w:t>340,732</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w w:val="97"/>
              </w:rPr>
              <w:t>Total liabilities and shareholders’ equity</w:t>
            </w:r>
          </w:p>
        </w:tc>
        <w:tc>
          <w:tcPr>
            <w:tcW w:w="1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4,465,577</w:t>
            </w:r>
          </w:p>
        </w:tc>
        <w:tc>
          <w:tcPr>
            <w:tcW w:w="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3,933,655</w:t>
            </w:r>
          </w:p>
        </w:tc>
        <w:tc>
          <w:tcPr>
            <w:tcW w:w="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3,440,232</w:t>
            </w:r>
          </w:p>
        </w:tc>
        <w:tc>
          <w:tcPr>
            <w:tcW w:w="2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260" w:type="dxa"/>
            <w:vAlign w:val="bottom"/>
          </w:tcPr>
          <w:p>
            <w:pPr>
              <w:ind w:left="200"/>
              <w:spacing w:after="0" w:line="120" w:lineRule="exact"/>
              <w:rPr>
                <w:sz w:val="20"/>
                <w:szCs w:val="20"/>
                <w:color w:val="auto"/>
              </w:rPr>
            </w:pPr>
            <w:r>
              <w:rPr>
                <w:rFonts w:ascii="Arial" w:cs="Arial" w:eastAsia="Arial" w:hAnsi="Arial"/>
                <w:sz w:val="12"/>
                <w:szCs w:val="12"/>
                <w:color w:val="auto"/>
              </w:rPr>
              <w:t>Net interest income</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20"/>
              <w:spacing w:after="0" w:line="120" w:lineRule="exact"/>
              <w:rPr>
                <w:sz w:val="20"/>
                <w:szCs w:val="20"/>
                <w:color w:val="auto"/>
              </w:rPr>
            </w:pPr>
            <w:r>
              <w:rPr>
                <w:rFonts w:ascii="Arial" w:cs="Arial" w:eastAsia="Arial" w:hAnsi="Arial"/>
                <w:sz w:val="12"/>
                <w:szCs w:val="12"/>
                <w:color w:val="auto"/>
              </w:rPr>
              <w:t>131,631</w:t>
            </w: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00"/>
              <w:spacing w:after="0" w:line="120" w:lineRule="exact"/>
              <w:rPr>
                <w:sz w:val="20"/>
                <w:szCs w:val="20"/>
                <w:color w:val="auto"/>
              </w:rPr>
            </w:pPr>
            <w:r>
              <w:rPr>
                <w:rFonts w:ascii="Arial" w:cs="Arial" w:eastAsia="Arial" w:hAnsi="Arial"/>
                <w:sz w:val="12"/>
                <w:szCs w:val="12"/>
                <w:color w:val="auto"/>
              </w:rPr>
              <w:t>124,435</w:t>
            </w: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220"/>
              <w:spacing w:after="0" w:line="120" w:lineRule="exact"/>
              <w:rPr>
                <w:sz w:val="20"/>
                <w:szCs w:val="20"/>
                <w:color w:val="auto"/>
              </w:rPr>
            </w:pPr>
            <w:r>
              <w:rPr>
                <w:rFonts w:ascii="Arial" w:cs="Arial" w:eastAsia="Arial" w:hAnsi="Arial"/>
                <w:sz w:val="12"/>
                <w:szCs w:val="12"/>
                <w:color w:val="auto"/>
              </w:rPr>
              <w:t>123,004</w:t>
            </w: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260" w:type="dxa"/>
            <w:vAlign w:val="bottom"/>
            <w:shd w:val="clear" w:color="auto" w:fill="CCEEFF"/>
          </w:tcPr>
          <w:p>
            <w:pPr>
              <w:ind w:left="200"/>
              <w:spacing w:after="0" w:line="111" w:lineRule="exact"/>
              <w:rPr>
                <w:sz w:val="20"/>
                <w:szCs w:val="20"/>
                <w:color w:val="auto"/>
              </w:rPr>
            </w:pPr>
            <w:r>
              <w:rPr>
                <w:rFonts w:ascii="Arial" w:cs="Arial" w:eastAsia="Arial" w:hAnsi="Arial"/>
                <w:sz w:val="12"/>
                <w:szCs w:val="12"/>
                <w:color w:val="auto"/>
              </w:rPr>
              <w:t>Net interest income as a percent of</w:t>
            </w: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2260" w:type="dxa"/>
            <w:vAlign w:val="bottom"/>
            <w:shd w:val="clear" w:color="auto" w:fill="CCEEFF"/>
          </w:tcPr>
          <w:p>
            <w:pPr>
              <w:ind w:left="320"/>
              <w:spacing w:after="0"/>
              <w:rPr>
                <w:sz w:val="20"/>
                <w:szCs w:val="20"/>
                <w:color w:val="auto"/>
              </w:rPr>
            </w:pPr>
            <w:r>
              <w:rPr>
                <w:rFonts w:ascii="Arial" w:cs="Arial" w:eastAsia="Arial" w:hAnsi="Arial"/>
                <w:sz w:val="12"/>
                <w:szCs w:val="12"/>
                <w:color w:val="auto"/>
              </w:rPr>
              <w:t>average interest earning assets</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600"/>
              <w:spacing w:after="0"/>
              <w:rPr>
                <w:sz w:val="20"/>
                <w:szCs w:val="20"/>
                <w:color w:val="auto"/>
              </w:rPr>
            </w:pPr>
            <w:r>
              <w:rPr>
                <w:rFonts w:ascii="Arial" w:cs="Arial" w:eastAsia="Arial" w:hAnsi="Arial"/>
                <w:sz w:val="12"/>
                <w:szCs w:val="12"/>
                <w:color w:val="auto"/>
              </w:rPr>
              <w:t>3.10%</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580"/>
              <w:spacing w:after="0"/>
              <w:rPr>
                <w:sz w:val="20"/>
                <w:szCs w:val="20"/>
                <w:color w:val="auto"/>
              </w:rPr>
            </w:pPr>
            <w:r>
              <w:rPr>
                <w:rFonts w:ascii="Arial" w:cs="Arial" w:eastAsia="Arial" w:hAnsi="Arial"/>
                <w:sz w:val="12"/>
                <w:szCs w:val="12"/>
                <w:color w:val="auto"/>
              </w:rPr>
              <w:t>3.34%</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ind w:left="580"/>
              <w:spacing w:after="0"/>
              <w:rPr>
                <w:sz w:val="20"/>
                <w:szCs w:val="20"/>
                <w:color w:val="auto"/>
              </w:rPr>
            </w:pPr>
            <w:r>
              <w:rPr>
                <w:rFonts w:ascii="Arial" w:cs="Arial" w:eastAsia="Arial" w:hAnsi="Arial"/>
                <w:sz w:val="12"/>
                <w:szCs w:val="12"/>
                <w:color w:val="auto"/>
                <w:w w:val="88"/>
              </w:rPr>
              <w:t>3.80%</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91440</wp:posOffset>
            </wp:positionV>
            <wp:extent cx="931545" cy="114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931545" cy="11430"/>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auto"/>
        </w:rPr>
        <w:t>(1) Interest on tax-exempt loans and securities is presented on a fully tax equivalent basis assuming a marginal tax rate of 21%.</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35" w:name="page36"/>
    <w:bookmarkEnd w:id="35"/>
    <w:tbl>
      <w:tblPr>
        <w:tblLayout w:type="fixed"/>
        <w:tblInd w:w="8" w:type="dxa"/>
        <w:tblCellMar>
          <w:top w:w="0" w:type="dxa"/>
          <w:left w:w="0" w:type="dxa"/>
          <w:bottom w:w="0" w:type="dxa"/>
          <w:right w:w="0" w:type="dxa"/>
        </w:tblCellMar>
      </w:tblPr>
      <w:tr>
        <w:trPr>
          <w:trHeight w:val="157"/>
        </w:trPr>
        <w:tc>
          <w:tcPr>
            <w:tcW w:w="5100" w:type="dxa"/>
            <w:vAlign w:val="bottom"/>
            <w:gridSpan w:val="6"/>
          </w:tcPr>
          <w:p>
            <w:pPr>
              <w:spacing w:after="0"/>
              <w:rPr>
                <w:sz w:val="20"/>
                <w:szCs w:val="20"/>
                <w:color w:val="auto"/>
              </w:rPr>
            </w:pPr>
            <w:r>
              <w:rPr>
                <w:rFonts w:ascii="Arial" w:cs="Arial" w:eastAsia="Arial" w:hAnsi="Arial"/>
                <w:sz w:val="12"/>
                <w:szCs w:val="12"/>
                <w:b w:val="1"/>
                <w:bCs w:val="1"/>
                <w:color w:val="auto"/>
              </w:rPr>
              <w:t>RECONCILIATION OF NET INTEREST MARGIN, FULLY TAXABLE EQUIVALENT ("FTE")</w:t>
            </w: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3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2"/>
                <w:szCs w:val="12"/>
                <w:b w:val="1"/>
                <w:bCs w:val="1"/>
                <w:color w:val="auto"/>
                <w:w w:val="89"/>
              </w:rPr>
              <w:t>Year Ended December 31,</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2020</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w w:val="86"/>
              </w:rPr>
              <w:t>(Dollars in thousands)</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80" w:type="dxa"/>
            <w:vAlign w:val="bottom"/>
            <w:shd w:val="clear" w:color="auto" w:fill="CCEEFF"/>
          </w:tcPr>
          <w:p>
            <w:pPr>
              <w:spacing w:after="0"/>
              <w:rPr>
                <w:sz w:val="20"/>
                <w:szCs w:val="20"/>
                <w:color w:val="auto"/>
              </w:rPr>
            </w:pPr>
            <w:r>
              <w:rPr>
                <w:rFonts w:ascii="Arial" w:cs="Arial" w:eastAsia="Arial" w:hAnsi="Arial"/>
                <w:sz w:val="12"/>
                <w:szCs w:val="12"/>
                <w:color w:val="auto"/>
              </w:rPr>
              <w:t>Net interest income</w:t>
            </w:r>
          </w:p>
        </w:tc>
        <w:tc>
          <w:tcPr>
            <w:tcW w:w="7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tcBorders>
              <w:left w:val="single" w:sz="8" w:color="CCEEFF"/>
            </w:tcBorders>
            <w:shd w:val="clear" w:color="auto" w:fill="CCEEFF"/>
          </w:tcPr>
          <w:p>
            <w:pPr>
              <w:jc w:val="center"/>
              <w:ind w:right="220"/>
              <w:spacing w:after="0"/>
              <w:rPr>
                <w:sz w:val="20"/>
                <w:szCs w:val="20"/>
                <w:color w:val="auto"/>
              </w:rPr>
            </w:pPr>
            <w:r>
              <w:rPr>
                <w:rFonts w:ascii="Arial" w:cs="Arial" w:eastAsia="Arial" w:hAnsi="Arial"/>
                <w:sz w:val="12"/>
                <w:szCs w:val="12"/>
                <w:color w:val="auto"/>
                <w:w w:val="89"/>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129,765</w:t>
            </w:r>
          </w:p>
        </w:tc>
        <w:tc>
          <w:tcPr>
            <w:tcW w:w="1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123,612</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122,581</w:t>
            </w:r>
          </w:p>
        </w:tc>
        <w:tc>
          <w:tcPr>
            <w:tcW w:w="0" w:type="dxa"/>
            <w:vAlign w:val="bottom"/>
          </w:tcPr>
          <w:p>
            <w:pPr>
              <w:spacing w:after="0"/>
              <w:rPr>
                <w:sz w:val="1"/>
                <w:szCs w:val="1"/>
                <w:color w:val="auto"/>
              </w:rPr>
            </w:pPr>
          </w:p>
        </w:tc>
      </w:tr>
      <w:tr>
        <w:trPr>
          <w:trHeight w:val="144"/>
        </w:trPr>
        <w:tc>
          <w:tcPr>
            <w:tcW w:w="3280" w:type="dxa"/>
            <w:vAlign w:val="bottom"/>
          </w:tcPr>
          <w:p>
            <w:pPr>
              <w:ind w:left="100"/>
              <w:spacing w:after="0"/>
              <w:rPr>
                <w:sz w:val="20"/>
                <w:szCs w:val="20"/>
                <w:color w:val="auto"/>
              </w:rPr>
            </w:pPr>
            <w:r>
              <w:rPr>
                <w:rFonts w:ascii="Arial" w:cs="Arial" w:eastAsia="Arial" w:hAnsi="Arial"/>
                <w:sz w:val="12"/>
                <w:szCs w:val="12"/>
                <w:color w:val="auto"/>
              </w:rPr>
              <w:t>Add: taxable equivalent adjustment</w:t>
            </w: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1,866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823</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423</w:t>
            </w:r>
          </w:p>
        </w:tc>
        <w:tc>
          <w:tcPr>
            <w:tcW w:w="0" w:type="dxa"/>
            <w:vAlign w:val="bottom"/>
          </w:tcPr>
          <w:p>
            <w:pPr>
              <w:spacing w:after="0"/>
              <w:rPr>
                <w:sz w:val="1"/>
                <w:szCs w:val="1"/>
                <w:color w:val="auto"/>
              </w:rPr>
            </w:pPr>
          </w:p>
        </w:tc>
      </w:tr>
      <w:tr>
        <w:trPr>
          <w:trHeight w:val="182"/>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interest income - taxable equivalent</w:t>
            </w:r>
          </w:p>
        </w:tc>
        <w:tc>
          <w:tcPr>
            <w:tcW w:w="7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top w:val="single" w:sz="8" w:color="auto"/>
              <w:left w:val="single" w:sz="8" w:color="CCEEFF"/>
              <w:bottom w:val="single" w:sz="8" w:color="auto"/>
            </w:tcBorders>
            <w:shd w:val="clear" w:color="auto" w:fill="CCEEFF"/>
          </w:tcPr>
          <w:p>
            <w:pPr>
              <w:jc w:val="center"/>
              <w:ind w:right="220"/>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131,631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124,435</w:t>
            </w:r>
          </w:p>
        </w:tc>
        <w:tc>
          <w:tcPr>
            <w:tcW w:w="2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123,004</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3280" w:type="dxa"/>
            <w:vAlign w:val="bottom"/>
          </w:tcPr>
          <w:p>
            <w:pPr>
              <w:spacing w:after="0" w:line="120" w:lineRule="exact"/>
              <w:rPr>
                <w:sz w:val="20"/>
                <w:szCs w:val="20"/>
                <w:color w:val="auto"/>
              </w:rPr>
            </w:pPr>
            <w:r>
              <w:rPr>
                <w:rFonts w:ascii="Arial" w:cs="Arial" w:eastAsia="Arial" w:hAnsi="Arial"/>
                <w:sz w:val="12"/>
                <w:szCs w:val="12"/>
                <w:color w:val="auto"/>
              </w:rPr>
              <w:t>Net interest margin (GAAP)</w:t>
            </w: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20" w:type="dxa"/>
            <w:vAlign w:val="bottom"/>
            <w:gridSpan w:val="2"/>
          </w:tcPr>
          <w:p>
            <w:pPr>
              <w:jc w:val="right"/>
              <w:ind w:right="20"/>
              <w:spacing w:after="0" w:line="120" w:lineRule="exact"/>
              <w:rPr>
                <w:sz w:val="20"/>
                <w:szCs w:val="20"/>
                <w:color w:val="auto"/>
              </w:rPr>
            </w:pPr>
            <w:r>
              <w:rPr>
                <w:rFonts w:ascii="Arial" w:cs="Arial" w:eastAsia="Arial" w:hAnsi="Arial"/>
                <w:sz w:val="12"/>
                <w:szCs w:val="12"/>
                <w:color w:val="auto"/>
              </w:rPr>
              <w:t>3.05%</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gridSpan w:val="2"/>
          </w:tcPr>
          <w:p>
            <w:pPr>
              <w:jc w:val="right"/>
              <w:ind w:right="120"/>
              <w:spacing w:after="0" w:line="120" w:lineRule="exact"/>
              <w:rPr>
                <w:sz w:val="20"/>
                <w:szCs w:val="20"/>
                <w:color w:val="auto"/>
              </w:rPr>
            </w:pPr>
            <w:r>
              <w:rPr>
                <w:rFonts w:ascii="Arial" w:cs="Arial" w:eastAsia="Arial" w:hAnsi="Arial"/>
                <w:sz w:val="12"/>
                <w:szCs w:val="12"/>
                <w:color w:val="auto"/>
              </w:rPr>
              <w:t>3.32%</w:t>
            </w:r>
          </w:p>
        </w:tc>
        <w:tc>
          <w:tcPr>
            <w:tcW w:w="260" w:type="dxa"/>
            <w:vAlign w:val="bottom"/>
          </w:tcPr>
          <w:p>
            <w:pPr>
              <w:spacing w:after="0"/>
              <w:rPr>
                <w:sz w:val="10"/>
                <w:szCs w:val="10"/>
                <w:color w:val="auto"/>
              </w:rPr>
            </w:pPr>
          </w:p>
        </w:tc>
        <w:tc>
          <w:tcPr>
            <w:tcW w:w="980" w:type="dxa"/>
            <w:vAlign w:val="bottom"/>
            <w:gridSpan w:val="2"/>
          </w:tcPr>
          <w:p>
            <w:pPr>
              <w:jc w:val="right"/>
              <w:ind w:right="20"/>
              <w:spacing w:after="0" w:line="120" w:lineRule="exact"/>
              <w:rPr>
                <w:sz w:val="20"/>
                <w:szCs w:val="20"/>
                <w:color w:val="auto"/>
              </w:rPr>
            </w:pPr>
            <w:r>
              <w:rPr>
                <w:rFonts w:ascii="Arial" w:cs="Arial" w:eastAsia="Arial" w:hAnsi="Arial"/>
                <w:sz w:val="12"/>
                <w:szCs w:val="12"/>
                <w:color w:val="auto"/>
              </w:rPr>
              <w:t>3.79%</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280" w:type="dxa"/>
            <w:vAlign w:val="bottom"/>
            <w:shd w:val="clear" w:color="auto" w:fill="CCEEFF"/>
          </w:tcPr>
          <w:p>
            <w:pPr>
              <w:spacing w:after="0" w:line="120" w:lineRule="exact"/>
              <w:rPr>
                <w:sz w:val="20"/>
                <w:szCs w:val="20"/>
                <w:color w:val="auto"/>
              </w:rPr>
            </w:pPr>
            <w:r>
              <w:rPr>
                <w:rFonts w:ascii="Arial" w:cs="Arial" w:eastAsia="Arial" w:hAnsi="Arial"/>
                <w:sz w:val="12"/>
                <w:szCs w:val="12"/>
                <w:color w:val="auto"/>
              </w:rPr>
              <w:t>Net interest margin (FTE)</w:t>
            </w:r>
          </w:p>
        </w:tc>
        <w:tc>
          <w:tcPr>
            <w:tcW w:w="7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40" w:type="dxa"/>
            <w:vAlign w:val="bottom"/>
            <w:tcBorders>
              <w:left w:val="single" w:sz="8" w:color="CCEEFF"/>
            </w:tcBorders>
            <w:shd w:val="clear" w:color="auto" w:fill="CCEEFF"/>
          </w:tcPr>
          <w:p>
            <w:pPr>
              <w:spacing w:after="0"/>
              <w:rPr>
                <w:sz w:val="13"/>
                <w:szCs w:val="13"/>
                <w:color w:val="auto"/>
              </w:rPr>
            </w:pPr>
          </w:p>
        </w:tc>
        <w:tc>
          <w:tcPr>
            <w:tcW w:w="920" w:type="dxa"/>
            <w:vAlign w:val="bottom"/>
            <w:gridSpan w:val="2"/>
            <w:shd w:val="clear" w:color="auto" w:fill="CCEEFF"/>
          </w:tcPr>
          <w:p>
            <w:pPr>
              <w:jc w:val="right"/>
              <w:ind w:right="20"/>
              <w:spacing w:after="0" w:line="120" w:lineRule="exact"/>
              <w:rPr>
                <w:sz w:val="20"/>
                <w:szCs w:val="20"/>
                <w:color w:val="auto"/>
              </w:rPr>
            </w:pPr>
            <w:r>
              <w:rPr>
                <w:rFonts w:ascii="Arial" w:cs="Arial" w:eastAsia="Arial" w:hAnsi="Arial"/>
                <w:sz w:val="12"/>
                <w:szCs w:val="12"/>
                <w:color w:val="auto"/>
              </w:rPr>
              <w:t>3.10%</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20"/>
              <w:spacing w:after="0" w:line="120" w:lineRule="exact"/>
              <w:rPr>
                <w:sz w:val="20"/>
                <w:szCs w:val="20"/>
                <w:color w:val="auto"/>
              </w:rPr>
            </w:pPr>
            <w:r>
              <w:rPr>
                <w:rFonts w:ascii="Arial" w:cs="Arial" w:eastAsia="Arial" w:hAnsi="Arial"/>
                <w:sz w:val="12"/>
                <w:szCs w:val="12"/>
                <w:color w:val="auto"/>
              </w:rPr>
              <w:t>3.34%</w:t>
            </w: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0"/>
              <w:spacing w:after="0" w:line="120" w:lineRule="exact"/>
              <w:rPr>
                <w:sz w:val="20"/>
                <w:szCs w:val="20"/>
                <w:color w:val="auto"/>
              </w:rPr>
            </w:pPr>
            <w:r>
              <w:rPr>
                <w:rFonts w:ascii="Arial" w:cs="Arial" w:eastAsia="Arial" w:hAnsi="Arial"/>
                <w:sz w:val="12"/>
                <w:szCs w:val="12"/>
                <w:color w:val="auto"/>
              </w:rPr>
              <w:t>3.80%</w:t>
            </w:r>
          </w:p>
        </w:tc>
        <w:tc>
          <w:tcPr>
            <w:tcW w:w="0" w:type="dxa"/>
            <w:vAlign w:val="bottom"/>
          </w:tcPr>
          <w:p>
            <w:pPr>
              <w:spacing w:after="0"/>
              <w:rPr>
                <w:sz w:val="1"/>
                <w:szCs w:val="1"/>
                <w:color w:val="auto"/>
              </w:rPr>
            </w:pPr>
          </w:p>
        </w:tc>
      </w:tr>
      <w:tr>
        <w:trPr>
          <w:trHeight w:val="264"/>
        </w:trPr>
        <w:tc>
          <w:tcPr>
            <w:tcW w:w="3280" w:type="dxa"/>
            <w:vAlign w:val="bottom"/>
            <w:tcBorders>
              <w:top w:val="single" w:sz="8" w:color="CCEEFF"/>
            </w:tcBorders>
          </w:tcPr>
          <w:p>
            <w:pPr>
              <w:spacing w:after="0"/>
              <w:rPr>
                <w:sz w:val="20"/>
                <w:szCs w:val="20"/>
                <w:color w:val="auto"/>
              </w:rPr>
            </w:pPr>
            <w:r>
              <w:rPr>
                <w:rFonts w:ascii="Arial" w:cs="Arial" w:eastAsia="Arial" w:hAnsi="Arial"/>
                <w:sz w:val="12"/>
                <w:szCs w:val="12"/>
                <w:b w:val="1"/>
                <w:bCs w:val="1"/>
                <w:color w:val="auto"/>
              </w:rPr>
              <w:t>CHANGE IN NET INTEREST INCOME</w:t>
            </w:r>
          </w:p>
        </w:tc>
        <w:tc>
          <w:tcPr>
            <w:tcW w:w="780" w:type="dxa"/>
            <w:vAlign w:val="bottom"/>
            <w:tcBorders>
              <w:top w:val="single" w:sz="8" w:color="CCEEFF"/>
            </w:tcBorders>
          </w:tcPr>
          <w:p>
            <w:pPr>
              <w:spacing w:after="0"/>
              <w:rPr>
                <w:sz w:val="22"/>
                <w:szCs w:val="22"/>
                <w:color w:val="auto"/>
              </w:rPr>
            </w:pPr>
          </w:p>
        </w:tc>
        <w:tc>
          <w:tcPr>
            <w:tcW w:w="36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440" w:type="dxa"/>
            <w:vAlign w:val="bottom"/>
            <w:tcBorders>
              <w:top w:val="single" w:sz="8" w:color="CCEEFF"/>
            </w:tcBorders>
          </w:tcPr>
          <w:p>
            <w:pPr>
              <w:spacing w:after="0"/>
              <w:rPr>
                <w:sz w:val="22"/>
                <w:szCs w:val="22"/>
                <w:color w:val="auto"/>
              </w:rPr>
            </w:pPr>
          </w:p>
        </w:tc>
        <w:tc>
          <w:tcPr>
            <w:tcW w:w="70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260" w:type="dxa"/>
            <w:vAlign w:val="bottom"/>
            <w:tcBorders>
              <w:top w:val="single" w:sz="8" w:color="CCEEFF"/>
            </w:tcBorders>
          </w:tcPr>
          <w:p>
            <w:pPr>
              <w:spacing w:after="0"/>
              <w:rPr>
                <w:sz w:val="22"/>
                <w:szCs w:val="22"/>
                <w:color w:val="auto"/>
              </w:rPr>
            </w:pPr>
          </w:p>
        </w:tc>
        <w:tc>
          <w:tcPr>
            <w:tcW w:w="860" w:type="dxa"/>
            <w:vAlign w:val="bottom"/>
            <w:tcBorders>
              <w:top w:val="single" w:sz="8" w:color="CCEEFF"/>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328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2"/>
                <w:szCs w:val="12"/>
                <w:b w:val="1"/>
                <w:bCs w:val="1"/>
                <w:color w:val="auto"/>
                <w:w w:val="95"/>
              </w:rPr>
              <w:t>2021 compared to 2020</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2"/>
                <w:szCs w:val="12"/>
                <w:b w:val="1"/>
                <w:bCs w:val="1"/>
                <w:color w:val="auto"/>
                <w:w w:val="95"/>
              </w:rPr>
              <w:t>2020 compared to 2019</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Volume</w:t>
            </w:r>
          </w:p>
        </w:tc>
        <w:tc>
          <w:tcPr>
            <w:tcW w:w="3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w w:val="84"/>
              </w:rPr>
              <w:t>Rate</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Net</w:t>
            </w:r>
          </w:p>
        </w:tc>
        <w:tc>
          <w:tcPr>
            <w:tcW w:w="1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b w:val="1"/>
                <w:bCs w:val="1"/>
                <w:color w:val="auto"/>
              </w:rPr>
              <w:t>Volume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Rate</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Net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280" w:type="dxa"/>
            <w:vAlign w:val="bottom"/>
            <w:vMerge w:val="restart"/>
          </w:tcPr>
          <w:p>
            <w:pPr>
              <w:spacing w:after="0"/>
              <w:rPr>
                <w:sz w:val="20"/>
                <w:szCs w:val="20"/>
                <w:color w:val="auto"/>
              </w:rPr>
            </w:pPr>
            <w:r>
              <w:rPr>
                <w:rFonts w:ascii="Arial" w:cs="Arial" w:eastAsia="Arial" w:hAnsi="Arial"/>
                <w:sz w:val="12"/>
                <w:szCs w:val="12"/>
                <w:color w:val="auto"/>
              </w:rPr>
              <w:t>Increase (decrease) in interest income</w:t>
            </w:r>
            <w:r>
              <w:rPr>
                <w:rFonts w:ascii="Arial" w:cs="Arial" w:eastAsia="Arial" w:hAnsi="Arial"/>
                <w:sz w:val="19"/>
                <w:szCs w:val="19"/>
                <w:color w:val="auto"/>
                <w:vertAlign w:val="superscript"/>
              </w:rPr>
              <w:t>(1)</w:t>
            </w: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80"/>
              <w:spacing w:after="0"/>
              <w:rPr>
                <w:sz w:val="20"/>
                <w:szCs w:val="20"/>
                <w:color w:val="auto"/>
              </w:rPr>
            </w:pPr>
            <w:r>
              <w:rPr>
                <w:rFonts w:ascii="Arial" w:cs="Arial" w:eastAsia="Arial" w:hAnsi="Arial"/>
                <w:sz w:val="12"/>
                <w:szCs w:val="12"/>
                <w:b w:val="1"/>
                <w:bCs w:val="1"/>
                <w:color w:val="auto"/>
              </w:rPr>
              <w:t>(In</w:t>
            </w:r>
          </w:p>
        </w:tc>
        <w:tc>
          <w:tcPr>
            <w:tcW w:w="520" w:type="dxa"/>
            <w:vAlign w:val="bottom"/>
            <w:gridSpan w:val="2"/>
          </w:tcPr>
          <w:p>
            <w:pPr>
              <w:jc w:val="center"/>
              <w:ind w:right="20"/>
              <w:spacing w:after="0"/>
              <w:rPr>
                <w:sz w:val="20"/>
                <w:szCs w:val="20"/>
                <w:color w:val="auto"/>
              </w:rPr>
            </w:pPr>
            <w:r>
              <w:rPr>
                <w:rFonts w:ascii="Arial" w:cs="Arial" w:eastAsia="Arial" w:hAnsi="Arial"/>
                <w:sz w:val="11"/>
                <w:szCs w:val="11"/>
                <w:b w:val="1"/>
                <w:bCs w:val="1"/>
                <w:color w:val="auto"/>
                <w:w w:val="74"/>
              </w:rPr>
              <w:t>thousands)</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28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2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Taxable loans</w:t>
            </w:r>
          </w:p>
        </w:tc>
        <w:tc>
          <w:tcPr>
            <w:tcW w:w="780" w:type="dxa"/>
            <w:vAlign w:val="bottom"/>
            <w:shd w:val="clear" w:color="auto" w:fill="CCEEFF"/>
          </w:tcPr>
          <w:p>
            <w:pPr>
              <w:jc w:val="right"/>
              <w:ind w:right="668"/>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772</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332"/>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(7,289)</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86"/>
              <w:spacing w:after="0"/>
              <w:rPr>
                <w:sz w:val="20"/>
                <w:szCs w:val="20"/>
                <w:color w:val="auto"/>
              </w:rPr>
            </w:pPr>
            <w:r>
              <w:rPr>
                <w:rFonts w:ascii="Arial" w:cs="Arial" w:eastAsia="Arial" w:hAnsi="Arial"/>
                <w:sz w:val="12"/>
                <w:szCs w:val="12"/>
                <w:color w:val="auto"/>
              </w:rPr>
              <w:t>(6,517)</w:t>
            </w:r>
          </w:p>
        </w:tc>
        <w:tc>
          <w:tcPr>
            <w:tcW w:w="340" w:type="dxa"/>
            <w:vAlign w:val="bottom"/>
            <w:tcBorders>
              <w:left w:val="single" w:sz="8" w:color="CCEEFF"/>
            </w:tcBorders>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7,105</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(17,804)</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(10,699)</w:t>
            </w:r>
          </w:p>
        </w:tc>
        <w:tc>
          <w:tcPr>
            <w:tcW w:w="0" w:type="dxa"/>
            <w:vAlign w:val="bottom"/>
          </w:tcPr>
          <w:p>
            <w:pPr>
              <w:spacing w:after="0"/>
              <w:rPr>
                <w:sz w:val="1"/>
                <w:szCs w:val="1"/>
                <w:color w:val="auto"/>
              </w:rPr>
            </w:pPr>
          </w:p>
        </w:tc>
      </w:tr>
      <w:tr>
        <w:trPr>
          <w:trHeight w:val="144"/>
        </w:trPr>
        <w:tc>
          <w:tcPr>
            <w:tcW w:w="3280" w:type="dxa"/>
            <w:vAlign w:val="bottom"/>
          </w:tcPr>
          <w:p>
            <w:pPr>
              <w:ind w:left="100"/>
              <w:spacing w:after="0" w:line="144" w:lineRule="exact"/>
              <w:rPr>
                <w:sz w:val="20"/>
                <w:szCs w:val="20"/>
                <w:color w:val="auto"/>
              </w:rPr>
            </w:pPr>
            <w:r>
              <w:rPr>
                <w:rFonts w:ascii="Arial" w:cs="Arial" w:eastAsia="Arial" w:hAnsi="Arial"/>
                <w:sz w:val="10"/>
                <w:szCs w:val="10"/>
                <w:color w:val="auto"/>
              </w:rPr>
              <w:t>Tax-exempt loans</w:t>
            </w:r>
            <w:r>
              <w:rPr>
                <w:rFonts w:ascii="Arial" w:cs="Arial" w:eastAsia="Arial" w:hAnsi="Arial"/>
                <w:sz w:val="16"/>
                <w:szCs w:val="16"/>
                <w:color w:val="auto"/>
                <w:vertAlign w:val="superscript"/>
              </w:rPr>
              <w:t>(2)</w:t>
            </w:r>
          </w:p>
        </w:tc>
        <w:tc>
          <w:tcPr>
            <w:tcW w:w="7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(3)</w:t>
            </w:r>
          </w:p>
        </w:tc>
        <w:tc>
          <w:tcPr>
            <w:tcW w:w="260" w:type="dxa"/>
            <w:vAlign w:val="bottom"/>
          </w:tcPr>
          <w:p>
            <w:pPr>
              <w:spacing w:after="0"/>
              <w:rPr>
                <w:sz w:val="12"/>
                <w:szCs w:val="12"/>
                <w:color w:val="auto"/>
              </w:rPr>
            </w:pPr>
          </w:p>
        </w:tc>
        <w:tc>
          <w:tcPr>
            <w:tcW w:w="1040" w:type="dxa"/>
            <w:vAlign w:val="bottom"/>
            <w:gridSpan w:val="2"/>
          </w:tcPr>
          <w:p>
            <w:pPr>
              <w:jc w:val="right"/>
              <w:ind w:right="126"/>
              <w:spacing w:after="0"/>
              <w:rPr>
                <w:sz w:val="20"/>
                <w:szCs w:val="20"/>
                <w:color w:val="auto"/>
              </w:rPr>
            </w:pPr>
            <w:r>
              <w:rPr>
                <w:rFonts w:ascii="Arial" w:cs="Arial" w:eastAsia="Arial" w:hAnsi="Arial"/>
                <w:sz w:val="12"/>
                <w:szCs w:val="12"/>
                <w:color w:val="auto"/>
              </w:rPr>
              <w:t>2</w:t>
            </w:r>
          </w:p>
        </w:tc>
        <w:tc>
          <w:tcPr>
            <w:tcW w:w="340" w:type="dxa"/>
            <w:vAlign w:val="bottom"/>
          </w:tcPr>
          <w:p>
            <w:pPr>
              <w:spacing w:after="0"/>
              <w:rPr>
                <w:sz w:val="12"/>
                <w:szCs w:val="12"/>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2"/>
                <w:szCs w:val="12"/>
                <w:color w:val="auto"/>
              </w:rPr>
              <w:t>(40)</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9</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44"/>
        </w:trPr>
        <w:tc>
          <w:tcPr>
            <w:tcW w:w="32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Taxable securities</w:t>
            </w:r>
          </w:p>
        </w:tc>
        <w:tc>
          <w:tcPr>
            <w:tcW w:w="7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4,789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(2,956)</w:t>
            </w:r>
          </w:p>
        </w:tc>
        <w:tc>
          <w:tcPr>
            <w:tcW w:w="2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6"/>
              <w:spacing w:after="0"/>
              <w:rPr>
                <w:sz w:val="20"/>
                <w:szCs w:val="20"/>
                <w:color w:val="auto"/>
              </w:rPr>
            </w:pPr>
            <w:r>
              <w:rPr>
                <w:rFonts w:ascii="Arial" w:cs="Arial" w:eastAsia="Arial" w:hAnsi="Arial"/>
                <w:sz w:val="12"/>
                <w:szCs w:val="12"/>
                <w:color w:val="auto"/>
              </w:rPr>
              <w:t>1,833</w:t>
            </w:r>
          </w:p>
        </w:tc>
        <w:tc>
          <w:tcPr>
            <w:tcW w:w="340" w:type="dxa"/>
            <w:vAlign w:val="bottom"/>
            <w:tcBorders>
              <w:lef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5,582</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(4,769)</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813</w:t>
            </w:r>
          </w:p>
        </w:tc>
        <w:tc>
          <w:tcPr>
            <w:tcW w:w="0" w:type="dxa"/>
            <w:vAlign w:val="bottom"/>
          </w:tcPr>
          <w:p>
            <w:pPr>
              <w:spacing w:after="0"/>
              <w:rPr>
                <w:sz w:val="1"/>
                <w:szCs w:val="1"/>
                <w:color w:val="auto"/>
              </w:rPr>
            </w:pPr>
          </w:p>
        </w:tc>
      </w:tr>
      <w:tr>
        <w:trPr>
          <w:trHeight w:val="144"/>
        </w:trPr>
        <w:tc>
          <w:tcPr>
            <w:tcW w:w="3280" w:type="dxa"/>
            <w:vAlign w:val="bottom"/>
          </w:tcPr>
          <w:p>
            <w:pPr>
              <w:ind w:left="100"/>
              <w:spacing w:after="0" w:line="144" w:lineRule="exact"/>
              <w:rPr>
                <w:sz w:val="20"/>
                <w:szCs w:val="20"/>
                <w:color w:val="auto"/>
              </w:rPr>
            </w:pPr>
            <w:r>
              <w:rPr>
                <w:rFonts w:ascii="Arial" w:cs="Arial" w:eastAsia="Arial" w:hAnsi="Arial"/>
                <w:sz w:val="10"/>
                <w:szCs w:val="10"/>
                <w:color w:val="auto"/>
              </w:rPr>
              <w:t>Tax-exempt securities</w:t>
            </w:r>
            <w:r>
              <w:rPr>
                <w:rFonts w:ascii="Arial" w:cs="Arial" w:eastAsia="Arial" w:hAnsi="Arial"/>
                <w:sz w:val="16"/>
                <w:szCs w:val="16"/>
                <w:color w:val="auto"/>
                <w:vertAlign w:val="superscript"/>
              </w:rPr>
              <w:t>(2)</w:t>
            </w:r>
          </w:p>
        </w:tc>
        <w:tc>
          <w:tcPr>
            <w:tcW w:w="7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4,859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(640)</w:t>
            </w:r>
          </w:p>
        </w:tc>
        <w:tc>
          <w:tcPr>
            <w:tcW w:w="260" w:type="dxa"/>
            <w:vAlign w:val="bottom"/>
          </w:tcPr>
          <w:p>
            <w:pPr>
              <w:spacing w:after="0"/>
              <w:rPr>
                <w:sz w:val="12"/>
                <w:szCs w:val="12"/>
                <w:color w:val="auto"/>
              </w:rPr>
            </w:pPr>
          </w:p>
        </w:tc>
        <w:tc>
          <w:tcPr>
            <w:tcW w:w="1040" w:type="dxa"/>
            <w:vAlign w:val="bottom"/>
            <w:gridSpan w:val="2"/>
          </w:tcPr>
          <w:p>
            <w:pPr>
              <w:jc w:val="right"/>
              <w:ind w:right="126"/>
              <w:spacing w:after="0"/>
              <w:rPr>
                <w:sz w:val="20"/>
                <w:szCs w:val="20"/>
                <w:color w:val="auto"/>
              </w:rPr>
            </w:pPr>
            <w:r>
              <w:rPr>
                <w:rFonts w:ascii="Arial" w:cs="Arial" w:eastAsia="Arial" w:hAnsi="Arial"/>
                <w:sz w:val="12"/>
                <w:szCs w:val="12"/>
                <w:color w:val="auto"/>
              </w:rPr>
              <w:t>4,219</w:t>
            </w:r>
          </w:p>
        </w:tc>
        <w:tc>
          <w:tcPr>
            <w:tcW w:w="340" w:type="dxa"/>
            <w:vAlign w:val="bottom"/>
          </w:tcPr>
          <w:p>
            <w:pPr>
              <w:spacing w:after="0"/>
              <w:rPr>
                <w:sz w:val="12"/>
                <w:szCs w:val="1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2"/>
                <w:szCs w:val="12"/>
                <w:color w:val="auto"/>
              </w:rPr>
              <w:t>2,318</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(328)</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1,990</w:t>
            </w:r>
          </w:p>
        </w:tc>
        <w:tc>
          <w:tcPr>
            <w:tcW w:w="0" w:type="dxa"/>
            <w:vAlign w:val="bottom"/>
          </w:tcPr>
          <w:p>
            <w:pPr>
              <w:spacing w:after="0"/>
              <w:rPr>
                <w:sz w:val="1"/>
                <w:szCs w:val="1"/>
                <w:color w:val="auto"/>
              </w:rPr>
            </w:pPr>
          </w:p>
        </w:tc>
      </w:tr>
      <w:tr>
        <w:trPr>
          <w:trHeight w:val="144"/>
        </w:trPr>
        <w:tc>
          <w:tcPr>
            <w:tcW w:w="32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Interest bearing cash</w:t>
            </w:r>
          </w:p>
        </w:tc>
        <w:tc>
          <w:tcPr>
            <w:tcW w:w="7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(123)</w:t>
            </w:r>
          </w:p>
        </w:tc>
        <w:tc>
          <w:tcPr>
            <w:tcW w:w="2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86"/>
              <w:spacing w:after="0"/>
              <w:rPr>
                <w:sz w:val="20"/>
                <w:szCs w:val="20"/>
                <w:color w:val="auto"/>
              </w:rPr>
            </w:pPr>
            <w:r>
              <w:rPr>
                <w:rFonts w:ascii="Arial" w:cs="Arial" w:eastAsia="Arial" w:hAnsi="Arial"/>
                <w:sz w:val="12"/>
                <w:szCs w:val="12"/>
                <w:color w:val="auto"/>
              </w:rPr>
              <w:t>(72)</w:t>
            </w:r>
          </w:p>
        </w:tc>
        <w:tc>
          <w:tcPr>
            <w:tcW w:w="340" w:type="dxa"/>
            <w:vAlign w:val="bottom"/>
            <w:tcBorders>
              <w:lef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154</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(788)</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(634)</w:t>
            </w:r>
          </w:p>
        </w:tc>
        <w:tc>
          <w:tcPr>
            <w:tcW w:w="0" w:type="dxa"/>
            <w:vAlign w:val="bottom"/>
          </w:tcPr>
          <w:p>
            <w:pPr>
              <w:spacing w:after="0"/>
              <w:rPr>
                <w:sz w:val="1"/>
                <w:szCs w:val="1"/>
                <w:color w:val="auto"/>
              </w:rPr>
            </w:pPr>
          </w:p>
        </w:tc>
      </w:tr>
      <w:tr>
        <w:trPr>
          <w:trHeight w:val="144"/>
        </w:trPr>
        <w:tc>
          <w:tcPr>
            <w:tcW w:w="3280" w:type="dxa"/>
            <w:vAlign w:val="bottom"/>
          </w:tcPr>
          <w:p>
            <w:pPr>
              <w:ind w:left="100"/>
              <w:spacing w:after="0"/>
              <w:rPr>
                <w:sz w:val="20"/>
                <w:szCs w:val="20"/>
                <w:color w:val="auto"/>
              </w:rPr>
            </w:pPr>
            <w:r>
              <w:rPr>
                <w:rFonts w:ascii="Arial" w:cs="Arial" w:eastAsia="Arial" w:hAnsi="Arial"/>
                <w:sz w:val="12"/>
                <w:szCs w:val="12"/>
                <w:color w:val="auto"/>
              </w:rPr>
              <w:t>Other investments</w:t>
            </w:r>
          </w:p>
        </w:tc>
        <w:tc>
          <w:tcPr>
            <w:tcW w:w="7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(172)</w:t>
            </w:r>
          </w:p>
        </w:tc>
        <w:tc>
          <w:tcPr>
            <w:tcW w:w="260" w:type="dxa"/>
            <w:vAlign w:val="bottom"/>
          </w:tcPr>
          <w:p>
            <w:pPr>
              <w:spacing w:after="0"/>
              <w:rPr>
                <w:sz w:val="12"/>
                <w:szCs w:val="12"/>
                <w:color w:val="auto"/>
              </w:rPr>
            </w:pPr>
          </w:p>
        </w:tc>
        <w:tc>
          <w:tcPr>
            <w:tcW w:w="1040" w:type="dxa"/>
            <w:vAlign w:val="bottom"/>
            <w:gridSpan w:val="2"/>
          </w:tcPr>
          <w:p>
            <w:pPr>
              <w:jc w:val="right"/>
              <w:ind w:right="86"/>
              <w:spacing w:after="0"/>
              <w:rPr>
                <w:sz w:val="20"/>
                <w:szCs w:val="20"/>
                <w:color w:val="auto"/>
              </w:rPr>
            </w:pPr>
            <w:r>
              <w:rPr>
                <w:rFonts w:ascii="Arial" w:cs="Arial" w:eastAsia="Arial" w:hAnsi="Arial"/>
                <w:sz w:val="12"/>
                <w:szCs w:val="12"/>
                <w:color w:val="auto"/>
              </w:rPr>
              <w:t>(171)</w:t>
            </w:r>
          </w:p>
        </w:tc>
        <w:tc>
          <w:tcPr>
            <w:tcW w:w="340" w:type="dxa"/>
            <w:vAlign w:val="bottom"/>
          </w:tcPr>
          <w:p>
            <w:pPr>
              <w:spacing w:after="0"/>
              <w:rPr>
                <w:sz w:val="12"/>
                <w:szCs w:val="1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(141)</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(138)</w:t>
            </w:r>
          </w:p>
        </w:tc>
        <w:tc>
          <w:tcPr>
            <w:tcW w:w="0" w:type="dxa"/>
            <w:vAlign w:val="bottom"/>
          </w:tcPr>
          <w:p>
            <w:pPr>
              <w:spacing w:after="0"/>
              <w:rPr>
                <w:sz w:val="1"/>
                <w:szCs w:val="1"/>
                <w:color w:val="auto"/>
              </w:rPr>
            </w:pPr>
          </w:p>
        </w:tc>
      </w:tr>
      <w:tr>
        <w:trPr>
          <w:trHeight w:val="142"/>
        </w:trPr>
        <w:tc>
          <w:tcPr>
            <w:tcW w:w="3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Total interest income</w:t>
            </w:r>
          </w:p>
        </w:tc>
        <w:tc>
          <w:tcPr>
            <w:tcW w:w="780" w:type="dxa"/>
            <w:vAlign w:val="bottom"/>
            <w:tcBorders>
              <w:top w:val="single" w:sz="8" w:color="auto"/>
              <w:bottom w:val="single" w:sz="8" w:color="auto"/>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2"/>
              </w:rPr>
              <w:t>10,477</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(11,183)</w:t>
            </w:r>
          </w:p>
        </w:tc>
        <w:tc>
          <w:tcPr>
            <w:tcW w:w="2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(706)</w:t>
            </w:r>
          </w:p>
        </w:tc>
        <w:tc>
          <w:tcPr>
            <w:tcW w:w="1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top w:val="single" w:sz="8" w:color="auto"/>
              <w:left w:val="single" w:sz="8" w:color="CCEEFF"/>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15,122</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(23,821)</w:t>
            </w:r>
          </w:p>
        </w:tc>
        <w:tc>
          <w:tcPr>
            <w:tcW w:w="2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(8,699)</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80" w:type="dxa"/>
            <w:vAlign w:val="bottom"/>
          </w:tcPr>
          <w:p>
            <w:pPr>
              <w:spacing w:after="0" w:line="142" w:lineRule="exact"/>
              <w:rPr>
                <w:sz w:val="20"/>
                <w:szCs w:val="20"/>
                <w:color w:val="auto"/>
              </w:rPr>
            </w:pPr>
            <w:r>
              <w:rPr>
                <w:rFonts w:ascii="Arial" w:cs="Arial" w:eastAsia="Arial" w:hAnsi="Arial"/>
                <w:sz w:val="10"/>
                <w:szCs w:val="10"/>
                <w:color w:val="auto"/>
              </w:rPr>
              <w:t>Increase (decrease) in interest expense</w:t>
            </w:r>
            <w:r>
              <w:rPr>
                <w:rFonts w:ascii="Arial" w:cs="Arial" w:eastAsia="Arial" w:hAnsi="Arial"/>
                <w:sz w:val="16"/>
                <w:szCs w:val="16"/>
                <w:color w:val="auto"/>
                <w:vertAlign w:val="superscript"/>
              </w:rPr>
              <w:t>(1)</w:t>
            </w: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Savings and interest bearing checking</w:t>
            </w:r>
          </w:p>
        </w:tc>
        <w:tc>
          <w:tcPr>
            <w:tcW w:w="7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(2,014)</w:t>
            </w:r>
          </w:p>
        </w:tc>
        <w:tc>
          <w:tcPr>
            <w:tcW w:w="2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86"/>
              <w:spacing w:after="0"/>
              <w:rPr>
                <w:sz w:val="20"/>
                <w:szCs w:val="20"/>
                <w:color w:val="auto"/>
              </w:rPr>
            </w:pPr>
            <w:r>
              <w:rPr>
                <w:rFonts w:ascii="Arial" w:cs="Arial" w:eastAsia="Arial" w:hAnsi="Arial"/>
                <w:sz w:val="12"/>
                <w:szCs w:val="12"/>
                <w:color w:val="auto"/>
              </w:rPr>
              <w:t>(1,189)</w:t>
            </w:r>
          </w:p>
        </w:tc>
        <w:tc>
          <w:tcPr>
            <w:tcW w:w="340" w:type="dxa"/>
            <w:vAlign w:val="bottom"/>
            <w:tcBorders>
              <w:lef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2,109</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(8,455)</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(6,346)</w:t>
            </w:r>
          </w:p>
        </w:tc>
        <w:tc>
          <w:tcPr>
            <w:tcW w:w="0" w:type="dxa"/>
            <w:vAlign w:val="bottom"/>
          </w:tcPr>
          <w:p>
            <w:pPr>
              <w:spacing w:after="0"/>
              <w:rPr>
                <w:sz w:val="1"/>
                <w:szCs w:val="1"/>
                <w:color w:val="auto"/>
              </w:rPr>
            </w:pPr>
          </w:p>
        </w:tc>
      </w:tr>
      <w:tr>
        <w:trPr>
          <w:trHeight w:val="144"/>
        </w:trPr>
        <w:tc>
          <w:tcPr>
            <w:tcW w:w="3280" w:type="dxa"/>
            <w:vAlign w:val="bottom"/>
          </w:tcPr>
          <w:p>
            <w:pPr>
              <w:ind w:left="100"/>
              <w:spacing w:after="0"/>
              <w:rPr>
                <w:sz w:val="20"/>
                <w:szCs w:val="20"/>
                <w:color w:val="auto"/>
              </w:rPr>
            </w:pPr>
            <w:r>
              <w:rPr>
                <w:rFonts w:ascii="Arial" w:cs="Arial" w:eastAsia="Arial" w:hAnsi="Arial"/>
                <w:sz w:val="12"/>
                <w:szCs w:val="12"/>
                <w:color w:val="auto"/>
              </w:rPr>
              <w:t>Time deposits</w:t>
            </w:r>
          </w:p>
        </w:tc>
        <w:tc>
          <w:tcPr>
            <w:tcW w:w="780" w:type="dxa"/>
            <w:vAlign w:val="bottom"/>
          </w:tcPr>
          <w:p>
            <w:pPr>
              <w:spacing w:after="0"/>
              <w:rPr>
                <w:sz w:val="12"/>
                <w:szCs w:val="12"/>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2"/>
                <w:szCs w:val="12"/>
                <w:color w:val="auto"/>
                <w:w w:val="99"/>
              </w:rPr>
              <w:t>(2,463)</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(4,549)</w:t>
            </w:r>
          </w:p>
        </w:tc>
        <w:tc>
          <w:tcPr>
            <w:tcW w:w="260" w:type="dxa"/>
            <w:vAlign w:val="bottom"/>
          </w:tcPr>
          <w:p>
            <w:pPr>
              <w:spacing w:after="0"/>
              <w:rPr>
                <w:sz w:val="12"/>
                <w:szCs w:val="12"/>
                <w:color w:val="auto"/>
              </w:rPr>
            </w:pPr>
          </w:p>
        </w:tc>
        <w:tc>
          <w:tcPr>
            <w:tcW w:w="1040" w:type="dxa"/>
            <w:vAlign w:val="bottom"/>
            <w:gridSpan w:val="2"/>
          </w:tcPr>
          <w:p>
            <w:pPr>
              <w:jc w:val="right"/>
              <w:ind w:right="86"/>
              <w:spacing w:after="0"/>
              <w:rPr>
                <w:sz w:val="20"/>
                <w:szCs w:val="20"/>
                <w:color w:val="auto"/>
              </w:rPr>
            </w:pPr>
            <w:r>
              <w:rPr>
                <w:rFonts w:ascii="Arial" w:cs="Arial" w:eastAsia="Arial" w:hAnsi="Arial"/>
                <w:sz w:val="12"/>
                <w:szCs w:val="12"/>
                <w:color w:val="auto"/>
              </w:rPr>
              <w:t>(7,012)</w:t>
            </w:r>
          </w:p>
        </w:tc>
        <w:tc>
          <w:tcPr>
            <w:tcW w:w="340" w:type="dxa"/>
            <w:vAlign w:val="bottom"/>
          </w:tcPr>
          <w:p>
            <w:pPr>
              <w:spacing w:after="0"/>
              <w:rPr>
                <w:sz w:val="12"/>
                <w:szCs w:val="12"/>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2"/>
                <w:szCs w:val="12"/>
                <w:color w:val="auto"/>
              </w:rPr>
              <w:t>(2,555)</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(1,858)</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(4,413)</w:t>
            </w:r>
          </w:p>
        </w:tc>
        <w:tc>
          <w:tcPr>
            <w:tcW w:w="0" w:type="dxa"/>
            <w:vAlign w:val="bottom"/>
          </w:tcPr>
          <w:p>
            <w:pPr>
              <w:spacing w:after="0"/>
              <w:rPr>
                <w:sz w:val="1"/>
                <w:szCs w:val="1"/>
                <w:color w:val="auto"/>
              </w:rPr>
            </w:pPr>
          </w:p>
        </w:tc>
      </w:tr>
      <w:tr>
        <w:trPr>
          <w:trHeight w:val="144"/>
        </w:trPr>
        <w:tc>
          <w:tcPr>
            <w:tcW w:w="32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Other borrowings</w:t>
            </w:r>
          </w:p>
        </w:tc>
        <w:tc>
          <w:tcPr>
            <w:tcW w:w="7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(286)</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585</w:t>
            </w:r>
          </w:p>
        </w:tc>
        <w:tc>
          <w:tcPr>
            <w:tcW w:w="2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6"/>
              <w:spacing w:after="0"/>
              <w:rPr>
                <w:sz w:val="20"/>
                <w:szCs w:val="20"/>
                <w:color w:val="auto"/>
              </w:rPr>
            </w:pPr>
            <w:r>
              <w:rPr>
                <w:rFonts w:ascii="Arial" w:cs="Arial" w:eastAsia="Arial" w:hAnsi="Arial"/>
                <w:sz w:val="12"/>
                <w:szCs w:val="12"/>
                <w:color w:val="auto"/>
              </w:rPr>
              <w:t>299</w:t>
            </w:r>
          </w:p>
        </w:tc>
        <w:tc>
          <w:tcPr>
            <w:tcW w:w="340" w:type="dxa"/>
            <w:vAlign w:val="bottom"/>
            <w:tcBorders>
              <w:lef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1,311</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(682)</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629</w:t>
            </w:r>
          </w:p>
        </w:tc>
        <w:tc>
          <w:tcPr>
            <w:tcW w:w="0" w:type="dxa"/>
            <w:vAlign w:val="bottom"/>
          </w:tcPr>
          <w:p>
            <w:pPr>
              <w:spacing w:after="0"/>
              <w:rPr>
                <w:sz w:val="1"/>
                <w:szCs w:val="1"/>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tcBorders>
              <w:left w:val="single" w:sz="8" w:color="CCEEFF"/>
            </w:tcBorders>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80" w:type="dxa"/>
            <w:vAlign w:val="bottom"/>
          </w:tcPr>
          <w:p>
            <w:pPr>
              <w:ind w:left="200"/>
              <w:spacing w:after="0"/>
              <w:rPr>
                <w:sz w:val="20"/>
                <w:szCs w:val="20"/>
                <w:color w:val="auto"/>
              </w:rPr>
            </w:pPr>
            <w:r>
              <w:rPr>
                <w:rFonts w:ascii="Arial" w:cs="Arial" w:eastAsia="Arial" w:hAnsi="Arial"/>
                <w:sz w:val="12"/>
                <w:szCs w:val="12"/>
                <w:color w:val="auto"/>
              </w:rPr>
              <w:t>Total interest expense</w:t>
            </w:r>
          </w:p>
        </w:tc>
        <w:tc>
          <w:tcPr>
            <w:tcW w:w="780" w:type="dxa"/>
            <w:vAlign w:val="bottom"/>
          </w:tcPr>
          <w:p>
            <w:pPr>
              <w:spacing w:after="0"/>
              <w:rPr>
                <w:sz w:val="12"/>
                <w:szCs w:val="12"/>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2"/>
                <w:szCs w:val="12"/>
                <w:color w:val="auto"/>
                <w:w w:val="99"/>
              </w:rPr>
              <w:t>(1,924)</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(5,978)</w:t>
            </w:r>
          </w:p>
        </w:tc>
        <w:tc>
          <w:tcPr>
            <w:tcW w:w="260" w:type="dxa"/>
            <w:vAlign w:val="bottom"/>
          </w:tcPr>
          <w:p>
            <w:pPr>
              <w:spacing w:after="0"/>
              <w:rPr>
                <w:sz w:val="12"/>
                <w:szCs w:val="12"/>
                <w:color w:val="auto"/>
              </w:rPr>
            </w:pPr>
          </w:p>
        </w:tc>
        <w:tc>
          <w:tcPr>
            <w:tcW w:w="1040" w:type="dxa"/>
            <w:vAlign w:val="bottom"/>
            <w:gridSpan w:val="2"/>
          </w:tcPr>
          <w:p>
            <w:pPr>
              <w:jc w:val="right"/>
              <w:ind w:right="86"/>
              <w:spacing w:after="0"/>
              <w:rPr>
                <w:sz w:val="20"/>
                <w:szCs w:val="20"/>
                <w:color w:val="auto"/>
              </w:rPr>
            </w:pPr>
            <w:r>
              <w:rPr>
                <w:rFonts w:ascii="Arial" w:cs="Arial" w:eastAsia="Arial" w:hAnsi="Arial"/>
                <w:sz w:val="12"/>
                <w:szCs w:val="12"/>
                <w:color w:val="auto"/>
              </w:rPr>
              <w:t>(7,902)</w:t>
            </w:r>
          </w:p>
        </w:tc>
        <w:tc>
          <w:tcPr>
            <w:tcW w:w="340" w:type="dxa"/>
            <w:vAlign w:val="bottom"/>
          </w:tcPr>
          <w:p>
            <w:pPr>
              <w:spacing w:after="0"/>
              <w:rPr>
                <w:sz w:val="12"/>
                <w:szCs w:val="1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2"/>
                <w:szCs w:val="12"/>
                <w:color w:val="auto"/>
              </w:rPr>
              <w:t>865</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(10,995)</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(10,130)</w:t>
            </w:r>
          </w:p>
        </w:tc>
        <w:tc>
          <w:tcPr>
            <w:tcW w:w="0" w:type="dxa"/>
            <w:vAlign w:val="bottom"/>
          </w:tcPr>
          <w:p>
            <w:pPr>
              <w:spacing w:after="0"/>
              <w:rPr>
                <w:sz w:val="1"/>
                <w:szCs w:val="1"/>
                <w:color w:val="auto"/>
              </w:rPr>
            </w:pPr>
          </w:p>
        </w:tc>
      </w:tr>
      <w:tr>
        <w:trPr>
          <w:trHeight w:val="182"/>
        </w:trPr>
        <w:tc>
          <w:tcPr>
            <w:tcW w:w="32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Net interest income</w:t>
            </w:r>
          </w:p>
        </w:tc>
        <w:tc>
          <w:tcPr>
            <w:tcW w:w="780" w:type="dxa"/>
            <w:vAlign w:val="bottom"/>
            <w:tcBorders>
              <w:top w:val="single" w:sz="8" w:color="auto"/>
              <w:bottom w:val="single" w:sz="8" w:color="auto"/>
            </w:tcBorders>
            <w:shd w:val="clear" w:color="auto" w:fill="CCEEFF"/>
          </w:tcPr>
          <w:p>
            <w:pPr>
              <w:jc w:val="right"/>
              <w:ind w:right="668"/>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2"/>
              </w:rPr>
              <w:t>12,401</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jc w:val="right"/>
              <w:ind w:right="332"/>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(5,205)</w:t>
            </w:r>
          </w:p>
        </w:tc>
        <w:tc>
          <w:tcPr>
            <w:tcW w:w="2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7,196</w:t>
            </w:r>
          </w:p>
        </w:tc>
        <w:tc>
          <w:tcPr>
            <w:tcW w:w="1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top w:val="single" w:sz="8" w:color="auto"/>
              <w:left w:val="single" w:sz="8" w:color="CCEEFF"/>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14,257</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(12,826)</w:t>
            </w:r>
          </w:p>
        </w:tc>
        <w:tc>
          <w:tcPr>
            <w:tcW w:w="2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1,431</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931545" cy="114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931545" cy="11430"/>
                    </a:xfrm>
                    <a:prstGeom prst="rect">
                      <a:avLst/>
                    </a:prstGeom>
                    <a:noFill/>
                  </pic:spPr>
                </pic:pic>
              </a:graphicData>
            </a:graphic>
          </wp:anchor>
        </w:drawing>
      </w:r>
    </w:p>
    <w:p>
      <w:pPr>
        <w:spacing w:after="0" w:line="133" w:lineRule="exact"/>
        <w:rPr>
          <w:sz w:val="20"/>
          <w:szCs w:val="20"/>
          <w:color w:val="auto"/>
        </w:rPr>
      </w:pPr>
    </w:p>
    <w:p>
      <w:pPr>
        <w:ind w:left="208" w:hanging="208"/>
        <w:spacing w:after="0"/>
        <w:tabs>
          <w:tab w:leader="none" w:pos="208" w:val="left"/>
        </w:tabs>
        <w:numPr>
          <w:ilvl w:val="0"/>
          <w:numId w:val="13"/>
        </w:numPr>
        <w:rPr>
          <w:rFonts w:ascii="Arial" w:cs="Arial" w:eastAsia="Arial" w:hAnsi="Arial"/>
          <w:sz w:val="11"/>
          <w:szCs w:val="11"/>
          <w:color w:val="auto"/>
        </w:rPr>
      </w:pPr>
      <w:r>
        <w:rPr>
          <w:rFonts w:ascii="Arial" w:cs="Arial" w:eastAsia="Arial" w:hAnsi="Arial"/>
          <w:sz w:val="11"/>
          <w:szCs w:val="11"/>
          <w:color w:val="auto"/>
        </w:rPr>
        <w:t>The change in interest due to changes in both balance and rate has been allocated to change due to balance and change due to rate in proportion to the relationship of the absolute dollar amounts of change in each.</w:t>
      </w:r>
    </w:p>
    <w:p>
      <w:pPr>
        <w:spacing w:after="0" w:line="161" w:lineRule="exact"/>
        <w:rPr>
          <w:rFonts w:ascii="Arial" w:cs="Arial" w:eastAsia="Arial" w:hAnsi="Arial"/>
          <w:sz w:val="11"/>
          <w:szCs w:val="11"/>
          <w:color w:val="auto"/>
        </w:rPr>
      </w:pPr>
    </w:p>
    <w:p>
      <w:pPr>
        <w:ind w:left="208" w:hanging="208"/>
        <w:spacing w:after="0"/>
        <w:tabs>
          <w:tab w:leader="none" w:pos="208" w:val="left"/>
        </w:tabs>
        <w:numPr>
          <w:ilvl w:val="0"/>
          <w:numId w:val="13"/>
        </w:numPr>
        <w:rPr>
          <w:rFonts w:ascii="Arial" w:cs="Arial" w:eastAsia="Arial" w:hAnsi="Arial"/>
          <w:sz w:val="12"/>
          <w:szCs w:val="12"/>
          <w:color w:val="auto"/>
        </w:rPr>
      </w:pPr>
      <w:r>
        <w:rPr>
          <w:rFonts w:ascii="Arial" w:cs="Arial" w:eastAsia="Arial" w:hAnsi="Arial"/>
          <w:sz w:val="12"/>
          <w:szCs w:val="12"/>
          <w:color w:val="auto"/>
        </w:rPr>
        <w:t>Interest on tax-exempt loans and securities is presented on a fully tax equivalent basis assuming a marginal tax rate of 21%.</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COMPOSITION OF AVERAGE INTEREST EARNING ASSETS AND INTEREST BEARING LIABILITIES</w:t>
      </w:r>
    </w:p>
    <w:p>
      <w:pPr>
        <w:spacing w:after="0" w:line="150" w:lineRule="exact"/>
        <w:rPr>
          <w:sz w:val="20"/>
          <w:szCs w:val="20"/>
          <w:color w:val="auto"/>
        </w:rPr>
      </w:pPr>
    </w:p>
    <w:p>
      <w:pPr>
        <w:ind w:left="8608"/>
        <w:spacing w:after="0"/>
        <w:rPr>
          <w:sz w:val="20"/>
          <w:szCs w:val="20"/>
          <w:color w:val="auto"/>
        </w:rPr>
      </w:pPr>
      <w:r>
        <w:rPr>
          <w:rFonts w:ascii="Arial" w:cs="Arial" w:eastAsia="Arial" w:hAnsi="Arial"/>
          <w:sz w:val="12"/>
          <w:szCs w:val="12"/>
          <w:b w:val="1"/>
          <w:bCs w:val="1"/>
          <w:color w:val="auto"/>
        </w:rPr>
        <w:t>Year Ended December 31,</w:t>
      </w:r>
    </w:p>
    <w:p>
      <w:pPr>
        <w:spacing w:after="0" w:line="19"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7340" w:type="dxa"/>
            <w:vAlign w:val="bottom"/>
          </w:tcPr>
          <w:p>
            <w:pPr>
              <w:spacing w:after="0"/>
              <w:rPr>
                <w:sz w:val="12"/>
                <w:szCs w:val="12"/>
                <w:color w:val="auto"/>
              </w:rPr>
            </w:pP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2021</w:t>
            </w:r>
          </w:p>
        </w:tc>
        <w:tc>
          <w:tcPr>
            <w:tcW w:w="1380" w:type="dxa"/>
            <w:vAlign w:val="bottom"/>
            <w:tcBorders>
              <w:top w:val="single" w:sz="8" w:color="auto"/>
            </w:tcBorders>
            <w:gridSpan w:val="3"/>
          </w:tcPr>
          <w:p>
            <w:pPr>
              <w:ind w:left="1040"/>
              <w:spacing w:after="0"/>
              <w:rPr>
                <w:sz w:val="20"/>
                <w:szCs w:val="20"/>
                <w:color w:val="auto"/>
              </w:rPr>
            </w:pPr>
            <w:r>
              <w:rPr>
                <w:rFonts w:ascii="Arial" w:cs="Arial" w:eastAsia="Arial" w:hAnsi="Arial"/>
                <w:sz w:val="12"/>
                <w:szCs w:val="12"/>
                <w:b w:val="1"/>
                <w:bCs w:val="1"/>
                <w:color w:val="auto"/>
              </w:rPr>
              <w:t>2020</w:t>
            </w:r>
          </w:p>
        </w:tc>
        <w:tc>
          <w:tcPr>
            <w:tcW w:w="3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2"/>
                <w:szCs w:val="12"/>
                <w:color w:val="auto"/>
              </w:rPr>
            </w:pPr>
          </w:p>
        </w:tc>
      </w:tr>
      <w:tr>
        <w:trPr>
          <w:trHeight w:val="142"/>
        </w:trPr>
        <w:tc>
          <w:tcPr>
            <w:tcW w:w="7340" w:type="dxa"/>
            <w:vAlign w:val="bottom"/>
          </w:tcPr>
          <w:p>
            <w:pPr>
              <w:spacing w:after="0"/>
              <w:rPr>
                <w:sz w:val="20"/>
                <w:szCs w:val="20"/>
                <w:color w:val="auto"/>
              </w:rPr>
            </w:pPr>
            <w:r>
              <w:rPr>
                <w:rFonts w:ascii="Arial" w:cs="Arial" w:eastAsia="Arial" w:hAnsi="Arial"/>
                <w:sz w:val="12"/>
                <w:szCs w:val="12"/>
                <w:color w:val="auto"/>
              </w:rPr>
              <w:t>As a percent of average interest earning assets</w:t>
            </w:r>
          </w:p>
        </w:tc>
        <w:tc>
          <w:tcPr>
            <w:tcW w:w="7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12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Loans</w:t>
            </w:r>
          </w:p>
        </w:tc>
        <w:tc>
          <w:tcPr>
            <w:tcW w:w="60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68.0%</w:t>
            </w:r>
          </w:p>
        </w:tc>
        <w:tc>
          <w:tcPr>
            <w:tcW w:w="7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77.1%</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84.1%</w:t>
            </w:r>
          </w:p>
        </w:tc>
      </w:tr>
      <w:tr>
        <w:trPr>
          <w:trHeight w:val="144"/>
        </w:trPr>
        <w:tc>
          <w:tcPr>
            <w:tcW w:w="7340" w:type="dxa"/>
            <w:vAlign w:val="bottom"/>
          </w:tcPr>
          <w:p>
            <w:pPr>
              <w:ind w:left="100"/>
              <w:spacing w:after="0"/>
              <w:rPr>
                <w:sz w:val="20"/>
                <w:szCs w:val="20"/>
                <w:color w:val="auto"/>
              </w:rPr>
            </w:pPr>
            <w:r>
              <w:rPr>
                <w:rFonts w:ascii="Arial" w:cs="Arial" w:eastAsia="Arial" w:hAnsi="Arial"/>
                <w:sz w:val="12"/>
                <w:szCs w:val="12"/>
                <w:color w:val="auto"/>
              </w:rPr>
              <w:t>Other interest earning assets</w:t>
            </w:r>
          </w:p>
        </w:tc>
        <w:tc>
          <w:tcPr>
            <w:tcW w:w="780" w:type="dxa"/>
            <w:vAlign w:val="bottom"/>
          </w:tcPr>
          <w:p>
            <w:pPr>
              <w:spacing w:after="0"/>
              <w:rPr>
                <w:sz w:val="12"/>
                <w:szCs w:val="12"/>
                <w:color w:val="auto"/>
              </w:rPr>
            </w:pPr>
          </w:p>
        </w:tc>
        <w:tc>
          <w:tcPr>
            <w:tcW w:w="360" w:type="dxa"/>
            <w:vAlign w:val="bottom"/>
          </w:tcPr>
          <w:p>
            <w:pPr>
              <w:ind w:left="160"/>
              <w:spacing w:after="0"/>
              <w:rPr>
                <w:sz w:val="20"/>
                <w:szCs w:val="20"/>
                <w:color w:val="auto"/>
              </w:rPr>
            </w:pPr>
            <w:r>
              <w:rPr>
                <w:rFonts w:ascii="Arial" w:cs="Arial" w:eastAsia="Arial" w:hAnsi="Arial"/>
                <w:sz w:val="11"/>
                <w:szCs w:val="11"/>
                <w:color w:val="auto"/>
                <w:w w:val="74"/>
              </w:rPr>
              <w:t>32.0</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2"/>
                <w:szCs w:val="12"/>
                <w:color w:val="auto"/>
              </w:rPr>
              <w:t>22.9</w:t>
            </w: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15.9</w:t>
            </w:r>
          </w:p>
        </w:tc>
      </w:tr>
      <w:tr>
        <w:trPr>
          <w:trHeight w:val="20"/>
        </w:trPr>
        <w:tc>
          <w:tcPr>
            <w:tcW w:w="73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2"/>
        </w:trPr>
        <w:tc>
          <w:tcPr>
            <w:tcW w:w="7340" w:type="dxa"/>
            <w:vAlign w:val="bottom"/>
            <w:shd w:val="clear" w:color="auto" w:fill="CCEEFF"/>
          </w:tcPr>
          <w:p>
            <w:pPr>
              <w:ind w:left="200"/>
              <w:spacing w:after="0"/>
              <w:rPr>
                <w:sz w:val="20"/>
                <w:szCs w:val="20"/>
                <w:color w:val="auto"/>
              </w:rPr>
            </w:pPr>
            <w:r>
              <w:rPr>
                <w:rFonts w:ascii="Arial" w:cs="Arial" w:eastAsia="Arial" w:hAnsi="Arial"/>
                <w:sz w:val="12"/>
                <w:szCs w:val="12"/>
                <w:color w:val="auto"/>
              </w:rPr>
              <w:t>Average interest earning assets</w:t>
            </w:r>
          </w:p>
        </w:tc>
        <w:tc>
          <w:tcPr>
            <w:tcW w:w="7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100.0%</w:t>
            </w:r>
          </w:p>
        </w:tc>
        <w:tc>
          <w:tcPr>
            <w:tcW w:w="7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100.0%</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100.0%</w:t>
            </w:r>
          </w:p>
        </w:tc>
      </w:tr>
      <w:tr>
        <w:trPr>
          <w:trHeight w:val="20"/>
        </w:trPr>
        <w:tc>
          <w:tcPr>
            <w:tcW w:w="73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20"/>
        </w:trPr>
        <w:tc>
          <w:tcPr>
            <w:tcW w:w="7340" w:type="dxa"/>
            <w:vAlign w:val="bottom"/>
          </w:tcPr>
          <w:p>
            <w:pPr>
              <w:ind w:left="100"/>
              <w:spacing w:after="0" w:line="120" w:lineRule="exact"/>
              <w:rPr>
                <w:sz w:val="20"/>
                <w:szCs w:val="20"/>
                <w:color w:val="auto"/>
              </w:rPr>
            </w:pPr>
            <w:r>
              <w:rPr>
                <w:rFonts w:ascii="Arial" w:cs="Arial" w:eastAsia="Arial" w:hAnsi="Arial"/>
                <w:sz w:val="12"/>
                <w:szCs w:val="12"/>
                <w:color w:val="auto"/>
              </w:rPr>
              <w:t>Savings and interest-bearing checking</w:t>
            </w:r>
          </w:p>
        </w:tc>
        <w:tc>
          <w:tcPr>
            <w:tcW w:w="780" w:type="dxa"/>
            <w:vAlign w:val="bottom"/>
          </w:tcPr>
          <w:p>
            <w:pPr>
              <w:spacing w:after="0"/>
              <w:rPr>
                <w:sz w:val="10"/>
                <w:szCs w:val="10"/>
                <w:color w:val="auto"/>
              </w:rPr>
            </w:pPr>
          </w:p>
        </w:tc>
        <w:tc>
          <w:tcPr>
            <w:tcW w:w="600" w:type="dxa"/>
            <w:vAlign w:val="bottom"/>
            <w:gridSpan w:val="2"/>
          </w:tcPr>
          <w:p>
            <w:pPr>
              <w:ind w:left="160"/>
              <w:spacing w:after="0" w:line="120" w:lineRule="exact"/>
              <w:rPr>
                <w:sz w:val="20"/>
                <w:szCs w:val="20"/>
                <w:color w:val="auto"/>
              </w:rPr>
            </w:pPr>
            <w:r>
              <w:rPr>
                <w:rFonts w:ascii="Arial" w:cs="Arial" w:eastAsia="Arial" w:hAnsi="Arial"/>
                <w:sz w:val="12"/>
                <w:szCs w:val="12"/>
                <w:color w:val="auto"/>
              </w:rPr>
              <w:t>53.7%</w:t>
            </w:r>
          </w:p>
        </w:tc>
        <w:tc>
          <w:tcPr>
            <w:tcW w:w="780" w:type="dxa"/>
            <w:vAlign w:val="bottom"/>
          </w:tcPr>
          <w:p>
            <w:pPr>
              <w:spacing w:after="0"/>
              <w:rPr>
                <w:sz w:val="10"/>
                <w:szCs w:val="10"/>
                <w:color w:val="auto"/>
              </w:rPr>
            </w:pPr>
          </w:p>
        </w:tc>
        <w:tc>
          <w:tcPr>
            <w:tcW w:w="560" w:type="dxa"/>
            <w:vAlign w:val="bottom"/>
            <w:gridSpan w:val="2"/>
          </w:tcPr>
          <w:p>
            <w:pPr>
              <w:jc w:val="right"/>
              <w:ind w:right="120"/>
              <w:spacing w:after="0" w:line="120" w:lineRule="exact"/>
              <w:rPr>
                <w:sz w:val="20"/>
                <w:szCs w:val="20"/>
                <w:color w:val="auto"/>
              </w:rPr>
            </w:pPr>
            <w:r>
              <w:rPr>
                <w:rFonts w:ascii="Arial" w:cs="Arial" w:eastAsia="Arial" w:hAnsi="Arial"/>
                <w:sz w:val="12"/>
                <w:szCs w:val="12"/>
                <w:color w:val="auto"/>
              </w:rPr>
              <w:t>48.9%</w:t>
            </w:r>
          </w:p>
        </w:tc>
        <w:tc>
          <w:tcPr>
            <w:tcW w:w="1240" w:type="dxa"/>
            <w:vAlign w:val="bottom"/>
            <w:gridSpan w:val="2"/>
          </w:tcPr>
          <w:p>
            <w:pPr>
              <w:jc w:val="right"/>
              <w:ind w:right="20"/>
              <w:spacing w:after="0" w:line="120" w:lineRule="exact"/>
              <w:rPr>
                <w:sz w:val="20"/>
                <w:szCs w:val="20"/>
                <w:color w:val="auto"/>
              </w:rPr>
            </w:pPr>
            <w:r>
              <w:rPr>
                <w:rFonts w:ascii="Arial" w:cs="Arial" w:eastAsia="Arial" w:hAnsi="Arial"/>
                <w:sz w:val="12"/>
                <w:szCs w:val="12"/>
                <w:color w:val="auto"/>
              </w:rPr>
              <w:t>44.9%</w:t>
            </w:r>
          </w:p>
        </w:tc>
      </w:tr>
      <w:tr>
        <w:trPr>
          <w:trHeight w:val="144"/>
        </w:trPr>
        <w:tc>
          <w:tcPr>
            <w:tcW w:w="812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Time deposits</w:t>
            </w:r>
          </w:p>
        </w:tc>
        <w:tc>
          <w:tcPr>
            <w:tcW w:w="360" w:type="dxa"/>
            <w:vAlign w:val="bottom"/>
            <w:shd w:val="clear" w:color="auto" w:fill="CCEEFF"/>
          </w:tcPr>
          <w:p>
            <w:pPr>
              <w:ind w:left="220"/>
              <w:spacing w:after="0"/>
              <w:rPr>
                <w:sz w:val="20"/>
                <w:szCs w:val="20"/>
                <w:color w:val="auto"/>
              </w:rPr>
            </w:pPr>
            <w:r>
              <w:rPr>
                <w:rFonts w:ascii="Arial" w:cs="Arial" w:eastAsia="Arial" w:hAnsi="Arial"/>
                <w:sz w:val="10"/>
                <w:szCs w:val="10"/>
                <w:color w:val="auto"/>
                <w:w w:val="71"/>
              </w:rPr>
              <w:t>7.7</w:t>
            </w:r>
          </w:p>
        </w:tc>
        <w:tc>
          <w:tcPr>
            <w:tcW w:w="240" w:type="dxa"/>
            <w:vAlign w:val="bottom"/>
            <w:tcBorders>
              <w:left w:val="single" w:sz="8" w:color="CCEEFF"/>
            </w:tcBorders>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13.9</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20.3</w:t>
            </w:r>
          </w:p>
        </w:tc>
      </w:tr>
      <w:tr>
        <w:trPr>
          <w:trHeight w:val="144"/>
        </w:trPr>
        <w:tc>
          <w:tcPr>
            <w:tcW w:w="7340" w:type="dxa"/>
            <w:vAlign w:val="bottom"/>
          </w:tcPr>
          <w:p>
            <w:pPr>
              <w:ind w:left="100"/>
              <w:spacing w:after="0"/>
              <w:rPr>
                <w:sz w:val="20"/>
                <w:szCs w:val="20"/>
                <w:color w:val="auto"/>
              </w:rPr>
            </w:pPr>
            <w:r>
              <w:rPr>
                <w:rFonts w:ascii="Arial" w:cs="Arial" w:eastAsia="Arial" w:hAnsi="Arial"/>
                <w:sz w:val="12"/>
                <w:szCs w:val="12"/>
                <w:color w:val="auto"/>
              </w:rPr>
              <w:t>Other borrowings</w:t>
            </w:r>
          </w:p>
        </w:tc>
        <w:tc>
          <w:tcPr>
            <w:tcW w:w="780" w:type="dxa"/>
            <w:vAlign w:val="bottom"/>
          </w:tcPr>
          <w:p>
            <w:pPr>
              <w:spacing w:after="0"/>
              <w:rPr>
                <w:sz w:val="12"/>
                <w:szCs w:val="12"/>
                <w:color w:val="auto"/>
              </w:rPr>
            </w:pPr>
          </w:p>
        </w:tc>
        <w:tc>
          <w:tcPr>
            <w:tcW w:w="360" w:type="dxa"/>
            <w:vAlign w:val="bottom"/>
          </w:tcPr>
          <w:p>
            <w:pPr>
              <w:ind w:left="220"/>
              <w:spacing w:after="0"/>
              <w:rPr>
                <w:sz w:val="20"/>
                <w:szCs w:val="20"/>
                <w:color w:val="auto"/>
              </w:rPr>
            </w:pPr>
            <w:r>
              <w:rPr>
                <w:rFonts w:ascii="Arial" w:cs="Arial" w:eastAsia="Arial" w:hAnsi="Arial"/>
                <w:sz w:val="10"/>
                <w:szCs w:val="10"/>
                <w:color w:val="auto"/>
                <w:w w:val="71"/>
              </w:rPr>
              <w:t>2.6</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2"/>
                <w:szCs w:val="12"/>
                <w:color w:val="auto"/>
              </w:rPr>
              <w:t>3.2</w:t>
            </w: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2.3</w:t>
            </w:r>
          </w:p>
        </w:tc>
      </w:tr>
      <w:tr>
        <w:trPr>
          <w:trHeight w:val="20"/>
        </w:trPr>
        <w:tc>
          <w:tcPr>
            <w:tcW w:w="73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2"/>
        </w:trPr>
        <w:tc>
          <w:tcPr>
            <w:tcW w:w="7340" w:type="dxa"/>
            <w:vAlign w:val="bottom"/>
            <w:shd w:val="clear" w:color="auto" w:fill="CCEEFF"/>
          </w:tcPr>
          <w:p>
            <w:pPr>
              <w:ind w:left="200"/>
              <w:spacing w:after="0"/>
              <w:rPr>
                <w:sz w:val="20"/>
                <w:szCs w:val="20"/>
                <w:color w:val="auto"/>
              </w:rPr>
            </w:pPr>
            <w:r>
              <w:rPr>
                <w:rFonts w:ascii="Arial" w:cs="Arial" w:eastAsia="Arial" w:hAnsi="Arial"/>
                <w:sz w:val="12"/>
                <w:szCs w:val="12"/>
                <w:color w:val="auto"/>
              </w:rPr>
              <w:t>Average interest bearing liabilities</w:t>
            </w:r>
          </w:p>
        </w:tc>
        <w:tc>
          <w:tcPr>
            <w:tcW w:w="7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64.0%</w:t>
            </w:r>
          </w:p>
        </w:tc>
        <w:tc>
          <w:tcPr>
            <w:tcW w:w="7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66.0%</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67.5%</w:t>
            </w:r>
          </w:p>
        </w:tc>
      </w:tr>
      <w:tr>
        <w:trPr>
          <w:trHeight w:val="20"/>
        </w:trPr>
        <w:tc>
          <w:tcPr>
            <w:tcW w:w="73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20"/>
        </w:trPr>
        <w:tc>
          <w:tcPr>
            <w:tcW w:w="7340" w:type="dxa"/>
            <w:vAlign w:val="bottom"/>
          </w:tcPr>
          <w:p>
            <w:pPr>
              <w:spacing w:after="0" w:line="120" w:lineRule="exact"/>
              <w:rPr>
                <w:sz w:val="20"/>
                <w:szCs w:val="20"/>
                <w:color w:val="auto"/>
              </w:rPr>
            </w:pPr>
            <w:r>
              <w:rPr>
                <w:rFonts w:ascii="Arial" w:cs="Arial" w:eastAsia="Arial" w:hAnsi="Arial"/>
                <w:sz w:val="12"/>
                <w:szCs w:val="12"/>
                <w:color w:val="auto"/>
              </w:rPr>
              <w:t>Earning asset ratio</w:t>
            </w:r>
          </w:p>
        </w:tc>
        <w:tc>
          <w:tcPr>
            <w:tcW w:w="780" w:type="dxa"/>
            <w:vAlign w:val="bottom"/>
          </w:tcPr>
          <w:p>
            <w:pPr>
              <w:spacing w:after="0"/>
              <w:rPr>
                <w:sz w:val="10"/>
                <w:szCs w:val="10"/>
                <w:color w:val="auto"/>
              </w:rPr>
            </w:pPr>
          </w:p>
        </w:tc>
        <w:tc>
          <w:tcPr>
            <w:tcW w:w="600" w:type="dxa"/>
            <w:vAlign w:val="bottom"/>
            <w:gridSpan w:val="2"/>
          </w:tcPr>
          <w:p>
            <w:pPr>
              <w:ind w:left="160"/>
              <w:spacing w:after="0" w:line="120" w:lineRule="exact"/>
              <w:rPr>
                <w:sz w:val="20"/>
                <w:szCs w:val="20"/>
                <w:color w:val="auto"/>
              </w:rPr>
            </w:pPr>
            <w:r>
              <w:rPr>
                <w:rFonts w:ascii="Arial" w:cs="Arial" w:eastAsia="Arial" w:hAnsi="Arial"/>
                <w:sz w:val="12"/>
                <w:szCs w:val="12"/>
                <w:color w:val="auto"/>
              </w:rPr>
              <w:t>95.2%</w:t>
            </w:r>
          </w:p>
        </w:tc>
        <w:tc>
          <w:tcPr>
            <w:tcW w:w="780" w:type="dxa"/>
            <w:vAlign w:val="bottom"/>
          </w:tcPr>
          <w:p>
            <w:pPr>
              <w:spacing w:after="0"/>
              <w:rPr>
                <w:sz w:val="10"/>
                <w:szCs w:val="10"/>
                <w:color w:val="auto"/>
              </w:rPr>
            </w:pPr>
          </w:p>
        </w:tc>
        <w:tc>
          <w:tcPr>
            <w:tcW w:w="560" w:type="dxa"/>
            <w:vAlign w:val="bottom"/>
            <w:gridSpan w:val="2"/>
          </w:tcPr>
          <w:p>
            <w:pPr>
              <w:jc w:val="right"/>
              <w:ind w:right="120"/>
              <w:spacing w:after="0" w:line="120" w:lineRule="exact"/>
              <w:rPr>
                <w:sz w:val="20"/>
                <w:szCs w:val="20"/>
                <w:color w:val="auto"/>
              </w:rPr>
            </w:pPr>
            <w:r>
              <w:rPr>
                <w:rFonts w:ascii="Arial" w:cs="Arial" w:eastAsia="Arial" w:hAnsi="Arial"/>
                <w:sz w:val="12"/>
                <w:szCs w:val="12"/>
                <w:color w:val="auto"/>
              </w:rPr>
              <w:t>94.6%</w:t>
            </w:r>
          </w:p>
        </w:tc>
        <w:tc>
          <w:tcPr>
            <w:tcW w:w="1240" w:type="dxa"/>
            <w:vAlign w:val="bottom"/>
            <w:gridSpan w:val="2"/>
          </w:tcPr>
          <w:p>
            <w:pPr>
              <w:jc w:val="right"/>
              <w:ind w:right="20"/>
              <w:spacing w:after="0" w:line="120" w:lineRule="exact"/>
              <w:rPr>
                <w:sz w:val="20"/>
                <w:szCs w:val="20"/>
                <w:color w:val="auto"/>
              </w:rPr>
            </w:pPr>
            <w:r>
              <w:rPr>
                <w:rFonts w:ascii="Arial" w:cs="Arial" w:eastAsia="Arial" w:hAnsi="Arial"/>
                <w:sz w:val="12"/>
                <w:szCs w:val="12"/>
                <w:color w:val="auto"/>
              </w:rPr>
              <w:t>94.1%</w:t>
            </w:r>
          </w:p>
        </w:tc>
      </w:tr>
      <w:tr>
        <w:trPr>
          <w:trHeight w:val="144"/>
        </w:trPr>
        <w:tc>
          <w:tcPr>
            <w:tcW w:w="8120" w:type="dxa"/>
            <w:vAlign w:val="bottom"/>
            <w:gridSpan w:val="2"/>
            <w:shd w:val="clear" w:color="auto" w:fill="CCEEFF"/>
          </w:tcPr>
          <w:p>
            <w:pPr>
              <w:spacing w:after="0" w:line="144" w:lineRule="exact"/>
              <w:rPr>
                <w:sz w:val="20"/>
                <w:szCs w:val="20"/>
                <w:color w:val="auto"/>
              </w:rPr>
            </w:pPr>
            <w:r>
              <w:rPr>
                <w:rFonts w:ascii="Arial" w:cs="Arial" w:eastAsia="Arial" w:hAnsi="Arial"/>
                <w:sz w:val="10"/>
                <w:szCs w:val="10"/>
                <w:color w:val="auto"/>
              </w:rPr>
              <w:t>Free-funds ratio</w:t>
            </w:r>
            <w:r>
              <w:rPr>
                <w:rFonts w:ascii="Arial" w:cs="Arial" w:eastAsia="Arial" w:hAnsi="Arial"/>
                <w:sz w:val="16"/>
                <w:szCs w:val="16"/>
                <w:color w:val="auto"/>
                <w:vertAlign w:val="superscript"/>
              </w:rPr>
              <w:t>(1)</w:t>
            </w:r>
          </w:p>
        </w:tc>
        <w:tc>
          <w:tcPr>
            <w:tcW w:w="360" w:type="dxa"/>
            <w:vAlign w:val="bottom"/>
            <w:shd w:val="clear" w:color="auto" w:fill="CCEEFF"/>
          </w:tcPr>
          <w:p>
            <w:pPr>
              <w:ind w:left="160"/>
              <w:spacing w:after="0"/>
              <w:rPr>
                <w:sz w:val="20"/>
                <w:szCs w:val="20"/>
                <w:color w:val="auto"/>
              </w:rPr>
            </w:pPr>
            <w:r>
              <w:rPr>
                <w:rFonts w:ascii="Arial" w:cs="Arial" w:eastAsia="Arial" w:hAnsi="Arial"/>
                <w:sz w:val="11"/>
                <w:szCs w:val="11"/>
                <w:color w:val="auto"/>
                <w:w w:val="74"/>
              </w:rPr>
              <w:t>36.1</w:t>
            </w:r>
          </w:p>
        </w:tc>
        <w:tc>
          <w:tcPr>
            <w:tcW w:w="240" w:type="dxa"/>
            <w:vAlign w:val="bottom"/>
            <w:tcBorders>
              <w:left w:val="single" w:sz="8" w:color="CCEEFF"/>
            </w:tcBorders>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34.0</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931545" cy="114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931545" cy="11430"/>
                    </a:xfrm>
                    <a:prstGeom prst="rect">
                      <a:avLst/>
                    </a:prstGeom>
                    <a:noFill/>
                  </pic:spPr>
                </pic:pic>
              </a:graphicData>
            </a:graphic>
          </wp:anchor>
        </w:drawing>
      </w:r>
    </w:p>
    <w:p>
      <w:pPr>
        <w:spacing w:after="0" w:line="133" w:lineRule="exact"/>
        <w:rPr>
          <w:sz w:val="20"/>
          <w:szCs w:val="20"/>
          <w:color w:val="auto"/>
        </w:rPr>
      </w:pPr>
    </w:p>
    <w:p>
      <w:pPr>
        <w:ind w:left="8"/>
        <w:spacing w:after="0"/>
        <w:tabs>
          <w:tab w:leader="none" w:pos="208" w:val="left"/>
        </w:tabs>
        <w:rPr>
          <w:sz w:val="20"/>
          <w:szCs w:val="20"/>
          <w:color w:val="auto"/>
        </w:rPr>
      </w:pPr>
      <w:r>
        <w:rPr>
          <w:rFonts w:ascii="Arial" w:cs="Arial" w:eastAsia="Arial" w:hAnsi="Arial"/>
          <w:sz w:val="12"/>
          <w:szCs w:val="12"/>
          <w:color w:val="auto"/>
        </w:rPr>
        <w:t>(1)</w:t>
      </w:r>
      <w:r>
        <w:rPr>
          <w:sz w:val="20"/>
          <w:szCs w:val="20"/>
          <w:color w:val="auto"/>
        </w:rPr>
        <w:tab/>
      </w:r>
      <w:r>
        <w:rPr>
          <w:rFonts w:ascii="Arial" w:cs="Arial" w:eastAsia="Arial" w:hAnsi="Arial"/>
          <w:sz w:val="10"/>
          <w:szCs w:val="10"/>
          <w:color w:val="auto"/>
        </w:rPr>
        <w:t>Average interest earning assets less average interest bearing liabilities.</w:t>
      </w:r>
    </w:p>
    <w:p>
      <w:pPr>
        <w:spacing w:after="0" w:line="263" w:lineRule="exact"/>
        <w:rPr>
          <w:sz w:val="20"/>
          <w:szCs w:val="20"/>
          <w:color w:val="auto"/>
        </w:rPr>
      </w:pPr>
    </w:p>
    <w:p>
      <w:pPr>
        <w:jc w:val="center"/>
        <w:ind w:right="-7"/>
        <w:spacing w:after="0"/>
        <w:rPr>
          <w:sz w:val="20"/>
          <w:szCs w:val="20"/>
          <w:color w:val="auto"/>
        </w:rPr>
      </w:pPr>
      <w:r>
        <w:rPr>
          <w:rFonts w:ascii="Arial" w:cs="Arial" w:eastAsia="Arial" w:hAnsi="Arial"/>
          <w:sz w:val="10"/>
          <w:szCs w:val="1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78040" cy="114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7" w:right="299" w:bottom="1440" w:gutter="0" w:footer="0" w:header="0"/>
        </w:sectPr>
      </w:pPr>
    </w:p>
    <w:bookmarkStart w:id="36" w:name="page37"/>
    <w:bookmarkEnd w:id="36"/>
    <w:p>
      <w:pPr>
        <w:jc w:val="both"/>
        <w:ind w:firstLine="240"/>
        <w:spacing w:after="0" w:line="276" w:lineRule="auto"/>
        <w:rPr>
          <w:sz w:val="20"/>
          <w:szCs w:val="20"/>
          <w:color w:val="auto"/>
        </w:rPr>
      </w:pPr>
      <w:r>
        <w:rPr>
          <w:rFonts w:ascii="Arial" w:cs="Arial" w:eastAsia="Arial" w:hAnsi="Arial"/>
          <w:sz w:val="12"/>
          <w:szCs w:val="12"/>
          <w:i w:val="1"/>
          <w:iCs w:val="1"/>
          <w:color w:val="auto"/>
        </w:rPr>
        <w:t>Provision for credit losses</w:t>
      </w:r>
      <w:r>
        <w:rPr>
          <w:rFonts w:ascii="Arial" w:cs="Arial" w:eastAsia="Arial" w:hAnsi="Arial"/>
          <w:sz w:val="12"/>
          <w:szCs w:val="12"/>
          <w:color w:val="auto"/>
        </w:rPr>
        <w:t>. We adopted Financial Accounting Standards Board Accounting Standards Update 2016-13, Financial Instruments — Credit Losses (Topic 326), Measurement of Credit Losses on Financial Instruments</w:t>
      </w:r>
      <w:r>
        <w:rPr>
          <w:rFonts w:ascii="Arial" w:cs="Arial" w:eastAsia="Arial" w:hAnsi="Arial"/>
          <w:sz w:val="12"/>
          <w:szCs w:val="12"/>
          <w:i w:val="1"/>
          <w:iCs w:val="1"/>
          <w:color w:val="auto"/>
        </w:rPr>
        <w:t xml:space="preserve"> </w:t>
      </w:r>
      <w:r>
        <w:rPr>
          <w:rFonts w:ascii="Arial" w:cs="Arial" w:eastAsia="Arial" w:hAnsi="Arial"/>
          <w:sz w:val="12"/>
          <w:szCs w:val="12"/>
          <w:color w:val="auto"/>
        </w:rPr>
        <w:t>(“CECL”) on January 1, 2021. See note #1 to the Consolidated Financial Statements included within this report for our discussion on CECL implementation.</w:t>
      </w:r>
    </w:p>
    <w:p>
      <w:pPr>
        <w:spacing w:after="0" w:line="115" w:lineRule="exact"/>
        <w:rPr>
          <w:sz w:val="20"/>
          <w:szCs w:val="20"/>
          <w:color w:val="auto"/>
        </w:rPr>
      </w:pPr>
    </w:p>
    <w:p>
      <w:pPr>
        <w:jc w:val="both"/>
        <w:ind w:firstLine="240"/>
        <w:spacing w:after="0" w:line="281" w:lineRule="auto"/>
        <w:rPr>
          <w:sz w:val="20"/>
          <w:szCs w:val="20"/>
          <w:color w:val="auto"/>
        </w:rPr>
      </w:pPr>
      <w:r>
        <w:rPr>
          <w:rFonts w:ascii="Arial" w:cs="Arial" w:eastAsia="Arial" w:hAnsi="Arial"/>
          <w:sz w:val="11"/>
          <w:szCs w:val="11"/>
          <w:color w:val="auto"/>
        </w:rPr>
        <w:t>The provision for credit losses was a credit of $1.9 million in 2021 and an expense of $12.5 million and $0.8 million in 2020 and 2019, respectively. The provision reflects our assessment of the allowance for credit losses (the “ACL”) taking into consideration factors such as loan growth, loan mix, levels of non-performing and classified loans, economic conditions and loan net charge-offs. While we use relevant information to recognize losses on loans, additional provisions for related losses may be necessary based on changes in economic conditions, customer circumstances and other credit risk factors. The decrease in the provision for credit losses in 2021 compared to 2020 was primarily the result of a decline in the adjustment to allocations based on subjective factors and specific allocations as well as an increase in recoveries of loans previously charged off. In particular, the higher provision for credit losses in 2020 relative to 2021 and 2019 included an $11.2 million (or 128.2%) increase in the qualitative/subjective portion of the allowance for credit losses. That increase principally reflected the unique challenges and economic uncertainty resulting from the COVID-19 pandemic during the first half of 2020 and the potential impact on the loan portfolio. See “Portfolio Loans and asset quality” for a discussion of the various components of the ACL and their impact on the provision for credit losses in 2021 and note #19 to the Consolidated Financial Statements included within this report for a discussion on industry concentrations.</w:t>
      </w:r>
    </w:p>
    <w:p>
      <w:pPr>
        <w:spacing w:after="0" w:line="115" w:lineRule="exact"/>
        <w:rPr>
          <w:sz w:val="20"/>
          <w:szCs w:val="20"/>
          <w:color w:val="auto"/>
        </w:rPr>
      </w:pPr>
    </w:p>
    <w:p>
      <w:pPr>
        <w:jc w:val="both"/>
        <w:ind w:firstLine="240"/>
        <w:spacing w:after="0" w:line="276" w:lineRule="auto"/>
        <w:rPr>
          <w:sz w:val="20"/>
          <w:szCs w:val="20"/>
          <w:color w:val="auto"/>
        </w:rPr>
      </w:pPr>
      <w:r>
        <w:rPr>
          <w:rFonts w:ascii="Arial" w:cs="Arial" w:eastAsia="Arial" w:hAnsi="Arial"/>
          <w:sz w:val="12"/>
          <w:szCs w:val="12"/>
          <w:i w:val="1"/>
          <w:iCs w:val="1"/>
          <w:color w:val="auto"/>
        </w:rPr>
        <w:t xml:space="preserve">Non-interest income. </w:t>
      </w:r>
      <w:r>
        <w:rPr>
          <w:rFonts w:ascii="Arial" w:cs="Arial" w:eastAsia="Arial" w:hAnsi="Arial"/>
          <w:sz w:val="12"/>
          <w:szCs w:val="12"/>
          <w:color w:val="auto"/>
        </w:rPr>
        <w:t>Non-interest income is a significant element in assessing our results of operations. Non-interest income totaled $76.6 million during 2021 compared to $80.7 million and $47.7 million during 2020 and 2019,</w:t>
      </w:r>
      <w:r>
        <w:rPr>
          <w:rFonts w:ascii="Arial" w:cs="Arial" w:eastAsia="Arial" w:hAnsi="Arial"/>
          <w:sz w:val="12"/>
          <w:szCs w:val="12"/>
          <w:i w:val="1"/>
          <w:iCs w:val="1"/>
          <w:color w:val="auto"/>
        </w:rPr>
        <w:t xml:space="preserve"> </w:t>
      </w:r>
      <w:r>
        <w:rPr>
          <w:rFonts w:ascii="Arial" w:cs="Arial" w:eastAsia="Arial" w:hAnsi="Arial"/>
          <w:sz w:val="12"/>
          <w:szCs w:val="12"/>
          <w:color w:val="auto"/>
        </w:rPr>
        <w:t>respectively.</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340" w:type="dxa"/>
            <w:vAlign w:val="bottom"/>
          </w:tcPr>
          <w:p>
            <w:pPr>
              <w:spacing w:after="0"/>
              <w:rPr>
                <w:sz w:val="20"/>
                <w:szCs w:val="20"/>
                <w:color w:val="auto"/>
              </w:rPr>
            </w:pPr>
            <w:r>
              <w:rPr>
                <w:rFonts w:ascii="Arial" w:cs="Arial" w:eastAsia="Arial" w:hAnsi="Arial"/>
                <w:sz w:val="12"/>
                <w:szCs w:val="12"/>
                <w:b w:val="1"/>
                <w:bCs w:val="1"/>
                <w:color w:val="auto"/>
              </w:rPr>
              <w:t>NON-INTEREST INCOME</w:t>
            </w: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734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2"/>
                <w:szCs w:val="12"/>
                <w:b w:val="1"/>
                <w:bCs w:val="1"/>
                <w:color w:val="auto"/>
                <w:w w:val="90"/>
              </w:rPr>
              <w:t>Year Ended December 31,</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7340" w:type="dxa"/>
            <w:vAlign w:val="bottom"/>
          </w:tcPr>
          <w:p>
            <w:pPr>
              <w:spacing w:after="0"/>
              <w:rPr>
                <w:sz w:val="12"/>
                <w:szCs w:val="12"/>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2"/>
                <w:szCs w:val="12"/>
                <w:b w:val="1"/>
                <w:bCs w:val="1"/>
                <w:color w:val="auto"/>
              </w:rPr>
              <w:t>2021</w:t>
            </w:r>
          </w:p>
        </w:tc>
        <w:tc>
          <w:tcPr>
            <w:tcW w:w="3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2020</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2"/>
                <w:szCs w:val="12"/>
                <w:color w:val="auto"/>
              </w:rPr>
            </w:pPr>
          </w:p>
        </w:tc>
      </w:tr>
      <w:tr>
        <w:trPr>
          <w:trHeight w:val="142"/>
        </w:trPr>
        <w:tc>
          <w:tcPr>
            <w:tcW w:w="7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80"/>
              <w:spacing w:after="0"/>
              <w:rPr>
                <w:sz w:val="20"/>
                <w:szCs w:val="20"/>
                <w:color w:val="auto"/>
              </w:rPr>
            </w:pPr>
            <w:r>
              <w:rPr>
                <w:rFonts w:ascii="Arial" w:cs="Arial" w:eastAsia="Arial" w:hAnsi="Arial"/>
                <w:sz w:val="12"/>
                <w:szCs w:val="12"/>
                <w:b w:val="1"/>
                <w:bCs w:val="1"/>
                <w:color w:val="auto"/>
                <w:w w:val="89"/>
              </w:rPr>
              <w:t>(In thousands)</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7340" w:type="dxa"/>
            <w:vAlign w:val="bottom"/>
            <w:shd w:val="clear" w:color="auto" w:fill="CCEEFF"/>
          </w:tcPr>
          <w:p>
            <w:pPr>
              <w:spacing w:after="0"/>
              <w:rPr>
                <w:sz w:val="20"/>
                <w:szCs w:val="20"/>
                <w:color w:val="auto"/>
              </w:rPr>
            </w:pPr>
            <w:r>
              <w:rPr>
                <w:rFonts w:ascii="Arial" w:cs="Arial" w:eastAsia="Arial" w:hAnsi="Arial"/>
                <w:sz w:val="12"/>
                <w:szCs w:val="12"/>
                <w:color w:val="auto"/>
              </w:rPr>
              <w:t>Interchange income</w:t>
            </w:r>
          </w:p>
        </w:tc>
        <w:tc>
          <w:tcPr>
            <w:tcW w:w="760" w:type="dxa"/>
            <w:vAlign w:val="bottom"/>
            <w:shd w:val="clear" w:color="auto" w:fill="CCEEFF"/>
          </w:tcPr>
          <w:p>
            <w:pPr>
              <w:jc w:val="right"/>
              <w:ind w:right="648"/>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14,045</w:t>
            </w:r>
          </w:p>
        </w:tc>
        <w:tc>
          <w:tcPr>
            <w:tcW w:w="360" w:type="dxa"/>
            <w:vAlign w:val="bottom"/>
            <w:gridSpan w:val="2"/>
            <w:shd w:val="clear" w:color="auto" w:fill="CCEEFF"/>
          </w:tcPr>
          <w:p>
            <w:pPr>
              <w:jc w:val="right"/>
              <w:ind w:right="12"/>
              <w:spacing w:after="0"/>
              <w:rPr>
                <w:sz w:val="20"/>
                <w:szCs w:val="20"/>
                <w:color w:val="auto"/>
              </w:rPr>
            </w:pPr>
            <w:r>
              <w:rPr>
                <w:rFonts w:ascii="Arial" w:cs="Arial" w:eastAsia="Arial" w:hAnsi="Arial"/>
                <w:sz w:val="12"/>
                <w:szCs w:val="12"/>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11,230</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10,297</w:t>
            </w:r>
          </w:p>
        </w:tc>
      </w:tr>
      <w:tr>
        <w:trPr>
          <w:trHeight w:val="144"/>
        </w:trPr>
        <w:tc>
          <w:tcPr>
            <w:tcW w:w="7340" w:type="dxa"/>
            <w:vAlign w:val="bottom"/>
          </w:tcPr>
          <w:p>
            <w:pPr>
              <w:spacing w:after="0"/>
              <w:rPr>
                <w:sz w:val="20"/>
                <w:szCs w:val="20"/>
                <w:color w:val="auto"/>
              </w:rPr>
            </w:pPr>
            <w:r>
              <w:rPr>
                <w:rFonts w:ascii="Arial" w:cs="Arial" w:eastAsia="Arial" w:hAnsi="Arial"/>
                <w:sz w:val="12"/>
                <w:szCs w:val="12"/>
                <w:color w:val="auto"/>
              </w:rPr>
              <w:t>Service charges on deposit accounts</w:t>
            </w:r>
          </w:p>
        </w:tc>
        <w:tc>
          <w:tcPr>
            <w:tcW w:w="7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w w:val="97"/>
              </w:rPr>
              <w:t>10,170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8,517</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11,208</w:t>
            </w:r>
          </w:p>
        </w:tc>
      </w:tr>
      <w:tr>
        <w:trPr>
          <w:trHeight w:val="144"/>
        </w:trPr>
        <w:tc>
          <w:tcPr>
            <w:tcW w:w="7340" w:type="dxa"/>
            <w:vAlign w:val="bottom"/>
            <w:shd w:val="clear" w:color="auto" w:fill="CCEEFF"/>
          </w:tcPr>
          <w:p>
            <w:pPr>
              <w:spacing w:after="0"/>
              <w:rPr>
                <w:sz w:val="20"/>
                <w:szCs w:val="20"/>
                <w:color w:val="auto"/>
              </w:rPr>
            </w:pPr>
            <w:r>
              <w:rPr>
                <w:rFonts w:ascii="Arial" w:cs="Arial" w:eastAsia="Arial" w:hAnsi="Arial"/>
                <w:sz w:val="12"/>
                <w:szCs w:val="12"/>
                <w:color w:val="auto"/>
              </w:rPr>
              <w:t>Net gains on assets</w:t>
            </w:r>
          </w:p>
        </w:tc>
        <w:tc>
          <w:tcPr>
            <w:tcW w:w="7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7340" w:type="dxa"/>
            <w:vAlign w:val="bottom"/>
          </w:tcPr>
          <w:p>
            <w:pPr>
              <w:ind w:left="100"/>
              <w:spacing w:after="0"/>
              <w:rPr>
                <w:sz w:val="20"/>
                <w:szCs w:val="20"/>
                <w:color w:val="auto"/>
              </w:rPr>
            </w:pPr>
            <w:r>
              <w:rPr>
                <w:rFonts w:ascii="Arial" w:cs="Arial" w:eastAsia="Arial" w:hAnsi="Arial"/>
                <w:sz w:val="12"/>
                <w:szCs w:val="12"/>
                <w:color w:val="auto"/>
              </w:rPr>
              <w:t>Mortgage loans</w:t>
            </w:r>
          </w:p>
        </w:tc>
        <w:tc>
          <w:tcPr>
            <w:tcW w:w="7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w w:val="97"/>
              </w:rPr>
              <w:t>35,880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62,560</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19,978</w:t>
            </w:r>
          </w:p>
        </w:tc>
      </w:tr>
      <w:tr>
        <w:trPr>
          <w:trHeight w:val="144"/>
        </w:trPr>
        <w:tc>
          <w:tcPr>
            <w:tcW w:w="73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Securities available for sale</w:t>
            </w:r>
          </w:p>
        </w:tc>
        <w:tc>
          <w:tcPr>
            <w:tcW w:w="7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1,411</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267</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307</w:t>
            </w:r>
          </w:p>
        </w:tc>
      </w:tr>
      <w:tr>
        <w:trPr>
          <w:trHeight w:val="144"/>
        </w:trPr>
        <w:tc>
          <w:tcPr>
            <w:tcW w:w="7340" w:type="dxa"/>
            <w:vAlign w:val="bottom"/>
          </w:tcPr>
          <w:p>
            <w:pPr>
              <w:spacing w:after="0"/>
              <w:rPr>
                <w:sz w:val="20"/>
                <w:szCs w:val="20"/>
                <w:color w:val="auto"/>
              </w:rPr>
            </w:pPr>
            <w:r>
              <w:rPr>
                <w:rFonts w:ascii="Arial" w:cs="Arial" w:eastAsia="Arial" w:hAnsi="Arial"/>
                <w:sz w:val="12"/>
                <w:szCs w:val="12"/>
                <w:color w:val="auto"/>
              </w:rPr>
              <w:t>Mortgage loan servicing, net</w:t>
            </w:r>
          </w:p>
        </w:tc>
        <w:tc>
          <w:tcPr>
            <w:tcW w:w="7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5,745</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2"/>
                <w:szCs w:val="12"/>
                <w:color w:val="auto"/>
              </w:rPr>
              <w:t>(9,350)</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(3,336)</w:t>
            </w:r>
          </w:p>
        </w:tc>
      </w:tr>
      <w:tr>
        <w:trPr>
          <w:trHeight w:val="144"/>
        </w:trPr>
        <w:tc>
          <w:tcPr>
            <w:tcW w:w="7340" w:type="dxa"/>
            <w:vAlign w:val="bottom"/>
            <w:shd w:val="clear" w:color="auto" w:fill="CCEEFF"/>
          </w:tcPr>
          <w:p>
            <w:pPr>
              <w:spacing w:after="0"/>
              <w:rPr>
                <w:sz w:val="20"/>
                <w:szCs w:val="20"/>
                <w:color w:val="auto"/>
              </w:rPr>
            </w:pPr>
            <w:r>
              <w:rPr>
                <w:rFonts w:ascii="Arial" w:cs="Arial" w:eastAsia="Arial" w:hAnsi="Arial"/>
                <w:sz w:val="12"/>
                <w:szCs w:val="12"/>
                <w:color w:val="auto"/>
              </w:rPr>
              <w:t>Investment and insurance commissions</w:t>
            </w:r>
          </w:p>
        </w:tc>
        <w:tc>
          <w:tcPr>
            <w:tcW w:w="7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2,603</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1,971</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1,658</w:t>
            </w:r>
          </w:p>
        </w:tc>
      </w:tr>
      <w:tr>
        <w:trPr>
          <w:trHeight w:val="144"/>
        </w:trPr>
        <w:tc>
          <w:tcPr>
            <w:tcW w:w="7340" w:type="dxa"/>
            <w:vAlign w:val="bottom"/>
          </w:tcPr>
          <w:p>
            <w:pPr>
              <w:spacing w:after="0"/>
              <w:rPr>
                <w:sz w:val="20"/>
                <w:szCs w:val="20"/>
                <w:color w:val="auto"/>
              </w:rPr>
            </w:pPr>
            <w:r>
              <w:rPr>
                <w:rFonts w:ascii="Arial" w:cs="Arial" w:eastAsia="Arial" w:hAnsi="Arial"/>
                <w:sz w:val="12"/>
                <w:szCs w:val="12"/>
                <w:color w:val="auto"/>
              </w:rPr>
              <w:t>Bank owned life insurance</w:t>
            </w:r>
          </w:p>
        </w:tc>
        <w:tc>
          <w:tcPr>
            <w:tcW w:w="7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567</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910</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1,111</w:t>
            </w:r>
          </w:p>
        </w:tc>
      </w:tr>
      <w:tr>
        <w:trPr>
          <w:trHeight w:val="144"/>
        </w:trPr>
        <w:tc>
          <w:tcPr>
            <w:tcW w:w="7340" w:type="dxa"/>
            <w:vAlign w:val="bottom"/>
            <w:shd w:val="clear" w:color="auto" w:fill="CCEEFF"/>
          </w:tcPr>
          <w:p>
            <w:pPr>
              <w:spacing w:after="0"/>
              <w:rPr>
                <w:sz w:val="20"/>
                <w:szCs w:val="20"/>
                <w:color w:val="auto"/>
              </w:rPr>
            </w:pPr>
            <w:r>
              <w:rPr>
                <w:rFonts w:ascii="Arial" w:cs="Arial" w:eastAsia="Arial" w:hAnsi="Arial"/>
                <w:sz w:val="12"/>
                <w:szCs w:val="12"/>
                <w:color w:val="auto"/>
              </w:rPr>
              <w:t>Other</w:t>
            </w:r>
          </w:p>
        </w:tc>
        <w:tc>
          <w:tcPr>
            <w:tcW w:w="7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6,222</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4,640</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6,513</w:t>
            </w:r>
          </w:p>
        </w:tc>
      </w:tr>
      <w:tr>
        <w:trPr>
          <w:trHeight w:val="20"/>
        </w:trPr>
        <w:tc>
          <w:tcPr>
            <w:tcW w:w="734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7340" w:type="dxa"/>
            <w:vAlign w:val="bottom"/>
          </w:tcPr>
          <w:p>
            <w:pPr>
              <w:ind w:left="100"/>
              <w:spacing w:after="0"/>
              <w:rPr>
                <w:sz w:val="20"/>
                <w:szCs w:val="20"/>
                <w:color w:val="auto"/>
              </w:rPr>
            </w:pPr>
            <w:r>
              <w:rPr>
                <w:rFonts w:ascii="Arial" w:cs="Arial" w:eastAsia="Arial" w:hAnsi="Arial"/>
                <w:sz w:val="12"/>
                <w:szCs w:val="12"/>
                <w:color w:val="auto"/>
              </w:rPr>
              <w:t>Total non-interest income</w:t>
            </w:r>
          </w:p>
        </w:tc>
        <w:tc>
          <w:tcPr>
            <w:tcW w:w="760" w:type="dxa"/>
            <w:vAlign w:val="bottom"/>
          </w:tcPr>
          <w:p>
            <w:pPr>
              <w:jc w:val="right"/>
              <w:ind w:right="648"/>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2"/>
                <w:szCs w:val="12"/>
                <w:color w:val="auto"/>
                <w:w w:val="97"/>
              </w:rPr>
              <w:t>76,643</w:t>
            </w:r>
          </w:p>
        </w:tc>
        <w:tc>
          <w:tcPr>
            <w:tcW w:w="240" w:type="dxa"/>
            <w:vAlign w:val="bottom"/>
          </w:tcPr>
          <w:p>
            <w:pPr>
              <w:spacing w:after="0"/>
              <w:rPr>
                <w:sz w:val="12"/>
                <w:szCs w:val="12"/>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80,745</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47,736</w:t>
            </w:r>
          </w:p>
        </w:tc>
      </w:tr>
      <w:tr>
        <w:trPr>
          <w:trHeight w:val="20"/>
        </w:trPr>
        <w:tc>
          <w:tcPr>
            <w:tcW w:w="73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5" w:lineRule="exact"/>
        <w:rPr>
          <w:sz w:val="20"/>
          <w:szCs w:val="20"/>
          <w:color w:val="auto"/>
        </w:rPr>
      </w:pPr>
    </w:p>
    <w:p>
      <w:pPr>
        <w:jc w:val="both"/>
        <w:ind w:firstLine="240"/>
        <w:spacing w:after="0" w:line="259" w:lineRule="auto"/>
        <w:rPr>
          <w:sz w:val="20"/>
          <w:szCs w:val="20"/>
          <w:color w:val="auto"/>
        </w:rPr>
      </w:pPr>
      <w:r>
        <w:rPr>
          <w:rFonts w:ascii="Arial" w:cs="Arial" w:eastAsia="Arial" w:hAnsi="Arial"/>
          <w:sz w:val="12"/>
          <w:szCs w:val="12"/>
          <w:color w:val="auto"/>
        </w:rPr>
        <w:t>Interchange income totaled $14.0 million in 2021 compared to $11.2 million in 2020 and $10.3 million in 2019. The increase in interchange income in 2021 compared to 2020 is primarily due to growth in debit card transaction volume (2020 was adversely impacted by COVID-19 pandemic related shut-downs of businesses and stay at home mandates), a new switch contract that was initially effective in the fourth quarter of 2020 that increased revenues, and our joining a surcharge free ATM network in April 2020 that increased both interchange income and interchange expense. The increase in interchange income in 2020 compared to 2019 is primarily due to an increase in transaction volume.</w:t>
      </w:r>
    </w:p>
    <w:p>
      <w:pPr>
        <w:spacing w:after="0" w:line="124" w:lineRule="exact"/>
        <w:rPr>
          <w:sz w:val="20"/>
          <w:szCs w:val="20"/>
          <w:color w:val="auto"/>
        </w:rPr>
      </w:pPr>
    </w:p>
    <w:p>
      <w:pPr>
        <w:jc w:val="both"/>
        <w:ind w:firstLine="240"/>
        <w:spacing w:after="0" w:line="263" w:lineRule="auto"/>
        <w:rPr>
          <w:sz w:val="20"/>
          <w:szCs w:val="20"/>
          <w:color w:val="auto"/>
        </w:rPr>
      </w:pPr>
      <w:r>
        <w:rPr>
          <w:rFonts w:ascii="Arial" w:cs="Arial" w:eastAsia="Arial" w:hAnsi="Arial"/>
          <w:sz w:val="12"/>
          <w:szCs w:val="12"/>
          <w:color w:val="auto"/>
        </w:rPr>
        <w:t>Service charges on deposit accounts totaled $10.2 million in 2021, as compared to $8.5 million in 2020 and $11.2 million during 2019. The increase in 2021 compared to 2020 was primarily due to an increase in non-sufficient funds occurrences (and related fees). The decrease in 2020 compared to 2019 primarily reflect declines in non-sufficient funds fees. During 2020, non-sufficient funds fees were impacted by contracted consumer spending and government stimulus payments related to COVID-19.</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37" w:name="page38"/>
    <w:bookmarkEnd w:id="37"/>
    <w:p>
      <w:pPr>
        <w:ind w:left="248"/>
        <w:spacing w:after="0"/>
        <w:rPr>
          <w:sz w:val="20"/>
          <w:szCs w:val="20"/>
          <w:color w:val="auto"/>
        </w:rPr>
      </w:pPr>
      <w:r>
        <w:rPr>
          <w:rFonts w:ascii="Arial" w:cs="Arial" w:eastAsia="Arial" w:hAnsi="Arial"/>
          <w:sz w:val="12"/>
          <w:szCs w:val="12"/>
          <w:color w:val="auto"/>
        </w:rPr>
        <w:t>We realized net gains of $35.9 million on mortgage loans during 2021, compared to $62.6 million and $20.0 million during 2020 and 2019 respectively. Mortgage loan activity is summarized as follows:</w:t>
      </w:r>
    </w:p>
    <w:p>
      <w:pPr>
        <w:spacing w:after="0" w:line="146"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7340" w:type="dxa"/>
            <w:vAlign w:val="bottom"/>
          </w:tcPr>
          <w:p>
            <w:pPr>
              <w:spacing w:after="0"/>
              <w:rPr>
                <w:sz w:val="20"/>
                <w:szCs w:val="20"/>
                <w:color w:val="auto"/>
              </w:rPr>
            </w:pPr>
            <w:r>
              <w:rPr>
                <w:rFonts w:ascii="Arial" w:cs="Arial" w:eastAsia="Arial" w:hAnsi="Arial"/>
                <w:sz w:val="12"/>
                <w:szCs w:val="12"/>
                <w:b w:val="1"/>
                <w:bCs w:val="1"/>
                <w:color w:val="auto"/>
              </w:rPr>
              <w:t>MORTGAGE LOAN ACTIVITY</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73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2"/>
                <w:szCs w:val="12"/>
                <w:b w:val="1"/>
                <w:bCs w:val="1"/>
                <w:color w:val="auto"/>
                <w:w w:val="89"/>
              </w:rPr>
              <w:t>Year Ended December 31,</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73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2021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2020</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2"/>
                <w:szCs w:val="12"/>
                <w:color w:val="auto"/>
              </w:rPr>
            </w:pPr>
          </w:p>
        </w:tc>
      </w:tr>
      <w:tr>
        <w:trPr>
          <w:trHeight w:val="142"/>
        </w:trPr>
        <w:tc>
          <w:tcPr>
            <w:tcW w:w="7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w w:val="86"/>
              </w:rPr>
              <w:t>(Dollars in thousands)</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7340" w:type="dxa"/>
            <w:vAlign w:val="bottom"/>
            <w:shd w:val="clear" w:color="auto" w:fill="CCEEFF"/>
          </w:tcPr>
          <w:p>
            <w:pPr>
              <w:spacing w:after="0"/>
              <w:rPr>
                <w:sz w:val="20"/>
                <w:szCs w:val="20"/>
                <w:color w:val="auto"/>
              </w:rPr>
            </w:pPr>
            <w:r>
              <w:rPr>
                <w:rFonts w:ascii="Arial" w:cs="Arial" w:eastAsia="Arial" w:hAnsi="Arial"/>
                <w:sz w:val="12"/>
                <w:szCs w:val="12"/>
                <w:color w:val="auto"/>
              </w:rPr>
              <w:t>Mortgage loans originated</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1,861,060</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1,820,697</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1,011,141</w:t>
            </w:r>
          </w:p>
        </w:tc>
      </w:tr>
      <w:tr>
        <w:trPr>
          <w:trHeight w:val="144"/>
        </w:trPr>
        <w:tc>
          <w:tcPr>
            <w:tcW w:w="7340" w:type="dxa"/>
            <w:vAlign w:val="bottom"/>
          </w:tcPr>
          <w:p>
            <w:pPr>
              <w:spacing w:after="0" w:line="144" w:lineRule="exact"/>
              <w:rPr>
                <w:sz w:val="20"/>
                <w:szCs w:val="20"/>
                <w:color w:val="auto"/>
              </w:rPr>
            </w:pPr>
            <w:r>
              <w:rPr>
                <w:rFonts w:ascii="Arial" w:cs="Arial" w:eastAsia="Arial" w:hAnsi="Arial"/>
                <w:sz w:val="10"/>
                <w:szCs w:val="10"/>
                <w:color w:val="auto"/>
              </w:rPr>
              <w:t>Mortgage loans sold</w:t>
            </w:r>
            <w:r>
              <w:rPr>
                <w:rFonts w:ascii="Arial" w:cs="Arial" w:eastAsia="Arial" w:hAnsi="Arial"/>
                <w:sz w:val="16"/>
                <w:szCs w:val="16"/>
                <w:color w:val="auto"/>
                <w:vertAlign w:val="superscript"/>
              </w:rPr>
              <w:t>(1)</w:t>
            </w:r>
          </w:p>
        </w:tc>
        <w:tc>
          <w:tcPr>
            <w:tcW w:w="26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1,254,638</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1,447,031</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738,910</w:t>
            </w:r>
          </w:p>
        </w:tc>
      </w:tr>
      <w:tr>
        <w:trPr>
          <w:trHeight w:val="144"/>
        </w:trPr>
        <w:tc>
          <w:tcPr>
            <w:tcW w:w="7340" w:type="dxa"/>
            <w:vAlign w:val="bottom"/>
            <w:shd w:val="clear" w:color="auto" w:fill="CCEEFF"/>
          </w:tcPr>
          <w:p>
            <w:pPr>
              <w:spacing w:after="0"/>
              <w:rPr>
                <w:sz w:val="20"/>
                <w:szCs w:val="20"/>
                <w:color w:val="auto"/>
              </w:rPr>
            </w:pPr>
            <w:r>
              <w:rPr>
                <w:rFonts w:ascii="Arial" w:cs="Arial" w:eastAsia="Arial" w:hAnsi="Arial"/>
                <w:sz w:val="12"/>
                <w:szCs w:val="12"/>
                <w:color w:val="auto"/>
              </w:rPr>
              <w:t>Net gains on mortgage loans</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35,880</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62,560</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19,978</w:t>
            </w:r>
          </w:p>
        </w:tc>
      </w:tr>
      <w:tr>
        <w:trPr>
          <w:trHeight w:val="144"/>
        </w:trPr>
        <w:tc>
          <w:tcPr>
            <w:tcW w:w="7340" w:type="dxa"/>
            <w:vAlign w:val="bottom"/>
          </w:tcPr>
          <w:p>
            <w:pPr>
              <w:spacing w:after="0"/>
              <w:rPr>
                <w:sz w:val="20"/>
                <w:szCs w:val="20"/>
                <w:color w:val="auto"/>
              </w:rPr>
            </w:pPr>
            <w:r>
              <w:rPr>
                <w:rFonts w:ascii="Arial" w:cs="Arial" w:eastAsia="Arial" w:hAnsi="Arial"/>
                <w:sz w:val="12"/>
                <w:szCs w:val="12"/>
                <w:color w:val="auto"/>
              </w:rPr>
              <w:t>Net gains as a percent of mortgage loans sold (“Loan Sales Margin”)</w:t>
            </w:r>
          </w:p>
        </w:tc>
        <w:tc>
          <w:tcPr>
            <w:tcW w:w="260" w:type="dxa"/>
            <w:vAlign w:val="bottom"/>
          </w:tcPr>
          <w:p>
            <w:pPr>
              <w:spacing w:after="0"/>
              <w:rPr>
                <w:sz w:val="12"/>
                <w:szCs w:val="12"/>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2"/>
                <w:szCs w:val="12"/>
                <w:color w:val="auto"/>
              </w:rPr>
              <w:t>2.86%</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4.32%</w:t>
            </w:r>
          </w:p>
        </w:tc>
        <w:tc>
          <w:tcPr>
            <w:tcW w:w="260" w:type="dxa"/>
            <w:vAlign w:val="bottom"/>
          </w:tcPr>
          <w:p>
            <w:pPr>
              <w:spacing w:after="0"/>
              <w:rPr>
                <w:sz w:val="12"/>
                <w:szCs w:val="12"/>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2"/>
                <w:szCs w:val="12"/>
                <w:color w:val="auto"/>
              </w:rPr>
              <w:t>2.70%</w:t>
            </w:r>
          </w:p>
        </w:tc>
      </w:tr>
      <w:tr>
        <w:trPr>
          <w:trHeight w:val="144"/>
        </w:trPr>
        <w:tc>
          <w:tcPr>
            <w:tcW w:w="7340" w:type="dxa"/>
            <w:vAlign w:val="bottom"/>
            <w:shd w:val="clear" w:color="auto" w:fill="CCEEFF"/>
          </w:tcPr>
          <w:p>
            <w:pPr>
              <w:spacing w:after="0"/>
              <w:rPr>
                <w:sz w:val="20"/>
                <w:szCs w:val="20"/>
                <w:color w:val="auto"/>
              </w:rPr>
            </w:pPr>
            <w:r>
              <w:rPr>
                <w:rFonts w:ascii="Arial" w:cs="Arial" w:eastAsia="Arial" w:hAnsi="Arial"/>
                <w:sz w:val="12"/>
                <w:szCs w:val="12"/>
                <w:color w:val="auto"/>
              </w:rPr>
              <w:t>Fair value adjustments included in the Loan Sales Margin</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(0.52)</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0.47</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931545" cy="114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931545" cy="11430"/>
                    </a:xfrm>
                    <a:prstGeom prst="rect">
                      <a:avLst/>
                    </a:prstGeom>
                    <a:noFill/>
                  </pic:spPr>
                </pic:pic>
              </a:graphicData>
            </a:graphic>
          </wp:anchor>
        </w:drawing>
      </w:r>
    </w:p>
    <w:p>
      <w:pPr>
        <w:spacing w:after="0" w:line="133" w:lineRule="exact"/>
        <w:rPr>
          <w:sz w:val="20"/>
          <w:szCs w:val="20"/>
          <w:color w:val="auto"/>
        </w:rPr>
      </w:pPr>
    </w:p>
    <w:p>
      <w:pPr>
        <w:ind w:left="228" w:right="180" w:hanging="228"/>
        <w:spacing w:after="0" w:line="323" w:lineRule="auto"/>
        <w:tabs>
          <w:tab w:leader="none" w:pos="228" w:val="left"/>
        </w:tabs>
        <w:numPr>
          <w:ilvl w:val="0"/>
          <w:numId w:val="14"/>
        </w:numPr>
        <w:rPr>
          <w:rFonts w:ascii="Arial" w:cs="Arial" w:eastAsia="Arial" w:hAnsi="Arial"/>
          <w:sz w:val="11"/>
          <w:szCs w:val="11"/>
          <w:color w:val="auto"/>
        </w:rPr>
      </w:pPr>
      <w:r>
        <w:rPr>
          <w:rFonts w:ascii="Arial" w:cs="Arial" w:eastAsia="Arial" w:hAnsi="Arial"/>
          <w:sz w:val="11"/>
          <w:szCs w:val="11"/>
          <w:color w:val="auto"/>
        </w:rPr>
        <w:t>2021 includes the sale of $9.6 million of portfolio residential fixed rate mortgage loans. 2020 includes the securitization of $26.3 million of portfolio residential fixed rate loans and the sale of $2.4 million of portfolio residential fixed rate mortgage loans. 2019 includes the sale of $50.5 million of portfolio residential fixed and adjustable rate mortgage loans to other institutions and securitization of $65.1 million of portfolio residential fixed rate loans.</w:t>
      </w:r>
    </w:p>
    <w:p>
      <w:pPr>
        <w:spacing w:after="0" w:line="92" w:lineRule="exact"/>
        <w:rPr>
          <w:sz w:val="20"/>
          <w:szCs w:val="20"/>
          <w:color w:val="auto"/>
        </w:rPr>
      </w:pPr>
    </w:p>
    <w:p>
      <w:pPr>
        <w:jc w:val="both"/>
        <w:ind w:left="8" w:firstLine="240"/>
        <w:spacing w:after="0" w:line="263" w:lineRule="auto"/>
        <w:rPr>
          <w:sz w:val="20"/>
          <w:szCs w:val="20"/>
          <w:color w:val="auto"/>
        </w:rPr>
      </w:pPr>
      <w:r>
        <w:rPr>
          <w:rFonts w:ascii="Arial" w:cs="Arial" w:eastAsia="Arial" w:hAnsi="Arial"/>
          <w:sz w:val="12"/>
          <w:szCs w:val="12"/>
          <w:color w:val="auto"/>
        </w:rPr>
        <w:t>The increase in mortgage loan originations in 2021 as compared to 2020 is due primarily to an increase in purchase money mortgages reflecting strong home sales in many of our markets. Mortgage loans sold decreased in 2021 compared to 2020 due to a lower mix of salable loans in our origination volumes. Net gains on mortgage loans decreased in 2021 as compared to 2020 due to the decline in loan sale volume, a decrease in the Loan Sales Margin and fair value adjustments as discussed below.</w:t>
      </w:r>
    </w:p>
    <w:p>
      <w:pPr>
        <w:spacing w:after="0" w:line="122" w:lineRule="exact"/>
        <w:rPr>
          <w:sz w:val="20"/>
          <w:szCs w:val="20"/>
          <w:color w:val="auto"/>
        </w:rPr>
      </w:pPr>
    </w:p>
    <w:p>
      <w:pPr>
        <w:jc w:val="both"/>
        <w:ind w:left="8" w:firstLine="240"/>
        <w:spacing w:after="0" w:line="323" w:lineRule="auto"/>
        <w:rPr>
          <w:sz w:val="20"/>
          <w:szCs w:val="20"/>
          <w:color w:val="auto"/>
        </w:rPr>
      </w:pPr>
      <w:r>
        <w:rPr>
          <w:rFonts w:ascii="Arial" w:cs="Arial" w:eastAsia="Arial" w:hAnsi="Arial"/>
          <w:sz w:val="11"/>
          <w:szCs w:val="11"/>
          <w:color w:val="auto"/>
        </w:rPr>
        <w:t>The increase in mortgage loan originations, sales and net gains in 2020 as compared to 2019 is due primarily to lower interest rates in 2020 that spurred a significant increase in refinance volumes. Mortgage loans sold also increased in 2020 compared to 2019 due to a higher mix of salable loans in our origination volumes. Net gains on mortgage loans also increased in 2020 as compared to 2019 due to fair value adjustments as discussed below.</w:t>
      </w:r>
    </w:p>
    <w:p>
      <w:pPr>
        <w:spacing w:after="0" w:line="92" w:lineRule="exact"/>
        <w:rPr>
          <w:sz w:val="20"/>
          <w:szCs w:val="20"/>
          <w:color w:val="auto"/>
        </w:rPr>
      </w:pPr>
    </w:p>
    <w:p>
      <w:pPr>
        <w:jc w:val="both"/>
        <w:ind w:left="8" w:firstLine="240"/>
        <w:spacing w:after="0" w:line="263" w:lineRule="auto"/>
        <w:rPr>
          <w:sz w:val="20"/>
          <w:szCs w:val="20"/>
          <w:color w:val="auto"/>
        </w:rPr>
      </w:pPr>
      <w:r>
        <w:rPr>
          <w:rFonts w:ascii="Arial" w:cs="Arial" w:eastAsia="Arial" w:hAnsi="Arial"/>
          <w:sz w:val="12"/>
          <w:szCs w:val="12"/>
          <w:color w:val="auto"/>
        </w:rPr>
        <w:t>The volume of loans sold is dependent upon our ability to originate mortgage loans as well as the demand for fixed-rate obligations and other loans that we choose to not put into portfolio because of our established interest-rate risk parameters. (See “Portfolio Loans and asset quality.”) Net gains on mortgage loans are also dependent upon economic and competitive factors as well as our ability to effectively manage exposure to changes in interest rates and thus can often be a volatile part of our overall revenues.</w:t>
      </w:r>
    </w:p>
    <w:p>
      <w:pPr>
        <w:spacing w:after="0" w:line="122" w:lineRule="exact"/>
        <w:rPr>
          <w:sz w:val="20"/>
          <w:szCs w:val="20"/>
          <w:color w:val="auto"/>
        </w:rPr>
      </w:pPr>
    </w:p>
    <w:p>
      <w:pPr>
        <w:jc w:val="both"/>
        <w:ind w:left="8" w:firstLine="240"/>
        <w:spacing w:after="0" w:line="259" w:lineRule="auto"/>
        <w:rPr>
          <w:sz w:val="20"/>
          <w:szCs w:val="20"/>
          <w:color w:val="auto"/>
        </w:rPr>
      </w:pPr>
      <w:r>
        <w:rPr>
          <w:rFonts w:ascii="Arial" w:cs="Arial" w:eastAsia="Arial" w:hAnsi="Arial"/>
          <w:sz w:val="12"/>
          <w:szCs w:val="12"/>
          <w:color w:val="auto"/>
        </w:rPr>
        <w:t>Our Loan Sales Margin is impacted by several factors including competition and the manner in which the loan is sold. Net gains on mortgage loans are also impacted by recording fair value accounting adjustments. Excluding these fair value accounting adjustments, the Loan Sales Margin would have been 3.38% in 2021, 3.85% in 2020 and 2.48% in 2019. The decrease in the Loan Sales Margin (excluding fair value adjustments) in 2021 was generally due to a tightening of primary-to-secondary market pricing spreads as market interest rates increased during 2021. The changes in the fair value accounting adjustments are primarily due to changes in the amount of commitments to originate mortgage loans for sale during each year as well as a lower Loan Sales Margin in 2021.</w:t>
      </w:r>
    </w:p>
    <w:p>
      <w:pPr>
        <w:spacing w:after="0" w:line="124" w:lineRule="exact"/>
        <w:rPr>
          <w:sz w:val="20"/>
          <w:szCs w:val="20"/>
          <w:color w:val="auto"/>
        </w:rPr>
      </w:pPr>
    </w:p>
    <w:p>
      <w:pPr>
        <w:jc w:val="both"/>
        <w:ind w:left="8" w:firstLine="240"/>
        <w:spacing w:after="0" w:line="276" w:lineRule="auto"/>
        <w:rPr>
          <w:sz w:val="20"/>
          <w:szCs w:val="20"/>
          <w:color w:val="auto"/>
        </w:rPr>
      </w:pPr>
      <w:r>
        <w:rPr>
          <w:rFonts w:ascii="Arial" w:cs="Arial" w:eastAsia="Arial" w:hAnsi="Arial"/>
          <w:sz w:val="12"/>
          <w:szCs w:val="12"/>
          <w:color w:val="auto"/>
        </w:rPr>
        <w:t>We generated net gains on securities of $1.41 million, $0.27 million and $0.31 million in 2021, 2020 and 2019, respectively. These net gains were due to the sales of securities and changes in the fair value of equity/trading securities as outlined in the table below. We recorded no credit related charges in 2021, 2020 or 2019 for securities available for sale.</w:t>
      </w:r>
    </w:p>
    <w:p>
      <w:pPr>
        <w:spacing w:after="0" w:line="111"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6000" w:type="dxa"/>
            <w:vAlign w:val="bottom"/>
          </w:tcPr>
          <w:p>
            <w:pPr>
              <w:spacing w:after="0"/>
              <w:rPr>
                <w:sz w:val="20"/>
                <w:szCs w:val="20"/>
                <w:color w:val="auto"/>
              </w:rPr>
            </w:pPr>
            <w:r>
              <w:rPr>
                <w:rFonts w:ascii="Arial" w:cs="Arial" w:eastAsia="Arial" w:hAnsi="Arial"/>
                <w:sz w:val="12"/>
                <w:szCs w:val="12"/>
                <w:b w:val="1"/>
                <w:bCs w:val="1"/>
                <w:color w:val="auto"/>
              </w:rPr>
              <w:t>GAINS AND LOSSES ON SECURITIES</w:t>
            </w: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600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jc w:val="right"/>
              <w:ind w:right="800"/>
              <w:spacing w:after="0"/>
              <w:rPr>
                <w:sz w:val="20"/>
                <w:szCs w:val="20"/>
                <w:color w:val="auto"/>
              </w:rPr>
            </w:pPr>
            <w:r>
              <w:rPr>
                <w:rFonts w:ascii="Arial" w:cs="Arial" w:eastAsia="Arial" w:hAnsi="Arial"/>
                <w:sz w:val="12"/>
                <w:szCs w:val="12"/>
                <w:b w:val="1"/>
                <w:bCs w:val="1"/>
                <w:color w:val="auto"/>
              </w:rPr>
              <w:t>Year Ended December 31,</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6000" w:type="dxa"/>
            <w:vAlign w:val="bottom"/>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Proceeds</w:t>
            </w:r>
          </w:p>
        </w:tc>
        <w:tc>
          <w:tcPr>
            <w:tcW w:w="3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0"/>
                <w:szCs w:val="10"/>
                <w:b w:val="1"/>
                <w:bCs w:val="1"/>
                <w:color w:val="auto"/>
              </w:rPr>
              <w:t>Gains</w:t>
            </w:r>
            <w:r>
              <w:rPr>
                <w:rFonts w:ascii="Arial" w:cs="Arial" w:eastAsia="Arial" w:hAnsi="Arial"/>
                <w:sz w:val="16"/>
                <w:szCs w:val="16"/>
                <w:b w:val="1"/>
                <w:bCs w:val="1"/>
                <w:color w:val="auto"/>
                <w:vertAlign w:val="superscript"/>
              </w:rPr>
              <w:t>(1)</w:t>
            </w:r>
          </w:p>
        </w:tc>
        <w:tc>
          <w:tcPr>
            <w:tcW w:w="2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b w:val="1"/>
                <w:bCs w:val="1"/>
                <w:color w:val="auto"/>
                <w:w w:val="96"/>
              </w:rPr>
              <w:t>Losses</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ind w:left="220"/>
              <w:spacing w:after="0"/>
              <w:rPr>
                <w:sz w:val="20"/>
                <w:szCs w:val="20"/>
                <w:color w:val="auto"/>
              </w:rPr>
            </w:pPr>
            <w:r>
              <w:rPr>
                <w:rFonts w:ascii="Arial" w:cs="Arial" w:eastAsia="Arial" w:hAnsi="Arial"/>
                <w:sz w:val="12"/>
                <w:szCs w:val="12"/>
                <w:b w:val="1"/>
                <w:bCs w:val="1"/>
                <w:color w:val="auto"/>
              </w:rPr>
              <w:t>Net</w:t>
            </w:r>
          </w:p>
        </w:tc>
        <w:tc>
          <w:tcPr>
            <w:tcW w:w="120" w:type="dxa"/>
            <w:vAlign w:val="bottom"/>
          </w:tcPr>
          <w:p>
            <w:pPr>
              <w:spacing w:after="0"/>
              <w:rPr>
                <w:sz w:val="12"/>
                <w:szCs w:val="12"/>
                <w:color w:val="auto"/>
              </w:rPr>
            </w:pPr>
          </w:p>
        </w:tc>
      </w:tr>
      <w:tr>
        <w:trPr>
          <w:trHeight w:val="142"/>
        </w:trPr>
        <w:tc>
          <w:tcPr>
            <w:tcW w:w="60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ind w:left="640"/>
              <w:spacing w:after="0"/>
              <w:rPr>
                <w:sz w:val="20"/>
                <w:szCs w:val="20"/>
                <w:color w:val="auto"/>
              </w:rPr>
            </w:pPr>
            <w:r>
              <w:rPr>
                <w:rFonts w:ascii="Arial" w:cs="Arial" w:eastAsia="Arial" w:hAnsi="Arial"/>
                <w:sz w:val="12"/>
                <w:szCs w:val="12"/>
                <w:b w:val="1"/>
                <w:bCs w:val="1"/>
                <w:color w:val="auto"/>
              </w:rPr>
              <w:t>(In</w:t>
            </w:r>
          </w:p>
        </w:tc>
        <w:tc>
          <w:tcPr>
            <w:tcW w:w="540" w:type="dxa"/>
            <w:vAlign w:val="bottom"/>
            <w:gridSpan w:val="2"/>
          </w:tcPr>
          <w:p>
            <w:pPr>
              <w:jc w:val="right"/>
              <w:ind w:right="32"/>
              <w:spacing w:after="0"/>
              <w:rPr>
                <w:sz w:val="20"/>
                <w:szCs w:val="20"/>
                <w:color w:val="auto"/>
              </w:rPr>
            </w:pPr>
            <w:r>
              <w:rPr>
                <w:rFonts w:ascii="Arial" w:cs="Arial" w:eastAsia="Arial" w:hAnsi="Arial"/>
                <w:sz w:val="11"/>
                <w:szCs w:val="11"/>
                <w:b w:val="1"/>
                <w:bCs w:val="1"/>
                <w:color w:val="auto"/>
                <w:w w:val="74"/>
              </w:rPr>
              <w:t>thousands)</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2021</w:t>
            </w:r>
          </w:p>
        </w:tc>
        <w:tc>
          <w:tcPr>
            <w:tcW w:w="800" w:type="dxa"/>
            <w:vAlign w:val="bottom"/>
            <w:shd w:val="clear" w:color="auto" w:fill="CCEEFF"/>
          </w:tcPr>
          <w:p>
            <w:pPr>
              <w:jc w:val="right"/>
              <w:ind w:right="686"/>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w w:val="87"/>
              </w:rPr>
              <w:t>85,371</w:t>
            </w: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66"/>
              <w:spacing w:after="0"/>
              <w:rPr>
                <w:sz w:val="20"/>
                <w:szCs w:val="20"/>
                <w:color w:val="auto"/>
              </w:rPr>
            </w:pPr>
            <w:r>
              <w:rPr>
                <w:rFonts w:ascii="Arial" w:cs="Arial" w:eastAsia="Arial" w:hAnsi="Arial"/>
                <w:sz w:val="12"/>
                <w:szCs w:val="12"/>
                <w:color w:val="auto"/>
              </w:rPr>
              <w:t>1,475</w:t>
            </w: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64</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1,411</w:t>
            </w:r>
          </w:p>
        </w:tc>
      </w:tr>
      <w:tr>
        <w:trPr>
          <w:trHeight w:val="144"/>
        </w:trPr>
        <w:tc>
          <w:tcPr>
            <w:tcW w:w="6000" w:type="dxa"/>
            <w:vAlign w:val="bottom"/>
          </w:tcPr>
          <w:p>
            <w:pPr>
              <w:spacing w:after="0"/>
              <w:rPr>
                <w:sz w:val="20"/>
                <w:szCs w:val="20"/>
                <w:color w:val="auto"/>
              </w:rPr>
            </w:pPr>
            <w:r>
              <w:rPr>
                <w:rFonts w:ascii="Arial" w:cs="Arial" w:eastAsia="Arial" w:hAnsi="Arial"/>
                <w:sz w:val="12"/>
                <w:szCs w:val="12"/>
                <w:color w:val="auto"/>
              </w:rPr>
              <w:t>2020</w:t>
            </w:r>
          </w:p>
        </w:tc>
        <w:tc>
          <w:tcPr>
            <w:tcW w:w="800" w:type="dxa"/>
            <w:vAlign w:val="bottom"/>
          </w:tcPr>
          <w:p>
            <w:pPr>
              <w:spacing w:after="0"/>
              <w:rPr>
                <w:sz w:val="12"/>
                <w:szCs w:val="12"/>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2"/>
                <w:szCs w:val="12"/>
                <w:color w:val="auto"/>
                <w:w w:val="87"/>
              </w:rPr>
              <w:t>38,095</w:t>
            </w:r>
          </w:p>
        </w:tc>
        <w:tc>
          <w:tcPr>
            <w:tcW w:w="200" w:type="dxa"/>
            <w:vAlign w:val="bottom"/>
          </w:tcPr>
          <w:p>
            <w:pPr>
              <w:spacing w:after="0"/>
              <w:rPr>
                <w:sz w:val="12"/>
                <w:szCs w:val="12"/>
                <w:color w:val="auto"/>
              </w:rPr>
            </w:pPr>
          </w:p>
        </w:tc>
        <w:tc>
          <w:tcPr>
            <w:tcW w:w="1140" w:type="dxa"/>
            <w:vAlign w:val="bottom"/>
            <w:gridSpan w:val="2"/>
          </w:tcPr>
          <w:p>
            <w:pPr>
              <w:jc w:val="right"/>
              <w:ind w:right="166"/>
              <w:spacing w:after="0"/>
              <w:rPr>
                <w:sz w:val="20"/>
                <w:szCs w:val="20"/>
                <w:color w:val="auto"/>
              </w:rPr>
            </w:pPr>
            <w:r>
              <w:rPr>
                <w:rFonts w:ascii="Arial" w:cs="Arial" w:eastAsia="Arial" w:hAnsi="Arial"/>
                <w:sz w:val="12"/>
                <w:szCs w:val="12"/>
                <w:color w:val="auto"/>
              </w:rPr>
              <w:t>271</w:t>
            </w:r>
          </w:p>
        </w:tc>
        <w:tc>
          <w:tcPr>
            <w:tcW w:w="32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4</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267</w:t>
            </w:r>
          </w:p>
        </w:tc>
      </w:tr>
      <w:tr>
        <w:trPr>
          <w:trHeight w:val="144"/>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2019</w:t>
            </w:r>
          </w:p>
        </w:tc>
        <w:tc>
          <w:tcPr>
            <w:tcW w:w="8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w w:val="87"/>
              </w:rPr>
              <w:t>68,716</w:t>
            </w: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6"/>
              <w:spacing w:after="0"/>
              <w:rPr>
                <w:sz w:val="20"/>
                <w:szCs w:val="20"/>
                <w:color w:val="auto"/>
              </w:rPr>
            </w:pPr>
            <w:r>
              <w:rPr>
                <w:rFonts w:ascii="Arial" w:cs="Arial" w:eastAsia="Arial" w:hAnsi="Arial"/>
                <w:sz w:val="12"/>
                <w:szCs w:val="12"/>
                <w:color w:val="auto"/>
              </w:rPr>
              <w:t>415</w:t>
            </w:r>
          </w:p>
        </w:tc>
        <w:tc>
          <w:tcPr>
            <w:tcW w:w="3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108</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931545" cy="114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931545" cy="11430"/>
                    </a:xfrm>
                    <a:prstGeom prst="rect">
                      <a:avLst/>
                    </a:prstGeom>
                    <a:noFill/>
                  </pic:spPr>
                </pic:pic>
              </a:graphicData>
            </a:graphic>
          </wp:anchor>
        </w:drawing>
      </w:r>
    </w:p>
    <w:p>
      <w:pPr>
        <w:spacing w:after="0" w:line="133" w:lineRule="exact"/>
        <w:rPr>
          <w:sz w:val="20"/>
          <w:szCs w:val="20"/>
          <w:color w:val="auto"/>
        </w:rPr>
      </w:pPr>
    </w:p>
    <w:p>
      <w:pPr>
        <w:ind w:left="8"/>
        <w:spacing w:after="0"/>
        <w:tabs>
          <w:tab w:leader="none" w:pos="208" w:val="left"/>
        </w:tabs>
        <w:rPr>
          <w:sz w:val="20"/>
          <w:szCs w:val="20"/>
          <w:color w:val="auto"/>
        </w:rPr>
      </w:pPr>
      <w:r>
        <w:rPr>
          <w:rFonts w:ascii="Arial" w:cs="Arial" w:eastAsia="Arial" w:hAnsi="Arial"/>
          <w:sz w:val="12"/>
          <w:szCs w:val="12"/>
          <w:color w:val="auto"/>
        </w:rPr>
        <w:t>(1)</w:t>
      </w:r>
      <w:r>
        <w:rPr>
          <w:sz w:val="20"/>
          <w:szCs w:val="20"/>
          <w:color w:val="auto"/>
        </w:rPr>
        <w:tab/>
      </w:r>
      <w:r>
        <w:rPr>
          <w:rFonts w:ascii="Arial" w:cs="Arial" w:eastAsia="Arial" w:hAnsi="Arial"/>
          <w:sz w:val="11"/>
          <w:szCs w:val="11"/>
          <w:color w:val="auto"/>
        </w:rPr>
        <w:t>Gains in 2019 include $0.166 million related to equity securities at fair value.</w:t>
      </w:r>
    </w:p>
    <w:p>
      <w:pPr>
        <w:spacing w:after="0" w:line="263" w:lineRule="exact"/>
        <w:rPr>
          <w:sz w:val="20"/>
          <w:szCs w:val="20"/>
          <w:color w:val="auto"/>
        </w:rPr>
      </w:pPr>
    </w:p>
    <w:p>
      <w:pPr>
        <w:jc w:val="center"/>
        <w:ind w:right="-7"/>
        <w:spacing w:after="0"/>
        <w:rPr>
          <w:sz w:val="20"/>
          <w:szCs w:val="20"/>
          <w:color w:val="auto"/>
        </w:rPr>
      </w:pPr>
      <w:r>
        <w:rPr>
          <w:rFonts w:ascii="Arial" w:cs="Arial" w:eastAsia="Arial" w:hAnsi="Arial"/>
          <w:sz w:val="10"/>
          <w:szCs w:val="1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78040" cy="114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31" w:right="299" w:bottom="1440" w:gutter="0" w:footer="0" w:header="0"/>
        </w:sectPr>
      </w:pPr>
    </w:p>
    <w:bookmarkStart w:id="38" w:name="page39"/>
    <w:bookmarkEnd w:id="38"/>
    <w:p>
      <w:pPr>
        <w:jc w:val="both"/>
        <w:ind w:firstLine="240"/>
        <w:spacing w:after="0" w:line="263" w:lineRule="auto"/>
        <w:rPr>
          <w:sz w:val="20"/>
          <w:szCs w:val="20"/>
          <w:color w:val="auto"/>
        </w:rPr>
      </w:pPr>
      <w:r>
        <w:rPr>
          <w:rFonts w:ascii="Arial" w:cs="Arial" w:eastAsia="Arial" w:hAnsi="Arial"/>
          <w:sz w:val="12"/>
          <w:szCs w:val="12"/>
          <w:color w:val="auto"/>
        </w:rPr>
        <w:t>Mortgage loan servicing, net, generated a gain of $5.7 million in 2021 compared to losses of $9.4 million and $3.3 million in 2020 and 2019 respectively. The significant variances in mortgage loan servicing, net are primarily due to changes in the fair value of capitalized mortgage loan servicing rights associated with changes in mortgage loan interest rates and expected future prepayment levels. Mortgage loan servicing, net activity is summarized in the following table: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340" w:type="dxa"/>
            <w:vAlign w:val="bottom"/>
          </w:tcPr>
          <w:p>
            <w:pPr>
              <w:spacing w:after="0"/>
              <w:rPr>
                <w:sz w:val="20"/>
                <w:szCs w:val="20"/>
                <w:color w:val="auto"/>
              </w:rPr>
            </w:pPr>
            <w:r>
              <w:rPr>
                <w:rFonts w:ascii="Arial" w:cs="Arial" w:eastAsia="Arial" w:hAnsi="Arial"/>
                <w:sz w:val="12"/>
                <w:szCs w:val="12"/>
                <w:b w:val="1"/>
                <w:bCs w:val="1"/>
                <w:color w:val="auto"/>
              </w:rPr>
              <w:t>MORTGAGE LOAN SERVICING ACTIVITY</w:t>
            </w: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7340" w:type="dxa"/>
            <w:vAlign w:val="bottom"/>
          </w:tcPr>
          <w:p>
            <w:pPr>
              <w:spacing w:after="0"/>
              <w:rPr>
                <w:sz w:val="24"/>
                <w:szCs w:val="24"/>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2"/>
                <w:szCs w:val="12"/>
                <w:b w:val="1"/>
                <w:bCs w:val="1"/>
                <w:color w:val="auto"/>
              </w:rPr>
              <w:t>2021</w:t>
            </w:r>
          </w:p>
        </w:tc>
        <w:tc>
          <w:tcPr>
            <w:tcW w:w="3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60"/>
              <w:spacing w:after="0"/>
              <w:rPr>
                <w:sz w:val="20"/>
                <w:szCs w:val="20"/>
                <w:color w:val="auto"/>
              </w:rPr>
            </w:pPr>
            <w:r>
              <w:rPr>
                <w:rFonts w:ascii="Arial" w:cs="Arial" w:eastAsia="Arial" w:hAnsi="Arial"/>
                <w:sz w:val="12"/>
                <w:szCs w:val="12"/>
                <w:b w:val="1"/>
                <w:bCs w:val="1"/>
                <w:color w:val="auto"/>
                <w:w w:val="89"/>
              </w:rPr>
              <w:t>2020</w:t>
            </w: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7340" w:type="dxa"/>
            <w:vAlign w:val="bottom"/>
            <w:vMerge w:val="restart"/>
          </w:tcPr>
          <w:p>
            <w:pPr>
              <w:spacing w:after="0"/>
              <w:rPr>
                <w:sz w:val="20"/>
                <w:szCs w:val="20"/>
                <w:color w:val="auto"/>
              </w:rPr>
            </w:pPr>
            <w:r>
              <w:rPr>
                <w:rFonts w:ascii="Arial" w:cs="Arial" w:eastAsia="Arial" w:hAnsi="Arial"/>
                <w:sz w:val="12"/>
                <w:szCs w:val="12"/>
                <w:color w:val="auto"/>
              </w:rPr>
              <w:t>Mortgage loan servicing:</w:t>
            </w: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ind w:right="80"/>
              <w:spacing w:after="0"/>
              <w:rPr>
                <w:sz w:val="20"/>
                <w:szCs w:val="20"/>
                <w:color w:val="auto"/>
              </w:rPr>
            </w:pPr>
            <w:r>
              <w:rPr>
                <w:rFonts w:ascii="Arial" w:cs="Arial" w:eastAsia="Arial" w:hAnsi="Arial"/>
                <w:sz w:val="12"/>
                <w:szCs w:val="12"/>
                <w:b w:val="1"/>
                <w:bCs w:val="1"/>
                <w:color w:val="auto"/>
                <w:w w:val="89"/>
              </w:rPr>
              <w:t>(In thousands)</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734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3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Revenue, net</w:t>
            </w:r>
          </w:p>
        </w:tc>
        <w:tc>
          <w:tcPr>
            <w:tcW w:w="760" w:type="dxa"/>
            <w:vAlign w:val="bottom"/>
            <w:shd w:val="clear" w:color="auto" w:fill="CCEEFF"/>
          </w:tcPr>
          <w:p>
            <w:pPr>
              <w:jc w:val="right"/>
              <w:ind w:right="648"/>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7,853</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6,874</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6,196</w:t>
            </w:r>
          </w:p>
        </w:tc>
        <w:tc>
          <w:tcPr>
            <w:tcW w:w="0" w:type="dxa"/>
            <w:vAlign w:val="bottom"/>
          </w:tcPr>
          <w:p>
            <w:pPr>
              <w:spacing w:after="0"/>
              <w:rPr>
                <w:sz w:val="1"/>
                <w:szCs w:val="1"/>
                <w:color w:val="auto"/>
              </w:rPr>
            </w:pPr>
          </w:p>
        </w:tc>
      </w:tr>
      <w:tr>
        <w:trPr>
          <w:trHeight w:val="144"/>
        </w:trPr>
        <w:tc>
          <w:tcPr>
            <w:tcW w:w="7340" w:type="dxa"/>
            <w:vAlign w:val="bottom"/>
          </w:tcPr>
          <w:p>
            <w:pPr>
              <w:ind w:left="100"/>
              <w:spacing w:after="0"/>
              <w:rPr>
                <w:sz w:val="20"/>
                <w:szCs w:val="20"/>
                <w:color w:val="auto"/>
              </w:rPr>
            </w:pPr>
            <w:r>
              <w:rPr>
                <w:rFonts w:ascii="Arial" w:cs="Arial" w:eastAsia="Arial" w:hAnsi="Arial"/>
                <w:sz w:val="12"/>
                <w:szCs w:val="12"/>
                <w:color w:val="auto"/>
              </w:rPr>
              <w:t>Fair value change due to price</w:t>
            </w:r>
          </w:p>
        </w:tc>
        <w:tc>
          <w:tcPr>
            <w:tcW w:w="7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3,380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2"/>
                <w:szCs w:val="12"/>
                <w:color w:val="auto"/>
              </w:rPr>
              <w:t>(10,833)</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(6,408)</w:t>
            </w:r>
          </w:p>
        </w:tc>
        <w:tc>
          <w:tcPr>
            <w:tcW w:w="0" w:type="dxa"/>
            <w:vAlign w:val="bottom"/>
          </w:tcPr>
          <w:p>
            <w:pPr>
              <w:spacing w:after="0"/>
              <w:rPr>
                <w:sz w:val="1"/>
                <w:szCs w:val="1"/>
                <w:color w:val="auto"/>
              </w:rPr>
            </w:pPr>
          </w:p>
        </w:tc>
      </w:tr>
      <w:tr>
        <w:trPr>
          <w:trHeight w:val="144"/>
        </w:trPr>
        <w:tc>
          <w:tcPr>
            <w:tcW w:w="73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Fair value change due to pay-downs</w:t>
            </w:r>
          </w:p>
        </w:tc>
        <w:tc>
          <w:tcPr>
            <w:tcW w:w="7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(5,488)</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(5,391)</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(3,124)</w:t>
            </w:r>
          </w:p>
        </w:tc>
        <w:tc>
          <w:tcPr>
            <w:tcW w:w="0" w:type="dxa"/>
            <w:vAlign w:val="bottom"/>
          </w:tcPr>
          <w:p>
            <w:pPr>
              <w:spacing w:after="0"/>
              <w:rPr>
                <w:sz w:val="1"/>
                <w:szCs w:val="1"/>
                <w:color w:val="auto"/>
              </w:rPr>
            </w:pPr>
          </w:p>
        </w:tc>
      </w:tr>
      <w:tr>
        <w:trPr>
          <w:trHeight w:val="20"/>
        </w:trPr>
        <w:tc>
          <w:tcPr>
            <w:tcW w:w="734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340" w:type="dxa"/>
            <w:vAlign w:val="bottom"/>
          </w:tcPr>
          <w:p>
            <w:pPr>
              <w:ind w:left="200"/>
              <w:spacing w:after="0"/>
              <w:rPr>
                <w:sz w:val="20"/>
                <w:szCs w:val="20"/>
                <w:color w:val="auto"/>
              </w:rPr>
            </w:pPr>
            <w:r>
              <w:rPr>
                <w:rFonts w:ascii="Arial" w:cs="Arial" w:eastAsia="Arial" w:hAnsi="Arial"/>
                <w:sz w:val="12"/>
                <w:szCs w:val="12"/>
                <w:color w:val="auto"/>
              </w:rPr>
              <w:t>Total</w:t>
            </w:r>
          </w:p>
        </w:tc>
        <w:tc>
          <w:tcPr>
            <w:tcW w:w="760" w:type="dxa"/>
            <w:vAlign w:val="bottom"/>
          </w:tcPr>
          <w:p>
            <w:pPr>
              <w:jc w:val="right"/>
              <w:ind w:right="648"/>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5,745</w:t>
            </w:r>
          </w:p>
        </w:tc>
        <w:tc>
          <w:tcPr>
            <w:tcW w:w="240" w:type="dxa"/>
            <w:vAlign w:val="bottom"/>
          </w:tcPr>
          <w:p>
            <w:pPr>
              <w:spacing w:after="0"/>
              <w:rPr>
                <w:sz w:val="12"/>
                <w:szCs w:val="12"/>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180"/>
              <w:spacing w:after="0"/>
              <w:rPr>
                <w:sz w:val="20"/>
                <w:szCs w:val="20"/>
                <w:color w:val="auto"/>
              </w:rPr>
            </w:pPr>
            <w:r>
              <w:rPr>
                <w:rFonts w:ascii="Arial" w:cs="Arial" w:eastAsia="Arial" w:hAnsi="Arial"/>
                <w:sz w:val="12"/>
                <w:szCs w:val="12"/>
                <w:color w:val="auto"/>
              </w:rPr>
              <w:t>(9,350)</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(3,336)</w:t>
            </w:r>
          </w:p>
        </w:tc>
        <w:tc>
          <w:tcPr>
            <w:tcW w:w="0" w:type="dxa"/>
            <w:vAlign w:val="bottom"/>
          </w:tcPr>
          <w:p>
            <w:pPr>
              <w:spacing w:after="0"/>
              <w:rPr>
                <w:sz w:val="1"/>
                <w:szCs w:val="1"/>
                <w:color w:val="auto"/>
              </w:rPr>
            </w:pPr>
          </w:p>
        </w:tc>
      </w:tr>
      <w:tr>
        <w:trPr>
          <w:trHeight w:val="20"/>
        </w:trPr>
        <w:tc>
          <w:tcPr>
            <w:tcW w:w="7340" w:type="dxa"/>
            <w:vAlign w:val="bottom"/>
            <w:vMerge w:val="restart"/>
          </w:tcPr>
          <w:p>
            <w:pPr>
              <w:ind w:left="240"/>
              <w:spacing w:after="0"/>
              <w:rPr>
                <w:sz w:val="20"/>
                <w:szCs w:val="20"/>
                <w:color w:val="auto"/>
              </w:rPr>
            </w:pPr>
            <w:r>
              <w:rPr>
                <w:rFonts w:ascii="Arial" w:cs="Arial" w:eastAsia="Arial" w:hAnsi="Arial"/>
                <w:sz w:val="12"/>
                <w:szCs w:val="12"/>
                <w:color w:val="auto"/>
              </w:rPr>
              <w:t>Activity related to capitalized mortgage loan servicing rights is as follows:</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340" w:type="dxa"/>
            <w:vAlign w:val="bottom"/>
            <w:vMerge w:val="continue"/>
          </w:tcPr>
          <w:p>
            <w:pPr>
              <w:spacing w:after="0"/>
              <w:rPr>
                <w:sz w:val="22"/>
                <w:szCs w:val="22"/>
                <w:color w:val="auto"/>
              </w:rPr>
            </w:pPr>
          </w:p>
        </w:tc>
        <w:tc>
          <w:tcPr>
            <w:tcW w:w="7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7340" w:type="dxa"/>
            <w:vAlign w:val="bottom"/>
          </w:tcPr>
          <w:p>
            <w:pPr>
              <w:spacing w:after="0"/>
              <w:rPr>
                <w:sz w:val="20"/>
                <w:szCs w:val="20"/>
                <w:color w:val="auto"/>
              </w:rPr>
            </w:pPr>
            <w:r>
              <w:rPr>
                <w:rFonts w:ascii="Arial" w:cs="Arial" w:eastAsia="Arial" w:hAnsi="Arial"/>
                <w:sz w:val="12"/>
                <w:szCs w:val="12"/>
                <w:b w:val="1"/>
                <w:bCs w:val="1"/>
                <w:color w:val="auto"/>
              </w:rPr>
              <w:t>CAPITALIZED MORTGAGE LOAN SERVICING RIGHTS</w:t>
            </w: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340" w:type="dxa"/>
            <w:vAlign w:val="bottom"/>
          </w:tcPr>
          <w:p>
            <w:pPr>
              <w:spacing w:after="0"/>
              <w:rPr>
                <w:sz w:val="24"/>
                <w:szCs w:val="24"/>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2"/>
                <w:szCs w:val="12"/>
                <w:b w:val="1"/>
                <w:bCs w:val="1"/>
                <w:color w:val="auto"/>
              </w:rPr>
              <w:t>2021</w:t>
            </w:r>
          </w:p>
        </w:tc>
        <w:tc>
          <w:tcPr>
            <w:tcW w:w="3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60"/>
              <w:spacing w:after="0"/>
              <w:rPr>
                <w:sz w:val="20"/>
                <w:szCs w:val="20"/>
                <w:color w:val="auto"/>
              </w:rPr>
            </w:pPr>
            <w:r>
              <w:rPr>
                <w:rFonts w:ascii="Arial" w:cs="Arial" w:eastAsia="Arial" w:hAnsi="Arial"/>
                <w:sz w:val="12"/>
                <w:szCs w:val="12"/>
                <w:b w:val="1"/>
                <w:bCs w:val="1"/>
                <w:color w:val="auto"/>
                <w:w w:val="89"/>
              </w:rPr>
              <w:t>2020</w:t>
            </w: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80"/>
              <w:spacing w:after="0"/>
              <w:rPr>
                <w:sz w:val="20"/>
                <w:szCs w:val="20"/>
                <w:color w:val="auto"/>
              </w:rPr>
            </w:pPr>
            <w:r>
              <w:rPr>
                <w:rFonts w:ascii="Arial" w:cs="Arial" w:eastAsia="Arial" w:hAnsi="Arial"/>
                <w:sz w:val="12"/>
                <w:szCs w:val="12"/>
                <w:b w:val="1"/>
                <w:bCs w:val="1"/>
                <w:color w:val="auto"/>
                <w:w w:val="89"/>
              </w:rPr>
              <w:t>(In thousands)</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340" w:type="dxa"/>
            <w:vAlign w:val="bottom"/>
            <w:shd w:val="clear" w:color="auto" w:fill="CCEEFF"/>
          </w:tcPr>
          <w:p>
            <w:pPr>
              <w:spacing w:after="0"/>
              <w:rPr>
                <w:sz w:val="20"/>
                <w:szCs w:val="20"/>
                <w:color w:val="auto"/>
              </w:rPr>
            </w:pPr>
            <w:r>
              <w:rPr>
                <w:rFonts w:ascii="Arial" w:cs="Arial" w:eastAsia="Arial" w:hAnsi="Arial"/>
                <w:sz w:val="12"/>
                <w:szCs w:val="12"/>
                <w:color w:val="auto"/>
              </w:rPr>
              <w:t>Balance at January 1,</w:t>
            </w:r>
          </w:p>
        </w:tc>
        <w:tc>
          <w:tcPr>
            <w:tcW w:w="760" w:type="dxa"/>
            <w:vAlign w:val="bottom"/>
            <w:shd w:val="clear" w:color="auto" w:fill="CCEEFF"/>
          </w:tcPr>
          <w:p>
            <w:pPr>
              <w:jc w:val="right"/>
              <w:ind w:right="648"/>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16,904</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19,171</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21,400</w:t>
            </w:r>
          </w:p>
        </w:tc>
        <w:tc>
          <w:tcPr>
            <w:tcW w:w="0" w:type="dxa"/>
            <w:vAlign w:val="bottom"/>
          </w:tcPr>
          <w:p>
            <w:pPr>
              <w:spacing w:after="0"/>
              <w:rPr>
                <w:sz w:val="1"/>
                <w:szCs w:val="1"/>
                <w:color w:val="auto"/>
              </w:rPr>
            </w:pPr>
          </w:p>
        </w:tc>
      </w:tr>
      <w:tr>
        <w:trPr>
          <w:trHeight w:val="144"/>
        </w:trPr>
        <w:tc>
          <w:tcPr>
            <w:tcW w:w="7340" w:type="dxa"/>
            <w:vAlign w:val="bottom"/>
          </w:tcPr>
          <w:p>
            <w:pPr>
              <w:ind w:left="100"/>
              <w:spacing w:after="0"/>
              <w:rPr>
                <w:sz w:val="20"/>
                <w:szCs w:val="20"/>
                <w:color w:val="auto"/>
              </w:rPr>
            </w:pPr>
            <w:r>
              <w:rPr>
                <w:rFonts w:ascii="Arial" w:cs="Arial" w:eastAsia="Arial" w:hAnsi="Arial"/>
                <w:sz w:val="12"/>
                <w:szCs w:val="12"/>
                <w:color w:val="auto"/>
              </w:rPr>
              <w:t>Originated servicing rights capitalized</w:t>
            </w:r>
          </w:p>
        </w:tc>
        <w:tc>
          <w:tcPr>
            <w:tcW w:w="7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w w:val="97"/>
              </w:rPr>
              <w:t>11,436</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13,957</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7,303</w:t>
            </w:r>
          </w:p>
        </w:tc>
        <w:tc>
          <w:tcPr>
            <w:tcW w:w="0" w:type="dxa"/>
            <w:vAlign w:val="bottom"/>
          </w:tcPr>
          <w:p>
            <w:pPr>
              <w:spacing w:after="0"/>
              <w:rPr>
                <w:sz w:val="1"/>
                <w:szCs w:val="1"/>
                <w:color w:val="auto"/>
              </w:rPr>
            </w:pPr>
          </w:p>
        </w:tc>
      </w:tr>
      <w:tr>
        <w:trPr>
          <w:trHeight w:val="144"/>
        </w:trPr>
        <w:tc>
          <w:tcPr>
            <w:tcW w:w="73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Change in fair value</w:t>
            </w:r>
          </w:p>
        </w:tc>
        <w:tc>
          <w:tcPr>
            <w:tcW w:w="7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(2,108)</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(16,224)</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(9,532)</w:t>
            </w:r>
          </w:p>
        </w:tc>
        <w:tc>
          <w:tcPr>
            <w:tcW w:w="0" w:type="dxa"/>
            <w:vAlign w:val="bottom"/>
          </w:tcPr>
          <w:p>
            <w:pPr>
              <w:spacing w:after="0"/>
              <w:rPr>
                <w:sz w:val="1"/>
                <w:szCs w:val="1"/>
                <w:color w:val="auto"/>
              </w:rPr>
            </w:pPr>
          </w:p>
        </w:tc>
      </w:tr>
      <w:tr>
        <w:trPr>
          <w:trHeight w:val="20"/>
        </w:trPr>
        <w:tc>
          <w:tcPr>
            <w:tcW w:w="734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340" w:type="dxa"/>
            <w:vAlign w:val="bottom"/>
          </w:tcPr>
          <w:p>
            <w:pPr>
              <w:spacing w:after="0"/>
              <w:rPr>
                <w:sz w:val="20"/>
                <w:szCs w:val="20"/>
                <w:color w:val="auto"/>
              </w:rPr>
            </w:pPr>
            <w:r>
              <w:rPr>
                <w:rFonts w:ascii="Arial" w:cs="Arial" w:eastAsia="Arial" w:hAnsi="Arial"/>
                <w:sz w:val="12"/>
                <w:szCs w:val="12"/>
                <w:color w:val="auto"/>
              </w:rPr>
              <w:t>Balance at December 31,</w:t>
            </w:r>
          </w:p>
        </w:tc>
        <w:tc>
          <w:tcPr>
            <w:tcW w:w="760" w:type="dxa"/>
            <w:vAlign w:val="bottom"/>
          </w:tcPr>
          <w:p>
            <w:pPr>
              <w:jc w:val="right"/>
              <w:ind w:right="648"/>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2"/>
                <w:szCs w:val="12"/>
                <w:color w:val="auto"/>
                <w:w w:val="97"/>
              </w:rPr>
              <w:t>26,232</w:t>
            </w:r>
          </w:p>
        </w:tc>
        <w:tc>
          <w:tcPr>
            <w:tcW w:w="240" w:type="dxa"/>
            <w:vAlign w:val="bottom"/>
          </w:tcPr>
          <w:p>
            <w:pPr>
              <w:spacing w:after="0"/>
              <w:rPr>
                <w:sz w:val="12"/>
                <w:szCs w:val="12"/>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16,904</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19,171</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jc w:val="both"/>
        <w:ind w:firstLine="240"/>
        <w:spacing w:after="0" w:line="263" w:lineRule="auto"/>
        <w:rPr>
          <w:sz w:val="20"/>
          <w:szCs w:val="20"/>
          <w:color w:val="auto"/>
        </w:rPr>
      </w:pPr>
      <w:r>
        <w:rPr>
          <w:rFonts w:ascii="Arial" w:cs="Arial" w:eastAsia="Arial" w:hAnsi="Arial"/>
          <w:sz w:val="12"/>
          <w:szCs w:val="12"/>
          <w:color w:val="auto"/>
        </w:rPr>
        <w:t>At December 31, 2021, we were servicing approximately $3.3 billion in mortgage loans for others on which servicing rights have been capitalized. This servicing portfolio had a weighted average coupon rate of 3.46% and a weighted average service fee of approximately 25.6 basis points. Remaining capitalized mortgage loan servicing rights at December 31, 2021 totaled $26.2 million, representing approximately 78.9 basis points on the related amount of mortgage loans serviced for others.</w:t>
      </w:r>
    </w:p>
    <w:p>
      <w:pPr>
        <w:spacing w:after="0" w:line="122" w:lineRule="exact"/>
        <w:rPr>
          <w:sz w:val="20"/>
          <w:szCs w:val="20"/>
          <w:color w:val="auto"/>
        </w:rPr>
      </w:pPr>
    </w:p>
    <w:p>
      <w:pPr>
        <w:jc w:val="both"/>
        <w:ind w:right="20" w:firstLine="240"/>
        <w:spacing w:after="0" w:line="276" w:lineRule="auto"/>
        <w:rPr>
          <w:sz w:val="20"/>
          <w:szCs w:val="20"/>
          <w:color w:val="auto"/>
        </w:rPr>
      </w:pPr>
      <w:r>
        <w:rPr>
          <w:rFonts w:ascii="Arial" w:cs="Arial" w:eastAsia="Arial" w:hAnsi="Arial"/>
          <w:sz w:val="12"/>
          <w:szCs w:val="12"/>
          <w:color w:val="auto"/>
        </w:rPr>
        <w:t>Investment and insurance commissions totaled $2.6 million in 2021 as compared to $2.0 million and $1.7 million in 2020 and 2019. The increase in revenue in 2021 as compared to 2020 and 2019 was primarily due to higher sales volume and an increase in fee based revenue.</w:t>
      </w:r>
    </w:p>
    <w:p>
      <w:pPr>
        <w:spacing w:after="0" w:line="115" w:lineRule="exact"/>
        <w:rPr>
          <w:sz w:val="20"/>
          <w:szCs w:val="20"/>
          <w:color w:val="auto"/>
        </w:rPr>
      </w:pPr>
    </w:p>
    <w:p>
      <w:pPr>
        <w:jc w:val="both"/>
        <w:ind w:firstLine="240"/>
        <w:spacing w:after="0" w:line="298" w:lineRule="auto"/>
        <w:rPr>
          <w:sz w:val="20"/>
          <w:szCs w:val="20"/>
          <w:color w:val="auto"/>
        </w:rPr>
      </w:pPr>
      <w:r>
        <w:rPr>
          <w:rFonts w:ascii="Arial" w:cs="Arial" w:eastAsia="Arial" w:hAnsi="Arial"/>
          <w:sz w:val="11"/>
          <w:szCs w:val="11"/>
          <w:color w:val="auto"/>
        </w:rPr>
        <w:t>We earned $0.6 million, $0.9 million and $1.1 million in 2021, 2020 and 2019, respectively, on our separate account bank owned life insurance principally as a result of increases in the cash surrender value. Our separate account is primarily invested in agency mortgage-backed securities and managed by a fixed income investment manager. The crediting rate (on which the earnings are based) reflects the performance of the separate account. The total cash surrender value of our bank owned life insurance was $55.3 million and $55.2 million at December 31, 2021 and 2020, respectively. The decrease in earnings in each year is due to a decrease in the crediting rate.</w:t>
      </w:r>
    </w:p>
    <w:p>
      <w:pPr>
        <w:spacing w:after="0" w:line="105" w:lineRule="exact"/>
        <w:rPr>
          <w:sz w:val="20"/>
          <w:szCs w:val="20"/>
          <w:color w:val="auto"/>
        </w:rPr>
      </w:pPr>
    </w:p>
    <w:p>
      <w:pPr>
        <w:jc w:val="both"/>
        <w:ind w:firstLine="240"/>
        <w:spacing w:after="0" w:line="326" w:lineRule="auto"/>
        <w:rPr>
          <w:sz w:val="20"/>
          <w:szCs w:val="20"/>
          <w:color w:val="auto"/>
        </w:rPr>
      </w:pPr>
      <w:r>
        <w:rPr>
          <w:rFonts w:ascii="Arial" w:cs="Arial" w:eastAsia="Arial" w:hAnsi="Arial"/>
          <w:sz w:val="10"/>
          <w:szCs w:val="10"/>
          <w:color w:val="auto"/>
        </w:rPr>
        <w:t>Other non-interest income totaled $6.2 million, $4.6 million and $6.5 million in 2021, 2020 and 2019, respectively. Other non-interest income increased in 2021 as compared to 2020 due primarily to increases in credit card and merchant processing revenue, higher commercial loan swap fee income and a one-time fee reimbursement from our core data processing vendor for conversion related loss of revenues. The decrease in 2020 as compared to 2019 is due to the impact of the COVID-19 pandemic on transaction volumes, including ATM fees. In addition, we elected to suspend certain electronic banking fees because of the COVID-19 pandemic and the increased need for our customers to access these channels. Fees related to interest rate swaps for commercial loan customers were also lower in 2020 as customers did not feel the need to execute such transactions given the low interest rate environment.</w:t>
      </w:r>
    </w:p>
    <w:p>
      <w:pPr>
        <w:spacing w:after="0" w:line="95" w:lineRule="exact"/>
        <w:rPr>
          <w:sz w:val="20"/>
          <w:szCs w:val="20"/>
          <w:color w:val="auto"/>
        </w:rPr>
      </w:pPr>
    </w:p>
    <w:p>
      <w:pPr>
        <w:ind w:left="240"/>
        <w:spacing w:after="0"/>
        <w:rPr>
          <w:sz w:val="20"/>
          <w:szCs w:val="20"/>
          <w:color w:val="auto"/>
        </w:rPr>
      </w:pPr>
      <w:r>
        <w:rPr>
          <w:rFonts w:ascii="Arial" w:cs="Arial" w:eastAsia="Arial" w:hAnsi="Arial"/>
          <w:sz w:val="12"/>
          <w:szCs w:val="12"/>
          <w:i w:val="1"/>
          <w:iCs w:val="1"/>
          <w:color w:val="auto"/>
        </w:rPr>
        <w:t xml:space="preserve">Non-interest expense. </w:t>
      </w:r>
      <w:r>
        <w:rPr>
          <w:rFonts w:ascii="Arial" w:cs="Arial" w:eastAsia="Arial" w:hAnsi="Arial"/>
          <w:sz w:val="12"/>
          <w:szCs w:val="12"/>
          <w:color w:val="auto"/>
        </w:rPr>
        <w:t>Non-interest expense is an important component of our results of operations. We strive to efficiently manage our cost structure.</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39" w:name="page40"/>
    <w:bookmarkEnd w:id="39"/>
    <w:p>
      <w:pPr>
        <w:jc w:val="both"/>
        <w:ind w:right="20" w:firstLine="240"/>
        <w:spacing w:after="0" w:line="263" w:lineRule="auto"/>
        <w:rPr>
          <w:sz w:val="20"/>
          <w:szCs w:val="20"/>
          <w:color w:val="auto"/>
        </w:rPr>
      </w:pPr>
      <w:r>
        <w:rPr>
          <w:rFonts w:ascii="Arial" w:cs="Arial" w:eastAsia="Arial" w:hAnsi="Arial"/>
          <w:sz w:val="12"/>
          <w:szCs w:val="12"/>
          <w:color w:val="auto"/>
        </w:rPr>
        <w:t>Non-interest expense totaled $131.0 million in 2021, $122.4 million in 2020, and $111.7 million in 2019. Increases in compensation and employee benefits, data processing, interchange expense, costs related to unfunded lending commitments and other expenses are primarily responsible for the increase in 2021 compared to 2020. Performance based compensation and expense related to the core data processing conversion are primarily responsible for the increase in 2020 compared to 2019. The components of non-interest expense are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340" w:type="dxa"/>
            <w:vAlign w:val="bottom"/>
          </w:tcPr>
          <w:p>
            <w:pPr>
              <w:spacing w:after="0"/>
              <w:rPr>
                <w:sz w:val="20"/>
                <w:szCs w:val="20"/>
                <w:color w:val="auto"/>
              </w:rPr>
            </w:pPr>
            <w:r>
              <w:rPr>
                <w:rFonts w:ascii="Arial" w:cs="Arial" w:eastAsia="Arial" w:hAnsi="Arial"/>
                <w:sz w:val="12"/>
                <w:szCs w:val="12"/>
                <w:b w:val="1"/>
                <w:bCs w:val="1"/>
                <w:color w:val="auto"/>
              </w:rPr>
              <w:t>NON-INTEREST EXPENSE</w:t>
            </w: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734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2"/>
                <w:szCs w:val="12"/>
                <w:b w:val="1"/>
                <w:bCs w:val="1"/>
                <w:color w:val="auto"/>
                <w:w w:val="88"/>
              </w:rPr>
              <w:t>Year ended December 31,</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7340" w:type="dxa"/>
            <w:vAlign w:val="bottom"/>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2020</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2"/>
                <w:szCs w:val="12"/>
                <w:color w:val="auto"/>
              </w:rPr>
            </w:pPr>
          </w:p>
        </w:tc>
      </w:tr>
      <w:tr>
        <w:trPr>
          <w:trHeight w:val="142"/>
        </w:trPr>
        <w:tc>
          <w:tcPr>
            <w:tcW w:w="7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80"/>
              <w:spacing w:after="0"/>
              <w:rPr>
                <w:sz w:val="20"/>
                <w:szCs w:val="20"/>
                <w:color w:val="auto"/>
              </w:rPr>
            </w:pPr>
            <w:r>
              <w:rPr>
                <w:rFonts w:ascii="Arial" w:cs="Arial" w:eastAsia="Arial" w:hAnsi="Arial"/>
                <w:sz w:val="12"/>
                <w:szCs w:val="12"/>
                <w:b w:val="1"/>
                <w:bCs w:val="1"/>
                <w:color w:val="auto"/>
                <w:w w:val="89"/>
              </w:rPr>
              <w:t>(In thousands)</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7340" w:type="dxa"/>
            <w:vAlign w:val="bottom"/>
            <w:shd w:val="clear" w:color="auto" w:fill="CCEEFF"/>
          </w:tcPr>
          <w:p>
            <w:pPr>
              <w:spacing w:after="0"/>
              <w:rPr>
                <w:sz w:val="20"/>
                <w:szCs w:val="20"/>
                <w:color w:val="auto"/>
              </w:rPr>
            </w:pPr>
            <w:r>
              <w:rPr>
                <w:rFonts w:ascii="Arial" w:cs="Arial" w:eastAsia="Arial" w:hAnsi="Arial"/>
                <w:sz w:val="12"/>
                <w:szCs w:val="12"/>
                <w:color w:val="auto"/>
              </w:rPr>
              <w:t>Compensation</w:t>
            </w:r>
          </w:p>
        </w:tc>
        <w:tc>
          <w:tcPr>
            <w:tcW w:w="720" w:type="dxa"/>
            <w:vAlign w:val="bottom"/>
            <w:shd w:val="clear" w:color="auto" w:fill="CCEEFF"/>
          </w:tcPr>
          <w:p>
            <w:pPr>
              <w:jc w:val="right"/>
              <w:ind w:right="608"/>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44,226</w:t>
            </w:r>
          </w:p>
        </w:tc>
        <w:tc>
          <w:tcPr>
            <w:tcW w:w="260" w:type="dxa"/>
            <w:vAlign w:val="bottom"/>
            <w:gridSpan w:val="2"/>
            <w:shd w:val="clear" w:color="auto" w:fill="CCEEFF"/>
          </w:tcPr>
          <w:p>
            <w:pPr>
              <w:jc w:val="right"/>
              <w:ind w:right="12"/>
              <w:spacing w:after="0"/>
              <w:rPr>
                <w:sz w:val="20"/>
                <w:szCs w:val="20"/>
                <w:color w:val="auto"/>
              </w:rPr>
            </w:pPr>
            <w:r>
              <w:rPr>
                <w:rFonts w:ascii="Arial" w:cs="Arial" w:eastAsia="Arial" w:hAnsi="Arial"/>
                <w:sz w:val="12"/>
                <w:szCs w:val="12"/>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41,517</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41,719</w:t>
            </w:r>
          </w:p>
        </w:tc>
      </w:tr>
      <w:tr>
        <w:trPr>
          <w:trHeight w:val="144"/>
        </w:trPr>
        <w:tc>
          <w:tcPr>
            <w:tcW w:w="7340" w:type="dxa"/>
            <w:vAlign w:val="bottom"/>
          </w:tcPr>
          <w:p>
            <w:pPr>
              <w:spacing w:after="0"/>
              <w:rPr>
                <w:sz w:val="20"/>
                <w:szCs w:val="20"/>
                <w:color w:val="auto"/>
              </w:rPr>
            </w:pPr>
            <w:r>
              <w:rPr>
                <w:rFonts w:ascii="Arial" w:cs="Arial" w:eastAsia="Arial" w:hAnsi="Arial"/>
                <w:sz w:val="12"/>
                <w:szCs w:val="12"/>
                <w:color w:val="auto"/>
              </w:rPr>
              <w:t>Performance-based compensation</w:t>
            </w:r>
          </w:p>
        </w:tc>
        <w:tc>
          <w:tcPr>
            <w:tcW w:w="72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19,800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19,725</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12,066</w:t>
            </w:r>
          </w:p>
        </w:tc>
      </w:tr>
      <w:tr>
        <w:trPr>
          <w:trHeight w:val="144"/>
        </w:trPr>
        <w:tc>
          <w:tcPr>
            <w:tcW w:w="7340" w:type="dxa"/>
            <w:vAlign w:val="bottom"/>
            <w:shd w:val="clear" w:color="auto" w:fill="CCEEFF"/>
          </w:tcPr>
          <w:p>
            <w:pPr>
              <w:spacing w:after="0"/>
              <w:rPr>
                <w:sz w:val="20"/>
                <w:szCs w:val="20"/>
                <w:color w:val="auto"/>
              </w:rPr>
            </w:pPr>
            <w:r>
              <w:rPr>
                <w:rFonts w:ascii="Arial" w:cs="Arial" w:eastAsia="Arial" w:hAnsi="Arial"/>
                <w:sz w:val="12"/>
                <w:szCs w:val="12"/>
                <w:color w:val="auto"/>
              </w:rPr>
              <w:t>Payroll taxes and employee benefits</w:t>
            </w:r>
          </w:p>
        </w:tc>
        <w:tc>
          <w:tcPr>
            <w:tcW w:w="7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15,943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13,539</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13,716</w:t>
            </w:r>
          </w:p>
        </w:tc>
      </w:tr>
      <w:tr>
        <w:trPr>
          <w:trHeight w:val="20"/>
        </w:trPr>
        <w:tc>
          <w:tcPr>
            <w:tcW w:w="734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7340" w:type="dxa"/>
            <w:vAlign w:val="bottom"/>
          </w:tcPr>
          <w:p>
            <w:pPr>
              <w:ind w:left="100"/>
              <w:spacing w:after="0"/>
              <w:rPr>
                <w:sz w:val="20"/>
                <w:szCs w:val="20"/>
                <w:color w:val="auto"/>
              </w:rPr>
            </w:pPr>
            <w:r>
              <w:rPr>
                <w:rFonts w:ascii="Arial" w:cs="Arial" w:eastAsia="Arial" w:hAnsi="Arial"/>
                <w:sz w:val="12"/>
                <w:szCs w:val="12"/>
                <w:color w:val="auto"/>
              </w:rPr>
              <w:t>Compensation and employee benefits</w:t>
            </w:r>
          </w:p>
        </w:tc>
        <w:tc>
          <w:tcPr>
            <w:tcW w:w="72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79,969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74,781</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67,501</w:t>
            </w:r>
          </w:p>
        </w:tc>
      </w:tr>
      <w:tr>
        <w:trPr>
          <w:trHeight w:val="144"/>
        </w:trPr>
        <w:tc>
          <w:tcPr>
            <w:tcW w:w="7340" w:type="dxa"/>
            <w:vAlign w:val="bottom"/>
            <w:shd w:val="clear" w:color="auto" w:fill="CCEEFF"/>
          </w:tcPr>
          <w:p>
            <w:pPr>
              <w:spacing w:after="0"/>
              <w:rPr>
                <w:sz w:val="20"/>
                <w:szCs w:val="20"/>
                <w:color w:val="auto"/>
              </w:rPr>
            </w:pPr>
            <w:r>
              <w:rPr>
                <w:rFonts w:ascii="Arial" w:cs="Arial" w:eastAsia="Arial" w:hAnsi="Arial"/>
                <w:sz w:val="12"/>
                <w:szCs w:val="12"/>
                <w:color w:val="auto"/>
              </w:rPr>
              <w:t>Data processing</w:t>
            </w:r>
          </w:p>
        </w:tc>
        <w:tc>
          <w:tcPr>
            <w:tcW w:w="7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10,823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8,534</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8,905</w:t>
            </w:r>
          </w:p>
        </w:tc>
      </w:tr>
      <w:tr>
        <w:trPr>
          <w:trHeight w:val="144"/>
        </w:trPr>
        <w:tc>
          <w:tcPr>
            <w:tcW w:w="7340" w:type="dxa"/>
            <w:vAlign w:val="bottom"/>
          </w:tcPr>
          <w:p>
            <w:pPr>
              <w:spacing w:after="0"/>
              <w:rPr>
                <w:sz w:val="20"/>
                <w:szCs w:val="20"/>
                <w:color w:val="auto"/>
              </w:rPr>
            </w:pPr>
            <w:r>
              <w:rPr>
                <w:rFonts w:ascii="Arial" w:cs="Arial" w:eastAsia="Arial" w:hAnsi="Arial"/>
                <w:sz w:val="12"/>
                <w:szCs w:val="12"/>
                <w:color w:val="auto"/>
              </w:rPr>
              <w:t>Occupancy, net</w:t>
            </w:r>
          </w:p>
        </w:tc>
        <w:tc>
          <w:tcPr>
            <w:tcW w:w="7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8,794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8,938</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9,013</w:t>
            </w:r>
          </w:p>
        </w:tc>
      </w:tr>
      <w:tr>
        <w:trPr>
          <w:trHeight w:val="144"/>
        </w:trPr>
        <w:tc>
          <w:tcPr>
            <w:tcW w:w="7340" w:type="dxa"/>
            <w:vAlign w:val="bottom"/>
            <w:shd w:val="clear" w:color="auto" w:fill="CCEEFF"/>
          </w:tcPr>
          <w:p>
            <w:pPr>
              <w:spacing w:after="0"/>
              <w:rPr>
                <w:sz w:val="20"/>
                <w:szCs w:val="20"/>
                <w:color w:val="auto"/>
              </w:rPr>
            </w:pPr>
            <w:r>
              <w:rPr>
                <w:rFonts w:ascii="Arial" w:cs="Arial" w:eastAsia="Arial" w:hAnsi="Arial"/>
                <w:sz w:val="12"/>
                <w:szCs w:val="12"/>
                <w:color w:val="auto"/>
              </w:rPr>
              <w:t>Interchange expense</w:t>
            </w: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4,434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3,342</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3,215</w:t>
            </w:r>
          </w:p>
        </w:tc>
      </w:tr>
      <w:tr>
        <w:trPr>
          <w:trHeight w:val="144"/>
        </w:trPr>
        <w:tc>
          <w:tcPr>
            <w:tcW w:w="7340" w:type="dxa"/>
            <w:vAlign w:val="bottom"/>
          </w:tcPr>
          <w:p>
            <w:pPr>
              <w:spacing w:after="0"/>
              <w:rPr>
                <w:sz w:val="20"/>
                <w:szCs w:val="20"/>
                <w:color w:val="auto"/>
              </w:rPr>
            </w:pPr>
            <w:r>
              <w:rPr>
                <w:rFonts w:ascii="Arial" w:cs="Arial" w:eastAsia="Arial" w:hAnsi="Arial"/>
                <w:sz w:val="12"/>
                <w:szCs w:val="12"/>
                <w:color w:val="auto"/>
              </w:rPr>
              <w:t>Furniture, fixtures and equipment</w:t>
            </w:r>
          </w:p>
        </w:tc>
        <w:tc>
          <w:tcPr>
            <w:tcW w:w="7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4,172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4,089</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4,113</w:t>
            </w:r>
          </w:p>
        </w:tc>
      </w:tr>
      <w:tr>
        <w:trPr>
          <w:trHeight w:val="144"/>
        </w:trPr>
        <w:tc>
          <w:tcPr>
            <w:tcW w:w="7340" w:type="dxa"/>
            <w:vAlign w:val="bottom"/>
            <w:shd w:val="clear" w:color="auto" w:fill="CCEEFF"/>
          </w:tcPr>
          <w:p>
            <w:pPr>
              <w:spacing w:after="0"/>
              <w:rPr>
                <w:sz w:val="20"/>
                <w:szCs w:val="20"/>
                <w:color w:val="auto"/>
              </w:rPr>
            </w:pPr>
            <w:r>
              <w:rPr>
                <w:rFonts w:ascii="Arial" w:cs="Arial" w:eastAsia="Arial" w:hAnsi="Arial"/>
                <w:sz w:val="12"/>
                <w:szCs w:val="12"/>
                <w:color w:val="auto"/>
              </w:rPr>
              <w:t>Loan and collection</w:t>
            </w: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3,172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3,037</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2,685</w:t>
            </w:r>
          </w:p>
        </w:tc>
      </w:tr>
      <w:tr>
        <w:trPr>
          <w:trHeight w:val="144"/>
        </w:trPr>
        <w:tc>
          <w:tcPr>
            <w:tcW w:w="7340" w:type="dxa"/>
            <w:vAlign w:val="bottom"/>
          </w:tcPr>
          <w:p>
            <w:pPr>
              <w:spacing w:after="0"/>
              <w:rPr>
                <w:sz w:val="20"/>
                <w:szCs w:val="20"/>
                <w:color w:val="auto"/>
              </w:rPr>
            </w:pPr>
            <w:r>
              <w:rPr>
                <w:rFonts w:ascii="Arial" w:cs="Arial" w:eastAsia="Arial" w:hAnsi="Arial"/>
                <w:sz w:val="12"/>
                <w:szCs w:val="12"/>
                <w:color w:val="auto"/>
              </w:rPr>
              <w:t>Communications</w:t>
            </w:r>
          </w:p>
        </w:tc>
        <w:tc>
          <w:tcPr>
            <w:tcW w:w="7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3,080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3,194</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2,947</w:t>
            </w:r>
          </w:p>
        </w:tc>
      </w:tr>
      <w:tr>
        <w:trPr>
          <w:trHeight w:val="144"/>
        </w:trPr>
        <w:tc>
          <w:tcPr>
            <w:tcW w:w="7340" w:type="dxa"/>
            <w:vAlign w:val="bottom"/>
            <w:shd w:val="clear" w:color="auto" w:fill="CCEEFF"/>
          </w:tcPr>
          <w:p>
            <w:pPr>
              <w:spacing w:after="0"/>
              <w:rPr>
                <w:sz w:val="20"/>
                <w:szCs w:val="20"/>
                <w:color w:val="auto"/>
              </w:rPr>
            </w:pPr>
            <w:r>
              <w:rPr>
                <w:rFonts w:ascii="Arial" w:cs="Arial" w:eastAsia="Arial" w:hAnsi="Arial"/>
                <w:sz w:val="12"/>
                <w:szCs w:val="12"/>
                <w:color w:val="auto"/>
              </w:rPr>
              <w:t>Legal and professional</w:t>
            </w: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2,068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2,027</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1,814</w:t>
            </w:r>
          </w:p>
        </w:tc>
      </w:tr>
      <w:tr>
        <w:trPr>
          <w:trHeight w:val="144"/>
        </w:trPr>
        <w:tc>
          <w:tcPr>
            <w:tcW w:w="7340" w:type="dxa"/>
            <w:vAlign w:val="bottom"/>
          </w:tcPr>
          <w:p>
            <w:pPr>
              <w:spacing w:after="0"/>
              <w:rPr>
                <w:sz w:val="20"/>
                <w:szCs w:val="20"/>
                <w:color w:val="auto"/>
              </w:rPr>
            </w:pPr>
            <w:r>
              <w:rPr>
                <w:rFonts w:ascii="Arial" w:cs="Arial" w:eastAsia="Arial" w:hAnsi="Arial"/>
                <w:sz w:val="12"/>
                <w:szCs w:val="12"/>
                <w:color w:val="auto"/>
              </w:rPr>
              <w:t>Advertising</w:t>
            </w:r>
          </w:p>
        </w:tc>
        <w:tc>
          <w:tcPr>
            <w:tcW w:w="7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1,918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2,230</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2,450</w:t>
            </w:r>
          </w:p>
        </w:tc>
      </w:tr>
      <w:tr>
        <w:trPr>
          <w:trHeight w:val="144"/>
        </w:trPr>
        <w:tc>
          <w:tcPr>
            <w:tcW w:w="7340" w:type="dxa"/>
            <w:vAlign w:val="bottom"/>
            <w:shd w:val="clear" w:color="auto" w:fill="CCEEFF"/>
          </w:tcPr>
          <w:p>
            <w:pPr>
              <w:spacing w:after="0"/>
              <w:rPr>
                <w:sz w:val="20"/>
                <w:szCs w:val="20"/>
                <w:color w:val="auto"/>
              </w:rPr>
            </w:pPr>
            <w:r>
              <w:rPr>
                <w:rFonts w:ascii="Arial" w:cs="Arial" w:eastAsia="Arial" w:hAnsi="Arial"/>
                <w:sz w:val="12"/>
                <w:szCs w:val="12"/>
                <w:color w:val="auto"/>
              </w:rPr>
              <w:t>Conversion related expenses</w:t>
            </w: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1,827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2,586</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144"/>
        </w:trPr>
        <w:tc>
          <w:tcPr>
            <w:tcW w:w="7340" w:type="dxa"/>
            <w:vAlign w:val="bottom"/>
          </w:tcPr>
          <w:p>
            <w:pPr>
              <w:spacing w:after="0"/>
              <w:rPr>
                <w:sz w:val="20"/>
                <w:szCs w:val="20"/>
                <w:color w:val="auto"/>
              </w:rPr>
            </w:pPr>
            <w:r>
              <w:rPr>
                <w:rFonts w:ascii="Arial" w:cs="Arial" w:eastAsia="Arial" w:hAnsi="Arial"/>
                <w:sz w:val="12"/>
                <w:szCs w:val="12"/>
                <w:color w:val="auto"/>
              </w:rPr>
              <w:t>FDIC deposit insurance</w:t>
            </w:r>
          </w:p>
        </w:tc>
        <w:tc>
          <w:tcPr>
            <w:tcW w:w="7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1,396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1,596</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685</w:t>
            </w:r>
          </w:p>
        </w:tc>
      </w:tr>
      <w:tr>
        <w:trPr>
          <w:trHeight w:val="144"/>
        </w:trPr>
        <w:tc>
          <w:tcPr>
            <w:tcW w:w="7340" w:type="dxa"/>
            <w:vAlign w:val="bottom"/>
            <w:shd w:val="clear" w:color="auto" w:fill="CCEEFF"/>
          </w:tcPr>
          <w:p>
            <w:pPr>
              <w:spacing w:after="0"/>
              <w:rPr>
                <w:sz w:val="20"/>
                <w:szCs w:val="20"/>
                <w:color w:val="auto"/>
              </w:rPr>
            </w:pPr>
            <w:r>
              <w:rPr>
                <w:rFonts w:ascii="Arial" w:cs="Arial" w:eastAsia="Arial" w:hAnsi="Arial"/>
                <w:sz w:val="12"/>
                <w:szCs w:val="12"/>
                <w:color w:val="auto"/>
              </w:rPr>
              <w:t>Costs related to unfunded lending commitments</w:t>
            </w: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263</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246</w:t>
            </w:r>
          </w:p>
        </w:tc>
      </w:tr>
      <w:tr>
        <w:trPr>
          <w:trHeight w:val="144"/>
        </w:trPr>
        <w:tc>
          <w:tcPr>
            <w:tcW w:w="7340" w:type="dxa"/>
            <w:vAlign w:val="bottom"/>
          </w:tcPr>
          <w:p>
            <w:pPr>
              <w:spacing w:after="0"/>
              <w:rPr>
                <w:sz w:val="20"/>
                <w:szCs w:val="20"/>
                <w:color w:val="auto"/>
              </w:rPr>
            </w:pPr>
            <w:r>
              <w:rPr>
                <w:rFonts w:ascii="Arial" w:cs="Arial" w:eastAsia="Arial" w:hAnsi="Arial"/>
                <w:sz w:val="12"/>
                <w:szCs w:val="12"/>
                <w:color w:val="auto"/>
              </w:rPr>
              <w:t>Amortization of intangible assets</w:t>
            </w:r>
          </w:p>
        </w:tc>
        <w:tc>
          <w:tcPr>
            <w:tcW w:w="7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970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1,020</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1,089</w:t>
            </w:r>
          </w:p>
        </w:tc>
      </w:tr>
      <w:tr>
        <w:trPr>
          <w:trHeight w:val="144"/>
        </w:trPr>
        <w:tc>
          <w:tcPr>
            <w:tcW w:w="7340" w:type="dxa"/>
            <w:vAlign w:val="bottom"/>
            <w:shd w:val="clear" w:color="auto" w:fill="CCEEFF"/>
          </w:tcPr>
          <w:p>
            <w:pPr>
              <w:spacing w:after="0"/>
              <w:rPr>
                <w:sz w:val="20"/>
                <w:szCs w:val="20"/>
                <w:color w:val="auto"/>
              </w:rPr>
            </w:pPr>
            <w:r>
              <w:rPr>
                <w:rFonts w:ascii="Arial" w:cs="Arial" w:eastAsia="Arial" w:hAnsi="Arial"/>
                <w:sz w:val="12"/>
                <w:szCs w:val="12"/>
                <w:color w:val="auto"/>
              </w:rPr>
              <w:t>Supplies</w:t>
            </w:r>
          </w:p>
        </w:tc>
        <w:tc>
          <w:tcPr>
            <w:tcW w:w="7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611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680</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638</w:t>
            </w:r>
          </w:p>
        </w:tc>
      </w:tr>
      <w:tr>
        <w:trPr>
          <w:trHeight w:val="144"/>
        </w:trPr>
        <w:tc>
          <w:tcPr>
            <w:tcW w:w="7340" w:type="dxa"/>
            <w:vAlign w:val="bottom"/>
          </w:tcPr>
          <w:p>
            <w:pPr>
              <w:spacing w:after="0"/>
              <w:rPr>
                <w:sz w:val="20"/>
                <w:szCs w:val="20"/>
                <w:color w:val="auto"/>
              </w:rPr>
            </w:pPr>
            <w:r>
              <w:rPr>
                <w:rFonts w:ascii="Arial" w:cs="Arial" w:eastAsia="Arial" w:hAnsi="Arial"/>
                <w:sz w:val="12"/>
                <w:szCs w:val="12"/>
                <w:color w:val="auto"/>
              </w:rPr>
              <w:t>Correspondent bank service fees</w:t>
            </w:r>
          </w:p>
        </w:tc>
        <w:tc>
          <w:tcPr>
            <w:tcW w:w="7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382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395</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411</w:t>
            </w:r>
          </w:p>
        </w:tc>
      </w:tr>
      <w:tr>
        <w:trPr>
          <w:trHeight w:val="144"/>
        </w:trPr>
        <w:tc>
          <w:tcPr>
            <w:tcW w:w="7340" w:type="dxa"/>
            <w:vAlign w:val="bottom"/>
            <w:shd w:val="clear" w:color="auto" w:fill="CCEEFF"/>
          </w:tcPr>
          <w:p>
            <w:pPr>
              <w:spacing w:after="0"/>
              <w:rPr>
                <w:sz w:val="20"/>
                <w:szCs w:val="20"/>
                <w:color w:val="auto"/>
              </w:rPr>
            </w:pPr>
            <w:r>
              <w:rPr>
                <w:rFonts w:ascii="Arial" w:cs="Arial" w:eastAsia="Arial" w:hAnsi="Arial"/>
                <w:sz w:val="12"/>
                <w:szCs w:val="12"/>
                <w:color w:val="auto"/>
              </w:rPr>
              <w:t>Provision for loss reimbursement on sold loans</w:t>
            </w: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200</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229</w:t>
            </w:r>
          </w:p>
        </w:tc>
      </w:tr>
      <w:tr>
        <w:trPr>
          <w:trHeight w:val="144"/>
        </w:trPr>
        <w:tc>
          <w:tcPr>
            <w:tcW w:w="7340" w:type="dxa"/>
            <w:vAlign w:val="bottom"/>
          </w:tcPr>
          <w:p>
            <w:pPr>
              <w:spacing w:after="0"/>
              <w:rPr>
                <w:sz w:val="20"/>
                <w:szCs w:val="20"/>
                <w:color w:val="auto"/>
              </w:rPr>
            </w:pPr>
            <w:r>
              <w:rPr>
                <w:rFonts w:ascii="Arial" w:cs="Arial" w:eastAsia="Arial" w:hAnsi="Arial"/>
                <w:sz w:val="12"/>
                <w:szCs w:val="12"/>
                <w:color w:val="auto"/>
              </w:rPr>
              <w:t>Branch closure costs</w:t>
            </w:r>
          </w:p>
        </w:tc>
        <w:tc>
          <w:tcPr>
            <w:tcW w:w="72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417</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4"/>
        </w:trPr>
        <w:tc>
          <w:tcPr>
            <w:tcW w:w="7340" w:type="dxa"/>
            <w:vAlign w:val="bottom"/>
            <w:shd w:val="clear" w:color="auto" w:fill="CCEEFF"/>
          </w:tcPr>
          <w:p>
            <w:pPr>
              <w:spacing w:after="0"/>
              <w:rPr>
                <w:sz w:val="20"/>
                <w:szCs w:val="20"/>
                <w:color w:val="auto"/>
              </w:rPr>
            </w:pPr>
            <w:r>
              <w:rPr>
                <w:rFonts w:ascii="Arial" w:cs="Arial" w:eastAsia="Arial" w:hAnsi="Arial"/>
                <w:sz w:val="12"/>
                <w:szCs w:val="12"/>
                <w:color w:val="auto"/>
              </w:rPr>
              <w:t>Net (gains) losses on other real estate and repossessed assets</w:t>
            </w:r>
          </w:p>
        </w:tc>
        <w:tc>
          <w:tcPr>
            <w:tcW w:w="7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(230)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64</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(90)</w:t>
            </w:r>
          </w:p>
        </w:tc>
      </w:tr>
      <w:tr>
        <w:trPr>
          <w:trHeight w:val="144"/>
        </w:trPr>
        <w:tc>
          <w:tcPr>
            <w:tcW w:w="7340" w:type="dxa"/>
            <w:vAlign w:val="bottom"/>
          </w:tcPr>
          <w:p>
            <w:pPr>
              <w:spacing w:after="0"/>
              <w:rPr>
                <w:sz w:val="20"/>
                <w:szCs w:val="20"/>
                <w:color w:val="auto"/>
              </w:rPr>
            </w:pPr>
            <w:r>
              <w:rPr>
                <w:rFonts w:ascii="Arial" w:cs="Arial" w:eastAsia="Arial" w:hAnsi="Arial"/>
                <w:sz w:val="12"/>
                <w:szCs w:val="12"/>
                <w:color w:val="auto"/>
              </w:rPr>
              <w:t>Other</w:t>
            </w:r>
          </w:p>
        </w:tc>
        <w:tc>
          <w:tcPr>
            <w:tcW w:w="7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6,297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5,020</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5,882</w:t>
            </w:r>
          </w:p>
        </w:tc>
      </w:tr>
      <w:tr>
        <w:trPr>
          <w:trHeight w:val="182"/>
        </w:trPr>
        <w:tc>
          <w:tcPr>
            <w:tcW w:w="7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Total non-interest expense</w:t>
            </w:r>
          </w:p>
        </w:tc>
        <w:tc>
          <w:tcPr>
            <w:tcW w:w="720" w:type="dxa"/>
            <w:vAlign w:val="bottom"/>
            <w:tcBorders>
              <w:top w:val="single" w:sz="8" w:color="auto"/>
              <w:bottom w:val="single" w:sz="8" w:color="auto"/>
            </w:tcBorders>
            <w:shd w:val="clear" w:color="auto" w:fill="CCEEFF"/>
          </w:tcPr>
          <w:p>
            <w:pPr>
              <w:jc w:val="right"/>
              <w:ind w:right="608"/>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2"/>
              </w:rPr>
              <w:t>131,023</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122,413</w:t>
            </w:r>
          </w:p>
        </w:tc>
        <w:tc>
          <w:tcPr>
            <w:tcW w:w="2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111,733</w:t>
            </w:r>
          </w:p>
        </w:tc>
        <w:tc>
          <w:tcPr>
            <w:tcW w:w="120" w:type="dxa"/>
            <w:vAlign w:val="bottom"/>
            <w:tcBorders>
              <w:bottom w:val="single" w:sz="8" w:color="CCEEFF"/>
            </w:tcBorders>
            <w:shd w:val="clear" w:color="auto" w:fill="CCEEFF"/>
          </w:tcPr>
          <w:p>
            <w:pPr>
              <w:spacing w:after="0"/>
              <w:rPr>
                <w:sz w:val="15"/>
                <w:szCs w:val="15"/>
                <w:color w:val="auto"/>
              </w:rPr>
            </w:pPr>
          </w:p>
        </w:tc>
      </w:tr>
    </w:tbl>
    <w:p>
      <w:pPr>
        <w:spacing w:after="0" w:line="135" w:lineRule="exact"/>
        <w:rPr>
          <w:sz w:val="20"/>
          <w:szCs w:val="20"/>
          <w:color w:val="auto"/>
        </w:rPr>
      </w:pPr>
    </w:p>
    <w:p>
      <w:pPr>
        <w:jc w:val="both"/>
        <w:ind w:firstLine="240"/>
        <w:spacing w:after="0" w:line="263" w:lineRule="auto"/>
        <w:rPr>
          <w:sz w:val="20"/>
          <w:szCs w:val="20"/>
          <w:color w:val="auto"/>
        </w:rPr>
      </w:pPr>
      <w:r>
        <w:rPr>
          <w:rFonts w:ascii="Arial" w:cs="Arial" w:eastAsia="Arial" w:hAnsi="Arial"/>
          <w:sz w:val="12"/>
          <w:szCs w:val="12"/>
          <w:color w:val="auto"/>
        </w:rPr>
        <w:t>Compensation expense, which is primarily salaries, totaled $44.2 million, $41.5 million and $41.7 million in 2021, 2020 and 2019, respectively. The comparative increase in 2021 to 2020 is primarily due to an increase in lending personnel, higher overtime levels and salary increases that were predominantly effective on January 1, 2021. The comparative decrease in 2020 to 2019 is primarily due to an increased level of compensation that was deferred as direct loan origination costs (due to higher loan origination volumes) that was partially offset by salary increases that were predominantly effective on January 1, 2020.</w:t>
      </w:r>
    </w:p>
    <w:p>
      <w:pPr>
        <w:spacing w:after="0" w:line="122" w:lineRule="exact"/>
        <w:rPr>
          <w:sz w:val="20"/>
          <w:szCs w:val="20"/>
          <w:color w:val="auto"/>
        </w:rPr>
      </w:pPr>
    </w:p>
    <w:p>
      <w:pPr>
        <w:jc w:val="both"/>
        <w:ind w:firstLine="240"/>
        <w:spacing w:after="0" w:line="323" w:lineRule="auto"/>
        <w:rPr>
          <w:sz w:val="20"/>
          <w:szCs w:val="20"/>
          <w:color w:val="auto"/>
        </w:rPr>
      </w:pPr>
      <w:r>
        <w:rPr>
          <w:rFonts w:ascii="Arial" w:cs="Arial" w:eastAsia="Arial" w:hAnsi="Arial"/>
          <w:sz w:val="11"/>
          <w:szCs w:val="11"/>
          <w:color w:val="auto"/>
        </w:rPr>
        <w:t>Performance-based compensation expense totaled $19.8 million, $19.7 million and $12.1 million in 2021, 2020 and 2019, respectively. The increase in 2020 as compared to 2019 was due to actual performance relative to the established incentive plan targets as well as $0.4 million in bonuses paid during the second quarter of 2020 to front-line personnel due to their extraordinary efforts during the COVID-19 pandemic.</w:t>
      </w:r>
    </w:p>
    <w:p>
      <w:pPr>
        <w:spacing w:after="0" w:line="92" w:lineRule="exact"/>
        <w:rPr>
          <w:sz w:val="20"/>
          <w:szCs w:val="20"/>
          <w:color w:val="auto"/>
        </w:rPr>
      </w:pPr>
    </w:p>
    <w:p>
      <w:pPr>
        <w:jc w:val="both"/>
        <w:ind w:firstLine="240"/>
        <w:spacing w:after="0" w:line="263" w:lineRule="auto"/>
        <w:rPr>
          <w:sz w:val="20"/>
          <w:szCs w:val="20"/>
          <w:color w:val="auto"/>
        </w:rPr>
      </w:pPr>
      <w:r>
        <w:rPr>
          <w:rFonts w:ascii="Arial" w:cs="Arial" w:eastAsia="Arial" w:hAnsi="Arial"/>
          <w:sz w:val="12"/>
          <w:szCs w:val="12"/>
          <w:color w:val="auto"/>
        </w:rPr>
        <w:t>We maintain performance-based compensation plans. In addition to commissions and cash incentive awards, such plans include an ESOP and a long-term equity based incentive plan. The amount of expense recognized in 2021, 2020 and 2019 for share-based awards under our long-term equity based incentive plan was $1.6 million in each respective year. In each of those three years, we granted both restricted stock and performance share awards under the plan.</w:t>
      </w:r>
    </w:p>
    <w:p>
      <w:pPr>
        <w:spacing w:after="0" w:line="122" w:lineRule="exact"/>
        <w:rPr>
          <w:sz w:val="20"/>
          <w:szCs w:val="20"/>
          <w:color w:val="auto"/>
        </w:rPr>
      </w:pPr>
    </w:p>
    <w:p>
      <w:pPr>
        <w:jc w:val="both"/>
        <w:ind w:firstLine="240"/>
        <w:spacing w:after="0" w:line="276" w:lineRule="auto"/>
        <w:rPr>
          <w:sz w:val="20"/>
          <w:szCs w:val="20"/>
          <w:color w:val="auto"/>
        </w:rPr>
      </w:pPr>
      <w:r>
        <w:rPr>
          <w:rFonts w:ascii="Arial" w:cs="Arial" w:eastAsia="Arial" w:hAnsi="Arial"/>
          <w:sz w:val="12"/>
          <w:szCs w:val="12"/>
          <w:color w:val="auto"/>
        </w:rPr>
        <w:t>Payroll taxes and employee benefits expense totaled $15.9 million, $13.5 million and $13.7 million in 2021, 2020 and 2019, respectively. The increase in 2021 compared to 2020 is primarily due to increases in payroll taxes (reflecting higher compensation costs), our 401(k) plan match and health care costs (due to increased claims in 2021).</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40" w:name="page41"/>
    <w:bookmarkEnd w:id="40"/>
    <w:p>
      <w:pPr>
        <w:jc w:val="both"/>
        <w:spacing w:after="0" w:line="263" w:lineRule="auto"/>
        <w:rPr>
          <w:sz w:val="20"/>
          <w:szCs w:val="20"/>
          <w:color w:val="auto"/>
        </w:rPr>
      </w:pPr>
      <w:r>
        <w:rPr>
          <w:rFonts w:ascii="Arial" w:cs="Arial" w:eastAsia="Arial" w:hAnsi="Arial"/>
          <w:sz w:val="12"/>
          <w:szCs w:val="12"/>
          <w:color w:val="auto"/>
        </w:rPr>
        <w:t>The decrease in 2020 compared to 2019 is due primarily to a decline in health care costs (due to decreased claims in 2020) as well as a $0.3 million prescription drug rebate received and recorded in the second quarter of 2020 that related to our 2019 plan year. The decrease in 2020 health care claims is due in part to the COVID-19 pandemic that resulted in the closing of many medical and dental facilities except for emergency care during Michigan’s “stay home, stay safe” period.</w:t>
      </w:r>
    </w:p>
    <w:p>
      <w:pPr>
        <w:spacing w:after="0" w:line="122" w:lineRule="exact"/>
        <w:rPr>
          <w:sz w:val="20"/>
          <w:szCs w:val="20"/>
          <w:color w:val="auto"/>
        </w:rPr>
      </w:pPr>
    </w:p>
    <w:p>
      <w:pPr>
        <w:jc w:val="both"/>
        <w:ind w:firstLine="240"/>
        <w:spacing w:after="0" w:line="298" w:lineRule="auto"/>
        <w:rPr>
          <w:sz w:val="20"/>
          <w:szCs w:val="20"/>
          <w:color w:val="auto"/>
        </w:rPr>
      </w:pPr>
      <w:r>
        <w:rPr>
          <w:rFonts w:ascii="Arial" w:cs="Arial" w:eastAsia="Arial" w:hAnsi="Arial"/>
          <w:sz w:val="11"/>
          <w:szCs w:val="11"/>
          <w:color w:val="auto"/>
        </w:rPr>
        <w:t>Data processing expenses totaled $10.8 million, $8.5 million, and $8.9 million in 2021, 2020 and 2019, respectively. The increase in 2021 compared to 2020 is primarily due to the 2020 cost savings agreement discussed below that expired during the first quarter of 2021. The remainder of the increased costs in 2021 principally relate to new software and technology product and service additions. The decrease in 2020 compared to 2019 is primarily due to a cost savings agreement related to core data processing services that was executed in the second quarter of 2020. This expense reduction was partially offset by new software product additions and increased mobile banking costs.</w:t>
      </w:r>
    </w:p>
    <w:p>
      <w:pPr>
        <w:spacing w:after="0" w:line="105" w:lineRule="exact"/>
        <w:rPr>
          <w:sz w:val="20"/>
          <w:szCs w:val="20"/>
          <w:color w:val="auto"/>
        </w:rPr>
      </w:pPr>
    </w:p>
    <w:p>
      <w:pPr>
        <w:jc w:val="both"/>
        <w:ind w:firstLine="240"/>
        <w:spacing w:after="0" w:line="263" w:lineRule="auto"/>
        <w:rPr>
          <w:sz w:val="20"/>
          <w:szCs w:val="20"/>
          <w:color w:val="auto"/>
        </w:rPr>
      </w:pPr>
      <w:r>
        <w:rPr>
          <w:rFonts w:ascii="Arial" w:cs="Arial" w:eastAsia="Arial" w:hAnsi="Arial"/>
          <w:sz w:val="12"/>
          <w:szCs w:val="12"/>
          <w:color w:val="auto"/>
        </w:rPr>
        <w:t>Interchange expense, which totaled $4.4 million, $3.3 million, and $3.2 million in 2021, 2020 and 2019, respectively, primarily represents fees paid to our core information systems processor and debit card licensor related to debit card and ATM transactions. The increase in 2021 compared to 2020 was primarily due to increased debit card transaction volume and transaction channel mix. Increased debit card transaction volumes in 2020 compared to 2019 contributed to the rise in this expense from 2019 to 2020.</w:t>
      </w:r>
    </w:p>
    <w:p>
      <w:pPr>
        <w:spacing w:after="0" w:line="122" w:lineRule="exact"/>
        <w:rPr>
          <w:sz w:val="20"/>
          <w:szCs w:val="20"/>
          <w:color w:val="auto"/>
        </w:rPr>
      </w:pPr>
    </w:p>
    <w:p>
      <w:pPr>
        <w:jc w:val="both"/>
        <w:ind w:right="20" w:firstLine="240"/>
        <w:spacing w:after="0" w:line="276" w:lineRule="auto"/>
        <w:rPr>
          <w:sz w:val="20"/>
          <w:szCs w:val="20"/>
          <w:color w:val="auto"/>
        </w:rPr>
      </w:pPr>
      <w:r>
        <w:rPr>
          <w:rFonts w:ascii="Arial" w:cs="Arial" w:eastAsia="Arial" w:hAnsi="Arial"/>
          <w:sz w:val="12"/>
          <w:szCs w:val="12"/>
          <w:color w:val="auto"/>
        </w:rPr>
        <w:t>Loan and collection expenses reflect costs related to new lending activity as well as the management and collection of non-performing loans and other problem credits. These expenses totaled $3.2 million, $3.0 million and $2.7 million in 2021, 2020 and 2019, respectively. These costs increased in 2021 and 2020 due primarily to higher loan origination activity.</w:t>
      </w:r>
    </w:p>
    <w:p>
      <w:pPr>
        <w:spacing w:after="0" w:line="115" w:lineRule="exact"/>
        <w:rPr>
          <w:sz w:val="20"/>
          <w:szCs w:val="20"/>
          <w:color w:val="auto"/>
        </w:rPr>
      </w:pPr>
    </w:p>
    <w:p>
      <w:pPr>
        <w:jc w:val="both"/>
        <w:ind w:right="20" w:firstLine="240"/>
        <w:spacing w:after="0" w:line="276" w:lineRule="auto"/>
        <w:rPr>
          <w:sz w:val="20"/>
          <w:szCs w:val="20"/>
          <w:color w:val="auto"/>
        </w:rPr>
      </w:pPr>
      <w:r>
        <w:rPr>
          <w:rFonts w:ascii="Arial" w:cs="Arial" w:eastAsia="Arial" w:hAnsi="Arial"/>
          <w:sz w:val="12"/>
          <w:szCs w:val="12"/>
          <w:color w:val="auto"/>
        </w:rPr>
        <w:t>Communications expense totaled $3.1 million, $3.2 million and $2.9 million in 2021, 2020 and 2019, respectively. These costs were relatively unchanged in 2021 while the increase in 2020 relative to 2019 was primarily due to mailing costs related to the issuance of new contactless debit cards.</w:t>
      </w:r>
    </w:p>
    <w:p>
      <w:pPr>
        <w:spacing w:after="0" w:line="115" w:lineRule="exact"/>
        <w:rPr>
          <w:sz w:val="20"/>
          <w:szCs w:val="20"/>
          <w:color w:val="auto"/>
        </w:rPr>
      </w:pPr>
    </w:p>
    <w:p>
      <w:pPr>
        <w:jc w:val="both"/>
        <w:ind w:firstLine="274"/>
        <w:spacing w:after="0" w:line="276" w:lineRule="auto"/>
        <w:rPr>
          <w:sz w:val="20"/>
          <w:szCs w:val="20"/>
          <w:color w:val="auto"/>
        </w:rPr>
      </w:pPr>
      <w:r>
        <w:rPr>
          <w:rFonts w:ascii="Arial" w:cs="Arial" w:eastAsia="Arial" w:hAnsi="Arial"/>
          <w:sz w:val="12"/>
          <w:szCs w:val="12"/>
          <w:color w:val="auto"/>
        </w:rPr>
        <w:t>Legal and professional fees totaled $2.1 million, $2.0 million, and $1.8 million in 2021, 2020 and 2019, respectively. These costs were relatively unchanged in 2021 while the increase in 2020 was due primarily to an increase in title search fees and bank examination fees (due to an increase in our asset size).</w:t>
      </w:r>
    </w:p>
    <w:p>
      <w:pPr>
        <w:spacing w:after="0" w:line="115" w:lineRule="exact"/>
        <w:rPr>
          <w:sz w:val="20"/>
          <w:szCs w:val="20"/>
          <w:color w:val="auto"/>
        </w:rPr>
      </w:pPr>
    </w:p>
    <w:p>
      <w:pPr>
        <w:jc w:val="both"/>
        <w:ind w:firstLine="240"/>
        <w:spacing w:after="0" w:line="263" w:lineRule="auto"/>
        <w:rPr>
          <w:sz w:val="20"/>
          <w:szCs w:val="20"/>
          <w:color w:val="auto"/>
        </w:rPr>
      </w:pPr>
      <w:r>
        <w:rPr>
          <w:rFonts w:ascii="Arial" w:cs="Arial" w:eastAsia="Arial" w:hAnsi="Arial"/>
          <w:sz w:val="12"/>
          <w:szCs w:val="12"/>
          <w:color w:val="auto"/>
        </w:rPr>
        <w:t>Advertising expense totaled $1.9 million, $2.2 million, and $2.5 million in 2021, 2020 and 2019, respectively. The decrease in 2021 compared to 2020 is due primarily due to the receipt of a $0.3 million reimbursement from our debit card provider for certain eligible marketing costs that we incurred as well as reduced levels of advertising in certain channels. The decrease in 2020 compared to 2019 was due primarily to the receipt of a $0.2 million reimbursement from our debit card provider for certain eligible marketing costs that we incurred.</w:t>
      </w:r>
    </w:p>
    <w:p>
      <w:pPr>
        <w:spacing w:after="0" w:line="122" w:lineRule="exact"/>
        <w:rPr>
          <w:sz w:val="20"/>
          <w:szCs w:val="20"/>
          <w:color w:val="auto"/>
        </w:rPr>
      </w:pPr>
    </w:p>
    <w:p>
      <w:pPr>
        <w:jc w:val="both"/>
        <w:ind w:firstLine="240"/>
        <w:spacing w:after="0" w:line="276" w:lineRule="auto"/>
        <w:rPr>
          <w:sz w:val="20"/>
          <w:szCs w:val="20"/>
          <w:color w:val="auto"/>
        </w:rPr>
      </w:pPr>
      <w:r>
        <w:rPr>
          <w:rFonts w:ascii="Arial" w:cs="Arial" w:eastAsia="Arial" w:hAnsi="Arial"/>
          <w:sz w:val="12"/>
          <w:szCs w:val="12"/>
          <w:color w:val="auto"/>
        </w:rPr>
        <w:t>Conversion related expenses totaled $1.8 million and $2.6 million in 2021 and 2020, respectively. We began a process to convert our core data processing system to a new system hosted by a different vendor in early 2020 and completed this conversion in May 2021. These expenses represent costs incurred for assistance from our existing vendor and fees from consultants who assisted us in this conversion.</w:t>
      </w:r>
    </w:p>
    <w:p>
      <w:pPr>
        <w:spacing w:after="0" w:line="115" w:lineRule="exact"/>
        <w:rPr>
          <w:sz w:val="20"/>
          <w:szCs w:val="20"/>
          <w:color w:val="auto"/>
        </w:rPr>
      </w:pPr>
    </w:p>
    <w:p>
      <w:pPr>
        <w:jc w:val="both"/>
        <w:ind w:firstLine="240"/>
        <w:spacing w:after="0" w:line="379" w:lineRule="auto"/>
        <w:rPr>
          <w:sz w:val="20"/>
          <w:szCs w:val="20"/>
          <w:color w:val="auto"/>
        </w:rPr>
      </w:pPr>
      <w:r>
        <w:rPr>
          <w:rFonts w:ascii="Arial" w:cs="Arial" w:eastAsia="Arial" w:hAnsi="Arial"/>
          <w:sz w:val="10"/>
          <w:szCs w:val="10"/>
          <w:color w:val="auto"/>
        </w:rPr>
        <w:t>FDIC deposit insurance expense totaled $1.4 million, $1.6 million, and $0.7 million in 2021, 2020 and 2019, respectively. FDIC deposit insurance expense decreased in 2021 compared to 2020 due primarily to a lower assessment rate. FDIC deposit insurance expense increased in 2020 compared to 2019 due primarily to the use of our FDIC Small Bank Assessment Credit in 2019 as well as an increase in our assessment rate and growth in our total assets.</w:t>
      </w:r>
    </w:p>
    <w:p>
      <w:pPr>
        <w:spacing w:after="0" w:line="69" w:lineRule="exact"/>
        <w:rPr>
          <w:sz w:val="20"/>
          <w:szCs w:val="20"/>
          <w:color w:val="auto"/>
        </w:rPr>
      </w:pPr>
    </w:p>
    <w:p>
      <w:pPr>
        <w:jc w:val="both"/>
        <w:ind w:firstLine="240"/>
        <w:spacing w:after="0" w:line="263" w:lineRule="auto"/>
        <w:rPr>
          <w:sz w:val="20"/>
          <w:szCs w:val="20"/>
          <w:color w:val="auto"/>
        </w:rPr>
      </w:pPr>
      <w:r>
        <w:rPr>
          <w:rFonts w:ascii="Arial" w:cs="Arial" w:eastAsia="Arial" w:hAnsi="Arial"/>
          <w:sz w:val="12"/>
          <w:szCs w:val="12"/>
          <w:color w:val="auto"/>
        </w:rPr>
        <w:t>The changes in costs related to unfunded lending commitments are primarily impacted by changes in the amounts of such commitments to originate Portfolio Loans as well as (for commercial loan commitments) the grade (pursuant to our loan rating system) of such commitments. Costs related to unfunded lending commitments totaled $1.2 million, $0.3 million, and $0.2 million in 2021, 2020 and 2019, respectively. The increase in 2021 compared to 2020 and 2019 is due primarily to an increase in the amount of unfunded lending commitments.</w:t>
      </w:r>
    </w:p>
    <w:p>
      <w:pPr>
        <w:spacing w:after="0" w:line="122" w:lineRule="exact"/>
        <w:rPr>
          <w:sz w:val="20"/>
          <w:szCs w:val="20"/>
          <w:color w:val="auto"/>
        </w:rPr>
      </w:pPr>
    </w:p>
    <w:p>
      <w:pPr>
        <w:ind w:left="240"/>
        <w:spacing w:after="0"/>
        <w:rPr>
          <w:sz w:val="20"/>
          <w:szCs w:val="20"/>
          <w:color w:val="auto"/>
        </w:rPr>
      </w:pPr>
      <w:r>
        <w:rPr>
          <w:rFonts w:ascii="Arial" w:cs="Arial" w:eastAsia="Arial" w:hAnsi="Arial"/>
          <w:sz w:val="11"/>
          <w:szCs w:val="11"/>
          <w:color w:val="auto"/>
        </w:rPr>
        <w:t>The amortization of intangible assets primarily relates to our acquisition of TSCB and certain branch acquisitions and the related amortization of the deposit customer relationship value, including core deposit value,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41" w:name="page42"/>
    <w:bookmarkEnd w:id="41"/>
    <w:p>
      <w:pPr>
        <w:jc w:val="both"/>
        <w:ind w:right="20"/>
        <w:spacing w:after="0" w:line="276" w:lineRule="auto"/>
        <w:rPr>
          <w:sz w:val="20"/>
          <w:szCs w:val="20"/>
          <w:color w:val="auto"/>
        </w:rPr>
      </w:pPr>
      <w:r>
        <w:rPr>
          <w:rFonts w:ascii="Arial" w:cs="Arial" w:eastAsia="Arial" w:hAnsi="Arial"/>
          <w:sz w:val="12"/>
          <w:szCs w:val="12"/>
          <w:color w:val="auto"/>
        </w:rPr>
        <w:t>which was acquired in connection with those transactions. We had remaining unamortized intangible assets of $3.3 million and $4.3 million at December 31, 2021 and 2020 respectively. See note #7 to the Consolidated Financial Statements for a schedule of future amortization of intangible assets.</w:t>
      </w:r>
    </w:p>
    <w:p>
      <w:pPr>
        <w:spacing w:after="0" w:line="115" w:lineRule="exact"/>
        <w:rPr>
          <w:sz w:val="20"/>
          <w:szCs w:val="20"/>
          <w:color w:val="auto"/>
        </w:rPr>
      </w:pPr>
    </w:p>
    <w:p>
      <w:pPr>
        <w:jc w:val="both"/>
        <w:ind w:firstLine="240"/>
        <w:spacing w:after="0" w:line="276" w:lineRule="auto"/>
        <w:rPr>
          <w:sz w:val="20"/>
          <w:szCs w:val="20"/>
          <w:color w:val="auto"/>
        </w:rPr>
      </w:pPr>
      <w:r>
        <w:rPr>
          <w:rFonts w:ascii="Arial" w:cs="Arial" w:eastAsia="Arial" w:hAnsi="Arial"/>
          <w:sz w:val="12"/>
          <w:szCs w:val="12"/>
          <w:color w:val="auto"/>
        </w:rPr>
        <w:t>Branch closure costs totaled $0.4 million for 2020. We closed eight Bank branches in 2020 (two on June 26, 2020 and six on July 31, 2020). These costs primarily represent write-downs of fixed assets (buildings, furniture and equipment) and lease assets.</w:t>
      </w:r>
    </w:p>
    <w:p>
      <w:pPr>
        <w:spacing w:after="0" w:line="115" w:lineRule="exact"/>
        <w:rPr>
          <w:sz w:val="20"/>
          <w:szCs w:val="20"/>
          <w:color w:val="auto"/>
        </w:rPr>
      </w:pPr>
    </w:p>
    <w:p>
      <w:pPr>
        <w:jc w:val="both"/>
        <w:ind w:firstLine="240"/>
        <w:spacing w:after="0" w:line="298" w:lineRule="auto"/>
        <w:rPr>
          <w:sz w:val="20"/>
          <w:szCs w:val="20"/>
          <w:color w:val="auto"/>
        </w:rPr>
      </w:pPr>
      <w:r>
        <w:rPr>
          <w:rFonts w:ascii="Arial" w:cs="Arial" w:eastAsia="Arial" w:hAnsi="Arial"/>
          <w:sz w:val="11"/>
          <w:szCs w:val="11"/>
          <w:color w:val="auto"/>
        </w:rPr>
        <w:t>Net (gains) losses on other real estate and repossessed assets represent the gain or loss on the sale or additional write downs on these assets subsequent to the transfer of the asset from our loan portfolio. This transfer occurs at the time we acquire the collateral that secured the loan. At the time of acquisition, the other real estate or repossessed asset is valued at fair value, less estimated costs to sell, which becomes the new basis for the asset. Any write-downs at the time of acquisition are charged to the allowance for credit losses. Net gain was $0.2 million in 2021 compared to net loss of $0.1 million and a net gain of $0.1 million in 2020 and 2019 respectively.</w:t>
      </w:r>
    </w:p>
    <w:p>
      <w:pPr>
        <w:spacing w:after="0" w:line="105" w:lineRule="exact"/>
        <w:rPr>
          <w:sz w:val="20"/>
          <w:szCs w:val="20"/>
          <w:color w:val="auto"/>
        </w:rPr>
      </w:pPr>
    </w:p>
    <w:p>
      <w:pPr>
        <w:jc w:val="both"/>
        <w:ind w:firstLine="240"/>
        <w:spacing w:after="0" w:line="259" w:lineRule="auto"/>
        <w:rPr>
          <w:sz w:val="20"/>
          <w:szCs w:val="20"/>
          <w:color w:val="auto"/>
        </w:rPr>
      </w:pPr>
      <w:r>
        <w:rPr>
          <w:rFonts w:ascii="Arial" w:cs="Arial" w:eastAsia="Arial" w:hAnsi="Arial"/>
          <w:sz w:val="12"/>
          <w:szCs w:val="12"/>
          <w:color w:val="auto"/>
        </w:rPr>
        <w:t>Other non-interest expenses totaled $6.3 million, $5.0 million, and $5.9 million in 2021, 2020 and 2019, respectively. The increase in other expense in 2021 compared to 2020 primarily represents increases in travel and entertainment related expenses due to the lifting of COVID-19 travel restrictions, an increase in deposit customer account fraud related costs, an increase in Michigan Corporate Income Tax expense as the result of a change in how the tax base is calculated, a branch write-down and certain one-time contract termination costs. The decrease in 2020 was primarily due to a decline in travel and entertainment costs due to COVID-19 pandemic related travel restrictions as well as a reduction in deposit customer account and customer debit card related fraud costs.</w:t>
      </w:r>
    </w:p>
    <w:p>
      <w:pPr>
        <w:spacing w:after="0" w:line="124" w:lineRule="exact"/>
        <w:rPr>
          <w:sz w:val="20"/>
          <w:szCs w:val="20"/>
          <w:color w:val="auto"/>
        </w:rPr>
      </w:pPr>
    </w:p>
    <w:p>
      <w:pPr>
        <w:jc w:val="both"/>
        <w:ind w:firstLine="240"/>
        <w:spacing w:after="0" w:line="276" w:lineRule="auto"/>
        <w:rPr>
          <w:sz w:val="20"/>
          <w:szCs w:val="20"/>
          <w:color w:val="auto"/>
        </w:rPr>
      </w:pPr>
      <w:r>
        <w:rPr>
          <w:rFonts w:ascii="Arial" w:cs="Arial" w:eastAsia="Arial" w:hAnsi="Arial"/>
          <w:sz w:val="12"/>
          <w:szCs w:val="12"/>
          <w:i w:val="1"/>
          <w:iCs w:val="1"/>
          <w:color w:val="auto"/>
        </w:rPr>
        <w:t>Income tax expense</w:t>
      </w:r>
      <w:r>
        <w:rPr>
          <w:rFonts w:ascii="Arial" w:cs="Arial" w:eastAsia="Arial" w:hAnsi="Arial"/>
          <w:sz w:val="12"/>
          <w:szCs w:val="12"/>
          <w:color w:val="auto"/>
        </w:rPr>
        <w:t>. We recorded an income tax expense of $14.4 million, $13.3 million and $11.3 million in 2021, 2020 and 2019, respectively. The 2021 increase in tax expense compared to 2020 and 2019 is due to higher</w:t>
      </w:r>
      <w:r>
        <w:rPr>
          <w:rFonts w:ascii="Arial" w:cs="Arial" w:eastAsia="Arial" w:hAnsi="Arial"/>
          <w:sz w:val="12"/>
          <w:szCs w:val="12"/>
          <w:i w:val="1"/>
          <w:iCs w:val="1"/>
          <w:color w:val="auto"/>
        </w:rPr>
        <w:t xml:space="preserve"> </w:t>
      </w:r>
      <w:r>
        <w:rPr>
          <w:rFonts w:ascii="Arial" w:cs="Arial" w:eastAsia="Arial" w:hAnsi="Arial"/>
          <w:sz w:val="12"/>
          <w:szCs w:val="12"/>
          <w:color w:val="auto"/>
        </w:rPr>
        <w:t>taxable income.</w:t>
      </w:r>
    </w:p>
    <w:p>
      <w:pPr>
        <w:spacing w:after="0" w:line="115" w:lineRule="exact"/>
        <w:rPr>
          <w:sz w:val="20"/>
          <w:szCs w:val="20"/>
          <w:color w:val="auto"/>
        </w:rPr>
      </w:pPr>
    </w:p>
    <w:p>
      <w:pPr>
        <w:jc w:val="both"/>
        <w:ind w:firstLine="240"/>
        <w:spacing w:after="0" w:line="276" w:lineRule="auto"/>
        <w:rPr>
          <w:sz w:val="20"/>
          <w:szCs w:val="20"/>
          <w:color w:val="auto"/>
        </w:rPr>
      </w:pPr>
      <w:r>
        <w:rPr>
          <w:rFonts w:ascii="Arial" w:cs="Arial" w:eastAsia="Arial" w:hAnsi="Arial"/>
          <w:sz w:val="12"/>
          <w:szCs w:val="12"/>
          <w:color w:val="auto"/>
        </w:rPr>
        <w:t>Our actual federal income tax expense is different than the amount computed by applying our statutory federal income tax rate to our pre-tax income primarily due to tax-exempt interest income, share based compensation and tax-exempt income from the increase in the cash surrender value on life insurance.</w:t>
      </w:r>
    </w:p>
    <w:p>
      <w:pPr>
        <w:spacing w:after="0" w:line="115" w:lineRule="exact"/>
        <w:rPr>
          <w:sz w:val="20"/>
          <w:szCs w:val="20"/>
          <w:color w:val="auto"/>
        </w:rPr>
      </w:pPr>
    </w:p>
    <w:p>
      <w:pPr>
        <w:jc w:val="both"/>
        <w:ind w:firstLine="240"/>
        <w:spacing w:after="0" w:line="263" w:lineRule="auto"/>
        <w:rPr>
          <w:sz w:val="20"/>
          <w:szCs w:val="20"/>
          <w:color w:val="auto"/>
        </w:rPr>
      </w:pPr>
      <w:r>
        <w:rPr>
          <w:rFonts w:ascii="Arial" w:cs="Arial" w:eastAsia="Arial" w:hAnsi="Arial"/>
          <w:sz w:val="12"/>
          <w:szCs w:val="12"/>
          <w:color w:val="auto"/>
        </w:rPr>
        <w:t>We assess whether a valuation allowance should be established against our deferred tax asset, net (“DTA”) based on the consideration of all available evidence using a “more likely than not” standard. The ultimate realization of this asset is primarily based on generating future income. We concluded at December 31, 2021 and 2020 that the realization of substantially all of our DTA continues to be more likely than not. See note #13 to the Consolidated Financial Statements included within this report for more information.</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42" w:name="page43"/>
    <w:bookmarkEnd w:id="42"/>
    <w:p>
      <w:pPr>
        <w:jc w:val="center"/>
        <w:spacing w:after="0"/>
        <w:rPr>
          <w:sz w:val="20"/>
          <w:szCs w:val="20"/>
          <w:color w:val="auto"/>
        </w:rPr>
      </w:pPr>
      <w:r>
        <w:rPr>
          <w:rFonts w:ascii="Arial" w:cs="Arial" w:eastAsia="Arial" w:hAnsi="Arial"/>
          <w:sz w:val="12"/>
          <w:szCs w:val="12"/>
          <w:b w:val="1"/>
          <w:bCs w:val="1"/>
          <w:color w:val="auto"/>
        </w:rPr>
        <w:t>FINANCIAL CONDITION</w:t>
      </w:r>
    </w:p>
    <w:p>
      <w:pPr>
        <w:spacing w:after="0" w:line="154" w:lineRule="exact"/>
        <w:rPr>
          <w:sz w:val="20"/>
          <w:szCs w:val="20"/>
          <w:color w:val="auto"/>
        </w:rPr>
      </w:pPr>
    </w:p>
    <w:p>
      <w:pPr>
        <w:jc w:val="both"/>
        <w:ind w:firstLine="240"/>
        <w:spacing w:after="0" w:line="263" w:lineRule="auto"/>
        <w:rPr>
          <w:sz w:val="20"/>
          <w:szCs w:val="20"/>
          <w:color w:val="auto"/>
        </w:rPr>
      </w:pPr>
      <w:r>
        <w:rPr>
          <w:rFonts w:ascii="Arial" w:cs="Arial" w:eastAsia="Arial" w:hAnsi="Arial"/>
          <w:sz w:val="12"/>
          <w:szCs w:val="12"/>
          <w:i w:val="1"/>
          <w:iCs w:val="1"/>
          <w:color w:val="auto"/>
        </w:rPr>
        <w:t xml:space="preserve">Summary. </w:t>
      </w:r>
      <w:r>
        <w:rPr>
          <w:rFonts w:ascii="Arial" w:cs="Arial" w:eastAsia="Arial" w:hAnsi="Arial"/>
          <w:sz w:val="12"/>
          <w:szCs w:val="12"/>
          <w:color w:val="auto"/>
        </w:rPr>
        <w:t>Our total assets increased to $4.70 billion at December 31, 2021, compared to $4.20 billion at December 31, 2020, primarily due to growth in securities available for sale as well as mortgage and installment loans. Loans,</w:t>
      </w:r>
      <w:r>
        <w:rPr>
          <w:rFonts w:ascii="Arial" w:cs="Arial" w:eastAsia="Arial" w:hAnsi="Arial"/>
          <w:sz w:val="12"/>
          <w:szCs w:val="12"/>
          <w:i w:val="1"/>
          <w:iCs w:val="1"/>
          <w:color w:val="auto"/>
        </w:rPr>
        <w:t xml:space="preserve"> </w:t>
      </w:r>
      <w:r>
        <w:rPr>
          <w:rFonts w:ascii="Arial" w:cs="Arial" w:eastAsia="Arial" w:hAnsi="Arial"/>
          <w:sz w:val="12"/>
          <w:szCs w:val="12"/>
          <w:color w:val="auto"/>
        </w:rPr>
        <w:t>excluding loans held for sale (“Portfolio Loans”), totaled $2.91 billion and $2.73 billion at December 31, 2021 and December 31, 2020. Growth in mortgage loans of $123.7 million and installment loans of $86.5 million were partially offset by a decline in commercial loans of $38.8 million.</w:t>
      </w:r>
    </w:p>
    <w:p>
      <w:pPr>
        <w:spacing w:after="0" w:line="122" w:lineRule="exact"/>
        <w:rPr>
          <w:sz w:val="20"/>
          <w:szCs w:val="20"/>
          <w:color w:val="auto"/>
        </w:rPr>
      </w:pPr>
    </w:p>
    <w:p>
      <w:pPr>
        <w:jc w:val="both"/>
        <w:ind w:firstLine="240"/>
        <w:spacing w:after="0" w:line="276" w:lineRule="auto"/>
        <w:rPr>
          <w:sz w:val="20"/>
          <w:szCs w:val="20"/>
          <w:color w:val="auto"/>
        </w:rPr>
      </w:pPr>
      <w:r>
        <w:rPr>
          <w:rFonts w:ascii="Arial" w:cs="Arial" w:eastAsia="Arial" w:hAnsi="Arial"/>
          <w:sz w:val="12"/>
          <w:szCs w:val="12"/>
          <w:color w:val="auto"/>
        </w:rPr>
        <w:t>Deposits totaled $4.12 billion at December 31, 2021, compared to $3.64 billion at December 31, 2020. The $479.7 million increase in deposits is primarily due to growth in non-interest bearing deposits, savings and interest bearing checking deposits, reciprocal deposits and time deposits that were partially offset by a decline in brokered time deposits.</w:t>
      </w:r>
    </w:p>
    <w:p>
      <w:pPr>
        <w:spacing w:after="0" w:line="115" w:lineRule="exact"/>
        <w:rPr>
          <w:sz w:val="20"/>
          <w:szCs w:val="20"/>
          <w:color w:val="auto"/>
        </w:rPr>
      </w:pPr>
    </w:p>
    <w:p>
      <w:pPr>
        <w:jc w:val="both"/>
        <w:ind w:right="20" w:firstLine="240"/>
        <w:spacing w:after="0" w:line="323" w:lineRule="auto"/>
        <w:rPr>
          <w:sz w:val="20"/>
          <w:szCs w:val="20"/>
          <w:color w:val="auto"/>
        </w:rPr>
      </w:pPr>
      <w:r>
        <w:rPr>
          <w:rFonts w:ascii="Arial" w:cs="Arial" w:eastAsia="Arial" w:hAnsi="Arial"/>
          <w:sz w:val="11"/>
          <w:szCs w:val="11"/>
          <w:color w:val="auto"/>
        </w:rPr>
        <w:t>The decrease in commercial loans in 2021 is due primarily to forgiveness of loans extended under the PPP administered by the U.S. Small Business Administration (“SBA”). The increase in deposits is due in part to the significant liquidity that has been injected into the economy through government programs, such as the PPP, as well as by monetary actions by the Federal Reserve Bank, all in response to the COVID-19 pandemic.</w:t>
      </w:r>
    </w:p>
    <w:p>
      <w:pPr>
        <w:spacing w:after="0" w:line="92" w:lineRule="exact"/>
        <w:rPr>
          <w:sz w:val="20"/>
          <w:szCs w:val="20"/>
          <w:color w:val="auto"/>
        </w:rPr>
      </w:pPr>
    </w:p>
    <w:p>
      <w:pPr>
        <w:jc w:val="both"/>
        <w:ind w:firstLine="240"/>
        <w:spacing w:after="0" w:line="276" w:lineRule="auto"/>
        <w:rPr>
          <w:sz w:val="20"/>
          <w:szCs w:val="20"/>
          <w:color w:val="auto"/>
        </w:rPr>
      </w:pPr>
      <w:r>
        <w:rPr>
          <w:rFonts w:ascii="Arial" w:cs="Arial" w:eastAsia="Arial" w:hAnsi="Arial"/>
          <w:sz w:val="12"/>
          <w:szCs w:val="12"/>
          <w:color w:val="auto"/>
        </w:rPr>
        <w:t>It is unclear how the termination of these various government stimulus programs will impact the levels of portfolio loans and deposits. However, our liquidity and funding contingency plans take into account the possibility of significant reductions in commercial loans and deposits during 2022.</w:t>
      </w:r>
    </w:p>
    <w:p>
      <w:pPr>
        <w:spacing w:after="0" w:line="115" w:lineRule="exact"/>
        <w:rPr>
          <w:sz w:val="20"/>
          <w:szCs w:val="20"/>
          <w:color w:val="auto"/>
        </w:rPr>
      </w:pPr>
    </w:p>
    <w:p>
      <w:pPr>
        <w:jc w:val="both"/>
        <w:ind w:right="20" w:firstLine="240"/>
        <w:spacing w:after="0" w:line="256" w:lineRule="auto"/>
        <w:rPr>
          <w:sz w:val="20"/>
          <w:szCs w:val="20"/>
          <w:color w:val="auto"/>
        </w:rPr>
      </w:pPr>
      <w:r>
        <w:rPr>
          <w:rFonts w:ascii="Arial" w:cs="Arial" w:eastAsia="Arial" w:hAnsi="Arial"/>
          <w:sz w:val="12"/>
          <w:szCs w:val="12"/>
          <w:i w:val="1"/>
          <w:iCs w:val="1"/>
          <w:color w:val="auto"/>
        </w:rPr>
        <w:t xml:space="preserve">Securities. </w:t>
      </w:r>
      <w:r>
        <w:rPr>
          <w:rFonts w:ascii="Arial" w:cs="Arial" w:eastAsia="Arial" w:hAnsi="Arial"/>
          <w:sz w:val="12"/>
          <w:szCs w:val="12"/>
          <w:color w:val="auto"/>
        </w:rPr>
        <w:t>We maintain diversified securities portfolios, which include obligations of U.S. government- sponsored agencies, securities issued by states and political subdivisions, residential and commercial mortgage- backed</w:t>
      </w:r>
      <w:r>
        <w:rPr>
          <w:rFonts w:ascii="Arial" w:cs="Arial" w:eastAsia="Arial" w:hAnsi="Arial"/>
          <w:sz w:val="12"/>
          <w:szCs w:val="12"/>
          <w:i w:val="1"/>
          <w:iCs w:val="1"/>
          <w:color w:val="auto"/>
        </w:rPr>
        <w:t xml:space="preserve"> </w:t>
      </w:r>
      <w:r>
        <w:rPr>
          <w:rFonts w:ascii="Arial" w:cs="Arial" w:eastAsia="Arial" w:hAnsi="Arial"/>
          <w:sz w:val="12"/>
          <w:szCs w:val="12"/>
          <w:color w:val="auto"/>
        </w:rPr>
        <w:t>securities, asset-backed securities, corporate securities, trust preferred securities and foreign government securities (that are denominated in U.S. dollars). We regularly evaluate asset/liability management needs and attempt to maintain a portfolio structure that provides sufficient liquidity and cash flow. Except as discussed below, we believe that the unrealized losses on securities available for sale are temporary in nature and are expected to be recovered within a reasonable time period. We believe that we have the ability to hold securities with unrealized losses to maturity or until such time as the unrealized losses reverse. (See “Asset/liability management.”) Securities available for sale increased by $340.7 million during 2021, reflecting the deployment of a portion of the funds generated from the growth in deposits.</w:t>
      </w:r>
    </w:p>
    <w:p>
      <w:pPr>
        <w:spacing w:after="0" w:line="128" w:lineRule="exact"/>
        <w:rPr>
          <w:sz w:val="20"/>
          <w:szCs w:val="20"/>
          <w:color w:val="auto"/>
        </w:rPr>
      </w:pPr>
    </w:p>
    <w:p>
      <w:pPr>
        <w:jc w:val="both"/>
        <w:ind w:firstLine="240"/>
        <w:spacing w:after="0" w:line="281" w:lineRule="auto"/>
        <w:rPr>
          <w:sz w:val="20"/>
          <w:szCs w:val="20"/>
          <w:color w:val="auto"/>
        </w:rPr>
      </w:pPr>
      <w:r>
        <w:rPr>
          <w:rFonts w:ascii="Arial" w:cs="Arial" w:eastAsia="Arial" w:hAnsi="Arial"/>
          <w:sz w:val="11"/>
          <w:szCs w:val="11"/>
          <w:color w:val="auto"/>
        </w:rPr>
        <w:t>Securities available for sale in unrealized loss positions are evaluated quarterly for impairment related to credit losses. For securities available for sale in an unrealized loss position, we first assess whether we intend to sell, or it is more likely than not that we will be required to sell, the security before recovery of its amortized cost basis. If either of the criteria regarding intent or requirement to sell is met, the security’s amortized cost basis is written down to fair value through income. For securities available for sale that do not meet this criteria, we evaluate whether the decline in fair value has resulted from credit losses or other factors. In making this assessment, we consider the extent to which fair value is less than amortized cost, adverse conditions specifically related to the security and the issuer and the impact of changes in market interest rates on the market value of the security, among other factors. If this assessment indicates that a credit loss exists, we compare the present value of cash flows expected to be collected from the security with the amortized cost basis of the security. If the present value of cash flows expected to be collected is less than the amortized cost basis for the security, a credit loss exists and an ACL is recorded, limited to the amount that the fair value of the security is less than its amortized cost basis. Any impairment that has not been recorded through an ACL is recognized in other comprehensive income (loss), net of applicable taxes. No ACL for securities available for sale was needed at December 31, 2021.</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000" w:type="dxa"/>
            <w:vAlign w:val="bottom"/>
          </w:tcPr>
          <w:p>
            <w:pPr>
              <w:spacing w:after="0"/>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6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Amortized</w:t>
            </w:r>
          </w:p>
        </w:tc>
        <w:tc>
          <w:tcPr>
            <w:tcW w:w="2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2"/>
                <w:szCs w:val="12"/>
                <w:b w:val="1"/>
                <w:bCs w:val="1"/>
                <w:color w:val="auto"/>
              </w:rPr>
              <w:t>Unrealized</w:t>
            </w:r>
          </w:p>
        </w:tc>
        <w:tc>
          <w:tcPr>
            <w:tcW w:w="8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9"/>
              </w:rPr>
              <w:t>Fair</w:t>
            </w:r>
          </w:p>
        </w:tc>
        <w:tc>
          <w:tcPr>
            <w:tcW w:w="0" w:type="dxa"/>
            <w:vAlign w:val="bottom"/>
          </w:tcPr>
          <w:p>
            <w:pPr>
              <w:spacing w:after="0"/>
              <w:rPr>
                <w:sz w:val="1"/>
                <w:szCs w:val="1"/>
                <w:color w:val="auto"/>
              </w:rPr>
            </w:pPr>
          </w:p>
        </w:tc>
      </w:tr>
      <w:tr>
        <w:trPr>
          <w:trHeight w:val="142"/>
        </w:trPr>
        <w:tc>
          <w:tcPr>
            <w:tcW w:w="60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Cost</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2"/>
                <w:szCs w:val="12"/>
                <w:b w:val="1"/>
                <w:bCs w:val="1"/>
                <w:color w:val="auto"/>
              </w:rPr>
              <w:t>Gains</w:t>
            </w:r>
          </w:p>
        </w:tc>
        <w:tc>
          <w:tcPr>
            <w:tcW w:w="2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rPr>
              <w:t>Losses</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160"/>
              <w:spacing w:after="0"/>
              <w:rPr>
                <w:sz w:val="20"/>
                <w:szCs w:val="20"/>
                <w:color w:val="auto"/>
              </w:rPr>
            </w:pPr>
            <w:r>
              <w:rPr>
                <w:rFonts w:ascii="Arial" w:cs="Arial" w:eastAsia="Arial" w:hAnsi="Arial"/>
                <w:sz w:val="12"/>
                <w:szCs w:val="12"/>
                <w:b w:val="1"/>
                <w:bCs w:val="1"/>
                <w:color w:val="auto"/>
                <w:w w:val="93"/>
              </w:rPr>
              <w:t>Value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000" w:type="dxa"/>
            <w:vAlign w:val="bottom"/>
            <w:vMerge w:val="restart"/>
          </w:tcPr>
          <w:p>
            <w:pPr>
              <w:spacing w:after="0"/>
              <w:rPr>
                <w:sz w:val="20"/>
                <w:szCs w:val="20"/>
                <w:color w:val="auto"/>
              </w:rPr>
            </w:pPr>
            <w:r>
              <w:rPr>
                <w:rFonts w:ascii="Arial" w:cs="Arial" w:eastAsia="Arial" w:hAnsi="Arial"/>
                <w:sz w:val="12"/>
                <w:szCs w:val="12"/>
                <w:color w:val="auto"/>
              </w:rPr>
              <w:t>Securities available for sale</w:t>
            </w: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ind w:left="600"/>
              <w:spacing w:after="0"/>
              <w:rPr>
                <w:sz w:val="20"/>
                <w:szCs w:val="20"/>
                <w:color w:val="auto"/>
              </w:rPr>
            </w:pPr>
            <w:r>
              <w:rPr>
                <w:rFonts w:ascii="Arial" w:cs="Arial" w:eastAsia="Arial" w:hAnsi="Arial"/>
                <w:sz w:val="12"/>
                <w:szCs w:val="12"/>
                <w:b w:val="1"/>
                <w:bCs w:val="1"/>
                <w:color w:val="auto"/>
              </w:rPr>
              <w:t>(In</w:t>
            </w:r>
          </w:p>
        </w:tc>
        <w:tc>
          <w:tcPr>
            <w:tcW w:w="540" w:type="dxa"/>
            <w:vAlign w:val="bottom"/>
            <w:gridSpan w:val="2"/>
          </w:tcPr>
          <w:p>
            <w:pPr>
              <w:jc w:val="right"/>
              <w:ind w:right="32"/>
              <w:spacing w:after="0"/>
              <w:rPr>
                <w:sz w:val="20"/>
                <w:szCs w:val="20"/>
                <w:color w:val="auto"/>
              </w:rPr>
            </w:pPr>
            <w:r>
              <w:rPr>
                <w:rFonts w:ascii="Arial" w:cs="Arial" w:eastAsia="Arial" w:hAnsi="Arial"/>
                <w:sz w:val="11"/>
                <w:szCs w:val="11"/>
                <w:b w:val="1"/>
                <w:bCs w:val="1"/>
                <w:color w:val="auto"/>
                <w:w w:val="74"/>
              </w:rPr>
              <w:t>thousands)</w:t>
            </w: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60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0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December 31, 2021</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1,404,858</w:t>
            </w: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66"/>
              <w:spacing w:after="0"/>
              <w:rPr>
                <w:sz w:val="20"/>
                <w:szCs w:val="20"/>
                <w:color w:val="auto"/>
              </w:rPr>
            </w:pPr>
            <w:r>
              <w:rPr>
                <w:rFonts w:ascii="Arial" w:cs="Arial" w:eastAsia="Arial" w:hAnsi="Arial"/>
                <w:sz w:val="12"/>
                <w:szCs w:val="12"/>
                <w:color w:val="auto"/>
              </w:rPr>
              <w:t>16,594</w:t>
            </w: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8,622</w:t>
            </w: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1,412,830</w:t>
            </w:r>
          </w:p>
        </w:tc>
        <w:tc>
          <w:tcPr>
            <w:tcW w:w="0" w:type="dxa"/>
            <w:vAlign w:val="bottom"/>
          </w:tcPr>
          <w:p>
            <w:pPr>
              <w:spacing w:after="0"/>
              <w:rPr>
                <w:sz w:val="1"/>
                <w:szCs w:val="1"/>
                <w:color w:val="auto"/>
              </w:rPr>
            </w:pPr>
          </w:p>
        </w:tc>
      </w:tr>
      <w:tr>
        <w:trPr>
          <w:trHeight w:val="153"/>
        </w:trPr>
        <w:tc>
          <w:tcPr>
            <w:tcW w:w="6000" w:type="dxa"/>
            <w:vAlign w:val="bottom"/>
          </w:tcPr>
          <w:p>
            <w:pPr>
              <w:ind w:left="100"/>
              <w:spacing w:after="0"/>
              <w:rPr>
                <w:sz w:val="20"/>
                <w:szCs w:val="20"/>
                <w:color w:val="auto"/>
              </w:rPr>
            </w:pPr>
            <w:r>
              <w:rPr>
                <w:rFonts w:ascii="Arial" w:cs="Arial" w:eastAsia="Arial" w:hAnsi="Arial"/>
                <w:sz w:val="12"/>
                <w:szCs w:val="12"/>
                <w:color w:val="auto"/>
              </w:rPr>
              <w:t>December 31, 2020</w:t>
            </w:r>
          </w:p>
        </w:tc>
        <w:tc>
          <w:tcPr>
            <w:tcW w:w="180" w:type="dxa"/>
            <w:vAlign w:val="bottom"/>
          </w:tcPr>
          <w:p>
            <w:pPr>
              <w:spacing w:after="0"/>
              <w:rPr>
                <w:sz w:val="13"/>
                <w:szCs w:val="13"/>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1,052,147</w:t>
            </w:r>
          </w:p>
        </w:tc>
        <w:tc>
          <w:tcPr>
            <w:tcW w:w="240" w:type="dxa"/>
            <w:vAlign w:val="bottom"/>
          </w:tcPr>
          <w:p>
            <w:pPr>
              <w:spacing w:after="0"/>
              <w:rPr>
                <w:sz w:val="13"/>
                <w:szCs w:val="13"/>
                <w:color w:val="auto"/>
              </w:rPr>
            </w:pPr>
          </w:p>
        </w:tc>
        <w:tc>
          <w:tcPr>
            <w:tcW w:w="1100" w:type="dxa"/>
            <w:vAlign w:val="bottom"/>
            <w:gridSpan w:val="2"/>
          </w:tcPr>
          <w:p>
            <w:pPr>
              <w:jc w:val="right"/>
              <w:ind w:right="166"/>
              <w:spacing w:after="0"/>
              <w:rPr>
                <w:sz w:val="20"/>
                <w:szCs w:val="20"/>
                <w:color w:val="auto"/>
              </w:rPr>
            </w:pPr>
            <w:r>
              <w:rPr>
                <w:rFonts w:ascii="Arial" w:cs="Arial" w:eastAsia="Arial" w:hAnsi="Arial"/>
                <w:sz w:val="12"/>
                <w:szCs w:val="12"/>
                <w:color w:val="auto"/>
              </w:rPr>
              <w:t>21,416</w:t>
            </w:r>
          </w:p>
        </w:tc>
        <w:tc>
          <w:tcPr>
            <w:tcW w:w="320" w:type="dxa"/>
            <w:vAlign w:val="bottom"/>
          </w:tcPr>
          <w:p>
            <w:pPr>
              <w:spacing w:after="0"/>
              <w:rPr>
                <w:sz w:val="13"/>
                <w:szCs w:val="1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1,404</w:t>
            </w:r>
          </w:p>
        </w:tc>
        <w:tc>
          <w:tcPr>
            <w:tcW w:w="2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1,072,159</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240"/>
        <w:spacing w:after="0"/>
        <w:rPr>
          <w:sz w:val="20"/>
          <w:szCs w:val="20"/>
          <w:color w:val="auto"/>
        </w:rPr>
      </w:pPr>
      <w:r>
        <w:rPr>
          <w:rFonts w:ascii="Arial" w:cs="Arial" w:eastAsia="Arial" w:hAnsi="Arial"/>
          <w:sz w:val="11"/>
          <w:szCs w:val="11"/>
          <w:i w:val="1"/>
          <w:iCs w:val="1"/>
          <w:color w:val="auto"/>
        </w:rPr>
        <w:t xml:space="preserve">Portfolio Loans and asset quality. </w:t>
      </w:r>
      <w:r>
        <w:rPr>
          <w:rFonts w:ascii="Arial" w:cs="Arial" w:eastAsia="Arial" w:hAnsi="Arial"/>
          <w:sz w:val="11"/>
          <w:szCs w:val="11"/>
          <w:color w:val="auto"/>
        </w:rPr>
        <w:t>In addition to the communities served by our Bank branch and loan production office network, our principal lending markets also include nearby communities and metropolitan areas.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43" w:name="page44"/>
    <w:bookmarkEnd w:id="43"/>
    <w:p>
      <w:pPr>
        <w:spacing w:after="0"/>
        <w:rPr>
          <w:sz w:val="20"/>
          <w:szCs w:val="20"/>
          <w:color w:val="auto"/>
        </w:rPr>
      </w:pPr>
      <w:r>
        <w:rPr>
          <w:rFonts w:ascii="Arial" w:cs="Arial" w:eastAsia="Arial" w:hAnsi="Arial"/>
          <w:sz w:val="12"/>
          <w:szCs w:val="12"/>
          <w:color w:val="auto"/>
        </w:rPr>
        <w:t>Subject to established underwriting criteria, we also may participate in commercial lending transactions with certain non-affiliated banks and make whole loan purchases from other financial institutions.</w:t>
      </w:r>
    </w:p>
    <w:p>
      <w:pPr>
        <w:spacing w:after="0" w:line="150" w:lineRule="exact"/>
        <w:rPr>
          <w:sz w:val="20"/>
          <w:szCs w:val="20"/>
          <w:color w:val="auto"/>
        </w:rPr>
      </w:pPr>
    </w:p>
    <w:p>
      <w:pPr>
        <w:jc w:val="both"/>
        <w:ind w:firstLine="240"/>
        <w:spacing w:after="0" w:line="263" w:lineRule="auto"/>
        <w:rPr>
          <w:sz w:val="20"/>
          <w:szCs w:val="20"/>
          <w:color w:val="auto"/>
        </w:rPr>
      </w:pPr>
      <w:r>
        <w:rPr>
          <w:rFonts w:ascii="Arial" w:cs="Arial" w:eastAsia="Arial" w:hAnsi="Arial"/>
          <w:sz w:val="12"/>
          <w:szCs w:val="12"/>
          <w:color w:val="auto"/>
        </w:rPr>
        <w:t>The senior management and board of directors of our Bank retain authority and responsibility for credit decisions and we have adopted uniform underwriting standards. Our loan committee structure and the loan review process attempt to provide requisite controls and promote compliance with such established underwriting standards. However, there can be no assurance that our lending procedures and the use of uniform underwriting standards will prevent us from incurring significant credit losses in our lending activities.</w:t>
      </w:r>
    </w:p>
    <w:p>
      <w:pPr>
        <w:spacing w:after="0" w:line="122" w:lineRule="exact"/>
        <w:rPr>
          <w:sz w:val="20"/>
          <w:szCs w:val="20"/>
          <w:color w:val="auto"/>
        </w:rPr>
      </w:pPr>
    </w:p>
    <w:p>
      <w:pPr>
        <w:jc w:val="both"/>
        <w:ind w:firstLine="240"/>
        <w:spacing w:after="0" w:line="259" w:lineRule="auto"/>
        <w:rPr>
          <w:sz w:val="20"/>
          <w:szCs w:val="20"/>
          <w:color w:val="auto"/>
        </w:rPr>
      </w:pPr>
      <w:r>
        <w:rPr>
          <w:rFonts w:ascii="Arial" w:cs="Arial" w:eastAsia="Arial" w:hAnsi="Arial"/>
          <w:sz w:val="12"/>
          <w:szCs w:val="12"/>
          <w:color w:val="auto"/>
        </w:rPr>
        <w:t>We generally retain loans that may be profitably funded within established risk parameters. (See “Asset/liability management.”) As a result, we may hold adjustable-rate conventional and fixed rate jumbo mortgage loans as Portfolio Loans, while 15- and 30-year fixed-rate non-jumbo mortgage loans are generally sold to mitigate exposure to changes in interest rates. (See “Non-interest income.”) Due primarily to the expansion of our mortgage-banking activities and a change in mix in our mortgage loan originations, we are now originating and putting into Portfolio Loans more fixed rate mortgage loans compared to past periods. These fixed rate mortgage loans generally have terms from 15 to 30 years, do not have prepayment penalties and expose us to more interest rate risk. (See “Asset/liability management”).</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LOAN PORTFOLIO SEGMENTS</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following table summarizes each loan portfolio segment by (1) scheduled repayments and (2) predetermined (fixed) interest rate and/or adjustable (variable) interest rate at December 31, 2021:</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0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rPr>
              <w:t>Commercial</w:t>
            </w: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Mortgage</w:t>
            </w: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w w:val="91"/>
              </w:rPr>
              <w:t>Installment</w:t>
            </w:r>
          </w:p>
        </w:tc>
        <w:tc>
          <w:tcPr>
            <w:tcW w:w="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Total</w:t>
            </w:r>
          </w:p>
        </w:tc>
        <w:tc>
          <w:tcPr>
            <w:tcW w:w="120" w:type="dxa"/>
            <w:vAlign w:val="bottom"/>
          </w:tcPr>
          <w:p>
            <w:pPr>
              <w:spacing w:after="0"/>
              <w:rPr>
                <w:sz w:val="13"/>
                <w:szCs w:val="13"/>
                <w:color w:val="auto"/>
              </w:rPr>
            </w:pPr>
          </w:p>
        </w:tc>
      </w:tr>
      <w:tr>
        <w:trPr>
          <w:trHeight w:val="142"/>
        </w:trPr>
        <w:tc>
          <w:tcPr>
            <w:tcW w:w="6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ind w:right="60"/>
              <w:spacing w:after="0"/>
              <w:rPr>
                <w:sz w:val="20"/>
                <w:szCs w:val="20"/>
                <w:color w:val="auto"/>
              </w:rPr>
            </w:pPr>
            <w:r>
              <w:rPr>
                <w:rFonts w:ascii="Arial" w:cs="Arial" w:eastAsia="Arial" w:hAnsi="Arial"/>
                <w:sz w:val="12"/>
                <w:szCs w:val="12"/>
                <w:b w:val="1"/>
                <w:bCs w:val="1"/>
                <w:color w:val="auto"/>
              </w:rPr>
              <w:t>(In</w:t>
            </w:r>
          </w:p>
        </w:tc>
        <w:tc>
          <w:tcPr>
            <w:tcW w:w="480" w:type="dxa"/>
            <w:vAlign w:val="bottom"/>
            <w:gridSpan w:val="2"/>
          </w:tcPr>
          <w:p>
            <w:pPr>
              <w:jc w:val="right"/>
              <w:spacing w:after="0"/>
              <w:rPr>
                <w:sz w:val="20"/>
                <w:szCs w:val="20"/>
                <w:color w:val="auto"/>
              </w:rPr>
            </w:pPr>
            <w:r>
              <w:rPr>
                <w:rFonts w:ascii="Arial" w:cs="Arial" w:eastAsia="Arial" w:hAnsi="Arial"/>
                <w:sz w:val="11"/>
                <w:szCs w:val="11"/>
                <w:b w:val="1"/>
                <w:bCs w:val="1"/>
                <w:color w:val="auto"/>
                <w:w w:val="74"/>
              </w:rPr>
              <w:t>thousands)</w:t>
            </w: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Due in one year or less</w:t>
            </w: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117,497</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166"/>
              <w:spacing w:after="0"/>
              <w:rPr>
                <w:sz w:val="20"/>
                <w:szCs w:val="20"/>
                <w:color w:val="auto"/>
              </w:rPr>
            </w:pPr>
            <w:r>
              <w:rPr>
                <w:rFonts w:ascii="Arial" w:cs="Arial" w:eastAsia="Arial" w:hAnsi="Arial"/>
                <w:sz w:val="12"/>
                <w:szCs w:val="12"/>
                <w:color w:val="auto"/>
              </w:rPr>
              <w:t>840</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2,033</w:t>
            </w: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120,370</w:t>
            </w:r>
          </w:p>
        </w:tc>
      </w:tr>
      <w:tr>
        <w:trPr>
          <w:trHeight w:val="144"/>
        </w:trPr>
        <w:tc>
          <w:tcPr>
            <w:tcW w:w="6000" w:type="dxa"/>
            <w:vAlign w:val="bottom"/>
          </w:tcPr>
          <w:p>
            <w:pPr>
              <w:spacing w:after="0"/>
              <w:rPr>
                <w:sz w:val="20"/>
                <w:szCs w:val="20"/>
                <w:color w:val="auto"/>
              </w:rPr>
            </w:pPr>
            <w:r>
              <w:rPr>
                <w:rFonts w:ascii="Arial" w:cs="Arial" w:eastAsia="Arial" w:hAnsi="Arial"/>
                <w:sz w:val="12"/>
                <w:szCs w:val="12"/>
                <w:color w:val="auto"/>
              </w:rPr>
              <w:t>Due after one but within five years</w:t>
            </w: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293,483</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166"/>
              <w:spacing w:after="0"/>
              <w:rPr>
                <w:sz w:val="20"/>
                <w:szCs w:val="20"/>
                <w:color w:val="auto"/>
              </w:rPr>
            </w:pPr>
            <w:r>
              <w:rPr>
                <w:rFonts w:ascii="Arial" w:cs="Arial" w:eastAsia="Arial" w:hAnsi="Arial"/>
                <w:sz w:val="12"/>
                <w:szCs w:val="12"/>
                <w:color w:val="auto"/>
              </w:rPr>
              <w:t>2,610</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49,500</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345,593</w:t>
            </w:r>
          </w:p>
        </w:tc>
      </w:tr>
      <w:tr>
        <w:trPr>
          <w:trHeight w:val="144"/>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Due after five but within 15 years</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774,772</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66"/>
              <w:spacing w:after="0"/>
              <w:rPr>
                <w:sz w:val="20"/>
                <w:szCs w:val="20"/>
                <w:color w:val="auto"/>
              </w:rPr>
            </w:pPr>
            <w:r>
              <w:rPr>
                <w:rFonts w:ascii="Arial" w:cs="Arial" w:eastAsia="Arial" w:hAnsi="Arial"/>
                <w:sz w:val="12"/>
                <w:szCs w:val="12"/>
                <w:color w:val="auto"/>
              </w:rPr>
              <w:t>114,703</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454,134</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1,343,609</w:t>
            </w:r>
          </w:p>
        </w:tc>
      </w:tr>
      <w:tr>
        <w:trPr>
          <w:trHeight w:val="144"/>
        </w:trPr>
        <w:tc>
          <w:tcPr>
            <w:tcW w:w="6000" w:type="dxa"/>
            <w:vAlign w:val="bottom"/>
          </w:tcPr>
          <w:p>
            <w:pPr>
              <w:spacing w:after="0"/>
              <w:rPr>
                <w:sz w:val="20"/>
                <w:szCs w:val="20"/>
                <w:color w:val="auto"/>
              </w:rPr>
            </w:pPr>
            <w:r>
              <w:rPr>
                <w:rFonts w:ascii="Arial" w:cs="Arial" w:eastAsia="Arial" w:hAnsi="Arial"/>
                <w:sz w:val="12"/>
                <w:szCs w:val="12"/>
                <w:color w:val="auto"/>
              </w:rPr>
              <w:t>Due after 15 years</w:t>
            </w:r>
          </w:p>
        </w:tc>
        <w:tc>
          <w:tcPr>
            <w:tcW w:w="160" w:type="dxa"/>
            <w:vAlign w:val="bottom"/>
          </w:tcPr>
          <w:p>
            <w:pPr>
              <w:spacing w:after="0"/>
              <w:rPr>
                <w:sz w:val="12"/>
                <w:szCs w:val="12"/>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2"/>
                <w:szCs w:val="12"/>
                <w:color w:val="auto"/>
              </w:rPr>
              <w:t>17,829</w:t>
            </w:r>
          </w:p>
        </w:tc>
        <w:tc>
          <w:tcPr>
            <w:tcW w:w="180" w:type="dxa"/>
            <w:vAlign w:val="bottom"/>
          </w:tcPr>
          <w:p>
            <w:pPr>
              <w:spacing w:after="0"/>
              <w:rPr>
                <w:sz w:val="12"/>
                <w:szCs w:val="12"/>
                <w:color w:val="auto"/>
              </w:rPr>
            </w:pPr>
          </w:p>
        </w:tc>
        <w:tc>
          <w:tcPr>
            <w:tcW w:w="1160" w:type="dxa"/>
            <w:vAlign w:val="bottom"/>
            <w:gridSpan w:val="2"/>
          </w:tcPr>
          <w:p>
            <w:pPr>
              <w:jc w:val="right"/>
              <w:ind w:right="166"/>
              <w:spacing w:after="0"/>
              <w:rPr>
                <w:sz w:val="20"/>
                <w:szCs w:val="20"/>
                <w:color w:val="auto"/>
              </w:rPr>
            </w:pPr>
            <w:r>
              <w:rPr>
                <w:rFonts w:ascii="Arial" w:cs="Arial" w:eastAsia="Arial" w:hAnsi="Arial"/>
                <w:sz w:val="12"/>
                <w:szCs w:val="12"/>
                <w:color w:val="auto"/>
              </w:rPr>
              <w:t>1,021,506</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56,138</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1,095,473</w:t>
            </w:r>
          </w:p>
        </w:tc>
      </w:tr>
      <w:tr>
        <w:trPr>
          <w:trHeight w:val="182"/>
        </w:trPr>
        <w:tc>
          <w:tcPr>
            <w:tcW w:w="60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1,203,581</w:t>
            </w:r>
          </w:p>
        </w:tc>
        <w:tc>
          <w:tcPr>
            <w:tcW w:w="2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1,139,659</w:t>
            </w:r>
          </w:p>
        </w:tc>
        <w:tc>
          <w:tcPr>
            <w:tcW w:w="2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561,805</w:t>
            </w:r>
          </w:p>
        </w:tc>
        <w:tc>
          <w:tcPr>
            <w:tcW w:w="2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2,905,045</w:t>
            </w:r>
          </w:p>
        </w:tc>
        <w:tc>
          <w:tcPr>
            <w:tcW w:w="120" w:type="dxa"/>
            <w:vAlign w:val="bottom"/>
            <w:tcBorders>
              <w:bottom w:val="single" w:sz="8" w:color="CCEEFF"/>
            </w:tcBorders>
            <w:shd w:val="clear" w:color="auto" w:fill="CCEEFF"/>
          </w:tcPr>
          <w:p>
            <w:pPr>
              <w:spacing w:after="0"/>
              <w:rPr>
                <w:sz w:val="15"/>
                <w:szCs w:val="15"/>
                <w:color w:val="auto"/>
              </w:rPr>
            </w:pPr>
          </w:p>
        </w:tc>
      </w:tr>
      <w:tr>
        <w:trPr>
          <w:trHeight w:val="120"/>
        </w:trPr>
        <w:tc>
          <w:tcPr>
            <w:tcW w:w="6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gridSpan w:val="2"/>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gridSpan w:val="2"/>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gridSpan w:val="2"/>
          </w:tcPr>
          <w:p>
            <w:pPr>
              <w:spacing w:after="0"/>
              <w:rPr>
                <w:sz w:val="10"/>
                <w:szCs w:val="10"/>
                <w:color w:val="auto"/>
              </w:rPr>
            </w:pPr>
          </w:p>
        </w:tc>
      </w:tr>
      <w:tr>
        <w:trPr>
          <w:trHeight w:val="144"/>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Fixed rate</w:t>
            </w: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626,148</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166"/>
              <w:spacing w:after="0"/>
              <w:rPr>
                <w:sz w:val="20"/>
                <w:szCs w:val="20"/>
                <w:color w:val="auto"/>
              </w:rPr>
            </w:pPr>
            <w:r>
              <w:rPr>
                <w:rFonts w:ascii="Arial" w:cs="Arial" w:eastAsia="Arial" w:hAnsi="Arial"/>
                <w:sz w:val="12"/>
                <w:szCs w:val="12"/>
                <w:color w:val="auto"/>
              </w:rPr>
              <w:t>736,515</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558,069</w:t>
            </w: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1,920,732</w:t>
            </w:r>
          </w:p>
        </w:tc>
      </w:tr>
      <w:tr>
        <w:trPr>
          <w:trHeight w:val="144"/>
        </w:trPr>
        <w:tc>
          <w:tcPr>
            <w:tcW w:w="6000" w:type="dxa"/>
            <w:vAlign w:val="bottom"/>
          </w:tcPr>
          <w:p>
            <w:pPr>
              <w:spacing w:after="0"/>
              <w:rPr>
                <w:sz w:val="20"/>
                <w:szCs w:val="20"/>
                <w:color w:val="auto"/>
              </w:rPr>
            </w:pPr>
            <w:r>
              <w:rPr>
                <w:rFonts w:ascii="Arial" w:cs="Arial" w:eastAsia="Arial" w:hAnsi="Arial"/>
                <w:sz w:val="12"/>
                <w:szCs w:val="12"/>
                <w:color w:val="auto"/>
              </w:rPr>
              <w:t>Variable rate</w:t>
            </w: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577,433</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166"/>
              <w:spacing w:after="0"/>
              <w:rPr>
                <w:sz w:val="20"/>
                <w:szCs w:val="20"/>
                <w:color w:val="auto"/>
              </w:rPr>
            </w:pPr>
            <w:r>
              <w:rPr>
                <w:rFonts w:ascii="Arial" w:cs="Arial" w:eastAsia="Arial" w:hAnsi="Arial"/>
                <w:sz w:val="12"/>
                <w:szCs w:val="12"/>
                <w:color w:val="auto"/>
              </w:rPr>
              <w:t>403,144</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3,736</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984,313</w:t>
            </w:r>
          </w:p>
        </w:tc>
      </w:tr>
      <w:tr>
        <w:trPr>
          <w:trHeight w:val="182"/>
        </w:trPr>
        <w:tc>
          <w:tcPr>
            <w:tcW w:w="60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1,203,581</w:t>
            </w:r>
          </w:p>
        </w:tc>
        <w:tc>
          <w:tcPr>
            <w:tcW w:w="2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1,139,659</w:t>
            </w:r>
          </w:p>
        </w:tc>
        <w:tc>
          <w:tcPr>
            <w:tcW w:w="2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561,805</w:t>
            </w:r>
          </w:p>
        </w:tc>
        <w:tc>
          <w:tcPr>
            <w:tcW w:w="2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2,905,045</w:t>
            </w:r>
          </w:p>
        </w:tc>
        <w:tc>
          <w:tcPr>
            <w:tcW w:w="120" w:type="dxa"/>
            <w:vAlign w:val="bottom"/>
            <w:tcBorders>
              <w:bottom w:val="single" w:sz="8" w:color="CCEEFF"/>
            </w:tcBorders>
            <w:shd w:val="clear" w:color="auto" w:fill="CCEEFF"/>
          </w:tcPr>
          <w:p>
            <w:pPr>
              <w:spacing w:after="0"/>
              <w:rPr>
                <w:sz w:val="15"/>
                <w:szCs w:val="15"/>
                <w:color w:val="auto"/>
              </w:rPr>
            </w:pPr>
          </w:p>
        </w:tc>
      </w:tr>
    </w:tbl>
    <w:p>
      <w:pPr>
        <w:spacing w:after="0" w:line="135" w:lineRule="exact"/>
        <w:rPr>
          <w:sz w:val="20"/>
          <w:szCs w:val="20"/>
          <w:color w:val="auto"/>
        </w:rPr>
      </w:pPr>
    </w:p>
    <w:p>
      <w:pPr>
        <w:jc w:val="both"/>
        <w:ind w:right="20" w:firstLine="240"/>
        <w:spacing w:after="0" w:line="263" w:lineRule="auto"/>
        <w:rPr>
          <w:sz w:val="20"/>
          <w:szCs w:val="20"/>
          <w:color w:val="auto"/>
        </w:rPr>
      </w:pPr>
      <w:r>
        <w:rPr>
          <w:rFonts w:ascii="Arial" w:cs="Arial" w:eastAsia="Arial" w:hAnsi="Arial"/>
          <w:sz w:val="12"/>
          <w:szCs w:val="12"/>
          <w:color w:val="auto"/>
        </w:rPr>
        <w:t>In the fourth quarter of 2021 we reclassified $34.8 million (fair value of $34.8 million) of portfolio mortgage loans to held for sale. These loans were sold to other financial institutions on a servicing retained basis during the first quarter of 2022. In 2020 we sold or securitized $28.7 million of fixed and adjustable rate portfolio mortgage loans. In 2019, we sold or securitized $75.0 million of fixed and adjustable rate portfolio mortgage loans. All of these loan sales/securitizations were non-recourse (other than standard representations and warranties) and were executed primarily for asset/liability management purposes.</w:t>
      </w:r>
    </w:p>
    <w:p>
      <w:pPr>
        <w:spacing w:after="0" w:line="122"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PPP is a short-term, forgivable loan program primarily intended to help businesses impacted by COVID-19 to continue paying their employees. A short summary of the PPP is as follows:</w:t>
      </w:r>
    </w:p>
    <w:p>
      <w:pPr>
        <w:spacing w:after="0" w:line="150" w:lineRule="exact"/>
        <w:rPr>
          <w:sz w:val="20"/>
          <w:szCs w:val="20"/>
          <w:color w:val="auto"/>
        </w:rPr>
      </w:pPr>
    </w:p>
    <w:p>
      <w:pPr>
        <w:ind w:left="460" w:right="100" w:hanging="234"/>
        <w:spacing w:after="0" w:line="276" w:lineRule="auto"/>
        <w:tabs>
          <w:tab w:leader="none" w:pos="46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Terms of two years (five years for loans originated after June 5, 2020) with payments automatically deferred to the date the SBA remits the borrower’s loan forgiveness amount to the lender (or, if the borrower does not apply for loan forgiveness, 10 months after the end of the borrower’s loan forgiveness covered period);</w:t>
      </w:r>
    </w:p>
    <w:p>
      <w:pPr>
        <w:spacing w:after="0" w:line="114" w:lineRule="exact"/>
        <w:rPr>
          <w:rFonts w:ascii="Arial" w:cs="Arial" w:eastAsia="Arial" w:hAnsi="Arial"/>
          <w:sz w:val="12"/>
          <w:szCs w:val="12"/>
          <w:color w:val="auto"/>
        </w:rPr>
      </w:pPr>
    </w:p>
    <w:p>
      <w:pPr>
        <w:ind w:left="460" w:hanging="234"/>
        <w:spacing w:after="0"/>
        <w:tabs>
          <w:tab w:leader="none" w:pos="460" w:val="left"/>
        </w:tabs>
        <w:numPr>
          <w:ilvl w:val="0"/>
          <w:numId w:val="15"/>
        </w:numPr>
        <w:rPr>
          <w:rFonts w:ascii="Arial" w:cs="Arial" w:eastAsia="Arial" w:hAnsi="Arial"/>
          <w:sz w:val="12"/>
          <w:szCs w:val="12"/>
          <w:color w:val="auto"/>
        </w:rPr>
      </w:pPr>
      <w:r>
        <w:rPr>
          <w:rFonts w:ascii="Arial" w:cs="Arial" w:eastAsia="Arial" w:hAnsi="Arial"/>
          <w:sz w:val="12"/>
          <w:szCs w:val="12"/>
          <w:color w:val="auto"/>
        </w:rPr>
        <w:t>One percent interest rate;</w:t>
      </w:r>
    </w:p>
    <w:p>
      <w:pPr>
        <w:spacing w:after="0" w:line="150" w:lineRule="exact"/>
        <w:rPr>
          <w:rFonts w:ascii="Arial" w:cs="Arial" w:eastAsia="Arial" w:hAnsi="Arial"/>
          <w:sz w:val="12"/>
          <w:szCs w:val="12"/>
          <w:color w:val="auto"/>
        </w:rPr>
      </w:pPr>
    </w:p>
    <w:p>
      <w:pPr>
        <w:ind w:left="460" w:hanging="234"/>
        <w:spacing w:after="0"/>
        <w:tabs>
          <w:tab w:leader="none" w:pos="460" w:val="left"/>
        </w:tabs>
        <w:numPr>
          <w:ilvl w:val="0"/>
          <w:numId w:val="15"/>
        </w:numPr>
        <w:rPr>
          <w:rFonts w:ascii="Arial" w:cs="Arial" w:eastAsia="Arial" w:hAnsi="Arial"/>
          <w:sz w:val="12"/>
          <w:szCs w:val="12"/>
          <w:color w:val="auto"/>
        </w:rPr>
      </w:pPr>
      <w:r>
        <w:rPr>
          <w:rFonts w:ascii="Arial" w:cs="Arial" w:eastAsia="Arial" w:hAnsi="Arial"/>
          <w:sz w:val="12"/>
          <w:szCs w:val="12"/>
          <w:color w:val="auto"/>
        </w:rPr>
        <w:t>No collateral or personal guarantees required;</w:t>
      </w:r>
    </w:p>
    <w:p>
      <w:pPr>
        <w:spacing w:after="0" w:line="150" w:lineRule="exact"/>
        <w:rPr>
          <w:rFonts w:ascii="Arial" w:cs="Arial" w:eastAsia="Arial" w:hAnsi="Arial"/>
          <w:sz w:val="12"/>
          <w:szCs w:val="12"/>
          <w:color w:val="auto"/>
        </w:rPr>
      </w:pPr>
    </w:p>
    <w:p>
      <w:pPr>
        <w:ind w:left="460" w:hanging="234"/>
        <w:spacing w:after="0"/>
        <w:tabs>
          <w:tab w:leader="none" w:pos="460" w:val="left"/>
        </w:tabs>
        <w:numPr>
          <w:ilvl w:val="0"/>
          <w:numId w:val="15"/>
        </w:numPr>
        <w:rPr>
          <w:rFonts w:ascii="Arial" w:cs="Arial" w:eastAsia="Arial" w:hAnsi="Arial"/>
          <w:sz w:val="12"/>
          <w:szCs w:val="12"/>
          <w:color w:val="auto"/>
        </w:rPr>
      </w:pPr>
      <w:r>
        <w:rPr>
          <w:rFonts w:ascii="Arial" w:cs="Arial" w:eastAsia="Arial" w:hAnsi="Arial"/>
          <w:sz w:val="12"/>
          <w:szCs w:val="12"/>
          <w:color w:val="auto"/>
        </w:rPr>
        <w:t>No fees paid by the borrower, rather lenders are paid a fee through the SBA according to a set schedule based on loan size;</w:t>
      </w:r>
    </w:p>
    <w:p>
      <w:pPr>
        <w:spacing w:after="0" w:line="150" w:lineRule="exact"/>
        <w:rPr>
          <w:rFonts w:ascii="Arial" w:cs="Arial" w:eastAsia="Arial" w:hAnsi="Arial"/>
          <w:sz w:val="12"/>
          <w:szCs w:val="12"/>
          <w:color w:val="auto"/>
        </w:rPr>
      </w:pPr>
    </w:p>
    <w:p>
      <w:pPr>
        <w:ind w:left="460" w:hanging="234"/>
        <w:spacing w:after="0"/>
        <w:tabs>
          <w:tab w:leader="none" w:pos="460" w:val="left"/>
        </w:tabs>
        <w:numPr>
          <w:ilvl w:val="0"/>
          <w:numId w:val="15"/>
        </w:numPr>
        <w:rPr>
          <w:rFonts w:ascii="Arial" w:cs="Arial" w:eastAsia="Arial" w:hAnsi="Arial"/>
          <w:sz w:val="12"/>
          <w:szCs w:val="12"/>
          <w:color w:val="auto"/>
        </w:rPr>
      </w:pPr>
      <w:r>
        <w:rPr>
          <w:rFonts w:ascii="Arial" w:cs="Arial" w:eastAsia="Arial" w:hAnsi="Arial"/>
          <w:sz w:val="12"/>
          <w:szCs w:val="12"/>
          <w:color w:val="auto"/>
        </w:rPr>
        <w:t>Loans are forgivable if at least 60% of the loan proceeds are used for payroll with the remainder being used for rent, mortgage interest and/or utilities; and</w:t>
      </w:r>
    </w:p>
    <w:p>
      <w:pPr>
        <w:spacing w:after="0" w:line="150" w:lineRule="exact"/>
        <w:rPr>
          <w:rFonts w:ascii="Arial" w:cs="Arial" w:eastAsia="Arial" w:hAnsi="Arial"/>
          <w:sz w:val="12"/>
          <w:szCs w:val="12"/>
          <w:color w:val="auto"/>
        </w:rPr>
      </w:pPr>
    </w:p>
    <w:p>
      <w:pPr>
        <w:ind w:left="460" w:hanging="234"/>
        <w:spacing w:after="0"/>
        <w:tabs>
          <w:tab w:leader="none" w:pos="460" w:val="left"/>
        </w:tabs>
        <w:numPr>
          <w:ilvl w:val="0"/>
          <w:numId w:val="15"/>
        </w:numPr>
        <w:rPr>
          <w:rFonts w:ascii="Arial" w:cs="Arial" w:eastAsia="Arial" w:hAnsi="Arial"/>
          <w:sz w:val="12"/>
          <w:szCs w:val="12"/>
          <w:color w:val="auto"/>
        </w:rPr>
      </w:pPr>
      <w:r>
        <w:rPr>
          <w:rFonts w:ascii="Arial" w:cs="Arial" w:eastAsia="Arial" w:hAnsi="Arial"/>
          <w:sz w:val="12"/>
          <w:szCs w:val="12"/>
          <w:color w:val="auto"/>
        </w:rPr>
        <w:t>Streamlined forgiveness application process for PPP loans of $50,000 or less.</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57"/>
        </w:trPr>
        <w:tc>
          <w:tcPr>
            <w:tcW w:w="6000" w:type="dxa"/>
            <w:vAlign w:val="bottom"/>
          </w:tcPr>
          <w:p>
            <w:pPr>
              <w:spacing w:after="0"/>
              <w:rPr>
                <w:sz w:val="20"/>
                <w:szCs w:val="20"/>
                <w:color w:val="auto"/>
              </w:rPr>
            </w:pPr>
            <w:r>
              <w:rPr>
                <w:rFonts w:ascii="Arial" w:cs="Arial" w:eastAsia="Arial" w:hAnsi="Arial"/>
                <w:sz w:val="12"/>
                <w:szCs w:val="12"/>
                <w:b w:val="1"/>
                <w:bCs w:val="1"/>
                <w:color w:val="auto"/>
              </w:rPr>
              <w:t>PAYCHECK PROTECTION PROGRAM</w:t>
            </w: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6000" w:type="dxa"/>
            <w:vAlign w:val="bottom"/>
          </w:tcPr>
          <w:p>
            <w:pPr>
              <w:ind w:left="240"/>
              <w:spacing w:after="0"/>
              <w:rPr>
                <w:sz w:val="20"/>
                <w:szCs w:val="20"/>
                <w:color w:val="auto"/>
              </w:rPr>
            </w:pPr>
            <w:r>
              <w:rPr>
                <w:rFonts w:ascii="Arial" w:cs="Arial" w:eastAsia="Arial" w:hAnsi="Arial"/>
                <w:sz w:val="12"/>
                <w:szCs w:val="12"/>
                <w:color w:val="auto"/>
              </w:rPr>
              <w:t>A summary of our participation in the PPP follows: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8"/>
        </w:trPr>
        <w:tc>
          <w:tcPr>
            <w:tcW w:w="600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ind w:left="700"/>
              <w:spacing w:after="0"/>
              <w:rPr>
                <w:sz w:val="20"/>
                <w:szCs w:val="20"/>
                <w:color w:val="auto"/>
              </w:rPr>
            </w:pPr>
            <w:r>
              <w:rPr>
                <w:rFonts w:ascii="Arial" w:cs="Arial" w:eastAsia="Arial" w:hAnsi="Arial"/>
                <w:sz w:val="12"/>
                <w:szCs w:val="12"/>
                <w:b w:val="1"/>
                <w:bCs w:val="1"/>
                <w:color w:val="auto"/>
                <w:w w:val="89"/>
              </w:rPr>
              <w:t>December 31,</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6000" w:type="dxa"/>
            <w:vAlign w:val="bottom"/>
          </w:tcPr>
          <w:p>
            <w:pPr>
              <w:spacing w:after="0"/>
              <w:rPr>
                <w:sz w:val="12"/>
                <w:szCs w:val="12"/>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2021</w:t>
            </w: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2"/>
                <w:szCs w:val="12"/>
                <w:b w:val="1"/>
                <w:bCs w:val="1"/>
                <w:color w:val="auto"/>
              </w:rPr>
              <w:t>2020</w:t>
            </w:r>
          </w:p>
        </w:tc>
        <w:tc>
          <w:tcPr>
            <w:tcW w:w="9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6000" w:type="dxa"/>
            <w:vAlign w:val="bottom"/>
          </w:tcPr>
          <w:p>
            <w:pPr>
              <w:spacing w:after="0"/>
              <w:rPr>
                <w:sz w:val="12"/>
                <w:szCs w:val="12"/>
                <w:color w:val="auto"/>
              </w:rPr>
            </w:pPr>
          </w:p>
        </w:tc>
        <w:tc>
          <w:tcPr>
            <w:tcW w:w="114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rPr>
              <w:t>Amount (#)</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rPr>
              <w:t>Amount ($)</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w w:val="94"/>
              </w:rPr>
              <w:t>Amount (#)</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rPr>
              <w:t>Amount ($)</w:t>
            </w:r>
          </w:p>
        </w:tc>
        <w:tc>
          <w:tcPr>
            <w:tcW w:w="120" w:type="dxa"/>
            <w:vAlign w:val="bottom"/>
          </w:tcPr>
          <w:p>
            <w:pPr>
              <w:spacing w:after="0"/>
              <w:rPr>
                <w:sz w:val="12"/>
                <w:szCs w:val="12"/>
                <w:color w:val="auto"/>
              </w:rPr>
            </w:pPr>
          </w:p>
        </w:tc>
      </w:tr>
      <w:tr>
        <w:trPr>
          <w:trHeight w:val="142"/>
        </w:trPr>
        <w:tc>
          <w:tcPr>
            <w:tcW w:w="6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20" w:type="dxa"/>
            <w:vAlign w:val="bottom"/>
            <w:gridSpan w:val="6"/>
          </w:tcPr>
          <w:p>
            <w:pPr>
              <w:jc w:val="right"/>
              <w:ind w:right="900"/>
              <w:spacing w:after="0"/>
              <w:rPr>
                <w:sz w:val="20"/>
                <w:szCs w:val="20"/>
                <w:color w:val="auto"/>
              </w:rPr>
            </w:pPr>
            <w:r>
              <w:rPr>
                <w:rFonts w:ascii="Arial" w:cs="Arial" w:eastAsia="Arial" w:hAnsi="Arial"/>
                <w:sz w:val="12"/>
                <w:szCs w:val="12"/>
                <w:b w:val="1"/>
                <w:bCs w:val="1"/>
                <w:color w:val="auto"/>
              </w:rPr>
              <w:t>(Dollars in thousands)</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Closed and outstanding - Round 1 loans</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197</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1,483</w:t>
            </w: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169,782</w:t>
            </w:r>
          </w:p>
        </w:tc>
      </w:tr>
      <w:tr>
        <w:trPr>
          <w:trHeight w:val="144"/>
        </w:trPr>
        <w:tc>
          <w:tcPr>
            <w:tcW w:w="6000" w:type="dxa"/>
            <w:vAlign w:val="bottom"/>
          </w:tcPr>
          <w:p>
            <w:pPr>
              <w:spacing w:after="0"/>
              <w:rPr>
                <w:sz w:val="20"/>
                <w:szCs w:val="20"/>
                <w:color w:val="auto"/>
              </w:rPr>
            </w:pPr>
            <w:r>
              <w:rPr>
                <w:rFonts w:ascii="Arial" w:cs="Arial" w:eastAsia="Arial" w:hAnsi="Arial"/>
                <w:sz w:val="12"/>
                <w:szCs w:val="12"/>
                <w:color w:val="auto"/>
              </w:rPr>
              <w:t>Closed and outstanding - Round 2 loans</w:t>
            </w:r>
          </w:p>
        </w:tc>
        <w:tc>
          <w:tcPr>
            <w:tcW w:w="1140" w:type="dxa"/>
            <w:vAlign w:val="bottom"/>
          </w:tcPr>
          <w:p>
            <w:pPr>
              <w:jc w:val="right"/>
              <w:spacing w:after="0"/>
              <w:rPr>
                <w:sz w:val="20"/>
                <w:szCs w:val="20"/>
                <w:color w:val="auto"/>
              </w:rPr>
            </w:pPr>
            <w:r>
              <w:rPr>
                <w:rFonts w:ascii="Arial" w:cs="Arial" w:eastAsia="Arial" w:hAnsi="Arial"/>
                <w:sz w:val="12"/>
                <w:szCs w:val="12"/>
                <w:color w:val="auto"/>
              </w:rPr>
              <w:t>180</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2"/>
                <w:szCs w:val="12"/>
                <w:color w:val="auto"/>
              </w:rPr>
              <w:t>26,167</w:t>
            </w:r>
          </w:p>
        </w:tc>
        <w:tc>
          <w:tcPr>
            <w:tcW w:w="24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82"/>
        </w:trPr>
        <w:tc>
          <w:tcPr>
            <w:tcW w:w="60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Total closed and outstanding</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186</w:t>
            </w:r>
          </w:p>
        </w:tc>
        <w:tc>
          <w:tcPr>
            <w:tcW w:w="2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26,364</w:t>
            </w:r>
          </w:p>
        </w:tc>
        <w:tc>
          <w:tcPr>
            <w:tcW w:w="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1,483</w:t>
            </w:r>
          </w:p>
        </w:tc>
        <w:tc>
          <w:tcPr>
            <w:tcW w:w="2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169,782</w:t>
            </w:r>
          </w:p>
        </w:tc>
        <w:tc>
          <w:tcPr>
            <w:tcW w:w="120" w:type="dxa"/>
            <w:vAlign w:val="bottom"/>
            <w:tcBorders>
              <w:bottom w:val="single" w:sz="8" w:color="CCEEFF"/>
            </w:tcBorders>
            <w:shd w:val="clear" w:color="auto" w:fill="CCEEFF"/>
          </w:tcPr>
          <w:p>
            <w:pPr>
              <w:spacing w:after="0"/>
              <w:rPr>
                <w:sz w:val="15"/>
                <w:szCs w:val="15"/>
                <w:color w:val="auto"/>
              </w:rPr>
            </w:pPr>
          </w:p>
        </w:tc>
      </w:tr>
      <w:tr>
        <w:trPr>
          <w:trHeight w:val="120"/>
        </w:trPr>
        <w:tc>
          <w:tcPr>
            <w:tcW w:w="6000" w:type="dxa"/>
            <w:vAlign w:val="bottom"/>
          </w:tcPr>
          <w:p>
            <w:pPr>
              <w:spacing w:after="0" w:line="120" w:lineRule="exact"/>
              <w:rPr>
                <w:sz w:val="20"/>
                <w:szCs w:val="20"/>
                <w:color w:val="auto"/>
              </w:rPr>
            </w:pPr>
            <w:r>
              <w:rPr>
                <w:rFonts w:ascii="Arial" w:cs="Arial" w:eastAsia="Arial" w:hAnsi="Arial"/>
                <w:sz w:val="12"/>
                <w:szCs w:val="12"/>
                <w:color w:val="auto"/>
              </w:rPr>
              <w:t>Unaccreted net fees remaining at period end</w:t>
            </w:r>
          </w:p>
        </w:tc>
        <w:tc>
          <w:tcPr>
            <w:tcW w:w="1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0"/>
              <w:spacing w:after="0" w:line="120" w:lineRule="exact"/>
              <w:rPr>
                <w:sz w:val="20"/>
                <w:szCs w:val="20"/>
                <w:color w:val="auto"/>
              </w:rPr>
            </w:pPr>
            <w:r>
              <w:rPr>
                <w:rFonts w:ascii="Arial" w:cs="Arial" w:eastAsia="Arial" w:hAnsi="Arial"/>
                <w:sz w:val="12"/>
                <w:szCs w:val="12"/>
                <w:color w:val="auto"/>
              </w:rPr>
              <w:t>806</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20"/>
              <w:spacing w:after="0" w:line="120" w:lineRule="exact"/>
              <w:rPr>
                <w:sz w:val="20"/>
                <w:szCs w:val="20"/>
                <w:color w:val="auto"/>
              </w:rPr>
            </w:pPr>
            <w:r>
              <w:rPr>
                <w:rFonts w:ascii="Arial" w:cs="Arial" w:eastAsia="Arial" w:hAnsi="Arial"/>
                <w:sz w:val="12"/>
                <w:szCs w:val="12"/>
                <w:color w:val="auto"/>
              </w:rPr>
              <w:t>3,216</w:t>
            </w:r>
          </w:p>
        </w:tc>
      </w:tr>
      <w:tr>
        <w:trPr>
          <w:trHeight w:val="20"/>
        </w:trPr>
        <w:tc>
          <w:tcPr>
            <w:tcW w:w="6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5" w:lineRule="exact"/>
        <w:rPr>
          <w:sz w:val="20"/>
          <w:szCs w:val="20"/>
          <w:color w:val="auto"/>
        </w:rPr>
      </w:pPr>
    </w:p>
    <w:p>
      <w:pPr>
        <w:jc w:val="both"/>
        <w:ind w:firstLine="240"/>
        <w:spacing w:after="0" w:line="259" w:lineRule="auto"/>
        <w:rPr>
          <w:sz w:val="20"/>
          <w:szCs w:val="20"/>
          <w:color w:val="auto"/>
        </w:rPr>
      </w:pPr>
      <w:r>
        <w:rPr>
          <w:rFonts w:ascii="Arial" w:cs="Arial" w:eastAsia="Arial" w:hAnsi="Arial"/>
          <w:sz w:val="12"/>
          <w:szCs w:val="12"/>
          <w:color w:val="auto"/>
        </w:rPr>
        <w:t>Congress and the major bank regulatory agencies encouraged banks to work with their borrowers to provide short-term loan payment relief during the COVID-19 national emergency. On March 22, 2020, an interagency statement was released by the Board of Governors of the Federal Reserve System, the Federal Deposit Insurance Corporation, the Office of the Comptroller of the Currency, the Consumer Financial Protection Bureau, the Conference of State Bank Supervisors, and the National Credit Union Administration that contained guidance regarding loan modifications made in response to the pandemic. In general, in order for a loan modification made in response to the pandemic to avoid being classified as a troubled debt restructuring (“TDR”):</w:t>
      </w:r>
    </w:p>
    <w:p>
      <w:pPr>
        <w:spacing w:after="0" w:line="124" w:lineRule="exact"/>
        <w:rPr>
          <w:sz w:val="20"/>
          <w:szCs w:val="20"/>
          <w:color w:val="auto"/>
        </w:rPr>
      </w:pPr>
    </w:p>
    <w:p>
      <w:pPr>
        <w:ind w:left="460" w:hanging="234"/>
        <w:spacing w:after="0"/>
        <w:tabs>
          <w:tab w:leader="none" w:pos="46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modified loan must be current when the modification is made;</w:t>
      </w:r>
    </w:p>
    <w:p>
      <w:pPr>
        <w:spacing w:after="0" w:line="150" w:lineRule="exact"/>
        <w:rPr>
          <w:rFonts w:ascii="Arial" w:cs="Arial" w:eastAsia="Arial" w:hAnsi="Arial"/>
          <w:sz w:val="12"/>
          <w:szCs w:val="12"/>
          <w:color w:val="auto"/>
        </w:rPr>
      </w:pPr>
    </w:p>
    <w:p>
      <w:pPr>
        <w:ind w:left="460" w:hanging="234"/>
        <w:spacing w:after="0"/>
        <w:tabs>
          <w:tab w:leader="none" w:pos="46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modification must be short term in nature (up to six months); and</w:t>
      </w:r>
    </w:p>
    <w:p>
      <w:pPr>
        <w:spacing w:after="0" w:line="150" w:lineRule="exact"/>
        <w:rPr>
          <w:rFonts w:ascii="Arial" w:cs="Arial" w:eastAsia="Arial" w:hAnsi="Arial"/>
          <w:sz w:val="12"/>
          <w:szCs w:val="12"/>
          <w:color w:val="auto"/>
        </w:rPr>
      </w:pPr>
    </w:p>
    <w:p>
      <w:pPr>
        <w:ind w:left="460" w:hanging="234"/>
        <w:spacing w:after="0"/>
        <w:tabs>
          <w:tab w:leader="none" w:pos="460" w:val="left"/>
        </w:tabs>
        <w:numPr>
          <w:ilvl w:val="0"/>
          <w:numId w:val="16"/>
        </w:numPr>
        <w:rPr>
          <w:rFonts w:ascii="Arial" w:cs="Arial" w:eastAsia="Arial" w:hAnsi="Arial"/>
          <w:sz w:val="12"/>
          <w:szCs w:val="12"/>
          <w:color w:val="auto"/>
        </w:rPr>
      </w:pPr>
      <w:r>
        <w:rPr>
          <w:rFonts w:ascii="Arial" w:cs="Arial" w:eastAsia="Arial" w:hAnsi="Arial"/>
          <w:sz w:val="12"/>
          <w:szCs w:val="12"/>
          <w:color w:val="auto"/>
        </w:rPr>
        <w:t>Modifications may include payment deferrals, fee waivers, extensions of repayment terms or other delays in payment that are insignificant.</w:t>
      </w:r>
    </w:p>
    <w:p>
      <w:pPr>
        <w:spacing w:after="0" w:line="150" w:lineRule="exact"/>
        <w:rPr>
          <w:sz w:val="20"/>
          <w:szCs w:val="20"/>
          <w:color w:val="auto"/>
        </w:rPr>
      </w:pPr>
    </w:p>
    <w:p>
      <w:pPr>
        <w:jc w:val="both"/>
        <w:ind w:firstLine="240"/>
        <w:spacing w:after="0" w:line="298" w:lineRule="auto"/>
        <w:rPr>
          <w:sz w:val="20"/>
          <w:szCs w:val="20"/>
          <w:color w:val="auto"/>
        </w:rPr>
      </w:pPr>
      <w:r>
        <w:rPr>
          <w:rFonts w:ascii="Arial" w:cs="Arial" w:eastAsia="Arial" w:hAnsi="Arial"/>
          <w:sz w:val="11"/>
          <w:szCs w:val="11"/>
          <w:color w:val="auto"/>
        </w:rPr>
        <w:t>In addition, Section 4013 of the federal CARES Act provides temporary relief from the accounting and reporting requirements for TDRs regarding certain loan modifications for our customers. Section 4013 specified that COVID-19 related modifications on loans that were current as of December 31, 2019 are not TDRs. The provisions of Section 4013 were extended to the earlier of 60 days after the termination of the national emergency that was previously declared on March 13, 2020 or January 1, 2022 by the Economic Aid to Hard-Hit Small Businesses, Nonprofits, and Venues Act which was signed into law on December 27, 2020.</w:t>
      </w:r>
    </w:p>
    <w:p>
      <w:pPr>
        <w:spacing w:after="0" w:line="105" w:lineRule="exact"/>
        <w:rPr>
          <w:sz w:val="20"/>
          <w:szCs w:val="20"/>
          <w:color w:val="auto"/>
        </w:rPr>
      </w:pPr>
    </w:p>
    <w:p>
      <w:pPr>
        <w:jc w:val="both"/>
        <w:ind w:firstLine="240"/>
        <w:spacing w:after="0" w:line="298" w:lineRule="auto"/>
        <w:rPr>
          <w:sz w:val="20"/>
          <w:szCs w:val="20"/>
          <w:color w:val="auto"/>
        </w:rPr>
      </w:pPr>
      <w:r>
        <w:rPr>
          <w:rFonts w:ascii="Arial" w:cs="Arial" w:eastAsia="Arial" w:hAnsi="Arial"/>
          <w:sz w:val="11"/>
          <w:szCs w:val="11"/>
          <w:color w:val="auto"/>
        </w:rPr>
        <w:t>In response to our customers’ needs during this time of economic uncertainty, we have initiated forbearance programs for our retail (mortgage and installment loans) and our commercial customers. We also have similar programs for mortgage loans that we service for others. Commercial loan accommodations have typically been a three month interest-only period while retail loan (mortgage and installment) forbearances have primarily been payment suspensions for three months. To date, there have not been a significant number of requests for additional modifications. See note #4 to the Consolidated Financial Statements included within this report.</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000" w:type="dxa"/>
            <w:vAlign w:val="bottom"/>
            <w:gridSpan w:val="2"/>
          </w:tcPr>
          <w:p>
            <w:pPr>
              <w:spacing w:after="0"/>
              <w:rPr>
                <w:sz w:val="20"/>
                <w:szCs w:val="20"/>
                <w:color w:val="auto"/>
              </w:rPr>
            </w:pPr>
            <w:r>
              <w:rPr>
                <w:rFonts w:ascii="Arial" w:cs="Arial" w:eastAsia="Arial" w:hAnsi="Arial"/>
                <w:sz w:val="12"/>
                <w:szCs w:val="12"/>
                <w:b w:val="1"/>
                <w:bCs w:val="1"/>
                <w:color w:val="auto"/>
              </w:rPr>
              <w:t>COMMERCIAL AND RETAIL LOAN COVID-19 ACCOMMODATIONS</w:t>
            </w: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6000" w:type="dxa"/>
            <w:vAlign w:val="bottom"/>
            <w:gridSpan w:val="2"/>
          </w:tcPr>
          <w:p>
            <w:pPr>
              <w:ind w:left="240"/>
              <w:spacing w:after="0"/>
              <w:rPr>
                <w:sz w:val="20"/>
                <w:szCs w:val="20"/>
                <w:color w:val="auto"/>
              </w:rPr>
            </w:pPr>
            <w:r>
              <w:rPr>
                <w:rFonts w:ascii="Arial" w:cs="Arial" w:eastAsia="Arial" w:hAnsi="Arial"/>
                <w:sz w:val="12"/>
                <w:szCs w:val="12"/>
                <w:color w:val="auto"/>
              </w:rPr>
              <w:t>A summary of accommodations as of December 31, 2021 follows: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8"/>
        </w:trPr>
        <w:tc>
          <w:tcPr>
            <w:tcW w:w="5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tcBorders>
              <w:bottom w:val="single" w:sz="8" w:color="auto"/>
            </w:tcBorders>
            <w:gridSpan w:val="3"/>
          </w:tcPr>
          <w:p>
            <w:pPr>
              <w:jc w:val="right"/>
              <w:ind w:right="247"/>
              <w:spacing w:after="0"/>
              <w:rPr>
                <w:sz w:val="20"/>
                <w:szCs w:val="20"/>
                <w:color w:val="auto"/>
              </w:rPr>
            </w:pPr>
            <w:r>
              <w:rPr>
                <w:rFonts w:ascii="Arial" w:cs="Arial" w:eastAsia="Arial" w:hAnsi="Arial"/>
                <w:sz w:val="12"/>
                <w:szCs w:val="12"/>
                <w:b w:val="1"/>
                <w:bCs w:val="1"/>
                <w:color w:val="auto"/>
              </w:rPr>
              <w:t>Covid-19 Accommodations</w:t>
            </w:r>
          </w:p>
        </w:tc>
        <w:tc>
          <w:tcPr>
            <w:tcW w:w="2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2"/>
                <w:szCs w:val="12"/>
                <w:b w:val="1"/>
                <w:bCs w:val="1"/>
                <w:color w:val="auto"/>
              </w:rPr>
              <w:t>Total</w:t>
            </w:r>
          </w:p>
        </w:tc>
        <w:tc>
          <w:tcPr>
            <w:tcW w:w="12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4"/>
              </w:rPr>
              <w:t>% of Total</w:t>
            </w:r>
          </w:p>
        </w:tc>
      </w:tr>
      <w:tr>
        <w:trPr>
          <w:trHeight w:val="142"/>
        </w:trPr>
        <w:tc>
          <w:tcPr>
            <w:tcW w:w="58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Loan Category</w:t>
            </w:r>
          </w:p>
        </w:tc>
        <w:tc>
          <w:tcPr>
            <w:tcW w:w="120" w:type="dxa"/>
            <w:vAlign w:val="bottom"/>
          </w:tcPr>
          <w:p>
            <w:pPr>
              <w:spacing w:after="0"/>
              <w:rPr>
                <w:sz w:val="12"/>
                <w:szCs w:val="12"/>
                <w:color w:val="auto"/>
              </w:rPr>
            </w:pPr>
          </w:p>
        </w:tc>
        <w:tc>
          <w:tcPr>
            <w:tcW w:w="114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rPr>
              <w:t>Amount (#)</w:t>
            </w:r>
          </w:p>
        </w:tc>
        <w:tc>
          <w:tcPr>
            <w:tcW w:w="240" w:type="dxa"/>
            <w:vAlign w:val="bottom"/>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Amount ($)</w:t>
            </w:r>
          </w:p>
        </w:tc>
        <w:tc>
          <w:tcPr>
            <w:tcW w:w="2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b w:val="1"/>
                <w:bCs w:val="1"/>
                <w:color w:val="auto"/>
              </w:rPr>
              <w:t>Loans</w:t>
            </w:r>
          </w:p>
        </w:tc>
        <w:tc>
          <w:tcPr>
            <w:tcW w:w="220" w:type="dxa"/>
            <w:vAlign w:val="bottom"/>
          </w:tcPr>
          <w:p>
            <w:pPr>
              <w:spacing w:after="0"/>
              <w:rPr>
                <w:sz w:val="12"/>
                <w:szCs w:val="1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Loans</w:t>
            </w:r>
          </w:p>
        </w:tc>
        <w:tc>
          <w:tcPr>
            <w:tcW w:w="120" w:type="dxa"/>
            <w:vAlign w:val="bottom"/>
          </w:tcPr>
          <w:p>
            <w:pPr>
              <w:spacing w:after="0"/>
              <w:rPr>
                <w:sz w:val="12"/>
                <w:szCs w:val="12"/>
                <w:color w:val="auto"/>
              </w:rPr>
            </w:pPr>
          </w:p>
        </w:tc>
      </w:tr>
      <w:tr>
        <w:trPr>
          <w:trHeight w:val="142"/>
        </w:trPr>
        <w:tc>
          <w:tcPr>
            <w:tcW w:w="5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80" w:type="dxa"/>
            <w:vAlign w:val="bottom"/>
            <w:gridSpan w:val="6"/>
          </w:tcPr>
          <w:p>
            <w:pPr>
              <w:jc w:val="right"/>
              <w:ind w:right="900"/>
              <w:spacing w:after="0"/>
              <w:rPr>
                <w:sz w:val="20"/>
                <w:szCs w:val="20"/>
                <w:color w:val="auto"/>
              </w:rPr>
            </w:pPr>
            <w:r>
              <w:rPr>
                <w:rFonts w:ascii="Arial" w:cs="Arial" w:eastAsia="Arial" w:hAnsi="Arial"/>
                <w:sz w:val="12"/>
                <w:szCs w:val="12"/>
                <w:b w:val="1"/>
                <w:bCs w:val="1"/>
                <w:color w:val="auto"/>
              </w:rPr>
              <w:t>(Dollars in thousands)</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0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Commercial</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747"/>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1,203,581</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0.0%</w:t>
            </w:r>
          </w:p>
        </w:tc>
      </w:tr>
      <w:tr>
        <w:trPr>
          <w:trHeight w:val="144"/>
        </w:trPr>
        <w:tc>
          <w:tcPr>
            <w:tcW w:w="6000" w:type="dxa"/>
            <w:vAlign w:val="bottom"/>
            <w:gridSpan w:val="2"/>
          </w:tcPr>
          <w:p>
            <w:pPr>
              <w:spacing w:after="0"/>
              <w:rPr>
                <w:sz w:val="20"/>
                <w:szCs w:val="20"/>
                <w:color w:val="auto"/>
              </w:rPr>
            </w:pPr>
            <w:r>
              <w:rPr>
                <w:rFonts w:ascii="Arial" w:cs="Arial" w:eastAsia="Arial" w:hAnsi="Arial"/>
                <w:sz w:val="12"/>
                <w:szCs w:val="12"/>
                <w:color w:val="auto"/>
              </w:rPr>
              <w:t>Mortgage</w:t>
            </w:r>
          </w:p>
        </w:tc>
        <w:tc>
          <w:tcPr>
            <w:tcW w:w="1140" w:type="dxa"/>
            <w:vAlign w:val="bottom"/>
          </w:tcPr>
          <w:p>
            <w:pPr>
              <w:jc w:val="right"/>
              <w:spacing w:after="0"/>
              <w:rPr>
                <w:sz w:val="20"/>
                <w:szCs w:val="20"/>
                <w:color w:val="auto"/>
              </w:rPr>
            </w:pPr>
            <w:r>
              <w:rPr>
                <w:rFonts w:ascii="Arial" w:cs="Arial" w:eastAsia="Arial" w:hAnsi="Arial"/>
                <w:sz w:val="12"/>
                <w:szCs w:val="12"/>
                <w:color w:val="auto"/>
              </w:rPr>
              <w:t>22</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2"/>
                <w:szCs w:val="12"/>
                <w:color w:val="auto"/>
                <w:w w:val="79"/>
              </w:rPr>
              <w:t>2,278</w:t>
            </w:r>
          </w:p>
        </w:tc>
        <w:tc>
          <w:tcPr>
            <w:tcW w:w="24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1,139,659</w:t>
            </w:r>
          </w:p>
        </w:tc>
        <w:tc>
          <w:tcPr>
            <w:tcW w:w="1240" w:type="dxa"/>
            <w:vAlign w:val="bottom"/>
            <w:gridSpan w:val="2"/>
          </w:tcPr>
          <w:p>
            <w:pPr>
              <w:jc w:val="right"/>
              <w:ind w:right="20"/>
              <w:spacing w:after="0"/>
              <w:rPr>
                <w:sz w:val="20"/>
                <w:szCs w:val="20"/>
                <w:color w:val="auto"/>
              </w:rPr>
            </w:pPr>
            <w:r>
              <w:rPr>
                <w:rFonts w:ascii="Arial" w:cs="Arial" w:eastAsia="Arial" w:hAnsi="Arial"/>
                <w:sz w:val="12"/>
                <w:szCs w:val="12"/>
                <w:color w:val="auto"/>
              </w:rPr>
              <w:t>0.2%</w:t>
            </w:r>
          </w:p>
        </w:tc>
      </w:tr>
      <w:tr>
        <w:trPr>
          <w:trHeight w:val="144"/>
        </w:trPr>
        <w:tc>
          <w:tcPr>
            <w:tcW w:w="60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Installment</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55</w:t>
            </w: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561,805</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0.0%</w:t>
            </w:r>
          </w:p>
        </w:tc>
      </w:tr>
      <w:tr>
        <w:trPr>
          <w:trHeight w:val="20"/>
        </w:trPr>
        <w:tc>
          <w:tcPr>
            <w:tcW w:w="58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6000" w:type="dxa"/>
            <w:vAlign w:val="bottom"/>
            <w:gridSpan w:val="2"/>
          </w:tcPr>
          <w:p>
            <w:pPr>
              <w:ind w:left="100"/>
              <w:spacing w:after="0"/>
              <w:rPr>
                <w:sz w:val="20"/>
                <w:szCs w:val="20"/>
                <w:color w:val="auto"/>
              </w:rPr>
            </w:pPr>
            <w:r>
              <w:rPr>
                <w:rFonts w:ascii="Arial" w:cs="Arial" w:eastAsia="Arial" w:hAnsi="Arial"/>
                <w:sz w:val="12"/>
                <w:szCs w:val="12"/>
                <w:color w:val="auto"/>
              </w:rPr>
              <w:t>Total</w:t>
            </w:r>
          </w:p>
        </w:tc>
        <w:tc>
          <w:tcPr>
            <w:tcW w:w="1140" w:type="dxa"/>
            <w:vAlign w:val="bottom"/>
          </w:tcPr>
          <w:p>
            <w:pPr>
              <w:jc w:val="right"/>
              <w:spacing w:after="0"/>
              <w:rPr>
                <w:sz w:val="20"/>
                <w:szCs w:val="20"/>
                <w:color w:val="auto"/>
              </w:rPr>
            </w:pPr>
            <w:r>
              <w:rPr>
                <w:rFonts w:ascii="Arial" w:cs="Arial" w:eastAsia="Arial" w:hAnsi="Arial"/>
                <w:sz w:val="12"/>
                <w:szCs w:val="12"/>
                <w:color w:val="auto"/>
              </w:rPr>
              <w:t>23</w:t>
            </w:r>
          </w:p>
        </w:tc>
        <w:tc>
          <w:tcPr>
            <w:tcW w:w="240" w:type="dxa"/>
            <w:vAlign w:val="bottom"/>
          </w:tcPr>
          <w:p>
            <w:pPr>
              <w:spacing w:after="0"/>
              <w:rPr>
                <w:sz w:val="12"/>
                <w:szCs w:val="12"/>
                <w:color w:val="auto"/>
              </w:rPr>
            </w:pPr>
          </w:p>
        </w:tc>
        <w:tc>
          <w:tcPr>
            <w:tcW w:w="860" w:type="dxa"/>
            <w:vAlign w:val="bottom"/>
          </w:tcPr>
          <w:p>
            <w:pPr>
              <w:jc w:val="right"/>
              <w:ind w:right="747"/>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220"/>
              <w:spacing w:after="0"/>
              <w:rPr>
                <w:sz w:val="20"/>
                <w:szCs w:val="20"/>
                <w:color w:val="auto"/>
              </w:rPr>
            </w:pPr>
            <w:r>
              <w:rPr>
                <w:rFonts w:ascii="Arial" w:cs="Arial" w:eastAsia="Arial" w:hAnsi="Arial"/>
                <w:sz w:val="12"/>
                <w:szCs w:val="12"/>
                <w:color w:val="auto"/>
                <w:w w:val="79"/>
              </w:rPr>
              <w:t>2,333</w:t>
            </w: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2,905,045</w:t>
            </w:r>
          </w:p>
        </w:tc>
        <w:tc>
          <w:tcPr>
            <w:tcW w:w="1240" w:type="dxa"/>
            <w:vAlign w:val="bottom"/>
            <w:gridSpan w:val="2"/>
          </w:tcPr>
          <w:p>
            <w:pPr>
              <w:jc w:val="right"/>
              <w:ind w:right="20"/>
              <w:spacing w:after="0"/>
              <w:rPr>
                <w:sz w:val="20"/>
                <w:szCs w:val="20"/>
                <w:color w:val="auto"/>
              </w:rPr>
            </w:pPr>
            <w:r>
              <w:rPr>
                <w:rFonts w:ascii="Arial" w:cs="Arial" w:eastAsia="Arial" w:hAnsi="Arial"/>
                <w:sz w:val="12"/>
                <w:szCs w:val="12"/>
                <w:color w:val="auto"/>
              </w:rPr>
              <w:t>0.1%</w:t>
            </w:r>
          </w:p>
        </w:tc>
      </w:tr>
      <w:tr>
        <w:trPr>
          <w:trHeight w:val="20"/>
        </w:trPr>
        <w:tc>
          <w:tcPr>
            <w:tcW w:w="600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0"/>
        </w:trPr>
        <w:tc>
          <w:tcPr>
            <w:tcW w:w="6000" w:type="dxa"/>
            <w:vAlign w:val="bottom"/>
            <w:gridSpan w:val="2"/>
            <w:shd w:val="clear" w:color="auto" w:fill="CCEEFF"/>
          </w:tcPr>
          <w:p>
            <w:pPr>
              <w:spacing w:after="0" w:line="120" w:lineRule="exact"/>
              <w:rPr>
                <w:sz w:val="20"/>
                <w:szCs w:val="20"/>
                <w:color w:val="auto"/>
              </w:rPr>
            </w:pPr>
            <w:r>
              <w:rPr>
                <w:rFonts w:ascii="Arial" w:cs="Arial" w:eastAsia="Arial" w:hAnsi="Arial"/>
                <w:sz w:val="9"/>
                <w:szCs w:val="9"/>
                <w:color w:val="auto"/>
              </w:rPr>
              <w:t>Mortgage loans serviced for others</w:t>
            </w:r>
            <w:r>
              <w:rPr>
                <w:rFonts w:ascii="Arial" w:cs="Arial" w:eastAsia="Arial" w:hAnsi="Arial"/>
                <w:sz w:val="13"/>
                <w:szCs w:val="13"/>
                <w:color w:val="auto"/>
                <w:vertAlign w:val="superscript"/>
              </w:rPr>
              <w:t>(1)</w:t>
            </w:r>
          </w:p>
        </w:tc>
        <w:tc>
          <w:tcPr>
            <w:tcW w:w="114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46</w:t>
            </w: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747"/>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w w:val="79"/>
              </w:rPr>
              <w:t>5,163</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3,323,521</w:t>
            </w:r>
          </w:p>
        </w:tc>
        <w:tc>
          <w:tcPr>
            <w:tcW w:w="2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
              <w:spacing w:after="0" w:line="120" w:lineRule="exact"/>
              <w:rPr>
                <w:sz w:val="20"/>
                <w:szCs w:val="20"/>
                <w:color w:val="auto"/>
              </w:rPr>
            </w:pPr>
            <w:r>
              <w:rPr>
                <w:rFonts w:ascii="Arial" w:cs="Arial" w:eastAsia="Arial" w:hAnsi="Arial"/>
                <w:sz w:val="12"/>
                <w:szCs w:val="12"/>
                <w:color w:val="auto"/>
              </w:rPr>
              <w:t>0.2%</w:t>
            </w:r>
          </w:p>
        </w:tc>
      </w:tr>
      <w:tr>
        <w:trPr>
          <w:trHeight w:val="20"/>
        </w:trPr>
        <w:tc>
          <w:tcPr>
            <w:tcW w:w="5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91440</wp:posOffset>
            </wp:positionV>
            <wp:extent cx="931545" cy="114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931545" cy="11430"/>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auto"/>
        </w:rPr>
        <w:t>(1) We have delegated authority from all investors to grant these deferrals on their behalf.</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45" w:name="page46"/>
    <w:bookmarkEnd w:id="45"/>
    <w:p>
      <w:pPr>
        <w:jc w:val="both"/>
        <w:ind w:left="8" w:right="20" w:firstLine="240"/>
        <w:spacing w:after="0" w:line="276" w:lineRule="auto"/>
        <w:rPr>
          <w:sz w:val="20"/>
          <w:szCs w:val="20"/>
          <w:color w:val="auto"/>
        </w:rPr>
      </w:pPr>
      <w:r>
        <w:rPr>
          <w:rFonts w:ascii="Arial" w:cs="Arial" w:eastAsia="Arial" w:hAnsi="Arial"/>
          <w:sz w:val="12"/>
          <w:szCs w:val="12"/>
          <w:color w:val="auto"/>
        </w:rPr>
        <w:t>Certain industries (such as hotels and restaurants) have been more adversely impacted by the COVID-19 pandemic and related periodic shut downs of our economy. We believe that the following concentrations within our commercial loan portfolio represent greater potential risk in the current economic environment. The balances below are as of December 31, 2021.</w:t>
      </w:r>
    </w:p>
    <w:p>
      <w:pPr>
        <w:spacing w:after="0" w:line="111"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8700" w:type="dxa"/>
            <w:vAlign w:val="bottom"/>
          </w:tcPr>
          <w:p>
            <w:pPr>
              <w:spacing w:after="0"/>
              <w:rPr>
                <w:sz w:val="20"/>
                <w:szCs w:val="20"/>
                <w:color w:val="auto"/>
              </w:rPr>
            </w:pPr>
            <w:r>
              <w:rPr>
                <w:rFonts w:ascii="Arial" w:cs="Arial" w:eastAsia="Arial" w:hAnsi="Arial"/>
                <w:sz w:val="12"/>
                <w:szCs w:val="12"/>
                <w:b w:val="1"/>
                <w:bCs w:val="1"/>
                <w:color w:val="auto"/>
              </w:rPr>
              <w:t>COMMERCIAL LOAN SEGMENT</w:t>
            </w: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5"/>
        </w:trPr>
        <w:tc>
          <w:tcPr>
            <w:tcW w:w="8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gridSpan w:val="2"/>
          </w:tcPr>
          <w:p>
            <w:pPr>
              <w:jc w:val="center"/>
              <w:ind w:right="500"/>
              <w:spacing w:after="0"/>
              <w:rPr>
                <w:sz w:val="20"/>
                <w:szCs w:val="20"/>
                <w:color w:val="auto"/>
              </w:rPr>
            </w:pPr>
            <w:r>
              <w:rPr>
                <w:rFonts w:ascii="Arial" w:cs="Arial" w:eastAsia="Arial" w:hAnsi="Arial"/>
                <w:sz w:val="12"/>
                <w:szCs w:val="12"/>
                <w:b w:val="1"/>
                <w:bCs w:val="1"/>
                <w:color w:val="auto"/>
              </w:rPr>
              <w:t>% of</w:t>
            </w:r>
          </w:p>
        </w:tc>
        <w:tc>
          <w:tcPr>
            <w:tcW w:w="0" w:type="dxa"/>
            <w:vAlign w:val="bottom"/>
          </w:tcPr>
          <w:p>
            <w:pPr>
              <w:spacing w:after="0"/>
              <w:rPr>
                <w:sz w:val="1"/>
                <w:szCs w:val="1"/>
                <w:color w:val="auto"/>
              </w:rPr>
            </w:pPr>
          </w:p>
        </w:tc>
      </w:tr>
      <w:tr>
        <w:trPr>
          <w:trHeight w:val="144"/>
        </w:trPr>
        <w:tc>
          <w:tcPr>
            <w:tcW w:w="8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center"/>
              <w:ind w:right="500"/>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57"/>
        </w:trPr>
        <w:tc>
          <w:tcPr>
            <w:tcW w:w="8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gridSpan w:val="4"/>
          </w:tcPr>
          <w:p>
            <w:pPr>
              <w:ind w:left="140"/>
              <w:spacing w:after="0"/>
              <w:rPr>
                <w:sz w:val="20"/>
                <w:szCs w:val="20"/>
                <w:color w:val="auto"/>
              </w:rPr>
            </w:pPr>
            <w:r>
              <w:rPr>
                <w:rFonts w:ascii="Arial" w:cs="Arial" w:eastAsia="Arial" w:hAnsi="Arial"/>
                <w:sz w:val="12"/>
                <w:szCs w:val="12"/>
                <w:b w:val="1"/>
                <w:bCs w:val="1"/>
                <w:color w:val="auto"/>
              </w:rPr>
              <w:t>Amount</w:t>
            </w:r>
          </w:p>
        </w:tc>
        <w:tc>
          <w:tcPr>
            <w:tcW w:w="840" w:type="dxa"/>
            <w:vAlign w:val="bottom"/>
            <w:gridSpan w:val="2"/>
          </w:tcPr>
          <w:p>
            <w:pPr>
              <w:jc w:val="center"/>
              <w:ind w:right="520"/>
              <w:spacing w:after="0"/>
              <w:rPr>
                <w:sz w:val="20"/>
                <w:szCs w:val="20"/>
                <w:color w:val="auto"/>
              </w:rPr>
            </w:pPr>
            <w:r>
              <w:rPr>
                <w:rFonts w:ascii="Arial" w:cs="Arial" w:eastAsia="Arial" w:hAnsi="Arial"/>
                <w:sz w:val="12"/>
                <w:szCs w:val="12"/>
                <w:b w:val="1"/>
                <w:bCs w:val="1"/>
                <w:color w:val="auto"/>
                <w:w w:val="90"/>
              </w:rPr>
              <w:t>Loans</w:t>
            </w:r>
          </w:p>
        </w:tc>
        <w:tc>
          <w:tcPr>
            <w:tcW w:w="0" w:type="dxa"/>
            <w:vAlign w:val="bottom"/>
          </w:tcPr>
          <w:p>
            <w:pPr>
              <w:spacing w:after="0"/>
              <w:rPr>
                <w:sz w:val="1"/>
                <w:szCs w:val="1"/>
                <w:color w:val="auto"/>
              </w:rPr>
            </w:pPr>
          </w:p>
        </w:tc>
      </w:tr>
      <w:tr>
        <w:trPr>
          <w:trHeight w:val="155"/>
        </w:trPr>
        <w:tc>
          <w:tcPr>
            <w:tcW w:w="8700" w:type="dxa"/>
            <w:vAlign w:val="bottom"/>
            <w:vMerge w:val="restart"/>
          </w:tcPr>
          <w:p>
            <w:pPr>
              <w:spacing w:after="0"/>
              <w:rPr>
                <w:sz w:val="20"/>
                <w:szCs w:val="20"/>
                <w:color w:val="auto"/>
              </w:rPr>
            </w:pPr>
            <w:r>
              <w:rPr>
                <w:rFonts w:ascii="Arial" w:cs="Arial" w:eastAsia="Arial" w:hAnsi="Arial"/>
                <w:sz w:val="12"/>
                <w:szCs w:val="12"/>
                <w:color w:val="auto"/>
              </w:rPr>
              <w:t>Commercial and industrial:</w:t>
            </w:r>
          </w:p>
        </w:tc>
        <w:tc>
          <w:tcPr>
            <w:tcW w:w="2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(Dollars</w:t>
            </w:r>
          </w:p>
        </w:tc>
        <w:tc>
          <w:tcPr>
            <w:tcW w:w="20" w:type="dxa"/>
            <w:vAlign w:val="bottom"/>
          </w:tcPr>
          <w:p>
            <w:pPr>
              <w:spacing w:after="0"/>
              <w:rPr>
                <w:sz w:val="13"/>
                <w:szCs w:val="13"/>
                <w:color w:val="auto"/>
              </w:rPr>
            </w:pPr>
          </w:p>
        </w:tc>
        <w:tc>
          <w:tcPr>
            <w:tcW w:w="200" w:type="dxa"/>
            <w:vAlign w:val="bottom"/>
          </w:tcPr>
          <w:p>
            <w:pPr>
              <w:ind w:left="20"/>
              <w:spacing w:after="0"/>
              <w:rPr>
                <w:sz w:val="20"/>
                <w:szCs w:val="20"/>
                <w:color w:val="auto"/>
              </w:rPr>
            </w:pPr>
            <w:r>
              <w:rPr>
                <w:rFonts w:ascii="Arial" w:cs="Arial" w:eastAsia="Arial" w:hAnsi="Arial"/>
                <w:sz w:val="12"/>
                <w:szCs w:val="12"/>
                <w:b w:val="1"/>
                <w:bCs w:val="1"/>
                <w:color w:val="auto"/>
              </w:rPr>
              <w:t>in</w:t>
            </w:r>
          </w:p>
        </w:tc>
        <w:tc>
          <w:tcPr>
            <w:tcW w:w="400" w:type="dxa"/>
            <w:vAlign w:val="bottom"/>
            <w:tcBorders>
              <w:top w:val="single" w:sz="8" w:color="auto"/>
            </w:tcBorders>
          </w:tcPr>
          <w:p>
            <w:pPr>
              <w:spacing w:after="0"/>
              <w:rPr>
                <w:sz w:val="20"/>
                <w:szCs w:val="20"/>
                <w:color w:val="auto"/>
              </w:rPr>
            </w:pPr>
            <w:r>
              <w:rPr>
                <w:rFonts w:ascii="Arial" w:cs="Arial" w:eastAsia="Arial" w:hAnsi="Arial"/>
                <w:sz w:val="12"/>
                <w:szCs w:val="12"/>
                <w:b w:val="1"/>
                <w:bCs w:val="1"/>
                <w:color w:val="auto"/>
                <w:w w:val="76"/>
              </w:rPr>
              <w:t>millions)</w:t>
            </w: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87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7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Retail</w:t>
            </w: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70</w:t>
            </w: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2.4%</w:t>
            </w:r>
          </w:p>
        </w:tc>
        <w:tc>
          <w:tcPr>
            <w:tcW w:w="0" w:type="dxa"/>
            <w:vAlign w:val="bottom"/>
          </w:tcPr>
          <w:p>
            <w:pPr>
              <w:spacing w:after="0"/>
              <w:rPr>
                <w:sz w:val="1"/>
                <w:szCs w:val="1"/>
                <w:color w:val="auto"/>
              </w:rPr>
            </w:pPr>
          </w:p>
        </w:tc>
      </w:tr>
      <w:tr>
        <w:trPr>
          <w:trHeight w:val="144"/>
        </w:trPr>
        <w:tc>
          <w:tcPr>
            <w:tcW w:w="8700" w:type="dxa"/>
            <w:vAlign w:val="bottom"/>
          </w:tcPr>
          <w:p>
            <w:pPr>
              <w:ind w:left="100"/>
              <w:spacing w:after="0"/>
              <w:rPr>
                <w:sz w:val="20"/>
                <w:szCs w:val="20"/>
                <w:color w:val="auto"/>
              </w:rPr>
            </w:pPr>
            <w:r>
              <w:rPr>
                <w:rFonts w:ascii="Arial" w:cs="Arial" w:eastAsia="Arial" w:hAnsi="Arial"/>
                <w:sz w:val="12"/>
                <w:szCs w:val="12"/>
                <w:color w:val="auto"/>
              </w:rPr>
              <w:t>Food service</w:t>
            </w:r>
          </w:p>
        </w:tc>
        <w:tc>
          <w:tcPr>
            <w:tcW w:w="220" w:type="dxa"/>
            <w:vAlign w:val="bottom"/>
          </w:tcPr>
          <w:p>
            <w:pPr>
              <w:spacing w:after="0"/>
              <w:rPr>
                <w:sz w:val="12"/>
                <w:szCs w:val="12"/>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2"/>
                <w:szCs w:val="12"/>
                <w:color w:val="auto"/>
              </w:rPr>
              <w:t>49</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r>
        <w:trPr>
          <w:trHeight w:val="144"/>
        </w:trPr>
        <w:tc>
          <w:tcPr>
            <w:tcW w:w="8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Hotel</w:t>
            </w:r>
          </w:p>
        </w:tc>
        <w:tc>
          <w:tcPr>
            <w:tcW w:w="22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w:t>
            </w:r>
          </w:p>
        </w:tc>
        <w:tc>
          <w:tcPr>
            <w:tcW w:w="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142"/>
        </w:trPr>
        <w:tc>
          <w:tcPr>
            <w:tcW w:w="8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2"/>
                <w:szCs w:val="12"/>
                <w:color w:val="auto"/>
              </w:rPr>
              <w:t>159</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5.5</w:t>
            </w:r>
          </w:p>
        </w:tc>
        <w:tc>
          <w:tcPr>
            <w:tcW w:w="0" w:type="dxa"/>
            <w:vAlign w:val="bottom"/>
          </w:tcPr>
          <w:p>
            <w:pPr>
              <w:spacing w:after="0"/>
              <w:rPr>
                <w:sz w:val="1"/>
                <w:szCs w:val="1"/>
                <w:color w:val="auto"/>
              </w:rPr>
            </w:pPr>
          </w:p>
        </w:tc>
      </w:tr>
      <w:tr>
        <w:trPr>
          <w:trHeight w:val="142"/>
        </w:trPr>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Commercial real estate:</w:t>
            </w:r>
          </w:p>
        </w:tc>
        <w:tc>
          <w:tcPr>
            <w:tcW w:w="2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700" w:type="dxa"/>
            <w:vAlign w:val="bottom"/>
          </w:tcPr>
          <w:p>
            <w:pPr>
              <w:ind w:left="100"/>
              <w:spacing w:after="0"/>
              <w:rPr>
                <w:sz w:val="20"/>
                <w:szCs w:val="20"/>
                <w:color w:val="auto"/>
              </w:rPr>
            </w:pPr>
            <w:r>
              <w:rPr>
                <w:rFonts w:ascii="Arial" w:cs="Arial" w:eastAsia="Arial" w:hAnsi="Arial"/>
                <w:sz w:val="12"/>
                <w:szCs w:val="12"/>
                <w:color w:val="auto"/>
              </w:rPr>
              <w:t>Retail</w:t>
            </w:r>
          </w:p>
        </w:tc>
        <w:tc>
          <w:tcPr>
            <w:tcW w:w="220" w:type="dxa"/>
            <w:vAlign w:val="bottom"/>
          </w:tcPr>
          <w:p>
            <w:pPr>
              <w:spacing w:after="0"/>
              <w:rPr>
                <w:sz w:val="12"/>
                <w:szCs w:val="12"/>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2"/>
                <w:szCs w:val="12"/>
                <w:color w:val="auto"/>
              </w:rPr>
              <w:t>109</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3.8</w:t>
            </w:r>
          </w:p>
        </w:tc>
        <w:tc>
          <w:tcPr>
            <w:tcW w:w="0" w:type="dxa"/>
            <w:vAlign w:val="bottom"/>
          </w:tcPr>
          <w:p>
            <w:pPr>
              <w:spacing w:after="0"/>
              <w:rPr>
                <w:sz w:val="1"/>
                <w:szCs w:val="1"/>
                <w:color w:val="auto"/>
              </w:rPr>
            </w:pPr>
          </w:p>
        </w:tc>
      </w:tr>
      <w:tr>
        <w:trPr>
          <w:trHeight w:val="144"/>
        </w:trPr>
        <w:tc>
          <w:tcPr>
            <w:tcW w:w="87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Office</w:t>
            </w:r>
          </w:p>
        </w:tc>
        <w:tc>
          <w:tcPr>
            <w:tcW w:w="2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72</w:t>
            </w: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2.5</w:t>
            </w:r>
          </w:p>
        </w:tc>
        <w:tc>
          <w:tcPr>
            <w:tcW w:w="0" w:type="dxa"/>
            <w:vAlign w:val="bottom"/>
          </w:tcPr>
          <w:p>
            <w:pPr>
              <w:spacing w:after="0"/>
              <w:rPr>
                <w:sz w:val="1"/>
                <w:szCs w:val="1"/>
                <w:color w:val="auto"/>
              </w:rPr>
            </w:pPr>
          </w:p>
        </w:tc>
      </w:tr>
      <w:tr>
        <w:trPr>
          <w:trHeight w:val="144"/>
        </w:trPr>
        <w:tc>
          <w:tcPr>
            <w:tcW w:w="8700" w:type="dxa"/>
            <w:vAlign w:val="bottom"/>
          </w:tcPr>
          <w:p>
            <w:pPr>
              <w:ind w:left="100"/>
              <w:spacing w:after="0"/>
              <w:rPr>
                <w:sz w:val="20"/>
                <w:szCs w:val="20"/>
                <w:color w:val="auto"/>
              </w:rPr>
            </w:pPr>
            <w:r>
              <w:rPr>
                <w:rFonts w:ascii="Arial" w:cs="Arial" w:eastAsia="Arial" w:hAnsi="Arial"/>
                <w:sz w:val="12"/>
                <w:szCs w:val="12"/>
                <w:color w:val="auto"/>
              </w:rPr>
              <w:t>Multifamily</w:t>
            </w: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55</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1.9</w:t>
            </w:r>
          </w:p>
        </w:tc>
        <w:tc>
          <w:tcPr>
            <w:tcW w:w="0" w:type="dxa"/>
            <w:vAlign w:val="bottom"/>
          </w:tcPr>
          <w:p>
            <w:pPr>
              <w:spacing w:after="0"/>
              <w:rPr>
                <w:sz w:val="1"/>
                <w:szCs w:val="1"/>
                <w:color w:val="auto"/>
              </w:rPr>
            </w:pPr>
          </w:p>
        </w:tc>
      </w:tr>
      <w:tr>
        <w:trPr>
          <w:trHeight w:val="142"/>
        </w:trPr>
        <w:tc>
          <w:tcPr>
            <w:tcW w:w="87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236</w:t>
            </w:r>
          </w:p>
        </w:tc>
        <w:tc>
          <w:tcPr>
            <w:tcW w:w="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8.1</w:t>
            </w:r>
          </w:p>
        </w:tc>
        <w:tc>
          <w:tcPr>
            <w:tcW w:w="0" w:type="dxa"/>
            <w:vAlign w:val="bottom"/>
          </w:tcPr>
          <w:p>
            <w:pPr>
              <w:spacing w:after="0"/>
              <w:rPr>
                <w:sz w:val="1"/>
                <w:szCs w:val="1"/>
                <w:color w:val="auto"/>
              </w:rPr>
            </w:pPr>
          </w:p>
        </w:tc>
      </w:tr>
      <w:tr>
        <w:trPr>
          <w:trHeight w:val="142"/>
        </w:trPr>
        <w:tc>
          <w:tcPr>
            <w:tcW w:w="8700" w:type="dxa"/>
            <w:vAlign w:val="bottom"/>
          </w:tcPr>
          <w:p>
            <w:pPr>
              <w:spacing w:after="0"/>
              <w:rPr>
                <w:sz w:val="20"/>
                <w:szCs w:val="20"/>
                <w:color w:val="auto"/>
              </w:rPr>
            </w:pPr>
            <w:r>
              <w:rPr>
                <w:rFonts w:ascii="Arial" w:cs="Arial" w:eastAsia="Arial" w:hAnsi="Arial"/>
                <w:sz w:val="12"/>
                <w:szCs w:val="12"/>
                <w:color w:val="auto"/>
              </w:rPr>
              <w:t>Total</w:t>
            </w: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395</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2"/>
                <w:szCs w:val="12"/>
                <w:color w:val="auto"/>
              </w:rPr>
              <w:t>13.6%</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jc w:val="both"/>
        <w:ind w:left="8" w:firstLine="240"/>
        <w:spacing w:after="0" w:line="263" w:lineRule="auto"/>
        <w:rPr>
          <w:sz w:val="20"/>
          <w:szCs w:val="20"/>
          <w:color w:val="auto"/>
        </w:rPr>
      </w:pPr>
      <w:r>
        <w:rPr>
          <w:rFonts w:ascii="Arial" w:cs="Arial" w:eastAsia="Arial" w:hAnsi="Arial"/>
          <w:sz w:val="12"/>
          <w:szCs w:val="12"/>
          <w:color w:val="auto"/>
        </w:rPr>
        <w:t>We are closely monitoring these industry concentrations and at present do not foresee any significant losses relative to this portion of our loan portfolio given the current economic conditions in Michigan and the fact that businesses have reopened. However, a high degree of uncertainty still exists with respect to the impact of the COVID-19 pandemic and the related economic disruptions on the future performance of our loan portfolio, including these concentrations.</w:t>
      </w:r>
    </w:p>
    <w:p>
      <w:pPr>
        <w:spacing w:after="0" w:line="118"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8700" w:type="dxa"/>
            <w:vAlign w:val="bottom"/>
          </w:tcPr>
          <w:p>
            <w:pPr>
              <w:spacing w:after="0"/>
              <w:rPr>
                <w:sz w:val="20"/>
                <w:szCs w:val="20"/>
                <w:color w:val="auto"/>
              </w:rPr>
            </w:pPr>
            <w:r>
              <w:rPr>
                <w:rFonts w:ascii="Arial" w:cs="Arial" w:eastAsia="Arial" w:hAnsi="Arial"/>
                <w:sz w:val="12"/>
                <w:szCs w:val="12"/>
                <w:b w:val="1"/>
                <w:bCs w:val="1"/>
                <w:color w:val="auto"/>
              </w:rPr>
              <w:t>LOAN PORTFOLIO COMPOSITION</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87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ind w:left="640"/>
              <w:spacing w:after="0"/>
              <w:rPr>
                <w:sz w:val="20"/>
                <w:szCs w:val="20"/>
                <w:color w:val="auto"/>
              </w:rPr>
            </w:pPr>
            <w:r>
              <w:rPr>
                <w:rFonts w:ascii="Arial" w:cs="Arial" w:eastAsia="Arial" w:hAnsi="Arial"/>
                <w:sz w:val="12"/>
                <w:szCs w:val="12"/>
                <w:b w:val="1"/>
                <w:bCs w:val="1"/>
                <w:color w:val="auto"/>
              </w:rPr>
              <w:t>December 31,</w:t>
            </w:r>
          </w:p>
        </w:tc>
        <w:tc>
          <w:tcPr>
            <w:tcW w:w="7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7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2021</w:t>
            </w: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8700" w:type="dxa"/>
            <w:vAlign w:val="bottom"/>
            <w:vMerge w:val="restart"/>
          </w:tcPr>
          <w:p>
            <w:pPr>
              <w:spacing w:after="0"/>
              <w:rPr>
                <w:sz w:val="20"/>
                <w:szCs w:val="20"/>
                <w:color w:val="auto"/>
              </w:rPr>
            </w:pPr>
            <w:r>
              <w:rPr>
                <w:rFonts w:ascii="Arial" w:cs="Arial" w:eastAsia="Arial" w:hAnsi="Arial"/>
                <w:sz w:val="12"/>
                <w:szCs w:val="12"/>
                <w:color w:val="auto"/>
              </w:rPr>
              <w:t>Real estate</w:t>
            </w:r>
            <w:r>
              <w:rPr>
                <w:rFonts w:ascii="Arial" w:cs="Arial" w:eastAsia="Arial" w:hAnsi="Arial"/>
                <w:sz w:val="19"/>
                <w:szCs w:val="19"/>
                <w:color w:val="auto"/>
                <w:vertAlign w:val="superscript"/>
              </w:rPr>
              <w:t>(1)</w:t>
            </w:r>
          </w:p>
        </w:tc>
        <w:tc>
          <w:tcPr>
            <w:tcW w:w="260" w:type="dxa"/>
            <w:vAlign w:val="bottom"/>
          </w:tcPr>
          <w:p>
            <w:pPr>
              <w:spacing w:after="0"/>
              <w:rPr>
                <w:sz w:val="13"/>
                <w:szCs w:val="13"/>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b w:val="1"/>
                <w:bCs w:val="1"/>
                <w:color w:val="auto"/>
              </w:rPr>
              <w:t>(In</w:t>
            </w:r>
          </w:p>
        </w:tc>
        <w:tc>
          <w:tcPr>
            <w:tcW w:w="58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74"/>
              </w:rPr>
              <w:t>thousands)</w:t>
            </w: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87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7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Residential first mortgages</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870,169</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jc w:val="center"/>
              <w:ind w:right="240"/>
              <w:spacing w:after="0"/>
              <w:rPr>
                <w:sz w:val="20"/>
                <w:szCs w:val="20"/>
                <w:color w:val="auto"/>
              </w:rPr>
            </w:pPr>
            <w:r>
              <w:rPr>
                <w:rFonts w:ascii="Arial" w:cs="Arial" w:eastAsia="Arial" w:hAnsi="Arial"/>
                <w:sz w:val="12"/>
                <w:szCs w:val="12"/>
                <w:color w:val="auto"/>
                <w:w w:val="8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792,762</w:t>
            </w:r>
          </w:p>
        </w:tc>
        <w:tc>
          <w:tcPr>
            <w:tcW w:w="0" w:type="dxa"/>
            <w:vAlign w:val="bottom"/>
          </w:tcPr>
          <w:p>
            <w:pPr>
              <w:spacing w:after="0"/>
              <w:rPr>
                <w:sz w:val="1"/>
                <w:szCs w:val="1"/>
                <w:color w:val="auto"/>
              </w:rPr>
            </w:pPr>
          </w:p>
        </w:tc>
      </w:tr>
      <w:tr>
        <w:trPr>
          <w:trHeight w:val="144"/>
        </w:trPr>
        <w:tc>
          <w:tcPr>
            <w:tcW w:w="8700" w:type="dxa"/>
            <w:vAlign w:val="bottom"/>
          </w:tcPr>
          <w:p>
            <w:pPr>
              <w:ind w:left="100"/>
              <w:spacing w:after="0"/>
              <w:rPr>
                <w:sz w:val="20"/>
                <w:szCs w:val="20"/>
                <w:color w:val="auto"/>
              </w:rPr>
            </w:pPr>
            <w:r>
              <w:rPr>
                <w:rFonts w:ascii="Arial" w:cs="Arial" w:eastAsia="Arial" w:hAnsi="Arial"/>
                <w:sz w:val="12"/>
                <w:szCs w:val="12"/>
                <w:color w:val="auto"/>
              </w:rPr>
              <w:t>Residential home equity and other junior mortgages</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128,801</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138,128</w:t>
            </w:r>
          </w:p>
        </w:tc>
        <w:tc>
          <w:tcPr>
            <w:tcW w:w="0" w:type="dxa"/>
            <w:vAlign w:val="bottom"/>
          </w:tcPr>
          <w:p>
            <w:pPr>
              <w:spacing w:after="0"/>
              <w:rPr>
                <w:sz w:val="1"/>
                <w:szCs w:val="1"/>
                <w:color w:val="auto"/>
              </w:rPr>
            </w:pPr>
          </w:p>
        </w:tc>
      </w:tr>
      <w:tr>
        <w:trPr>
          <w:trHeight w:val="144"/>
        </w:trPr>
        <w:tc>
          <w:tcPr>
            <w:tcW w:w="87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Construction and land development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278,992</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232,693</w:t>
            </w:r>
          </w:p>
        </w:tc>
        <w:tc>
          <w:tcPr>
            <w:tcW w:w="0" w:type="dxa"/>
            <w:vAlign w:val="bottom"/>
          </w:tcPr>
          <w:p>
            <w:pPr>
              <w:spacing w:after="0"/>
              <w:rPr>
                <w:sz w:val="1"/>
                <w:szCs w:val="1"/>
                <w:color w:val="auto"/>
              </w:rPr>
            </w:pPr>
          </w:p>
        </w:tc>
      </w:tr>
      <w:tr>
        <w:trPr>
          <w:trHeight w:val="144"/>
        </w:trPr>
        <w:tc>
          <w:tcPr>
            <w:tcW w:w="8700" w:type="dxa"/>
            <w:vAlign w:val="bottom"/>
          </w:tcPr>
          <w:p>
            <w:pPr>
              <w:ind w:left="100"/>
              <w:spacing w:after="0" w:line="144" w:lineRule="exact"/>
              <w:rPr>
                <w:sz w:val="20"/>
                <w:szCs w:val="20"/>
                <w:color w:val="auto"/>
              </w:rPr>
            </w:pPr>
            <w:r>
              <w:rPr>
                <w:rFonts w:ascii="Arial" w:cs="Arial" w:eastAsia="Arial" w:hAnsi="Arial"/>
                <w:sz w:val="10"/>
                <w:szCs w:val="10"/>
                <w:color w:val="auto"/>
              </w:rPr>
              <w:t>Other</w:t>
            </w:r>
            <w:r>
              <w:rPr>
                <w:rFonts w:ascii="Arial" w:cs="Arial" w:eastAsia="Arial" w:hAnsi="Arial"/>
                <w:sz w:val="16"/>
                <w:szCs w:val="16"/>
                <w:color w:val="auto"/>
                <w:vertAlign w:val="superscript"/>
              </w:rPr>
              <w:t>(2)</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726,224</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669,150</w:t>
            </w:r>
          </w:p>
        </w:tc>
        <w:tc>
          <w:tcPr>
            <w:tcW w:w="0" w:type="dxa"/>
            <w:vAlign w:val="bottom"/>
          </w:tcPr>
          <w:p>
            <w:pPr>
              <w:spacing w:after="0"/>
              <w:rPr>
                <w:sz w:val="1"/>
                <w:szCs w:val="1"/>
                <w:color w:val="auto"/>
              </w:rPr>
            </w:pPr>
          </w:p>
        </w:tc>
      </w:tr>
      <w:tr>
        <w:trPr>
          <w:trHeight w:val="144"/>
        </w:trPr>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Consumer</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339,785</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468,090</w:t>
            </w:r>
          </w:p>
        </w:tc>
        <w:tc>
          <w:tcPr>
            <w:tcW w:w="0" w:type="dxa"/>
            <w:vAlign w:val="bottom"/>
          </w:tcPr>
          <w:p>
            <w:pPr>
              <w:spacing w:after="0"/>
              <w:rPr>
                <w:sz w:val="1"/>
                <w:szCs w:val="1"/>
                <w:color w:val="auto"/>
              </w:rPr>
            </w:pPr>
          </w:p>
        </w:tc>
      </w:tr>
      <w:tr>
        <w:trPr>
          <w:trHeight w:val="144"/>
        </w:trPr>
        <w:tc>
          <w:tcPr>
            <w:tcW w:w="8700" w:type="dxa"/>
            <w:vAlign w:val="bottom"/>
          </w:tcPr>
          <w:p>
            <w:pPr>
              <w:spacing w:after="0"/>
              <w:rPr>
                <w:sz w:val="20"/>
                <w:szCs w:val="20"/>
                <w:color w:val="auto"/>
              </w:rPr>
            </w:pPr>
            <w:r>
              <w:rPr>
                <w:rFonts w:ascii="Arial" w:cs="Arial" w:eastAsia="Arial" w:hAnsi="Arial"/>
                <w:sz w:val="12"/>
                <w:szCs w:val="12"/>
                <w:color w:val="auto"/>
              </w:rPr>
              <w:t>Commercial</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555,696</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429,011</w:t>
            </w:r>
          </w:p>
        </w:tc>
        <w:tc>
          <w:tcPr>
            <w:tcW w:w="0" w:type="dxa"/>
            <w:vAlign w:val="bottom"/>
          </w:tcPr>
          <w:p>
            <w:pPr>
              <w:spacing w:after="0"/>
              <w:rPr>
                <w:sz w:val="1"/>
                <w:szCs w:val="1"/>
                <w:color w:val="auto"/>
              </w:rPr>
            </w:pPr>
          </w:p>
        </w:tc>
      </w:tr>
      <w:tr>
        <w:trPr>
          <w:trHeight w:val="144"/>
        </w:trPr>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Agricultural</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5,378</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3,844</w:t>
            </w:r>
          </w:p>
        </w:tc>
        <w:tc>
          <w:tcPr>
            <w:tcW w:w="0" w:type="dxa"/>
            <w:vAlign w:val="bottom"/>
          </w:tcPr>
          <w:p>
            <w:pPr>
              <w:spacing w:after="0"/>
              <w:rPr>
                <w:sz w:val="1"/>
                <w:szCs w:val="1"/>
                <w:color w:val="auto"/>
              </w:rPr>
            </w:pPr>
          </w:p>
        </w:tc>
      </w:tr>
      <w:tr>
        <w:trPr>
          <w:trHeight w:val="20"/>
        </w:trPr>
        <w:tc>
          <w:tcPr>
            <w:tcW w:w="87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700" w:type="dxa"/>
            <w:vAlign w:val="bottom"/>
          </w:tcPr>
          <w:p>
            <w:pPr>
              <w:ind w:left="100"/>
              <w:spacing w:after="0"/>
              <w:rPr>
                <w:sz w:val="20"/>
                <w:szCs w:val="20"/>
                <w:color w:val="auto"/>
              </w:rPr>
            </w:pPr>
            <w:r>
              <w:rPr>
                <w:rFonts w:ascii="Arial" w:cs="Arial" w:eastAsia="Arial" w:hAnsi="Arial"/>
                <w:sz w:val="12"/>
                <w:szCs w:val="12"/>
                <w:color w:val="auto"/>
              </w:rPr>
              <w:t>Total loans</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2,905,045</w:t>
            </w:r>
          </w:p>
        </w:tc>
        <w:tc>
          <w:tcPr>
            <w:tcW w:w="220" w:type="dxa"/>
            <w:vAlign w:val="bottom"/>
          </w:tcPr>
          <w:p>
            <w:pPr>
              <w:spacing w:after="0"/>
              <w:rPr>
                <w:sz w:val="12"/>
                <w:szCs w:val="12"/>
                <w:color w:val="auto"/>
              </w:rPr>
            </w:pPr>
          </w:p>
        </w:tc>
        <w:tc>
          <w:tcPr>
            <w:tcW w:w="360" w:type="dxa"/>
            <w:vAlign w:val="bottom"/>
          </w:tcPr>
          <w:p>
            <w:pPr>
              <w:jc w:val="center"/>
              <w:ind w:right="240"/>
              <w:spacing w:after="0"/>
              <w:rPr>
                <w:sz w:val="20"/>
                <w:szCs w:val="20"/>
                <w:color w:val="auto"/>
              </w:rPr>
            </w:pPr>
            <w:r>
              <w:rPr>
                <w:rFonts w:ascii="Arial" w:cs="Arial" w:eastAsia="Arial" w:hAnsi="Arial"/>
                <w:sz w:val="12"/>
                <w:szCs w:val="12"/>
                <w:color w:val="auto"/>
                <w:w w:val="89"/>
              </w:rPr>
              <w:t>$</w:t>
            </w: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2,733,678</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931545" cy="114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931545" cy="11430"/>
                    </a:xfrm>
                    <a:prstGeom prst="rect">
                      <a:avLst/>
                    </a:prstGeom>
                    <a:noFill/>
                  </pic:spPr>
                </pic:pic>
              </a:graphicData>
            </a:graphic>
          </wp:anchor>
        </w:drawing>
      </w:r>
    </w:p>
    <w:p>
      <w:pPr>
        <w:spacing w:after="0" w:line="133" w:lineRule="exact"/>
        <w:rPr>
          <w:sz w:val="20"/>
          <w:szCs w:val="20"/>
          <w:color w:val="auto"/>
        </w:rPr>
      </w:pPr>
    </w:p>
    <w:p>
      <w:pPr>
        <w:ind w:left="208" w:hanging="208"/>
        <w:spacing w:after="0"/>
        <w:tabs>
          <w:tab w:leader="none" w:pos="208" w:val="left"/>
        </w:tabs>
        <w:numPr>
          <w:ilvl w:val="0"/>
          <w:numId w:val="17"/>
        </w:numPr>
        <w:rPr>
          <w:rFonts w:ascii="Arial" w:cs="Arial" w:eastAsia="Arial" w:hAnsi="Arial"/>
          <w:sz w:val="12"/>
          <w:szCs w:val="12"/>
          <w:color w:val="auto"/>
        </w:rPr>
      </w:pPr>
      <w:r>
        <w:rPr>
          <w:rFonts w:ascii="Arial" w:cs="Arial" w:eastAsia="Arial" w:hAnsi="Arial"/>
          <w:sz w:val="12"/>
          <w:szCs w:val="12"/>
          <w:color w:val="auto"/>
        </w:rPr>
        <w:t>Includes both residential and non-residential commercial loans secured by real estate.</w:t>
      </w:r>
    </w:p>
    <w:p>
      <w:pPr>
        <w:spacing w:after="0" w:line="14" w:lineRule="exact"/>
        <w:rPr>
          <w:rFonts w:ascii="Arial" w:cs="Arial" w:eastAsia="Arial" w:hAnsi="Arial"/>
          <w:sz w:val="12"/>
          <w:szCs w:val="12"/>
          <w:color w:val="auto"/>
        </w:rPr>
      </w:pPr>
    </w:p>
    <w:p>
      <w:pPr>
        <w:ind w:left="208" w:hanging="208"/>
        <w:spacing w:after="0"/>
        <w:tabs>
          <w:tab w:leader="none" w:pos="208" w:val="left"/>
        </w:tabs>
        <w:numPr>
          <w:ilvl w:val="0"/>
          <w:numId w:val="17"/>
        </w:numPr>
        <w:rPr>
          <w:rFonts w:ascii="Arial" w:cs="Arial" w:eastAsia="Arial" w:hAnsi="Arial"/>
          <w:sz w:val="12"/>
          <w:szCs w:val="12"/>
          <w:color w:val="auto"/>
        </w:rPr>
      </w:pPr>
      <w:r>
        <w:rPr>
          <w:rFonts w:ascii="Arial" w:cs="Arial" w:eastAsia="Arial" w:hAnsi="Arial"/>
          <w:sz w:val="12"/>
          <w:szCs w:val="12"/>
          <w:color w:val="auto"/>
        </w:rPr>
        <w:t>Includes loans secured by multi-family residential and non-farm, non-residential property.</w:t>
      </w:r>
    </w:p>
    <w:p>
      <w:pPr>
        <w:spacing w:after="0" w:line="255" w:lineRule="exact"/>
        <w:rPr>
          <w:sz w:val="20"/>
          <w:szCs w:val="20"/>
          <w:color w:val="auto"/>
        </w:rPr>
      </w:pPr>
    </w:p>
    <w:p>
      <w:pPr>
        <w:jc w:val="center"/>
        <w:ind w:right="-7"/>
        <w:spacing w:after="0"/>
        <w:rPr>
          <w:sz w:val="20"/>
          <w:szCs w:val="20"/>
          <w:color w:val="auto"/>
        </w:rPr>
      </w:pPr>
      <w:r>
        <w:rPr>
          <w:rFonts w:ascii="Arial" w:cs="Arial" w:eastAsia="Arial" w:hAnsi="Arial"/>
          <w:sz w:val="10"/>
          <w:szCs w:val="1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78040" cy="114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31" w:right="299" w:bottom="1440" w:gutter="0" w:footer="0" w:header="0"/>
        </w:sectPr>
      </w:pPr>
    </w:p>
    <w:bookmarkStart w:id="46" w:name="page47"/>
    <w:bookmarkEnd w:id="46"/>
    <w:tbl>
      <w:tblPr>
        <w:tblLayout w:type="fixed"/>
        <w:tblInd w:w="8" w:type="dxa"/>
        <w:tblCellMar>
          <w:top w:w="0" w:type="dxa"/>
          <w:left w:w="0" w:type="dxa"/>
          <w:bottom w:w="0" w:type="dxa"/>
          <w:right w:w="0" w:type="dxa"/>
        </w:tblCellMar>
      </w:tblPr>
      <w:tr>
        <w:trPr>
          <w:trHeight w:val="251"/>
        </w:trPr>
        <w:tc>
          <w:tcPr>
            <w:tcW w:w="7340" w:type="dxa"/>
            <w:vAlign w:val="bottom"/>
          </w:tcPr>
          <w:p>
            <w:pPr>
              <w:spacing w:after="0"/>
              <w:rPr>
                <w:sz w:val="20"/>
                <w:szCs w:val="20"/>
                <w:color w:val="auto"/>
              </w:rPr>
            </w:pPr>
            <w:r>
              <w:rPr>
                <w:rFonts w:ascii="Arial" w:cs="Arial" w:eastAsia="Arial" w:hAnsi="Arial"/>
                <w:sz w:val="12"/>
                <w:szCs w:val="12"/>
                <w:b w:val="1"/>
                <w:bCs w:val="1"/>
                <w:color w:val="auto"/>
              </w:rPr>
              <w:t>NON-PERFORMING ASSETS</w:t>
            </w:r>
            <w:r>
              <w:rPr>
                <w:rFonts w:ascii="Arial" w:cs="Arial" w:eastAsia="Arial" w:hAnsi="Arial"/>
                <w:sz w:val="19"/>
                <w:szCs w:val="19"/>
                <w:b w:val="1"/>
                <w:bCs w:val="1"/>
                <w:color w:val="auto"/>
                <w:vertAlign w:val="superscript"/>
              </w:rPr>
              <w:t>(1)</w:t>
            </w: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163"/>
        </w:trPr>
        <w:tc>
          <w:tcPr>
            <w:tcW w:w="73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2"/>
                <w:szCs w:val="12"/>
                <w:b w:val="1"/>
                <w:bCs w:val="1"/>
                <w:color w:val="auto"/>
                <w:w w:val="97"/>
              </w:rPr>
              <w:t>December 31,</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7340" w:type="dxa"/>
            <w:vAlign w:val="bottom"/>
          </w:tcPr>
          <w:p>
            <w:pPr>
              <w:spacing w:after="0"/>
              <w:rPr>
                <w:sz w:val="12"/>
                <w:szCs w:val="12"/>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2"/>
                <w:szCs w:val="12"/>
                <w:b w:val="1"/>
                <w:bCs w:val="1"/>
                <w:color w:val="auto"/>
              </w:rPr>
              <w:t>2021</w:t>
            </w:r>
          </w:p>
        </w:tc>
        <w:tc>
          <w:tcPr>
            <w:tcW w:w="3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2020</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2"/>
                <w:szCs w:val="12"/>
                <w:color w:val="auto"/>
              </w:rPr>
            </w:pPr>
          </w:p>
        </w:tc>
      </w:tr>
      <w:tr>
        <w:trPr>
          <w:trHeight w:val="142"/>
        </w:trPr>
        <w:tc>
          <w:tcPr>
            <w:tcW w:w="7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w w:val="86"/>
              </w:rPr>
              <w:t>(Dollars in thousands)</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7340" w:type="dxa"/>
            <w:vAlign w:val="bottom"/>
            <w:shd w:val="clear" w:color="auto" w:fill="CCEEFF"/>
          </w:tcPr>
          <w:p>
            <w:pPr>
              <w:spacing w:after="0"/>
              <w:rPr>
                <w:sz w:val="20"/>
                <w:szCs w:val="20"/>
                <w:color w:val="auto"/>
              </w:rPr>
            </w:pPr>
            <w:r>
              <w:rPr>
                <w:rFonts w:ascii="Arial" w:cs="Arial" w:eastAsia="Arial" w:hAnsi="Arial"/>
                <w:sz w:val="12"/>
                <w:szCs w:val="12"/>
                <w:color w:val="auto"/>
              </w:rPr>
              <w:t>Non-accrual loans</w:t>
            </w:r>
          </w:p>
        </w:tc>
        <w:tc>
          <w:tcPr>
            <w:tcW w:w="760" w:type="dxa"/>
            <w:vAlign w:val="bottom"/>
            <w:shd w:val="clear" w:color="auto" w:fill="CCEEFF"/>
          </w:tcPr>
          <w:p>
            <w:pPr>
              <w:jc w:val="right"/>
              <w:ind w:right="648"/>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5,545</w:t>
            </w:r>
          </w:p>
        </w:tc>
        <w:tc>
          <w:tcPr>
            <w:tcW w:w="1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8,312</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10,178</w:t>
            </w:r>
          </w:p>
        </w:tc>
      </w:tr>
      <w:tr>
        <w:trPr>
          <w:trHeight w:val="144"/>
        </w:trPr>
        <w:tc>
          <w:tcPr>
            <w:tcW w:w="7340" w:type="dxa"/>
            <w:vAlign w:val="bottom"/>
          </w:tcPr>
          <w:p>
            <w:pPr>
              <w:spacing w:after="0"/>
              <w:rPr>
                <w:sz w:val="20"/>
                <w:szCs w:val="20"/>
                <w:color w:val="auto"/>
              </w:rPr>
            </w:pPr>
            <w:r>
              <w:rPr>
                <w:rFonts w:ascii="Arial" w:cs="Arial" w:eastAsia="Arial" w:hAnsi="Arial"/>
                <w:sz w:val="12"/>
                <w:szCs w:val="12"/>
                <w:color w:val="auto"/>
              </w:rPr>
              <w:t>Loans 90 days or more past due and still accruing interest</w:t>
            </w:r>
          </w:p>
        </w:tc>
        <w:tc>
          <w:tcPr>
            <w:tcW w:w="760" w:type="dxa"/>
            <w:vAlign w:val="bottom"/>
          </w:tcPr>
          <w:p>
            <w:pPr>
              <w:spacing w:after="0"/>
              <w:rPr>
                <w:sz w:val="12"/>
                <w:szCs w:val="12"/>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2"/>
        </w:trPr>
        <w:tc>
          <w:tcPr>
            <w:tcW w:w="73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Sub total</w:t>
            </w:r>
          </w:p>
        </w:tc>
        <w:tc>
          <w:tcPr>
            <w:tcW w:w="76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5,545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8,312</w:t>
            </w:r>
          </w:p>
        </w:tc>
        <w:tc>
          <w:tcPr>
            <w:tcW w:w="2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10,178</w:t>
            </w:r>
          </w:p>
        </w:tc>
        <w:tc>
          <w:tcPr>
            <w:tcW w:w="120" w:type="dxa"/>
            <w:vAlign w:val="bottom"/>
            <w:shd w:val="clear" w:color="auto" w:fill="CCEEFF"/>
          </w:tcPr>
          <w:p>
            <w:pPr>
              <w:spacing w:after="0"/>
              <w:rPr>
                <w:sz w:val="12"/>
                <w:szCs w:val="12"/>
                <w:color w:val="auto"/>
              </w:rPr>
            </w:pPr>
          </w:p>
        </w:tc>
      </w:tr>
      <w:tr>
        <w:trPr>
          <w:trHeight w:val="144"/>
        </w:trPr>
        <w:tc>
          <w:tcPr>
            <w:tcW w:w="7340" w:type="dxa"/>
            <w:vAlign w:val="bottom"/>
          </w:tcPr>
          <w:p>
            <w:pPr>
              <w:spacing w:after="0"/>
              <w:rPr>
                <w:sz w:val="20"/>
                <w:szCs w:val="20"/>
                <w:color w:val="auto"/>
              </w:rPr>
            </w:pPr>
            <w:r>
              <w:rPr>
                <w:rFonts w:ascii="Arial" w:cs="Arial" w:eastAsia="Arial" w:hAnsi="Arial"/>
                <w:sz w:val="12"/>
                <w:szCs w:val="12"/>
                <w:color w:val="auto"/>
              </w:rPr>
              <w:t>Less: Government guaranteed loans</w:t>
            </w:r>
          </w:p>
        </w:tc>
        <w:tc>
          <w:tcPr>
            <w:tcW w:w="7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435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439</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646</w:t>
            </w:r>
          </w:p>
        </w:tc>
      </w:tr>
      <w:tr>
        <w:trPr>
          <w:trHeight w:val="142"/>
        </w:trPr>
        <w:tc>
          <w:tcPr>
            <w:tcW w:w="73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Total non-performing loans</w:t>
            </w:r>
          </w:p>
        </w:tc>
        <w:tc>
          <w:tcPr>
            <w:tcW w:w="76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5,110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7,873</w:t>
            </w:r>
          </w:p>
        </w:tc>
        <w:tc>
          <w:tcPr>
            <w:tcW w:w="2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9,532</w:t>
            </w:r>
          </w:p>
        </w:tc>
        <w:tc>
          <w:tcPr>
            <w:tcW w:w="120" w:type="dxa"/>
            <w:vAlign w:val="bottom"/>
            <w:shd w:val="clear" w:color="auto" w:fill="CCEEFF"/>
          </w:tcPr>
          <w:p>
            <w:pPr>
              <w:spacing w:after="0"/>
              <w:rPr>
                <w:sz w:val="12"/>
                <w:szCs w:val="12"/>
                <w:color w:val="auto"/>
              </w:rPr>
            </w:pPr>
          </w:p>
        </w:tc>
      </w:tr>
      <w:tr>
        <w:trPr>
          <w:trHeight w:val="144"/>
        </w:trPr>
        <w:tc>
          <w:tcPr>
            <w:tcW w:w="7340" w:type="dxa"/>
            <w:vAlign w:val="bottom"/>
          </w:tcPr>
          <w:p>
            <w:pPr>
              <w:spacing w:after="0"/>
              <w:rPr>
                <w:sz w:val="20"/>
                <w:szCs w:val="20"/>
                <w:color w:val="auto"/>
              </w:rPr>
            </w:pPr>
            <w:r>
              <w:rPr>
                <w:rFonts w:ascii="Arial" w:cs="Arial" w:eastAsia="Arial" w:hAnsi="Arial"/>
                <w:sz w:val="12"/>
                <w:szCs w:val="12"/>
                <w:color w:val="auto"/>
              </w:rPr>
              <w:t>Other real estate and repossessed assets</w:t>
            </w:r>
          </w:p>
        </w:tc>
        <w:tc>
          <w:tcPr>
            <w:tcW w:w="7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245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766</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1,865</w:t>
            </w:r>
          </w:p>
        </w:tc>
      </w:tr>
      <w:tr>
        <w:trPr>
          <w:trHeight w:val="182"/>
        </w:trPr>
        <w:tc>
          <w:tcPr>
            <w:tcW w:w="7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Total non-performing assets</w:t>
            </w:r>
          </w:p>
        </w:tc>
        <w:tc>
          <w:tcPr>
            <w:tcW w:w="760" w:type="dxa"/>
            <w:vAlign w:val="bottom"/>
            <w:tcBorders>
              <w:top w:val="single" w:sz="8" w:color="auto"/>
              <w:bottom w:val="single" w:sz="8" w:color="auto"/>
            </w:tcBorders>
            <w:shd w:val="clear" w:color="auto" w:fill="CCEEFF"/>
          </w:tcPr>
          <w:p>
            <w:pPr>
              <w:jc w:val="right"/>
              <w:ind w:right="648"/>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5,355</w:t>
            </w:r>
          </w:p>
        </w:tc>
        <w:tc>
          <w:tcPr>
            <w:tcW w:w="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8,639</w:t>
            </w:r>
          </w:p>
        </w:tc>
        <w:tc>
          <w:tcPr>
            <w:tcW w:w="2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11,397</w:t>
            </w:r>
          </w:p>
        </w:tc>
        <w:tc>
          <w:tcPr>
            <w:tcW w:w="120" w:type="dxa"/>
            <w:vAlign w:val="bottom"/>
            <w:tcBorders>
              <w:bottom w:val="single" w:sz="8" w:color="CCEEFF"/>
            </w:tcBorders>
            <w:shd w:val="clear" w:color="auto" w:fill="CCEEFF"/>
          </w:tcPr>
          <w:p>
            <w:pPr>
              <w:spacing w:after="0"/>
              <w:rPr>
                <w:sz w:val="15"/>
                <w:szCs w:val="15"/>
                <w:color w:val="auto"/>
              </w:rPr>
            </w:pPr>
          </w:p>
        </w:tc>
      </w:tr>
      <w:tr>
        <w:trPr>
          <w:trHeight w:val="120"/>
        </w:trPr>
        <w:tc>
          <w:tcPr>
            <w:tcW w:w="7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44"/>
        </w:trPr>
        <w:tc>
          <w:tcPr>
            <w:tcW w:w="7340" w:type="dxa"/>
            <w:vAlign w:val="bottom"/>
            <w:shd w:val="clear" w:color="auto" w:fill="CCEEFF"/>
          </w:tcPr>
          <w:p>
            <w:pPr>
              <w:spacing w:after="0"/>
              <w:rPr>
                <w:sz w:val="20"/>
                <w:szCs w:val="20"/>
                <w:color w:val="auto"/>
              </w:rPr>
            </w:pPr>
            <w:r>
              <w:rPr>
                <w:rFonts w:ascii="Arial" w:cs="Arial" w:eastAsia="Arial" w:hAnsi="Arial"/>
                <w:sz w:val="12"/>
                <w:szCs w:val="12"/>
                <w:color w:val="auto"/>
              </w:rPr>
              <w:t>As a percent of Portfolio Loans</w:t>
            </w:r>
          </w:p>
        </w:tc>
        <w:tc>
          <w:tcPr>
            <w:tcW w:w="7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7340" w:type="dxa"/>
            <w:vAlign w:val="bottom"/>
          </w:tcPr>
          <w:p>
            <w:pPr>
              <w:ind w:left="100"/>
              <w:spacing w:after="0"/>
              <w:rPr>
                <w:sz w:val="20"/>
                <w:szCs w:val="20"/>
                <w:color w:val="auto"/>
              </w:rPr>
            </w:pPr>
            <w:r>
              <w:rPr>
                <w:rFonts w:ascii="Arial" w:cs="Arial" w:eastAsia="Arial" w:hAnsi="Arial"/>
                <w:sz w:val="12"/>
                <w:szCs w:val="12"/>
                <w:color w:val="auto"/>
              </w:rPr>
              <w:t>Non-accrual loans</w:t>
            </w:r>
          </w:p>
        </w:tc>
        <w:tc>
          <w:tcPr>
            <w:tcW w:w="76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2"/>
                <w:szCs w:val="12"/>
                <w:color w:val="auto"/>
              </w:rPr>
              <w:t>0.19%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2"/>
                <w:szCs w:val="12"/>
                <w:color w:val="auto"/>
              </w:rPr>
              <w:t>0.30%</w:t>
            </w:r>
          </w:p>
        </w:tc>
        <w:tc>
          <w:tcPr>
            <w:tcW w:w="260" w:type="dxa"/>
            <w:vAlign w:val="bottom"/>
          </w:tcPr>
          <w:p>
            <w:pPr>
              <w:spacing w:after="0"/>
              <w:rPr>
                <w:sz w:val="12"/>
                <w:szCs w:val="12"/>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2"/>
                <w:szCs w:val="12"/>
                <w:color w:val="auto"/>
              </w:rPr>
              <w:t>0.37%</w:t>
            </w:r>
          </w:p>
        </w:tc>
      </w:tr>
      <w:tr>
        <w:trPr>
          <w:trHeight w:val="144"/>
        </w:trPr>
        <w:tc>
          <w:tcPr>
            <w:tcW w:w="73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Non-performing loans</w:t>
            </w:r>
          </w:p>
        </w:tc>
        <w:tc>
          <w:tcPr>
            <w:tcW w:w="7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0.18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0.29</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0.35</w:t>
            </w:r>
          </w:p>
        </w:tc>
      </w:tr>
      <w:tr>
        <w:trPr>
          <w:trHeight w:val="144"/>
        </w:trPr>
        <w:tc>
          <w:tcPr>
            <w:tcW w:w="7340" w:type="dxa"/>
            <w:vAlign w:val="bottom"/>
          </w:tcPr>
          <w:p>
            <w:pPr>
              <w:ind w:left="100"/>
              <w:spacing w:after="0" w:line="144" w:lineRule="exact"/>
              <w:rPr>
                <w:sz w:val="20"/>
                <w:szCs w:val="20"/>
                <w:color w:val="auto"/>
              </w:rPr>
            </w:pPr>
            <w:r>
              <w:rPr>
                <w:rFonts w:ascii="Arial" w:cs="Arial" w:eastAsia="Arial" w:hAnsi="Arial"/>
                <w:sz w:val="16"/>
                <w:szCs w:val="16"/>
                <w:color w:val="auto"/>
                <w:vertAlign w:val="subscript"/>
              </w:rPr>
              <w:t>ACL</w:t>
            </w:r>
            <w:r>
              <w:rPr>
                <w:rFonts w:ascii="Arial" w:cs="Arial" w:eastAsia="Arial" w:hAnsi="Arial"/>
                <w:sz w:val="8"/>
                <w:szCs w:val="8"/>
                <w:color w:val="auto"/>
              </w:rPr>
              <w:t>(2)</w:t>
            </w:r>
          </w:p>
        </w:tc>
        <w:tc>
          <w:tcPr>
            <w:tcW w:w="760" w:type="dxa"/>
            <w:vAlign w:val="bottom"/>
          </w:tcPr>
          <w:p>
            <w:pPr>
              <w:spacing w:after="0"/>
              <w:rPr>
                <w:sz w:val="12"/>
                <w:szCs w:val="12"/>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2"/>
                <w:szCs w:val="12"/>
                <w:color w:val="auto"/>
              </w:rPr>
              <w:t>1.63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1.30</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0.96</w:t>
            </w:r>
          </w:p>
        </w:tc>
      </w:tr>
      <w:tr>
        <w:trPr>
          <w:trHeight w:val="144"/>
        </w:trPr>
        <w:tc>
          <w:tcPr>
            <w:tcW w:w="7340" w:type="dxa"/>
            <w:vAlign w:val="bottom"/>
            <w:shd w:val="clear" w:color="auto" w:fill="CCEEFF"/>
          </w:tcPr>
          <w:p>
            <w:pPr>
              <w:spacing w:after="0"/>
              <w:rPr>
                <w:sz w:val="20"/>
                <w:szCs w:val="20"/>
                <w:color w:val="auto"/>
              </w:rPr>
            </w:pPr>
            <w:r>
              <w:rPr>
                <w:rFonts w:ascii="Arial" w:cs="Arial" w:eastAsia="Arial" w:hAnsi="Arial"/>
                <w:sz w:val="12"/>
                <w:szCs w:val="12"/>
                <w:color w:val="auto"/>
              </w:rPr>
              <w:t>Non-performing assets to total assets</w:t>
            </w:r>
          </w:p>
        </w:tc>
        <w:tc>
          <w:tcPr>
            <w:tcW w:w="7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0.21</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0.32</w:t>
            </w:r>
          </w:p>
        </w:tc>
      </w:tr>
      <w:tr>
        <w:trPr>
          <w:trHeight w:val="144"/>
        </w:trPr>
        <w:tc>
          <w:tcPr>
            <w:tcW w:w="7340" w:type="dxa"/>
            <w:vAlign w:val="bottom"/>
          </w:tcPr>
          <w:p>
            <w:pPr>
              <w:spacing w:after="0" w:line="144" w:lineRule="exact"/>
              <w:rPr>
                <w:sz w:val="20"/>
                <w:szCs w:val="20"/>
                <w:color w:val="auto"/>
              </w:rPr>
            </w:pPr>
            <w:r>
              <w:rPr>
                <w:rFonts w:ascii="Arial" w:cs="Arial" w:eastAsia="Arial" w:hAnsi="Arial"/>
                <w:sz w:val="10"/>
                <w:szCs w:val="10"/>
                <w:color w:val="auto"/>
              </w:rPr>
              <w:t>ACL as a percent of non-accrual loans</w:t>
            </w:r>
            <w:r>
              <w:rPr>
                <w:rFonts w:ascii="Arial" w:cs="Arial" w:eastAsia="Arial" w:hAnsi="Arial"/>
                <w:sz w:val="16"/>
                <w:szCs w:val="16"/>
                <w:color w:val="auto"/>
                <w:vertAlign w:val="superscript"/>
              </w:rPr>
              <w:t>(2)</w:t>
            </w:r>
          </w:p>
        </w:tc>
        <w:tc>
          <w:tcPr>
            <w:tcW w:w="760" w:type="dxa"/>
            <w:vAlign w:val="bottom"/>
          </w:tcPr>
          <w:p>
            <w:pPr>
              <w:spacing w:after="0"/>
              <w:rPr>
                <w:sz w:val="12"/>
                <w:szCs w:val="12"/>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2"/>
                <w:szCs w:val="12"/>
                <w:color w:val="auto"/>
                <w:w w:val="97"/>
              </w:rPr>
              <w:t>852.16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426.24</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256.91</w:t>
            </w:r>
          </w:p>
        </w:tc>
      </w:tr>
      <w:tr>
        <w:trPr>
          <w:trHeight w:val="144"/>
        </w:trPr>
        <w:tc>
          <w:tcPr>
            <w:tcW w:w="7340" w:type="dxa"/>
            <w:vAlign w:val="bottom"/>
            <w:shd w:val="clear" w:color="auto" w:fill="CCEEFF"/>
          </w:tcPr>
          <w:p>
            <w:pPr>
              <w:spacing w:after="0" w:line="144" w:lineRule="exact"/>
              <w:rPr>
                <w:sz w:val="20"/>
                <w:szCs w:val="20"/>
                <w:color w:val="auto"/>
              </w:rPr>
            </w:pPr>
            <w:r>
              <w:rPr>
                <w:rFonts w:ascii="Arial" w:cs="Arial" w:eastAsia="Arial" w:hAnsi="Arial"/>
                <w:sz w:val="10"/>
                <w:szCs w:val="10"/>
                <w:color w:val="auto"/>
              </w:rPr>
              <w:t>ACL as a percent of non-performing loans</w:t>
            </w:r>
            <w:r>
              <w:rPr>
                <w:rFonts w:ascii="Arial" w:cs="Arial" w:eastAsia="Arial" w:hAnsi="Arial"/>
                <w:sz w:val="16"/>
                <w:szCs w:val="16"/>
                <w:color w:val="auto"/>
                <w:vertAlign w:val="superscript"/>
              </w:rPr>
              <w:t>(2)</w:t>
            </w:r>
          </w:p>
        </w:tc>
        <w:tc>
          <w:tcPr>
            <w:tcW w:w="7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97"/>
              </w:rPr>
              <w:t>924.70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450.01</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274.32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931545" cy="114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931545" cy="11430"/>
                    </a:xfrm>
                    <a:prstGeom prst="rect">
                      <a:avLst/>
                    </a:prstGeom>
                    <a:noFill/>
                  </pic:spPr>
                </pic:pic>
              </a:graphicData>
            </a:graphic>
          </wp:anchor>
        </w:drawing>
      </w:r>
    </w:p>
    <w:p>
      <w:pPr>
        <w:spacing w:after="0" w:line="133" w:lineRule="exact"/>
        <w:rPr>
          <w:sz w:val="20"/>
          <w:szCs w:val="20"/>
          <w:color w:val="auto"/>
        </w:rPr>
      </w:pPr>
    </w:p>
    <w:p>
      <w:pPr>
        <w:ind w:left="208" w:hanging="208"/>
        <w:spacing w:after="0"/>
        <w:tabs>
          <w:tab w:leader="none" w:pos="208" w:val="left"/>
        </w:tabs>
        <w:numPr>
          <w:ilvl w:val="0"/>
          <w:numId w:val="18"/>
        </w:numPr>
        <w:rPr>
          <w:rFonts w:ascii="Arial" w:cs="Arial" w:eastAsia="Arial" w:hAnsi="Arial"/>
          <w:sz w:val="12"/>
          <w:szCs w:val="12"/>
          <w:color w:val="auto"/>
        </w:rPr>
      </w:pPr>
      <w:r>
        <w:rPr>
          <w:rFonts w:ascii="Arial" w:cs="Arial" w:eastAsia="Arial" w:hAnsi="Arial"/>
          <w:sz w:val="12"/>
          <w:szCs w:val="12"/>
          <w:color w:val="auto"/>
        </w:rPr>
        <w:t>Excludes loans classified as “troubled debt restructured” that are performing.</w:t>
      </w:r>
    </w:p>
    <w:p>
      <w:pPr>
        <w:spacing w:after="0" w:line="14" w:lineRule="exact"/>
        <w:rPr>
          <w:rFonts w:ascii="Arial" w:cs="Arial" w:eastAsia="Arial" w:hAnsi="Arial"/>
          <w:sz w:val="12"/>
          <w:szCs w:val="12"/>
          <w:color w:val="auto"/>
        </w:rPr>
      </w:pPr>
    </w:p>
    <w:p>
      <w:pPr>
        <w:ind w:left="208" w:hanging="208"/>
        <w:spacing w:after="0"/>
        <w:tabs>
          <w:tab w:leader="none" w:pos="208" w:val="left"/>
        </w:tabs>
        <w:numPr>
          <w:ilvl w:val="0"/>
          <w:numId w:val="18"/>
        </w:numPr>
        <w:rPr>
          <w:rFonts w:ascii="Arial" w:cs="Arial" w:eastAsia="Arial" w:hAnsi="Arial"/>
          <w:sz w:val="12"/>
          <w:szCs w:val="12"/>
          <w:color w:val="auto"/>
        </w:rPr>
      </w:pPr>
      <w:r>
        <w:rPr>
          <w:rFonts w:ascii="Arial" w:cs="Arial" w:eastAsia="Arial" w:hAnsi="Arial"/>
          <w:sz w:val="12"/>
          <w:szCs w:val="12"/>
          <w:color w:val="auto"/>
        </w:rPr>
        <w:t>Beginning January 1, 2021, calculation is based on CECL methodology. Prior to January 1, 2021, calculation was based on the probable incurred loss methodology.</w:t>
      </w:r>
    </w:p>
    <w:p>
      <w:pPr>
        <w:spacing w:after="0" w:line="137"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7340" w:type="dxa"/>
            <w:vAlign w:val="bottom"/>
          </w:tcPr>
          <w:p>
            <w:pPr>
              <w:spacing w:after="0"/>
              <w:rPr>
                <w:sz w:val="20"/>
                <w:szCs w:val="20"/>
                <w:color w:val="auto"/>
              </w:rPr>
            </w:pPr>
            <w:r>
              <w:rPr>
                <w:rFonts w:ascii="Arial" w:cs="Arial" w:eastAsia="Arial" w:hAnsi="Arial"/>
                <w:sz w:val="12"/>
                <w:szCs w:val="12"/>
                <w:b w:val="1"/>
                <w:bCs w:val="1"/>
                <w:color w:val="auto"/>
              </w:rPr>
              <w:t>TROUBLED DEBT RESTRUCTURINGS</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7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2"/>
                <w:szCs w:val="12"/>
                <w:b w:val="1"/>
                <w:bCs w:val="1"/>
                <w:color w:val="auto"/>
                <w:w w:val="88"/>
              </w:rPr>
              <w:t>December 31, 2021</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7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rPr>
              <w:t>Commercial</w:t>
            </w:r>
          </w:p>
        </w:tc>
        <w:tc>
          <w:tcPr>
            <w:tcW w:w="80" w:type="dxa"/>
            <w:vAlign w:val="bottom"/>
          </w:tcPr>
          <w:p>
            <w:pPr>
              <w:spacing w:after="0"/>
              <w:rPr>
                <w:sz w:val="12"/>
                <w:szCs w:val="12"/>
                <w:color w:val="auto"/>
              </w:rPr>
            </w:pPr>
          </w:p>
        </w:tc>
        <w:tc>
          <w:tcPr>
            <w:tcW w:w="1300" w:type="dxa"/>
            <w:vAlign w:val="bottom"/>
            <w:gridSpan w:val="2"/>
          </w:tcPr>
          <w:p>
            <w:pPr>
              <w:jc w:val="right"/>
              <w:ind w:right="600"/>
              <w:spacing w:after="0" w:line="142" w:lineRule="exact"/>
              <w:rPr>
                <w:sz w:val="20"/>
                <w:szCs w:val="20"/>
                <w:color w:val="auto"/>
              </w:rPr>
            </w:pPr>
            <w:r>
              <w:rPr>
                <w:rFonts w:ascii="Arial" w:cs="Arial" w:eastAsia="Arial" w:hAnsi="Arial"/>
                <w:sz w:val="10"/>
                <w:szCs w:val="10"/>
                <w:b w:val="1"/>
                <w:bCs w:val="1"/>
                <w:color w:val="auto"/>
              </w:rPr>
              <w:t>Retail</w:t>
            </w:r>
            <w:r>
              <w:rPr>
                <w:rFonts w:ascii="Arial" w:cs="Arial" w:eastAsia="Arial" w:hAnsi="Arial"/>
                <w:sz w:val="16"/>
                <w:szCs w:val="16"/>
                <w:b w:val="1"/>
                <w:bCs w:val="1"/>
                <w:color w:val="auto"/>
                <w:vertAlign w:val="superscript"/>
              </w:rPr>
              <w:t>(1)</w:t>
            </w:r>
          </w:p>
        </w:tc>
        <w:tc>
          <w:tcPr>
            <w:tcW w:w="240" w:type="dxa"/>
            <w:vAlign w:val="bottom"/>
          </w:tcPr>
          <w:p>
            <w:pPr>
              <w:spacing w:after="0"/>
              <w:rPr>
                <w:sz w:val="12"/>
                <w:szCs w:val="12"/>
                <w:color w:val="auto"/>
              </w:rPr>
            </w:pPr>
          </w:p>
        </w:tc>
        <w:tc>
          <w:tcPr>
            <w:tcW w:w="880" w:type="dxa"/>
            <w:vAlign w:val="bottom"/>
          </w:tcPr>
          <w:p>
            <w:pPr>
              <w:jc w:val="right"/>
              <w:ind w:right="360"/>
              <w:spacing w:after="0"/>
              <w:rPr>
                <w:sz w:val="20"/>
                <w:szCs w:val="20"/>
                <w:color w:val="auto"/>
              </w:rPr>
            </w:pPr>
            <w:r>
              <w:rPr>
                <w:rFonts w:ascii="Arial" w:cs="Arial" w:eastAsia="Arial" w:hAnsi="Arial"/>
                <w:sz w:val="12"/>
                <w:szCs w:val="12"/>
                <w:b w:val="1"/>
                <w:bCs w:val="1"/>
                <w:color w:val="auto"/>
              </w:rPr>
              <w:t>Total</w:t>
            </w:r>
          </w:p>
        </w:tc>
        <w:tc>
          <w:tcPr>
            <w:tcW w:w="120" w:type="dxa"/>
            <w:vAlign w:val="bottom"/>
          </w:tcPr>
          <w:p>
            <w:pPr>
              <w:spacing w:after="0"/>
              <w:rPr>
                <w:sz w:val="12"/>
                <w:szCs w:val="12"/>
                <w:color w:val="auto"/>
              </w:rPr>
            </w:pPr>
          </w:p>
        </w:tc>
      </w:tr>
      <w:tr>
        <w:trPr>
          <w:trHeight w:val="142"/>
        </w:trPr>
        <w:tc>
          <w:tcPr>
            <w:tcW w:w="73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(In thousands)</w:t>
            </w:r>
          </w:p>
        </w:tc>
        <w:tc>
          <w:tcPr>
            <w:tcW w:w="2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7340" w:type="dxa"/>
            <w:vAlign w:val="bottom"/>
            <w:shd w:val="clear" w:color="auto" w:fill="CCEEFF"/>
          </w:tcPr>
          <w:p>
            <w:pPr>
              <w:spacing w:after="0"/>
              <w:rPr>
                <w:sz w:val="20"/>
                <w:szCs w:val="20"/>
                <w:color w:val="auto"/>
              </w:rPr>
            </w:pPr>
            <w:r>
              <w:rPr>
                <w:rFonts w:ascii="Arial" w:cs="Arial" w:eastAsia="Arial" w:hAnsi="Arial"/>
                <w:sz w:val="12"/>
                <w:szCs w:val="12"/>
                <w:color w:val="auto"/>
              </w:rPr>
              <w:t>Performing TDRs</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4,481</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31,589</w:t>
            </w: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36,070</w:t>
            </w:r>
          </w:p>
        </w:tc>
      </w:tr>
      <w:tr>
        <w:trPr>
          <w:trHeight w:val="144"/>
        </w:trPr>
        <w:tc>
          <w:tcPr>
            <w:tcW w:w="7340" w:type="dxa"/>
            <w:vAlign w:val="bottom"/>
          </w:tcPr>
          <w:p>
            <w:pPr>
              <w:spacing w:after="0" w:line="144" w:lineRule="exact"/>
              <w:rPr>
                <w:sz w:val="20"/>
                <w:szCs w:val="20"/>
                <w:color w:val="auto"/>
              </w:rPr>
            </w:pPr>
            <w:r>
              <w:rPr>
                <w:rFonts w:ascii="Arial" w:cs="Arial" w:eastAsia="Arial" w:hAnsi="Arial"/>
                <w:sz w:val="10"/>
                <w:szCs w:val="10"/>
                <w:color w:val="auto"/>
              </w:rPr>
              <w:t>Non-performing TDRs</w:t>
            </w:r>
            <w:r>
              <w:rPr>
                <w:rFonts w:ascii="Arial" w:cs="Arial" w:eastAsia="Arial" w:hAnsi="Arial"/>
                <w:sz w:val="16"/>
                <w:szCs w:val="16"/>
                <w:color w:val="auto"/>
                <w:vertAlign w:val="superscript"/>
              </w:rPr>
              <w:t>(2)</w:t>
            </w: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300" w:type="dxa"/>
            <w:vAlign w:val="bottom"/>
            <w:gridSpan w:val="2"/>
          </w:tcPr>
          <w:p>
            <w:pPr>
              <w:jc w:val="right"/>
              <w:ind w:right="140"/>
              <w:spacing w:after="0" w:line="144" w:lineRule="exact"/>
              <w:rPr>
                <w:sz w:val="20"/>
                <w:szCs w:val="20"/>
                <w:color w:val="auto"/>
              </w:rPr>
            </w:pPr>
            <w:r>
              <w:rPr>
                <w:rFonts w:ascii="Arial" w:cs="Arial" w:eastAsia="Arial" w:hAnsi="Arial"/>
                <w:sz w:val="10"/>
                <w:szCs w:val="10"/>
                <w:color w:val="auto"/>
              </w:rPr>
              <w:t>1,016</w:t>
            </w:r>
            <w:r>
              <w:rPr>
                <w:rFonts w:ascii="Arial" w:cs="Arial" w:eastAsia="Arial" w:hAnsi="Arial"/>
                <w:sz w:val="16"/>
                <w:szCs w:val="16"/>
                <w:color w:val="auto"/>
                <w:vertAlign w:val="superscript"/>
              </w:rPr>
              <w:t>(3)</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1,016</w:t>
            </w:r>
          </w:p>
        </w:tc>
      </w:tr>
      <w:tr>
        <w:trPr>
          <w:trHeight w:val="182"/>
        </w:trPr>
        <w:tc>
          <w:tcPr>
            <w:tcW w:w="7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Total</w:t>
            </w:r>
          </w:p>
        </w:tc>
        <w:tc>
          <w:tcPr>
            <w:tcW w:w="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4,481</w:t>
            </w:r>
          </w:p>
        </w:tc>
        <w:tc>
          <w:tcPr>
            <w:tcW w:w="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32,605</w:t>
            </w:r>
          </w:p>
        </w:tc>
        <w:tc>
          <w:tcPr>
            <w:tcW w:w="2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37,086</w:t>
            </w:r>
          </w:p>
        </w:tc>
        <w:tc>
          <w:tcPr>
            <w:tcW w:w="120" w:type="dxa"/>
            <w:vAlign w:val="bottom"/>
            <w:tcBorders>
              <w:bottom w:val="single" w:sz="8" w:color="CCEEFF"/>
            </w:tcBorders>
            <w:shd w:val="clear" w:color="auto" w:fill="CCEEFF"/>
          </w:tcPr>
          <w:p>
            <w:pPr>
              <w:spacing w:after="0"/>
              <w:rPr>
                <w:sz w:val="15"/>
                <w:szCs w:val="15"/>
                <w:color w:val="auto"/>
              </w:rPr>
            </w:pPr>
          </w:p>
        </w:tc>
      </w:tr>
      <w:tr>
        <w:trPr>
          <w:trHeight w:val="264"/>
        </w:trPr>
        <w:tc>
          <w:tcPr>
            <w:tcW w:w="73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2"/>
                <w:szCs w:val="12"/>
                <w:b w:val="1"/>
                <w:bCs w:val="1"/>
                <w:color w:val="auto"/>
                <w:w w:val="88"/>
              </w:rPr>
              <w:t>December 31, 2020</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r>
      <w:tr>
        <w:trPr>
          <w:trHeight w:val="142"/>
        </w:trPr>
        <w:tc>
          <w:tcPr>
            <w:tcW w:w="73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Commercial</w:t>
            </w:r>
          </w:p>
        </w:tc>
        <w:tc>
          <w:tcPr>
            <w:tcW w:w="2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ind w:right="283"/>
              <w:spacing w:after="0" w:line="142" w:lineRule="exact"/>
              <w:rPr>
                <w:sz w:val="20"/>
                <w:szCs w:val="20"/>
                <w:color w:val="auto"/>
              </w:rPr>
            </w:pPr>
            <w:r>
              <w:rPr>
                <w:rFonts w:ascii="Arial" w:cs="Arial" w:eastAsia="Arial" w:hAnsi="Arial"/>
                <w:sz w:val="10"/>
                <w:szCs w:val="10"/>
                <w:b w:val="1"/>
                <w:bCs w:val="1"/>
                <w:color w:val="auto"/>
              </w:rPr>
              <w:t>Retail</w:t>
            </w:r>
            <w:r>
              <w:rPr>
                <w:rFonts w:ascii="Arial" w:cs="Arial" w:eastAsia="Arial" w:hAnsi="Arial"/>
                <w:sz w:val="16"/>
                <w:szCs w:val="16"/>
                <w:b w:val="1"/>
                <w:bCs w:val="1"/>
                <w:color w:val="auto"/>
                <w:vertAlign w:val="superscript"/>
              </w:rPr>
              <w:t>(1)</w:t>
            </w:r>
          </w:p>
        </w:tc>
        <w:tc>
          <w:tcPr>
            <w:tcW w:w="26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360"/>
              <w:spacing w:after="0"/>
              <w:rPr>
                <w:sz w:val="20"/>
                <w:szCs w:val="20"/>
                <w:color w:val="auto"/>
              </w:rPr>
            </w:pPr>
            <w:r>
              <w:rPr>
                <w:rFonts w:ascii="Arial" w:cs="Arial" w:eastAsia="Arial" w:hAnsi="Arial"/>
                <w:sz w:val="12"/>
                <w:szCs w:val="12"/>
                <w:b w:val="1"/>
                <w:bCs w:val="1"/>
                <w:color w:val="auto"/>
              </w:rPr>
              <w:t>Total</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142"/>
        </w:trPr>
        <w:tc>
          <w:tcPr>
            <w:tcW w:w="7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9"/>
              </w:rPr>
              <w:t>(In thousands)</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7340" w:type="dxa"/>
            <w:vAlign w:val="bottom"/>
            <w:shd w:val="clear" w:color="auto" w:fill="CCEEFF"/>
          </w:tcPr>
          <w:p>
            <w:pPr>
              <w:spacing w:after="0"/>
              <w:rPr>
                <w:sz w:val="20"/>
                <w:szCs w:val="20"/>
                <w:color w:val="auto"/>
              </w:rPr>
            </w:pPr>
            <w:r>
              <w:rPr>
                <w:rFonts w:ascii="Arial" w:cs="Arial" w:eastAsia="Arial" w:hAnsi="Arial"/>
                <w:sz w:val="12"/>
                <w:szCs w:val="12"/>
                <w:color w:val="auto"/>
              </w:rPr>
              <w:t>Performing TDRs</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7,956</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36,385</w:t>
            </w: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44,341</w:t>
            </w:r>
          </w:p>
        </w:tc>
      </w:tr>
      <w:tr>
        <w:trPr>
          <w:trHeight w:val="144"/>
        </w:trPr>
        <w:tc>
          <w:tcPr>
            <w:tcW w:w="7340" w:type="dxa"/>
            <w:vAlign w:val="bottom"/>
          </w:tcPr>
          <w:p>
            <w:pPr>
              <w:spacing w:after="0" w:line="144" w:lineRule="exact"/>
              <w:rPr>
                <w:sz w:val="20"/>
                <w:szCs w:val="20"/>
                <w:color w:val="auto"/>
              </w:rPr>
            </w:pPr>
            <w:r>
              <w:rPr>
                <w:rFonts w:ascii="Arial" w:cs="Arial" w:eastAsia="Arial" w:hAnsi="Arial"/>
                <w:sz w:val="10"/>
                <w:szCs w:val="10"/>
                <w:color w:val="auto"/>
              </w:rPr>
              <w:t>Non-performing TDRs</w:t>
            </w:r>
            <w:r>
              <w:rPr>
                <w:rFonts w:ascii="Arial" w:cs="Arial" w:eastAsia="Arial" w:hAnsi="Arial"/>
                <w:sz w:val="16"/>
                <w:szCs w:val="16"/>
                <w:color w:val="auto"/>
                <w:vertAlign w:val="superscript"/>
              </w:rPr>
              <w:t>(2)</w:t>
            </w:r>
          </w:p>
        </w:tc>
        <w:tc>
          <w:tcPr>
            <w:tcW w:w="1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1,148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right"/>
              <w:ind w:right="140"/>
              <w:spacing w:after="0" w:line="144" w:lineRule="exact"/>
              <w:rPr>
                <w:sz w:val="20"/>
                <w:szCs w:val="20"/>
                <w:color w:val="auto"/>
              </w:rPr>
            </w:pPr>
            <w:r>
              <w:rPr>
                <w:rFonts w:ascii="Arial" w:cs="Arial" w:eastAsia="Arial" w:hAnsi="Arial"/>
                <w:sz w:val="10"/>
                <w:szCs w:val="10"/>
                <w:color w:val="auto"/>
              </w:rPr>
              <w:t>1,584</w:t>
            </w:r>
            <w:r>
              <w:rPr>
                <w:rFonts w:ascii="Arial" w:cs="Arial" w:eastAsia="Arial" w:hAnsi="Arial"/>
                <w:sz w:val="16"/>
                <w:szCs w:val="16"/>
                <w:color w:val="auto"/>
                <w:vertAlign w:val="superscript"/>
              </w:rPr>
              <w:t>(3)</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2,732</w:t>
            </w:r>
          </w:p>
        </w:tc>
      </w:tr>
      <w:tr>
        <w:trPr>
          <w:trHeight w:val="182"/>
        </w:trPr>
        <w:tc>
          <w:tcPr>
            <w:tcW w:w="7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Total</w:t>
            </w:r>
          </w:p>
        </w:tc>
        <w:tc>
          <w:tcPr>
            <w:tcW w:w="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9,104</w:t>
            </w:r>
          </w:p>
        </w:tc>
        <w:tc>
          <w:tcPr>
            <w:tcW w:w="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37,969</w:t>
            </w:r>
          </w:p>
        </w:tc>
        <w:tc>
          <w:tcPr>
            <w:tcW w:w="2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47,073</w:t>
            </w:r>
          </w:p>
        </w:tc>
        <w:tc>
          <w:tcPr>
            <w:tcW w:w="120" w:type="dxa"/>
            <w:vAlign w:val="bottom"/>
            <w:tcBorders>
              <w:bottom w:val="single" w:sz="8" w:color="CCEEFF"/>
            </w:tcBorders>
            <w:shd w:val="clear" w:color="auto" w:fill="CCEEFF"/>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931545" cy="114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931545" cy="11430"/>
                    </a:xfrm>
                    <a:prstGeom prst="rect">
                      <a:avLst/>
                    </a:prstGeom>
                    <a:noFill/>
                  </pic:spPr>
                </pic:pic>
              </a:graphicData>
            </a:graphic>
          </wp:anchor>
        </w:drawing>
      </w:r>
    </w:p>
    <w:p>
      <w:pPr>
        <w:spacing w:after="0" w:line="133" w:lineRule="exact"/>
        <w:rPr>
          <w:sz w:val="20"/>
          <w:szCs w:val="20"/>
          <w:color w:val="auto"/>
        </w:rPr>
      </w:pPr>
    </w:p>
    <w:p>
      <w:pPr>
        <w:ind w:left="208" w:hanging="208"/>
        <w:spacing w:after="0"/>
        <w:tabs>
          <w:tab w:leader="none" w:pos="208" w:val="left"/>
        </w:tabs>
        <w:numPr>
          <w:ilvl w:val="0"/>
          <w:numId w:val="19"/>
        </w:numPr>
        <w:rPr>
          <w:rFonts w:ascii="Arial" w:cs="Arial" w:eastAsia="Arial" w:hAnsi="Arial"/>
          <w:sz w:val="12"/>
          <w:szCs w:val="12"/>
          <w:color w:val="auto"/>
        </w:rPr>
      </w:pPr>
      <w:r>
        <w:rPr>
          <w:rFonts w:ascii="Arial" w:cs="Arial" w:eastAsia="Arial" w:hAnsi="Arial"/>
          <w:sz w:val="12"/>
          <w:szCs w:val="12"/>
          <w:color w:val="auto"/>
        </w:rPr>
        <w:t>Retail loans include mortgage and installment loan portfolio segments.</w:t>
      </w:r>
    </w:p>
    <w:p>
      <w:pPr>
        <w:spacing w:after="0" w:line="14" w:lineRule="exact"/>
        <w:rPr>
          <w:rFonts w:ascii="Arial" w:cs="Arial" w:eastAsia="Arial" w:hAnsi="Arial"/>
          <w:sz w:val="12"/>
          <w:szCs w:val="12"/>
          <w:color w:val="auto"/>
        </w:rPr>
      </w:pPr>
    </w:p>
    <w:p>
      <w:pPr>
        <w:ind w:left="208" w:hanging="208"/>
        <w:spacing w:after="0"/>
        <w:tabs>
          <w:tab w:leader="none" w:pos="208" w:val="left"/>
        </w:tabs>
        <w:numPr>
          <w:ilvl w:val="0"/>
          <w:numId w:val="19"/>
        </w:numPr>
        <w:rPr>
          <w:rFonts w:ascii="Arial" w:cs="Arial" w:eastAsia="Arial" w:hAnsi="Arial"/>
          <w:sz w:val="12"/>
          <w:szCs w:val="12"/>
          <w:color w:val="auto"/>
        </w:rPr>
      </w:pPr>
      <w:r>
        <w:rPr>
          <w:rFonts w:ascii="Arial" w:cs="Arial" w:eastAsia="Arial" w:hAnsi="Arial"/>
          <w:sz w:val="12"/>
          <w:szCs w:val="12"/>
          <w:color w:val="auto"/>
        </w:rPr>
        <w:t>Included in non-performing loans table above.</w:t>
      </w:r>
    </w:p>
    <w:p>
      <w:pPr>
        <w:spacing w:after="0" w:line="6" w:lineRule="exact"/>
        <w:rPr>
          <w:rFonts w:ascii="Arial" w:cs="Arial" w:eastAsia="Arial" w:hAnsi="Arial"/>
          <w:sz w:val="12"/>
          <w:szCs w:val="12"/>
          <w:color w:val="auto"/>
        </w:rPr>
      </w:pPr>
    </w:p>
    <w:p>
      <w:pPr>
        <w:ind w:left="208" w:hanging="208"/>
        <w:spacing w:after="0"/>
        <w:tabs>
          <w:tab w:leader="none" w:pos="208" w:val="left"/>
        </w:tabs>
        <w:numPr>
          <w:ilvl w:val="0"/>
          <w:numId w:val="19"/>
        </w:numPr>
        <w:rPr>
          <w:rFonts w:ascii="Arial" w:cs="Arial" w:eastAsia="Arial" w:hAnsi="Arial"/>
          <w:sz w:val="12"/>
          <w:szCs w:val="12"/>
          <w:color w:val="auto"/>
        </w:rPr>
      </w:pPr>
      <w:r>
        <w:rPr>
          <w:rFonts w:ascii="Arial" w:cs="Arial" w:eastAsia="Arial" w:hAnsi="Arial"/>
          <w:sz w:val="12"/>
          <w:szCs w:val="12"/>
          <w:color w:val="auto"/>
        </w:rPr>
        <w:t>Also includes loans on non-accrual at the time of modification until six payments are received on a timely basis.</w:t>
      </w:r>
    </w:p>
    <w:p>
      <w:pPr>
        <w:spacing w:after="0" w:line="141" w:lineRule="exact"/>
        <w:rPr>
          <w:sz w:val="20"/>
          <w:szCs w:val="20"/>
          <w:color w:val="auto"/>
        </w:rPr>
      </w:pPr>
    </w:p>
    <w:p>
      <w:pPr>
        <w:jc w:val="both"/>
        <w:ind w:left="8" w:firstLine="240"/>
        <w:spacing w:after="0" w:line="298" w:lineRule="auto"/>
        <w:rPr>
          <w:sz w:val="20"/>
          <w:szCs w:val="20"/>
          <w:color w:val="auto"/>
        </w:rPr>
      </w:pPr>
      <w:r>
        <w:rPr>
          <w:rFonts w:ascii="Arial" w:cs="Arial" w:eastAsia="Arial" w:hAnsi="Arial"/>
          <w:sz w:val="11"/>
          <w:szCs w:val="11"/>
          <w:color w:val="auto"/>
        </w:rPr>
        <w:t>Non-performing loans totaled $5.1 million, $7.9 million and $9.5 million at December 31, 2021, 2020 and 2019, respectively. The decrease in 2021 compared to 2020 was primarily due to a $1.4 million decrease in the residential mortgage loan portfolio segment and a $1.4 million decrease in the commercial loan segment which were primarily attributed to loan payoffs and pay downs. Our collection and resolution efforts have generally resulted in a stable trend in non-performing loans. The decrease in non-performing loans in 2020 as compared to 2019 was primarily due to a $1.5 million decrease in the residential mortgage loan portfolio segment.</w:t>
      </w:r>
    </w:p>
    <w:p>
      <w:pPr>
        <w:spacing w:after="0" w:line="105" w:lineRule="exact"/>
        <w:rPr>
          <w:sz w:val="20"/>
          <w:szCs w:val="20"/>
          <w:color w:val="auto"/>
        </w:rPr>
      </w:pPr>
    </w:p>
    <w:p>
      <w:pPr>
        <w:ind w:left="248"/>
        <w:spacing w:after="0"/>
        <w:rPr>
          <w:sz w:val="20"/>
          <w:szCs w:val="20"/>
          <w:color w:val="auto"/>
        </w:rPr>
      </w:pPr>
      <w:r>
        <w:rPr>
          <w:rFonts w:ascii="Arial" w:cs="Arial" w:eastAsia="Arial" w:hAnsi="Arial"/>
          <w:sz w:val="11"/>
          <w:szCs w:val="11"/>
          <w:color w:val="auto"/>
        </w:rPr>
        <w:t>Non-performing loans exclude performing loans that are classified as troubled debt restructurings (“TDRs”). Performing TDRs totaled $36.1 million, or 1.2% of total Portfolio Loans, and $44.3 million, or 1.6% of total Portfolio</w:t>
      </w:r>
    </w:p>
    <w:p>
      <w:pPr>
        <w:spacing w:after="0" w:line="275" w:lineRule="exact"/>
        <w:rPr>
          <w:sz w:val="20"/>
          <w:szCs w:val="20"/>
          <w:color w:val="auto"/>
        </w:rPr>
      </w:pPr>
    </w:p>
    <w:p>
      <w:pPr>
        <w:jc w:val="center"/>
        <w:ind w:right="-7"/>
        <w:spacing w:after="0"/>
        <w:rPr>
          <w:sz w:val="20"/>
          <w:szCs w:val="20"/>
          <w:color w:val="auto"/>
        </w:rPr>
      </w:pPr>
      <w:r>
        <w:rPr>
          <w:rFonts w:ascii="Arial" w:cs="Arial" w:eastAsia="Arial" w:hAnsi="Arial"/>
          <w:sz w:val="10"/>
          <w:szCs w:val="1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78040" cy="114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2" w:right="299" w:bottom="1440" w:gutter="0" w:footer="0" w:header="0"/>
        </w:sectPr>
      </w:pPr>
    </w:p>
    <w:bookmarkStart w:id="47" w:name="page48"/>
    <w:bookmarkEnd w:id="47"/>
    <w:p>
      <w:pPr>
        <w:spacing w:after="0"/>
        <w:rPr>
          <w:sz w:val="20"/>
          <w:szCs w:val="20"/>
          <w:color w:val="auto"/>
        </w:rPr>
      </w:pPr>
      <w:r>
        <w:rPr>
          <w:rFonts w:ascii="Arial" w:cs="Arial" w:eastAsia="Arial" w:hAnsi="Arial"/>
          <w:sz w:val="11"/>
          <w:szCs w:val="11"/>
          <w:color w:val="auto"/>
        </w:rPr>
        <w:t>Loans, at December 31, 2021 and 2020, respectively. The decrease in the amount of performing TDRs during 2021 reflects declines in both commercial and mortgage loan TDRs due primarily to payoffs and paydowns.</w:t>
      </w:r>
    </w:p>
    <w:p>
      <w:pPr>
        <w:spacing w:after="0" w:line="162" w:lineRule="exact"/>
        <w:rPr>
          <w:sz w:val="20"/>
          <w:szCs w:val="20"/>
          <w:color w:val="auto"/>
        </w:rPr>
      </w:pPr>
    </w:p>
    <w:p>
      <w:pPr>
        <w:ind w:left="240"/>
        <w:spacing w:after="0"/>
        <w:rPr>
          <w:sz w:val="20"/>
          <w:szCs w:val="20"/>
          <w:color w:val="auto"/>
        </w:rPr>
      </w:pPr>
      <w:r>
        <w:rPr>
          <w:rFonts w:ascii="Arial" w:cs="Arial" w:eastAsia="Arial" w:hAnsi="Arial"/>
          <w:sz w:val="11"/>
          <w:szCs w:val="11"/>
          <w:color w:val="auto"/>
        </w:rPr>
        <w:t>Other real estate (“ORE”) and repossessed assets totaled $0.2 million at December 31, 2021, compared to $0.8 million at December 31, 2020. The decrease in ORE during 2021 reflects the sale of retail properties.</w:t>
      </w:r>
    </w:p>
    <w:p>
      <w:pPr>
        <w:spacing w:after="0" w:line="162" w:lineRule="exact"/>
        <w:rPr>
          <w:sz w:val="20"/>
          <w:szCs w:val="20"/>
          <w:color w:val="auto"/>
        </w:rPr>
      </w:pPr>
    </w:p>
    <w:p>
      <w:pPr>
        <w:jc w:val="both"/>
        <w:ind w:firstLine="240"/>
        <w:spacing w:after="0" w:line="276" w:lineRule="auto"/>
        <w:rPr>
          <w:sz w:val="20"/>
          <w:szCs w:val="20"/>
          <w:color w:val="auto"/>
        </w:rPr>
      </w:pPr>
      <w:r>
        <w:rPr>
          <w:rFonts w:ascii="Arial" w:cs="Arial" w:eastAsia="Arial" w:hAnsi="Arial"/>
          <w:sz w:val="12"/>
          <w:szCs w:val="12"/>
          <w:color w:val="auto"/>
        </w:rPr>
        <w:t>The ACL as a percent of non-accrual and non-performing loans increased during 2021 due primarily to an increase in the ACL resulting from the adoption of CECL on January 1, 2021 while the increase in 2020 was due primarily to an increase in the balance of the subjective factor component of our ACL (see further discussion below).</w:t>
      </w:r>
    </w:p>
    <w:p>
      <w:pPr>
        <w:spacing w:after="0" w:line="115" w:lineRule="exact"/>
        <w:rPr>
          <w:sz w:val="20"/>
          <w:szCs w:val="20"/>
          <w:color w:val="auto"/>
        </w:rPr>
      </w:pPr>
    </w:p>
    <w:p>
      <w:pPr>
        <w:jc w:val="both"/>
        <w:ind w:firstLine="240"/>
        <w:spacing w:after="0" w:line="276" w:lineRule="auto"/>
        <w:rPr>
          <w:sz w:val="20"/>
          <w:szCs w:val="20"/>
          <w:color w:val="auto"/>
        </w:rPr>
      </w:pPr>
      <w:r>
        <w:rPr>
          <w:rFonts w:ascii="Arial" w:cs="Arial" w:eastAsia="Arial" w:hAnsi="Arial"/>
          <w:sz w:val="12"/>
          <w:szCs w:val="12"/>
          <w:color w:val="auto"/>
        </w:rPr>
        <w:t>We will place a loan that is 90 days or more past due on non-accrual, unless we believe the loan is both well secured and in the process of collection. Accordingly, we have determined that the collection of the accrued and unpaid interest on any loans that are 90 days or more past due and still accruing interest is probable.</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8700" w:type="dxa"/>
            <w:vAlign w:val="bottom"/>
          </w:tcPr>
          <w:p>
            <w:pPr>
              <w:spacing w:after="0"/>
              <w:rPr>
                <w:sz w:val="20"/>
                <w:szCs w:val="20"/>
                <w:color w:val="auto"/>
              </w:rPr>
            </w:pPr>
            <w:r>
              <w:rPr>
                <w:rFonts w:ascii="Arial" w:cs="Arial" w:eastAsia="Arial" w:hAnsi="Arial"/>
                <w:sz w:val="12"/>
                <w:szCs w:val="12"/>
                <w:b w:val="1"/>
                <w:bCs w:val="1"/>
                <w:color w:val="auto"/>
              </w:rPr>
              <w:t>ALLOCATION OF THE ALLOWANCE FOR CREDIT LOSSES</w:t>
            </w:r>
            <w:r>
              <w:rPr>
                <w:rFonts w:ascii="Arial" w:cs="Arial" w:eastAsia="Arial" w:hAnsi="Arial"/>
                <w:sz w:val="19"/>
                <w:szCs w:val="19"/>
                <w:b w:val="1"/>
                <w:bCs w:val="1"/>
                <w:color w:val="auto"/>
                <w:vertAlign w:val="superscript"/>
              </w:rPr>
              <w:t>(1)</w:t>
            </w: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144"/>
        </w:trPr>
        <w:tc>
          <w:tcPr>
            <w:tcW w:w="8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December 31,</w:t>
            </w:r>
          </w:p>
        </w:tc>
        <w:tc>
          <w:tcPr>
            <w:tcW w:w="280" w:type="dxa"/>
            <w:vAlign w:val="bottom"/>
          </w:tcPr>
          <w:p>
            <w:pPr>
              <w:spacing w:after="0"/>
              <w:rPr>
                <w:sz w:val="12"/>
                <w:szCs w:val="12"/>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90"/>
              </w:rPr>
              <w:t>January 1,</w:t>
            </w:r>
          </w:p>
        </w:tc>
      </w:tr>
      <w:tr>
        <w:trPr>
          <w:trHeight w:val="157"/>
        </w:trPr>
        <w:tc>
          <w:tcPr>
            <w:tcW w:w="87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2021</w:t>
            </w:r>
          </w:p>
        </w:tc>
        <w:tc>
          <w:tcPr>
            <w:tcW w:w="2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2021</w:t>
            </w:r>
          </w:p>
        </w:tc>
        <w:tc>
          <w:tcPr>
            <w:tcW w:w="120" w:type="dxa"/>
            <w:vAlign w:val="bottom"/>
          </w:tcPr>
          <w:p>
            <w:pPr>
              <w:spacing w:after="0"/>
              <w:rPr>
                <w:sz w:val="13"/>
                <w:szCs w:val="13"/>
                <w:color w:val="auto"/>
              </w:rPr>
            </w:pPr>
          </w:p>
        </w:tc>
      </w:tr>
      <w:tr>
        <w:trPr>
          <w:trHeight w:val="142"/>
        </w:trPr>
        <w:tc>
          <w:tcPr>
            <w:tcW w:w="8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ind w:right="60"/>
              <w:spacing w:after="0"/>
              <w:rPr>
                <w:sz w:val="20"/>
                <w:szCs w:val="20"/>
                <w:color w:val="auto"/>
              </w:rPr>
            </w:pPr>
            <w:r>
              <w:rPr>
                <w:rFonts w:ascii="Arial" w:cs="Arial" w:eastAsia="Arial" w:hAnsi="Arial"/>
                <w:sz w:val="12"/>
                <w:szCs w:val="12"/>
                <w:b w:val="1"/>
                <w:bCs w:val="1"/>
                <w:color w:val="auto"/>
              </w:rPr>
              <w:t>(In</w:t>
            </w:r>
          </w:p>
        </w:tc>
        <w:tc>
          <w:tcPr>
            <w:tcW w:w="500" w:type="dxa"/>
            <w:vAlign w:val="bottom"/>
            <w:gridSpan w:val="2"/>
          </w:tcPr>
          <w:p>
            <w:pPr>
              <w:jc w:val="center"/>
              <w:spacing w:after="0"/>
              <w:rPr>
                <w:sz w:val="20"/>
                <w:szCs w:val="20"/>
                <w:color w:val="auto"/>
              </w:rPr>
            </w:pPr>
            <w:r>
              <w:rPr>
                <w:rFonts w:ascii="Arial" w:cs="Arial" w:eastAsia="Arial" w:hAnsi="Arial"/>
                <w:sz w:val="12"/>
                <w:szCs w:val="12"/>
                <w:b w:val="1"/>
                <w:bCs w:val="1"/>
                <w:color w:val="auto"/>
                <w:w w:val="74"/>
              </w:rPr>
              <w:t>thousands)</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Specific allocations</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1,130</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jc w:val="center"/>
              <w:ind w:right="160"/>
              <w:spacing w:after="0"/>
              <w:rPr>
                <w:sz w:val="20"/>
                <w:szCs w:val="20"/>
                <w:color w:val="auto"/>
              </w:rPr>
            </w:pPr>
            <w:r>
              <w:rPr>
                <w:rFonts w:ascii="Arial" w:cs="Arial" w:eastAsia="Arial" w:hAnsi="Arial"/>
                <w:sz w:val="12"/>
                <w:szCs w:val="12"/>
                <w:color w:val="auto"/>
                <w:w w:val="8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2,452</w:t>
            </w:r>
          </w:p>
        </w:tc>
      </w:tr>
      <w:tr>
        <w:trPr>
          <w:trHeight w:val="144"/>
        </w:trPr>
        <w:tc>
          <w:tcPr>
            <w:tcW w:w="8700" w:type="dxa"/>
            <w:vAlign w:val="bottom"/>
          </w:tcPr>
          <w:p>
            <w:pPr>
              <w:spacing w:after="0"/>
              <w:rPr>
                <w:sz w:val="20"/>
                <w:szCs w:val="20"/>
                <w:color w:val="auto"/>
              </w:rPr>
            </w:pPr>
            <w:r>
              <w:rPr>
                <w:rFonts w:ascii="Arial" w:cs="Arial" w:eastAsia="Arial" w:hAnsi="Arial"/>
                <w:sz w:val="12"/>
                <w:szCs w:val="12"/>
                <w:color w:val="auto"/>
              </w:rPr>
              <w:t>Pooled analysis allocations</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33,359</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30,796</w:t>
            </w:r>
          </w:p>
        </w:tc>
      </w:tr>
      <w:tr>
        <w:trPr>
          <w:trHeight w:val="144"/>
        </w:trPr>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Additional allocations based on subjective factors</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12,763</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13,889</w:t>
            </w:r>
          </w:p>
        </w:tc>
      </w:tr>
      <w:tr>
        <w:trPr>
          <w:trHeight w:val="20"/>
        </w:trPr>
        <w:tc>
          <w:tcPr>
            <w:tcW w:w="87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8700" w:type="dxa"/>
            <w:vAlign w:val="bottom"/>
          </w:tcPr>
          <w:p>
            <w:pPr>
              <w:spacing w:after="0"/>
              <w:rPr>
                <w:sz w:val="20"/>
                <w:szCs w:val="20"/>
                <w:color w:val="auto"/>
              </w:rPr>
            </w:pPr>
            <w:r>
              <w:rPr>
                <w:rFonts w:ascii="Arial" w:cs="Arial" w:eastAsia="Arial" w:hAnsi="Arial"/>
                <w:sz w:val="12"/>
                <w:szCs w:val="12"/>
                <w:color w:val="auto"/>
              </w:rPr>
              <w:t>Total</w:t>
            </w: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47,252</w:t>
            </w:r>
          </w:p>
        </w:tc>
        <w:tc>
          <w:tcPr>
            <w:tcW w:w="220" w:type="dxa"/>
            <w:vAlign w:val="bottom"/>
          </w:tcPr>
          <w:p>
            <w:pPr>
              <w:spacing w:after="0"/>
              <w:rPr>
                <w:sz w:val="12"/>
                <w:szCs w:val="12"/>
                <w:color w:val="auto"/>
              </w:rPr>
            </w:pPr>
          </w:p>
        </w:tc>
        <w:tc>
          <w:tcPr>
            <w:tcW w:w="280" w:type="dxa"/>
            <w:vAlign w:val="bottom"/>
          </w:tcPr>
          <w:p>
            <w:pPr>
              <w:jc w:val="center"/>
              <w:ind w:right="160"/>
              <w:spacing w:after="0"/>
              <w:rPr>
                <w:sz w:val="20"/>
                <w:szCs w:val="20"/>
                <w:color w:val="auto"/>
              </w:rPr>
            </w:pPr>
            <w:r>
              <w:rPr>
                <w:rFonts w:ascii="Arial" w:cs="Arial" w:eastAsia="Arial" w:hAnsi="Arial"/>
                <w:sz w:val="12"/>
                <w:szCs w:val="12"/>
                <w:color w:val="auto"/>
                <w:w w:val="89"/>
              </w:rPr>
              <w:t>$</w:t>
            </w: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47,137</w:t>
            </w:r>
          </w:p>
        </w:tc>
      </w:tr>
      <w:tr>
        <w:trPr>
          <w:trHeight w:val="20"/>
        </w:trPr>
        <w:tc>
          <w:tcPr>
            <w:tcW w:w="8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91440</wp:posOffset>
            </wp:positionV>
            <wp:extent cx="931545" cy="114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931545" cy="11430"/>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auto"/>
        </w:rPr>
        <w:t>(1) January 1, 2021 includes impact of the adoption of CECL.</w:t>
      </w:r>
    </w:p>
    <w:p>
      <w:pPr>
        <w:spacing w:after="0" w:line="150" w:lineRule="exact"/>
        <w:rPr>
          <w:sz w:val="20"/>
          <w:szCs w:val="20"/>
          <w:color w:val="auto"/>
        </w:rPr>
      </w:pPr>
    </w:p>
    <w:p>
      <w:pPr>
        <w:jc w:val="both"/>
        <w:ind w:firstLine="240"/>
        <w:spacing w:after="0" w:line="276" w:lineRule="auto"/>
        <w:rPr>
          <w:sz w:val="20"/>
          <w:szCs w:val="20"/>
          <w:color w:val="auto"/>
        </w:rPr>
      </w:pPr>
      <w:r>
        <w:rPr>
          <w:rFonts w:ascii="Arial" w:cs="Arial" w:eastAsia="Arial" w:hAnsi="Arial"/>
          <w:sz w:val="12"/>
          <w:szCs w:val="12"/>
          <w:color w:val="auto"/>
        </w:rPr>
        <w:t>Beginning January 1, 2021, we calculated the ACL using the current expected credit losses methodology. As of January 1, 2021, we increased the ACL for loans by $11.7 million and increased the ACL for unfunded loan commitments by $1.5 million.</w:t>
      </w:r>
    </w:p>
    <w:p>
      <w:pPr>
        <w:spacing w:after="0" w:line="115" w:lineRule="exact"/>
        <w:rPr>
          <w:sz w:val="20"/>
          <w:szCs w:val="20"/>
          <w:color w:val="auto"/>
        </w:rPr>
      </w:pPr>
    </w:p>
    <w:p>
      <w:pPr>
        <w:jc w:val="both"/>
        <w:ind w:firstLine="240"/>
        <w:spacing w:after="0" w:line="259" w:lineRule="auto"/>
        <w:rPr>
          <w:sz w:val="20"/>
          <w:szCs w:val="20"/>
          <w:color w:val="auto"/>
        </w:rPr>
      </w:pPr>
      <w:r>
        <w:rPr>
          <w:rFonts w:ascii="Arial" w:cs="Arial" w:eastAsia="Arial" w:hAnsi="Arial"/>
          <w:sz w:val="12"/>
          <w:szCs w:val="12"/>
          <w:color w:val="auto"/>
        </w:rPr>
        <w:t>Some loans will not be repaid in full. Therefore, an ACL is maintained at a level which represents our best estimate of expected credit losses. Our ACL is comprised of three principal elements: (i) specific analysis of individual loans identified during the review of the loan portfolio, (ii) pooled analysis of loans with similar risk characteristics based on historical experience, adjusted for current conditions, reasonable and supportable forecasts, and expected prepayments, and (iii) additional allowances based on subjective factors, including local and general economic business factors and trends, portfolio concentrations and changes in the size and/or the general terms of the loan portfolios. See notes #1 and #4 to the Consolidated Financial Statements included within this report for further discussion on the ACL.</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While we use relevant information to recognize losses on loans, additional provisions for related losses may be necessary based on changes in economic conditions, customer circumstances and other credit risk factors.</w:t>
      </w:r>
    </w:p>
    <w:p>
      <w:pPr>
        <w:spacing w:after="0" w:line="162"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ACL increased $0.1 million to $47.3 million at December 31, 2021 from $47.1 million at January 1, 2021 (CECL adoption date) and was equal to 1.63% of total Portfolio Loans at December 31, 2021.</w:t>
      </w:r>
    </w:p>
    <w:p>
      <w:pPr>
        <w:spacing w:after="0" w:line="150" w:lineRule="exact"/>
        <w:rPr>
          <w:sz w:val="20"/>
          <w:szCs w:val="20"/>
          <w:color w:val="auto"/>
        </w:rPr>
      </w:pPr>
    </w:p>
    <w:p>
      <w:pPr>
        <w:jc w:val="both"/>
        <w:ind w:firstLine="240"/>
        <w:spacing w:after="0" w:line="263" w:lineRule="auto"/>
        <w:rPr>
          <w:sz w:val="20"/>
          <w:szCs w:val="20"/>
          <w:color w:val="auto"/>
        </w:rPr>
      </w:pPr>
      <w:r>
        <w:rPr>
          <w:rFonts w:ascii="Arial" w:cs="Arial" w:eastAsia="Arial" w:hAnsi="Arial"/>
          <w:sz w:val="12"/>
          <w:szCs w:val="12"/>
          <w:color w:val="auto"/>
        </w:rPr>
        <w:t>Two of the three components of the ACL outlined above decreased since our CECL adoption date. The ACL related to specific loans decreased $1.3 million due primarily to a $6.7 million decrease in the amount of such loans. The ACL related to subjective factors decreased $1.1 million due primarily to slightly lower reserve allocations reflecting an improvement in economic forecasts (particularly for lower unemployment levels) that was partially offset by loan growth in 2021. The ACL related to pooled analysis of loans increased $2.6 million due primarily loan growth in 2021.</w:t>
      </w:r>
    </w:p>
    <w:p>
      <w:pPr>
        <w:spacing w:after="0" w:line="122" w:lineRule="exact"/>
        <w:rPr>
          <w:sz w:val="20"/>
          <w:szCs w:val="20"/>
          <w:color w:val="auto"/>
        </w:rPr>
      </w:pPr>
    </w:p>
    <w:p>
      <w:pPr>
        <w:jc w:val="both"/>
        <w:ind w:firstLine="240"/>
        <w:spacing w:after="0" w:line="289" w:lineRule="auto"/>
        <w:rPr>
          <w:sz w:val="20"/>
          <w:szCs w:val="20"/>
          <w:color w:val="auto"/>
        </w:rPr>
      </w:pPr>
      <w:r>
        <w:rPr>
          <w:rFonts w:ascii="Arial" w:cs="Arial" w:eastAsia="Arial" w:hAnsi="Arial"/>
          <w:sz w:val="11"/>
          <w:szCs w:val="11"/>
          <w:color w:val="auto"/>
        </w:rPr>
        <w:t>During 2020 the ACL related to specific loans decreased $0.6 million as compared to 2019 due primarily to a $5.3 million decline in the amount such loans. The ACL related to other adversely rated commercial loans (used prior to the adoption of CECL) decreased $0.8 million in 2020 as compared to 2019, primarily due to a decrease in the balance of such loans included in this component to $37.6 million from $54.4 million at December 31, 2019. The ACL related to historical losses (used prior to the adoption of CECL) decreased $0.6 million in 2020 as compared to 2019 primarily due to a decrease in the balance of such loans included in this component. The ACL related to subjective factors increased $11.2 million in 2020 as compared to 2019. The significant increase in the ACL related to subjective factors is due principally to the economic shock of COVID-19 and various executive orders suspending</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48" w:name="page49"/>
    <w:bookmarkEnd w:id="48"/>
    <w:p>
      <w:pPr>
        <w:spacing w:after="0"/>
        <w:rPr>
          <w:sz w:val="20"/>
          <w:szCs w:val="20"/>
          <w:color w:val="auto"/>
        </w:rPr>
      </w:pPr>
      <w:r>
        <w:rPr>
          <w:rFonts w:ascii="Arial" w:cs="Arial" w:eastAsia="Arial" w:hAnsi="Arial"/>
          <w:sz w:val="12"/>
          <w:szCs w:val="12"/>
          <w:color w:val="auto"/>
        </w:rPr>
        <w:t>or restricting certain businesses and operations, the significant increase in unemployment claims, especially in the State of Michigan, and elevated requests for payment relief from our borrowers.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ALLOWANCE FOR CREDIT LOSSES ON LOANS AND UNFUNDED COMMITMENTS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28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2"/>
                <w:szCs w:val="12"/>
                <w:b w:val="1"/>
                <w:bCs w:val="1"/>
                <w:color w:val="auto"/>
              </w:rPr>
              <w:t>2021</w:t>
            </w:r>
          </w:p>
        </w:tc>
        <w:tc>
          <w:tcPr>
            <w:tcW w:w="10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2"/>
                <w:szCs w:val="12"/>
                <w:b w:val="1"/>
                <w:bCs w:val="1"/>
                <w:color w:val="auto"/>
              </w:rPr>
              <w:t>2020</w:t>
            </w:r>
          </w:p>
        </w:tc>
        <w:tc>
          <w:tcPr>
            <w:tcW w:w="9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2"/>
                <w:szCs w:val="12"/>
                <w:b w:val="1"/>
                <w:bCs w:val="1"/>
                <w:color w:val="auto"/>
              </w:rPr>
              <w:t>2019</w:t>
            </w:r>
          </w:p>
        </w:tc>
        <w:tc>
          <w:tcPr>
            <w:tcW w:w="9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29"/>
        </w:trPr>
        <w:tc>
          <w:tcPr>
            <w:tcW w:w="3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ind w:right="260"/>
              <w:spacing w:after="0" w:line="129" w:lineRule="exact"/>
              <w:rPr>
                <w:sz w:val="20"/>
                <w:szCs w:val="20"/>
                <w:color w:val="auto"/>
              </w:rPr>
            </w:pPr>
            <w:r>
              <w:rPr>
                <w:rFonts w:ascii="Arial" w:cs="Arial" w:eastAsia="Arial" w:hAnsi="Arial"/>
                <w:sz w:val="12"/>
                <w:szCs w:val="12"/>
                <w:b w:val="1"/>
                <w:bCs w:val="1"/>
                <w:color w:val="auto"/>
              </w:rPr>
              <w:t>Unfunded</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right"/>
              <w:ind w:right="240"/>
              <w:spacing w:after="0" w:line="129" w:lineRule="exact"/>
              <w:rPr>
                <w:sz w:val="20"/>
                <w:szCs w:val="20"/>
                <w:color w:val="auto"/>
              </w:rPr>
            </w:pPr>
            <w:r>
              <w:rPr>
                <w:rFonts w:ascii="Arial" w:cs="Arial" w:eastAsia="Arial" w:hAnsi="Arial"/>
                <w:sz w:val="12"/>
                <w:szCs w:val="12"/>
                <w:b w:val="1"/>
                <w:bCs w:val="1"/>
                <w:color w:val="auto"/>
              </w:rPr>
              <w:t>Unfunded</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80"/>
              <w:spacing w:after="0" w:line="129" w:lineRule="exact"/>
              <w:rPr>
                <w:sz w:val="20"/>
                <w:szCs w:val="20"/>
                <w:color w:val="auto"/>
              </w:rPr>
            </w:pPr>
            <w:r>
              <w:rPr>
                <w:rFonts w:ascii="Arial" w:cs="Arial" w:eastAsia="Arial" w:hAnsi="Arial"/>
                <w:sz w:val="12"/>
                <w:szCs w:val="12"/>
                <w:b w:val="1"/>
                <w:bCs w:val="1"/>
                <w:color w:val="auto"/>
                <w:w w:val="92"/>
              </w:rPr>
              <w:t>Unfunded</w:t>
            </w:r>
          </w:p>
        </w:tc>
        <w:tc>
          <w:tcPr>
            <w:tcW w:w="120" w:type="dxa"/>
            <w:vAlign w:val="bottom"/>
          </w:tcPr>
          <w:p>
            <w:pPr>
              <w:spacing w:after="0"/>
              <w:rPr>
                <w:sz w:val="11"/>
                <w:szCs w:val="11"/>
                <w:color w:val="auto"/>
              </w:rPr>
            </w:pPr>
          </w:p>
        </w:tc>
      </w:tr>
      <w:tr>
        <w:trPr>
          <w:trHeight w:val="157"/>
        </w:trPr>
        <w:tc>
          <w:tcPr>
            <w:tcW w:w="3280" w:type="dxa"/>
            <w:vAlign w:val="bottom"/>
          </w:tcPr>
          <w:p>
            <w:pPr>
              <w:spacing w:after="0"/>
              <w:rPr>
                <w:sz w:val="13"/>
                <w:szCs w:val="13"/>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2"/>
                <w:szCs w:val="12"/>
                <w:b w:val="1"/>
                <w:bCs w:val="1"/>
                <w:color w:val="auto"/>
              </w:rPr>
              <w:t>ACL</w:t>
            </w:r>
          </w:p>
        </w:tc>
        <w:tc>
          <w:tcPr>
            <w:tcW w:w="3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b w:val="1"/>
                <w:bCs w:val="1"/>
                <w:color w:val="auto"/>
                <w:w w:val="97"/>
              </w:rPr>
              <w:t>Commitments</w:t>
            </w:r>
          </w:p>
        </w:tc>
        <w:tc>
          <w:tcPr>
            <w:tcW w:w="2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ACL</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b w:val="1"/>
                <w:bCs w:val="1"/>
                <w:color w:val="auto"/>
                <w:w w:val="94"/>
              </w:rPr>
              <w:t>Commitments</w:t>
            </w: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ACL</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80"/>
              <w:spacing w:after="0"/>
              <w:rPr>
                <w:sz w:val="20"/>
                <w:szCs w:val="20"/>
                <w:color w:val="auto"/>
              </w:rPr>
            </w:pPr>
            <w:r>
              <w:rPr>
                <w:rFonts w:ascii="Arial" w:cs="Arial" w:eastAsia="Arial" w:hAnsi="Arial"/>
                <w:sz w:val="12"/>
                <w:szCs w:val="12"/>
                <w:b w:val="1"/>
                <w:bCs w:val="1"/>
                <w:color w:val="auto"/>
                <w:w w:val="89"/>
              </w:rPr>
              <w:t>Commitments</w:t>
            </w:r>
          </w:p>
        </w:tc>
        <w:tc>
          <w:tcPr>
            <w:tcW w:w="120" w:type="dxa"/>
            <w:vAlign w:val="bottom"/>
          </w:tcPr>
          <w:p>
            <w:pPr>
              <w:spacing w:after="0"/>
              <w:rPr>
                <w:sz w:val="13"/>
                <w:szCs w:val="13"/>
                <w:color w:val="auto"/>
              </w:rPr>
            </w:pPr>
          </w:p>
        </w:tc>
      </w:tr>
      <w:tr>
        <w:trPr>
          <w:trHeight w:val="142"/>
        </w:trPr>
        <w:tc>
          <w:tcPr>
            <w:tcW w:w="3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ind w:right="80"/>
              <w:spacing w:after="0"/>
              <w:rPr>
                <w:sz w:val="20"/>
                <w:szCs w:val="20"/>
                <w:color w:val="auto"/>
              </w:rPr>
            </w:pPr>
            <w:r>
              <w:rPr>
                <w:rFonts w:ascii="Arial" w:cs="Arial" w:eastAsia="Arial" w:hAnsi="Arial"/>
                <w:sz w:val="12"/>
                <w:szCs w:val="12"/>
                <w:b w:val="1"/>
                <w:bCs w:val="1"/>
                <w:color w:val="auto"/>
              </w:rPr>
              <w:t>(In</w:t>
            </w:r>
          </w:p>
        </w:tc>
        <w:tc>
          <w:tcPr>
            <w:tcW w:w="1340" w:type="dxa"/>
            <w:vAlign w:val="bottom"/>
            <w:gridSpan w:val="3"/>
          </w:tcPr>
          <w:p>
            <w:pPr>
              <w:jc w:val="right"/>
              <w:ind w:right="840"/>
              <w:spacing w:after="0"/>
              <w:rPr>
                <w:sz w:val="20"/>
                <w:szCs w:val="20"/>
                <w:color w:val="auto"/>
              </w:rPr>
            </w:pPr>
            <w:r>
              <w:rPr>
                <w:rFonts w:ascii="Arial" w:cs="Arial" w:eastAsia="Arial" w:hAnsi="Arial"/>
                <w:sz w:val="11"/>
                <w:szCs w:val="11"/>
                <w:b w:val="1"/>
                <w:bCs w:val="1"/>
                <w:color w:val="auto"/>
                <w:w w:val="70"/>
              </w:rPr>
              <w:t>thousands)</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280" w:type="dxa"/>
            <w:vAlign w:val="bottom"/>
            <w:shd w:val="clear" w:color="auto" w:fill="CCEEFF"/>
          </w:tcPr>
          <w:p>
            <w:pPr>
              <w:spacing w:after="0"/>
              <w:rPr>
                <w:sz w:val="20"/>
                <w:szCs w:val="20"/>
                <w:color w:val="auto"/>
              </w:rPr>
            </w:pPr>
            <w:r>
              <w:rPr>
                <w:rFonts w:ascii="Arial" w:cs="Arial" w:eastAsia="Arial" w:hAnsi="Arial"/>
                <w:sz w:val="12"/>
                <w:szCs w:val="12"/>
                <w:color w:val="auto"/>
              </w:rPr>
              <w:t>Balance at beginning of year</w:t>
            </w:r>
          </w:p>
        </w:tc>
        <w:tc>
          <w:tcPr>
            <w:tcW w:w="760" w:type="dxa"/>
            <w:vAlign w:val="bottom"/>
            <w:shd w:val="clear" w:color="auto" w:fill="CCEEFF"/>
          </w:tcPr>
          <w:p>
            <w:pPr>
              <w:jc w:val="right"/>
              <w:ind w:right="648"/>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w w:val="97"/>
              </w:rPr>
              <w:t>35,429</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1,805</w:t>
            </w: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66"/>
              <w:spacing w:after="0"/>
              <w:rPr>
                <w:sz w:val="20"/>
                <w:szCs w:val="20"/>
                <w:color w:val="auto"/>
              </w:rPr>
            </w:pPr>
            <w:r>
              <w:rPr>
                <w:rFonts w:ascii="Arial" w:cs="Arial" w:eastAsia="Arial" w:hAnsi="Arial"/>
                <w:sz w:val="12"/>
                <w:szCs w:val="12"/>
                <w:color w:val="auto"/>
              </w:rPr>
              <w:t>26,148</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1,542</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24,888</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1,296</w:t>
            </w:r>
          </w:p>
        </w:tc>
      </w:tr>
      <w:tr>
        <w:trPr>
          <w:trHeight w:val="144"/>
        </w:trPr>
        <w:tc>
          <w:tcPr>
            <w:tcW w:w="3280" w:type="dxa"/>
            <w:vAlign w:val="bottom"/>
          </w:tcPr>
          <w:p>
            <w:pPr>
              <w:spacing w:after="0"/>
              <w:rPr>
                <w:sz w:val="20"/>
                <w:szCs w:val="20"/>
                <w:color w:val="auto"/>
              </w:rPr>
            </w:pPr>
            <w:r>
              <w:rPr>
                <w:rFonts w:ascii="Arial" w:cs="Arial" w:eastAsia="Arial" w:hAnsi="Arial"/>
                <w:sz w:val="12"/>
                <w:szCs w:val="12"/>
                <w:color w:val="auto"/>
              </w:rPr>
              <w:t>Additions (deductions)</w:t>
            </w: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2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Impact of adoption of CECL</w:t>
            </w:r>
          </w:p>
        </w:tc>
        <w:tc>
          <w:tcPr>
            <w:tcW w:w="7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11,574</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1,469</w:t>
            </w: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6"/>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144"/>
        </w:trPr>
        <w:tc>
          <w:tcPr>
            <w:tcW w:w="3280" w:type="dxa"/>
            <w:vAlign w:val="bottom"/>
          </w:tcPr>
          <w:p>
            <w:pPr>
              <w:ind w:left="100"/>
              <w:spacing w:after="0" w:line="144" w:lineRule="exact"/>
              <w:rPr>
                <w:sz w:val="20"/>
                <w:szCs w:val="20"/>
                <w:color w:val="auto"/>
              </w:rPr>
            </w:pPr>
            <w:r>
              <w:rPr>
                <w:rFonts w:ascii="Arial" w:cs="Arial" w:eastAsia="Arial" w:hAnsi="Arial"/>
                <w:sz w:val="10"/>
                <w:szCs w:val="10"/>
                <w:color w:val="auto"/>
              </w:rPr>
              <w:t>Provision for credit losses</w:t>
            </w:r>
            <w:r>
              <w:rPr>
                <w:rFonts w:ascii="Arial" w:cs="Arial" w:eastAsia="Arial" w:hAnsi="Arial"/>
                <w:sz w:val="16"/>
                <w:szCs w:val="16"/>
                <w:color w:val="auto"/>
                <w:vertAlign w:val="superscript"/>
              </w:rPr>
              <w:t>(1)</w:t>
            </w:r>
          </w:p>
        </w:tc>
        <w:tc>
          <w:tcPr>
            <w:tcW w:w="76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(1,928)</w:t>
            </w:r>
          </w:p>
        </w:tc>
        <w:tc>
          <w:tcPr>
            <w:tcW w:w="120" w:type="dxa"/>
            <w:vAlign w:val="bottom"/>
          </w:tcPr>
          <w:p>
            <w:pPr>
              <w:spacing w:after="0"/>
              <w:rPr>
                <w:sz w:val="12"/>
                <w:szCs w:val="1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100" w:type="dxa"/>
            <w:vAlign w:val="bottom"/>
            <w:gridSpan w:val="2"/>
          </w:tcPr>
          <w:p>
            <w:pPr>
              <w:jc w:val="right"/>
              <w:ind w:right="166"/>
              <w:spacing w:after="0"/>
              <w:rPr>
                <w:sz w:val="20"/>
                <w:szCs w:val="20"/>
                <w:color w:val="auto"/>
              </w:rPr>
            </w:pPr>
            <w:r>
              <w:rPr>
                <w:rFonts w:ascii="Arial" w:cs="Arial" w:eastAsia="Arial" w:hAnsi="Arial"/>
                <w:sz w:val="12"/>
                <w:szCs w:val="12"/>
                <w:color w:val="auto"/>
              </w:rPr>
              <w:t>12,463</w:t>
            </w: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824</w:t>
            </w: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4"/>
        </w:trPr>
        <w:tc>
          <w:tcPr>
            <w:tcW w:w="3280" w:type="dxa"/>
            <w:vAlign w:val="bottom"/>
            <w:shd w:val="clear" w:color="auto" w:fill="CCEEFF"/>
          </w:tcPr>
          <w:p>
            <w:pPr>
              <w:ind w:left="100"/>
              <w:spacing w:after="0"/>
              <w:rPr>
                <w:sz w:val="20"/>
                <w:szCs w:val="20"/>
                <w:color w:val="auto"/>
              </w:rPr>
            </w:pPr>
            <w:r>
              <w:rPr>
                <w:rFonts w:ascii="Arial" w:cs="Arial" w:eastAsia="Arial" w:hAnsi="Arial"/>
                <w:sz w:val="12"/>
                <w:szCs w:val="12"/>
                <w:color w:val="auto"/>
                <w:w w:val="98"/>
              </w:rPr>
              <w:t>Initial allowance on loans purchased with credit deterioration</w:t>
            </w:r>
          </w:p>
        </w:tc>
        <w:tc>
          <w:tcPr>
            <w:tcW w:w="7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3280" w:type="dxa"/>
            <w:vAlign w:val="bottom"/>
          </w:tcPr>
          <w:p>
            <w:pPr>
              <w:ind w:left="100"/>
              <w:spacing w:after="0"/>
              <w:rPr>
                <w:sz w:val="20"/>
                <w:szCs w:val="20"/>
                <w:color w:val="auto"/>
              </w:rPr>
            </w:pPr>
            <w:r>
              <w:rPr>
                <w:rFonts w:ascii="Arial" w:cs="Arial" w:eastAsia="Arial" w:hAnsi="Arial"/>
                <w:sz w:val="12"/>
                <w:szCs w:val="12"/>
                <w:color w:val="auto"/>
              </w:rPr>
              <w:t>Recoveries credited to the ACL</w:t>
            </w:r>
          </w:p>
        </w:tc>
        <w:tc>
          <w:tcPr>
            <w:tcW w:w="7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4,477</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100" w:type="dxa"/>
            <w:vAlign w:val="bottom"/>
            <w:gridSpan w:val="2"/>
          </w:tcPr>
          <w:p>
            <w:pPr>
              <w:jc w:val="right"/>
              <w:ind w:right="166"/>
              <w:spacing w:after="0"/>
              <w:rPr>
                <w:sz w:val="20"/>
                <w:szCs w:val="20"/>
                <w:color w:val="auto"/>
              </w:rPr>
            </w:pPr>
            <w:r>
              <w:rPr>
                <w:rFonts w:ascii="Arial" w:cs="Arial" w:eastAsia="Arial" w:hAnsi="Arial"/>
                <w:sz w:val="12"/>
                <w:szCs w:val="12"/>
                <w:color w:val="auto"/>
              </w:rPr>
              <w:t>3,069</w:t>
            </w: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3,961</w:t>
            </w: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4"/>
        </w:trPr>
        <w:tc>
          <w:tcPr>
            <w:tcW w:w="32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Loans charged against the ACL</w:t>
            </w:r>
          </w:p>
        </w:tc>
        <w:tc>
          <w:tcPr>
            <w:tcW w:w="7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(2,434)</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6"/>
              <w:spacing w:after="0"/>
              <w:rPr>
                <w:sz w:val="20"/>
                <w:szCs w:val="20"/>
                <w:color w:val="auto"/>
              </w:rPr>
            </w:pPr>
            <w:r>
              <w:rPr>
                <w:rFonts w:ascii="Arial" w:cs="Arial" w:eastAsia="Arial" w:hAnsi="Arial"/>
                <w:sz w:val="12"/>
                <w:szCs w:val="12"/>
                <w:color w:val="auto"/>
              </w:rPr>
              <w:t>(6,251)</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(3,525)</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144"/>
        </w:trPr>
        <w:tc>
          <w:tcPr>
            <w:tcW w:w="3280" w:type="dxa"/>
            <w:vAlign w:val="bottom"/>
          </w:tcPr>
          <w:p>
            <w:pPr>
              <w:spacing w:after="0"/>
              <w:rPr>
                <w:sz w:val="20"/>
                <w:szCs w:val="20"/>
                <w:color w:val="auto"/>
              </w:rPr>
            </w:pPr>
            <w:r>
              <w:rPr>
                <w:rFonts w:ascii="Arial" w:cs="Arial" w:eastAsia="Arial" w:hAnsi="Arial"/>
                <w:sz w:val="12"/>
                <w:szCs w:val="12"/>
                <w:color w:val="auto"/>
              </w:rPr>
              <w:t>Additions included in non-interest expense</w:t>
            </w:r>
          </w:p>
        </w:tc>
        <w:tc>
          <w:tcPr>
            <w:tcW w:w="760" w:type="dxa"/>
            <w:vAlign w:val="bottom"/>
          </w:tcPr>
          <w:p>
            <w:pPr>
              <w:spacing w:after="0"/>
              <w:rPr>
                <w:sz w:val="12"/>
                <w:szCs w:val="12"/>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2"/>
                <w:szCs w:val="12"/>
                <w:color w:val="auto"/>
              </w:rPr>
              <w:t>1,207</w:t>
            </w:r>
          </w:p>
        </w:tc>
        <w:tc>
          <w:tcPr>
            <w:tcW w:w="240" w:type="dxa"/>
            <w:vAlign w:val="bottom"/>
          </w:tcPr>
          <w:p>
            <w:pPr>
              <w:spacing w:after="0"/>
              <w:rPr>
                <w:sz w:val="12"/>
                <w:szCs w:val="12"/>
                <w:color w:val="auto"/>
              </w:rPr>
            </w:pPr>
          </w:p>
        </w:tc>
        <w:tc>
          <w:tcPr>
            <w:tcW w:w="1100" w:type="dxa"/>
            <w:vAlign w:val="bottom"/>
            <w:gridSpan w:val="2"/>
          </w:tcPr>
          <w:p>
            <w:pPr>
              <w:jc w:val="right"/>
              <w:ind w:right="166"/>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263</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246</w:t>
            </w:r>
          </w:p>
        </w:tc>
      </w:tr>
      <w:tr>
        <w:trPr>
          <w:trHeight w:val="182"/>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Balance at end of year</w:t>
            </w:r>
          </w:p>
        </w:tc>
        <w:tc>
          <w:tcPr>
            <w:tcW w:w="760" w:type="dxa"/>
            <w:vAlign w:val="bottom"/>
            <w:tcBorders>
              <w:top w:val="single" w:sz="8" w:color="auto"/>
              <w:bottom w:val="single" w:sz="8" w:color="auto"/>
            </w:tcBorders>
            <w:shd w:val="clear" w:color="auto" w:fill="CCEEFF"/>
          </w:tcPr>
          <w:p>
            <w:pPr>
              <w:jc w:val="right"/>
              <w:ind w:right="648"/>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7"/>
              </w:rPr>
              <w:t>47,252</w:t>
            </w:r>
          </w:p>
        </w:tc>
        <w:tc>
          <w:tcPr>
            <w:tcW w:w="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4,481</w:t>
            </w:r>
          </w:p>
        </w:tc>
        <w:tc>
          <w:tcPr>
            <w:tcW w:w="2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35,429</w:t>
            </w:r>
          </w:p>
        </w:tc>
        <w:tc>
          <w:tcPr>
            <w:tcW w:w="2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1,805</w:t>
            </w:r>
          </w:p>
        </w:tc>
        <w:tc>
          <w:tcPr>
            <w:tcW w:w="2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26,148</w:t>
            </w:r>
          </w:p>
        </w:tc>
        <w:tc>
          <w:tcPr>
            <w:tcW w:w="2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1,542</w:t>
            </w:r>
          </w:p>
        </w:tc>
        <w:tc>
          <w:tcPr>
            <w:tcW w:w="120" w:type="dxa"/>
            <w:vAlign w:val="bottom"/>
            <w:tcBorders>
              <w:bottom w:val="single" w:sz="8" w:color="CCEEFF"/>
            </w:tcBorders>
            <w:shd w:val="clear" w:color="auto" w:fill="CCEEFF"/>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91440</wp:posOffset>
            </wp:positionV>
            <wp:extent cx="931545" cy="114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931545" cy="11430"/>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auto"/>
        </w:rPr>
        <w:t>(1) Beginning January 1, 2021, calculation is based on CECL methodology. Prior to January 1, 2021, calculation was based on the probable incurred loss methodology.</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940" w:type="dxa"/>
            <w:vAlign w:val="bottom"/>
          </w:tcPr>
          <w:p>
            <w:pPr>
              <w:spacing w:after="0"/>
              <w:rPr>
                <w:sz w:val="20"/>
                <w:szCs w:val="20"/>
                <w:color w:val="auto"/>
              </w:rPr>
            </w:pPr>
            <w:r>
              <w:rPr>
                <w:rFonts w:ascii="Arial" w:cs="Arial" w:eastAsia="Arial" w:hAnsi="Arial"/>
                <w:sz w:val="12"/>
                <w:szCs w:val="12"/>
                <w:b w:val="1"/>
                <w:bCs w:val="1"/>
                <w:color w:val="auto"/>
              </w:rPr>
              <w:t>RATIO OF NET CHARGE-OFFS TO AVERAGE LOANS OUTSTANDING</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5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2"/>
                <w:szCs w:val="12"/>
                <w:b w:val="1"/>
                <w:bCs w:val="1"/>
                <w:color w:val="auto"/>
              </w:rPr>
              <w:t>Commercial</w:t>
            </w:r>
          </w:p>
        </w:tc>
        <w:tc>
          <w:tcPr>
            <w:tcW w:w="200" w:type="dxa"/>
            <w:vAlign w:val="bottom"/>
          </w:tcPr>
          <w:p>
            <w:pPr>
              <w:spacing w:after="0"/>
              <w:rPr>
                <w:sz w:val="24"/>
                <w:szCs w:val="24"/>
                <w:color w:val="auto"/>
              </w:rPr>
            </w:pPr>
          </w:p>
        </w:tc>
        <w:tc>
          <w:tcPr>
            <w:tcW w:w="1180" w:type="dxa"/>
            <w:vAlign w:val="bottom"/>
            <w:gridSpan w:val="2"/>
          </w:tcPr>
          <w:p>
            <w:pPr>
              <w:jc w:val="right"/>
              <w:ind w:right="518"/>
              <w:spacing w:after="0"/>
              <w:rPr>
                <w:sz w:val="20"/>
                <w:szCs w:val="20"/>
                <w:color w:val="auto"/>
              </w:rPr>
            </w:pPr>
            <w:r>
              <w:rPr>
                <w:rFonts w:ascii="Arial" w:cs="Arial" w:eastAsia="Arial" w:hAnsi="Arial"/>
                <w:sz w:val="12"/>
                <w:szCs w:val="12"/>
                <w:b w:val="1"/>
                <w:bCs w:val="1"/>
                <w:color w:val="auto"/>
              </w:rPr>
              <w:t>Mortgage</w:t>
            </w:r>
          </w:p>
        </w:tc>
        <w:tc>
          <w:tcPr>
            <w:tcW w:w="180" w:type="dxa"/>
            <w:vAlign w:val="bottom"/>
          </w:tcPr>
          <w:p>
            <w:pPr>
              <w:spacing w:after="0"/>
              <w:rPr>
                <w:sz w:val="24"/>
                <w:szCs w:val="24"/>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2"/>
                <w:szCs w:val="12"/>
                <w:b w:val="1"/>
                <w:bCs w:val="1"/>
                <w:color w:val="auto"/>
              </w:rPr>
              <w:t>Installment</w:t>
            </w:r>
          </w:p>
        </w:tc>
        <w:tc>
          <w:tcPr>
            <w:tcW w:w="260" w:type="dxa"/>
            <w:vAlign w:val="bottom"/>
          </w:tcPr>
          <w:p>
            <w:pPr>
              <w:spacing w:after="0"/>
              <w:rPr>
                <w:sz w:val="24"/>
                <w:szCs w:val="24"/>
                <w:color w:val="auto"/>
              </w:rPr>
            </w:pPr>
          </w:p>
        </w:tc>
        <w:tc>
          <w:tcPr>
            <w:tcW w:w="1020" w:type="dxa"/>
            <w:vAlign w:val="bottom"/>
            <w:gridSpan w:val="2"/>
          </w:tcPr>
          <w:p>
            <w:pPr>
              <w:jc w:val="right"/>
              <w:ind w:right="58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5"/>
        </w:trPr>
        <w:tc>
          <w:tcPr>
            <w:tcW w:w="5940" w:type="dxa"/>
            <w:vAlign w:val="bottom"/>
            <w:vMerge w:val="restart"/>
          </w:tcPr>
          <w:p>
            <w:pPr>
              <w:spacing w:after="0"/>
              <w:rPr>
                <w:sz w:val="20"/>
                <w:szCs w:val="20"/>
                <w:color w:val="auto"/>
              </w:rPr>
            </w:pPr>
            <w:r>
              <w:rPr>
                <w:rFonts w:ascii="Arial" w:cs="Arial" w:eastAsia="Arial" w:hAnsi="Arial"/>
                <w:sz w:val="12"/>
                <w:szCs w:val="12"/>
                <w:color w:val="auto"/>
              </w:rPr>
              <w:t>2021</w:t>
            </w: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(Dollars</w:t>
            </w:r>
          </w:p>
        </w:tc>
        <w:tc>
          <w:tcPr>
            <w:tcW w:w="240" w:type="dxa"/>
            <w:vAlign w:val="bottom"/>
          </w:tcPr>
          <w:p>
            <w:pPr>
              <w:jc w:val="right"/>
              <w:ind w:right="118"/>
              <w:spacing w:after="0"/>
              <w:rPr>
                <w:sz w:val="20"/>
                <w:szCs w:val="20"/>
                <w:color w:val="auto"/>
              </w:rPr>
            </w:pPr>
            <w:r>
              <w:rPr>
                <w:rFonts w:ascii="Arial" w:cs="Arial" w:eastAsia="Arial" w:hAnsi="Arial"/>
                <w:sz w:val="8"/>
                <w:szCs w:val="8"/>
                <w:b w:val="1"/>
                <w:bCs w:val="1"/>
                <w:color w:val="auto"/>
                <w:w w:val="83"/>
              </w:rPr>
              <w:t>in</w:t>
            </w:r>
          </w:p>
        </w:tc>
        <w:tc>
          <w:tcPr>
            <w:tcW w:w="1140" w:type="dxa"/>
            <w:vAlign w:val="bottom"/>
            <w:tcBorders>
              <w:top w:val="single" w:sz="8" w:color="auto"/>
            </w:tcBorders>
            <w:gridSpan w:val="2"/>
          </w:tcPr>
          <w:p>
            <w:pPr>
              <w:spacing w:after="0"/>
              <w:rPr>
                <w:sz w:val="20"/>
                <w:szCs w:val="20"/>
                <w:color w:val="auto"/>
              </w:rPr>
            </w:pPr>
            <w:r>
              <w:rPr>
                <w:rFonts w:ascii="Arial" w:cs="Arial" w:eastAsia="Arial" w:hAnsi="Arial"/>
                <w:sz w:val="12"/>
                <w:szCs w:val="12"/>
                <w:b w:val="1"/>
                <w:bCs w:val="1"/>
                <w:color w:val="auto"/>
              </w:rPr>
              <w:t>thousands)</w:t>
            </w:r>
          </w:p>
        </w:tc>
        <w:tc>
          <w:tcPr>
            <w:tcW w:w="2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59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9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Loans charged against (recoveries credited to) the ACL</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(2,607)</w:t>
            </w: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158"/>
              <w:spacing w:after="0"/>
              <w:rPr>
                <w:sz w:val="20"/>
                <w:szCs w:val="20"/>
                <w:color w:val="auto"/>
              </w:rPr>
            </w:pPr>
            <w:r>
              <w:rPr>
                <w:rFonts w:ascii="Arial" w:cs="Arial" w:eastAsia="Arial" w:hAnsi="Arial"/>
                <w:sz w:val="12"/>
                <w:szCs w:val="12"/>
                <w:color w:val="auto"/>
              </w:rPr>
              <w:t>(471)</w:t>
            </w:r>
          </w:p>
        </w:tc>
        <w:tc>
          <w:tcPr>
            <w:tcW w:w="18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1,035</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(2,043)</w:t>
            </w:r>
          </w:p>
        </w:tc>
        <w:tc>
          <w:tcPr>
            <w:tcW w:w="0" w:type="dxa"/>
            <w:vAlign w:val="bottom"/>
          </w:tcPr>
          <w:p>
            <w:pPr>
              <w:spacing w:after="0"/>
              <w:rPr>
                <w:sz w:val="1"/>
                <w:szCs w:val="1"/>
                <w:color w:val="auto"/>
              </w:rPr>
            </w:pPr>
          </w:p>
        </w:tc>
      </w:tr>
      <w:tr>
        <w:trPr>
          <w:trHeight w:val="144"/>
        </w:trPr>
        <w:tc>
          <w:tcPr>
            <w:tcW w:w="5940" w:type="dxa"/>
            <w:vAlign w:val="bottom"/>
          </w:tcPr>
          <w:p>
            <w:pPr>
              <w:ind w:left="100"/>
              <w:spacing w:after="0"/>
              <w:rPr>
                <w:sz w:val="20"/>
                <w:szCs w:val="20"/>
                <w:color w:val="auto"/>
              </w:rPr>
            </w:pPr>
            <w:r>
              <w:rPr>
                <w:rFonts w:ascii="Arial" w:cs="Arial" w:eastAsia="Arial" w:hAnsi="Arial"/>
                <w:sz w:val="12"/>
                <w:szCs w:val="12"/>
                <w:color w:val="auto"/>
              </w:rPr>
              <w:t>Average Portfolio Loans</w:t>
            </w:r>
          </w:p>
        </w:tc>
        <w:tc>
          <w:tcPr>
            <w:tcW w:w="140" w:type="dxa"/>
            <w:vAlign w:val="bottom"/>
          </w:tcPr>
          <w:p>
            <w:pPr>
              <w:spacing w:after="0"/>
              <w:rPr>
                <w:sz w:val="12"/>
                <w:szCs w:val="12"/>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2"/>
                <w:szCs w:val="12"/>
                <w:color w:val="auto"/>
              </w:rPr>
              <w:t>1,241,961</w:t>
            </w:r>
          </w:p>
        </w:tc>
        <w:tc>
          <w:tcPr>
            <w:tcW w:w="200" w:type="dxa"/>
            <w:vAlign w:val="bottom"/>
          </w:tcPr>
          <w:p>
            <w:pPr>
              <w:spacing w:after="0"/>
              <w:rPr>
                <w:sz w:val="12"/>
                <w:szCs w:val="12"/>
                <w:color w:val="auto"/>
              </w:rPr>
            </w:pPr>
          </w:p>
        </w:tc>
        <w:tc>
          <w:tcPr>
            <w:tcW w:w="1180" w:type="dxa"/>
            <w:vAlign w:val="bottom"/>
            <w:gridSpan w:val="2"/>
          </w:tcPr>
          <w:p>
            <w:pPr>
              <w:jc w:val="right"/>
              <w:ind w:right="198"/>
              <w:spacing w:after="0"/>
              <w:rPr>
                <w:sz w:val="20"/>
                <w:szCs w:val="20"/>
                <w:color w:val="auto"/>
              </w:rPr>
            </w:pPr>
            <w:r>
              <w:rPr>
                <w:rFonts w:ascii="Arial" w:cs="Arial" w:eastAsia="Arial" w:hAnsi="Arial"/>
                <w:sz w:val="12"/>
                <w:szCs w:val="12"/>
                <w:color w:val="auto"/>
              </w:rPr>
              <w:t>1,056,245</w:t>
            </w:r>
          </w:p>
        </w:tc>
        <w:tc>
          <w:tcPr>
            <w:tcW w:w="180" w:type="dxa"/>
            <w:vAlign w:val="bottom"/>
          </w:tcPr>
          <w:p>
            <w:pPr>
              <w:spacing w:after="0"/>
              <w:rPr>
                <w:sz w:val="12"/>
                <w:szCs w:val="1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2"/>
                <w:szCs w:val="12"/>
                <w:color w:val="auto"/>
              </w:rPr>
              <w:t>521,089</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2,819,295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9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Net loans charged off against (credited to) the ACL to average Portfolio Loans</w:t>
            </w: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(0.21)%</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8"/>
              <w:spacing w:after="0"/>
              <w:rPr>
                <w:sz w:val="20"/>
                <w:szCs w:val="20"/>
                <w:color w:val="auto"/>
              </w:rPr>
            </w:pPr>
            <w:r>
              <w:rPr>
                <w:rFonts w:ascii="Arial" w:cs="Arial" w:eastAsia="Arial" w:hAnsi="Arial"/>
                <w:sz w:val="12"/>
                <w:szCs w:val="12"/>
                <w:color w:val="auto"/>
              </w:rPr>
              <w:t>(0.04)%</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0.20%</w:t>
            </w: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(0.07)%</w:t>
            </w:r>
          </w:p>
        </w:tc>
        <w:tc>
          <w:tcPr>
            <w:tcW w:w="0" w:type="dxa"/>
            <w:vAlign w:val="bottom"/>
          </w:tcPr>
          <w:p>
            <w:pPr>
              <w:spacing w:after="0"/>
              <w:rPr>
                <w:sz w:val="1"/>
                <w:szCs w:val="1"/>
                <w:color w:val="auto"/>
              </w:rPr>
            </w:pPr>
          </w:p>
        </w:tc>
      </w:tr>
      <w:tr>
        <w:trPr>
          <w:trHeight w:val="144"/>
        </w:trPr>
        <w:tc>
          <w:tcPr>
            <w:tcW w:w="5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940" w:type="dxa"/>
            <w:vAlign w:val="bottom"/>
            <w:shd w:val="clear" w:color="auto" w:fill="CCEEFF"/>
          </w:tcPr>
          <w:p>
            <w:pPr>
              <w:spacing w:after="0"/>
              <w:rPr>
                <w:sz w:val="20"/>
                <w:szCs w:val="20"/>
                <w:color w:val="auto"/>
              </w:rPr>
            </w:pPr>
            <w:r>
              <w:rPr>
                <w:rFonts w:ascii="Arial" w:cs="Arial" w:eastAsia="Arial" w:hAnsi="Arial"/>
                <w:sz w:val="12"/>
                <w:szCs w:val="12"/>
                <w:color w:val="auto"/>
              </w:rPr>
              <w:t>2020</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940" w:type="dxa"/>
            <w:vAlign w:val="bottom"/>
          </w:tcPr>
          <w:p>
            <w:pPr>
              <w:ind w:left="100"/>
              <w:spacing w:after="0"/>
              <w:rPr>
                <w:sz w:val="20"/>
                <w:szCs w:val="20"/>
                <w:color w:val="auto"/>
              </w:rPr>
            </w:pPr>
            <w:r>
              <w:rPr>
                <w:rFonts w:ascii="Arial" w:cs="Arial" w:eastAsia="Arial" w:hAnsi="Arial"/>
                <w:sz w:val="12"/>
                <w:szCs w:val="12"/>
                <w:color w:val="auto"/>
              </w:rPr>
              <w:t>Loans charged against (recoveries credited to) the ACL</w:t>
            </w: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240"/>
              <w:spacing w:after="0"/>
              <w:rPr>
                <w:sz w:val="20"/>
                <w:szCs w:val="20"/>
                <w:color w:val="auto"/>
              </w:rPr>
            </w:pPr>
            <w:r>
              <w:rPr>
                <w:rFonts w:ascii="Arial" w:cs="Arial" w:eastAsia="Arial" w:hAnsi="Arial"/>
                <w:sz w:val="12"/>
                <w:szCs w:val="12"/>
                <w:color w:val="auto"/>
              </w:rPr>
              <w:t>2,272</w:t>
            </w: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198"/>
              <w:spacing w:after="0"/>
              <w:rPr>
                <w:sz w:val="20"/>
                <w:szCs w:val="20"/>
                <w:color w:val="auto"/>
              </w:rPr>
            </w:pPr>
            <w:r>
              <w:rPr>
                <w:rFonts w:ascii="Arial" w:cs="Arial" w:eastAsia="Arial" w:hAnsi="Arial"/>
                <w:sz w:val="12"/>
                <w:szCs w:val="12"/>
                <w:color w:val="auto"/>
              </w:rPr>
              <w:t>303</w:t>
            </w:r>
          </w:p>
        </w:tc>
        <w:tc>
          <w:tcPr>
            <w:tcW w:w="180" w:type="dxa"/>
            <w:vAlign w:val="bottom"/>
          </w:tcPr>
          <w:p>
            <w:pPr>
              <w:spacing w:after="0"/>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2"/>
                <w:szCs w:val="12"/>
                <w:color w:val="auto"/>
              </w:rPr>
              <w:t>607</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3,182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9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Average Portfolio Loans</w:t>
            </w: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1,294,217</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98"/>
              <w:spacing w:after="0"/>
              <w:rPr>
                <w:sz w:val="20"/>
                <w:szCs w:val="20"/>
                <w:color w:val="auto"/>
              </w:rPr>
            </w:pPr>
            <w:r>
              <w:rPr>
                <w:rFonts w:ascii="Arial" w:cs="Arial" w:eastAsia="Arial" w:hAnsi="Arial"/>
                <w:sz w:val="12"/>
                <w:szCs w:val="12"/>
                <w:color w:val="auto"/>
              </w:rPr>
              <w:t>1,020,507</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472,210</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2,786,934</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940" w:type="dxa"/>
            <w:vAlign w:val="bottom"/>
          </w:tcPr>
          <w:p>
            <w:pPr>
              <w:ind w:left="100"/>
              <w:spacing w:after="0"/>
              <w:rPr>
                <w:sz w:val="20"/>
                <w:szCs w:val="20"/>
                <w:color w:val="auto"/>
              </w:rPr>
            </w:pPr>
            <w:r>
              <w:rPr>
                <w:rFonts w:ascii="Arial" w:cs="Arial" w:eastAsia="Arial" w:hAnsi="Arial"/>
                <w:sz w:val="12"/>
                <w:szCs w:val="12"/>
                <w:color w:val="auto"/>
              </w:rPr>
              <w:t>Net loans charged off against (credited to) the ACL to average Portfolio Loans</w:t>
            </w:r>
          </w:p>
        </w:tc>
        <w:tc>
          <w:tcPr>
            <w:tcW w:w="140" w:type="dxa"/>
            <w:vAlign w:val="bottom"/>
          </w:tcPr>
          <w:p>
            <w:pPr>
              <w:spacing w:after="0"/>
              <w:rPr>
                <w:sz w:val="12"/>
                <w:szCs w:val="12"/>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2"/>
                <w:szCs w:val="12"/>
                <w:color w:val="auto"/>
              </w:rPr>
              <w:t>0.18%</w:t>
            </w:r>
          </w:p>
        </w:tc>
        <w:tc>
          <w:tcPr>
            <w:tcW w:w="200" w:type="dxa"/>
            <w:vAlign w:val="bottom"/>
          </w:tcPr>
          <w:p>
            <w:pPr>
              <w:spacing w:after="0"/>
              <w:rPr>
                <w:sz w:val="12"/>
                <w:szCs w:val="12"/>
                <w:color w:val="auto"/>
              </w:rPr>
            </w:pPr>
          </w:p>
        </w:tc>
        <w:tc>
          <w:tcPr>
            <w:tcW w:w="1180" w:type="dxa"/>
            <w:vAlign w:val="bottom"/>
            <w:gridSpan w:val="2"/>
          </w:tcPr>
          <w:p>
            <w:pPr>
              <w:jc w:val="right"/>
              <w:ind w:right="98"/>
              <w:spacing w:after="0"/>
              <w:rPr>
                <w:sz w:val="20"/>
                <w:szCs w:val="20"/>
                <w:color w:val="auto"/>
              </w:rPr>
            </w:pPr>
            <w:r>
              <w:rPr>
                <w:rFonts w:ascii="Arial" w:cs="Arial" w:eastAsia="Arial" w:hAnsi="Arial"/>
                <w:sz w:val="12"/>
                <w:szCs w:val="12"/>
                <w:color w:val="auto"/>
              </w:rPr>
              <w:t>0.03%</w:t>
            </w:r>
          </w:p>
        </w:tc>
        <w:tc>
          <w:tcPr>
            <w:tcW w:w="180" w:type="dxa"/>
            <w:vAlign w:val="bottom"/>
          </w:tcPr>
          <w:p>
            <w:pPr>
              <w:spacing w:after="0"/>
              <w:rPr>
                <w:sz w:val="12"/>
                <w:szCs w:val="1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2"/>
                <w:szCs w:val="12"/>
                <w:color w:val="auto"/>
              </w:rPr>
              <w:t>0.13%</w:t>
            </w:r>
          </w:p>
        </w:tc>
        <w:tc>
          <w:tcPr>
            <w:tcW w:w="260" w:type="dxa"/>
            <w:vAlign w:val="bottom"/>
          </w:tcPr>
          <w:p>
            <w:pPr>
              <w:spacing w:after="0"/>
              <w:rPr>
                <w:sz w:val="12"/>
                <w:szCs w:val="12"/>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2"/>
                <w:szCs w:val="12"/>
                <w:color w:val="auto"/>
              </w:rPr>
              <w:t>0.11%</w:t>
            </w:r>
          </w:p>
        </w:tc>
        <w:tc>
          <w:tcPr>
            <w:tcW w:w="0" w:type="dxa"/>
            <w:vAlign w:val="bottom"/>
          </w:tcPr>
          <w:p>
            <w:pPr>
              <w:spacing w:after="0"/>
              <w:rPr>
                <w:sz w:val="1"/>
                <w:szCs w:val="1"/>
                <w:color w:val="auto"/>
              </w:rPr>
            </w:pPr>
          </w:p>
        </w:tc>
      </w:tr>
      <w:tr>
        <w:trPr>
          <w:trHeight w:val="144"/>
        </w:trPr>
        <w:tc>
          <w:tcPr>
            <w:tcW w:w="5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940" w:type="dxa"/>
            <w:vAlign w:val="bottom"/>
          </w:tcPr>
          <w:p>
            <w:pPr>
              <w:spacing w:after="0"/>
              <w:rPr>
                <w:sz w:val="20"/>
                <w:szCs w:val="20"/>
                <w:color w:val="auto"/>
              </w:rPr>
            </w:pPr>
            <w:r>
              <w:rPr>
                <w:rFonts w:ascii="Arial" w:cs="Arial" w:eastAsia="Arial" w:hAnsi="Arial"/>
                <w:sz w:val="12"/>
                <w:szCs w:val="12"/>
                <w:color w:val="auto"/>
              </w:rPr>
              <w:t>2019</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9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Loans charged against (recoveries credited to) the ACL</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(1,483)</w:t>
            </w: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198"/>
              <w:spacing w:after="0"/>
              <w:rPr>
                <w:sz w:val="20"/>
                <w:szCs w:val="20"/>
                <w:color w:val="auto"/>
              </w:rPr>
            </w:pPr>
            <w:r>
              <w:rPr>
                <w:rFonts w:ascii="Arial" w:cs="Arial" w:eastAsia="Arial" w:hAnsi="Arial"/>
                <w:sz w:val="12"/>
                <w:szCs w:val="12"/>
                <w:color w:val="auto"/>
              </w:rPr>
              <w:t>288</w:t>
            </w:r>
          </w:p>
        </w:tc>
        <w:tc>
          <w:tcPr>
            <w:tcW w:w="18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759</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(436)</w:t>
            </w:r>
          </w:p>
        </w:tc>
        <w:tc>
          <w:tcPr>
            <w:tcW w:w="0" w:type="dxa"/>
            <w:vAlign w:val="bottom"/>
          </w:tcPr>
          <w:p>
            <w:pPr>
              <w:spacing w:after="0"/>
              <w:rPr>
                <w:sz w:val="1"/>
                <w:szCs w:val="1"/>
                <w:color w:val="auto"/>
              </w:rPr>
            </w:pPr>
          </w:p>
        </w:tc>
      </w:tr>
      <w:tr>
        <w:trPr>
          <w:trHeight w:val="144"/>
        </w:trPr>
        <w:tc>
          <w:tcPr>
            <w:tcW w:w="5940" w:type="dxa"/>
            <w:vAlign w:val="bottom"/>
          </w:tcPr>
          <w:p>
            <w:pPr>
              <w:ind w:left="100"/>
              <w:spacing w:after="0"/>
              <w:rPr>
                <w:sz w:val="20"/>
                <w:szCs w:val="20"/>
                <w:color w:val="auto"/>
              </w:rPr>
            </w:pPr>
            <w:r>
              <w:rPr>
                <w:rFonts w:ascii="Arial" w:cs="Arial" w:eastAsia="Arial" w:hAnsi="Arial"/>
                <w:sz w:val="12"/>
                <w:szCs w:val="12"/>
                <w:color w:val="auto"/>
              </w:rPr>
              <w:t>Average Portfolio Loans</w:t>
            </w:r>
          </w:p>
        </w:tc>
        <w:tc>
          <w:tcPr>
            <w:tcW w:w="140" w:type="dxa"/>
            <w:vAlign w:val="bottom"/>
          </w:tcPr>
          <w:p>
            <w:pPr>
              <w:spacing w:after="0"/>
              <w:rPr>
                <w:sz w:val="12"/>
                <w:szCs w:val="12"/>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2"/>
                <w:szCs w:val="12"/>
                <w:color w:val="auto"/>
              </w:rPr>
              <w:t>1,167,518</w:t>
            </w:r>
          </w:p>
        </w:tc>
        <w:tc>
          <w:tcPr>
            <w:tcW w:w="200" w:type="dxa"/>
            <w:vAlign w:val="bottom"/>
          </w:tcPr>
          <w:p>
            <w:pPr>
              <w:spacing w:after="0"/>
              <w:rPr>
                <w:sz w:val="12"/>
                <w:szCs w:val="12"/>
                <w:color w:val="auto"/>
              </w:rPr>
            </w:pPr>
          </w:p>
        </w:tc>
        <w:tc>
          <w:tcPr>
            <w:tcW w:w="1180" w:type="dxa"/>
            <w:vAlign w:val="bottom"/>
            <w:gridSpan w:val="2"/>
          </w:tcPr>
          <w:p>
            <w:pPr>
              <w:jc w:val="right"/>
              <w:ind w:right="198"/>
              <w:spacing w:after="0"/>
              <w:rPr>
                <w:sz w:val="20"/>
                <w:szCs w:val="20"/>
                <w:color w:val="auto"/>
              </w:rPr>
            </w:pPr>
            <w:r>
              <w:rPr>
                <w:rFonts w:ascii="Arial" w:cs="Arial" w:eastAsia="Arial" w:hAnsi="Arial"/>
                <w:sz w:val="12"/>
                <w:szCs w:val="12"/>
                <w:color w:val="auto"/>
              </w:rPr>
              <w:t>1,060,643</w:t>
            </w:r>
          </w:p>
        </w:tc>
        <w:tc>
          <w:tcPr>
            <w:tcW w:w="180" w:type="dxa"/>
            <w:vAlign w:val="bottom"/>
          </w:tcPr>
          <w:p>
            <w:pPr>
              <w:spacing w:after="0"/>
              <w:rPr>
                <w:sz w:val="12"/>
                <w:szCs w:val="1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2"/>
                <w:szCs w:val="12"/>
                <w:color w:val="auto"/>
              </w:rPr>
              <w:t>426,730</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2,654,891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9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Net loans charged off against (credited to) the ACL to average Portfolio Loans</w:t>
            </w: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(0.13)%</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98"/>
              <w:spacing w:after="0"/>
              <w:rPr>
                <w:sz w:val="20"/>
                <w:szCs w:val="20"/>
                <w:color w:val="auto"/>
              </w:rPr>
            </w:pPr>
            <w:r>
              <w:rPr>
                <w:rFonts w:ascii="Arial" w:cs="Arial" w:eastAsia="Arial" w:hAnsi="Arial"/>
                <w:sz w:val="12"/>
                <w:szCs w:val="12"/>
                <w:color w:val="auto"/>
              </w:rPr>
              <w:t>0.03%</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0.18%</w:t>
            </w: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(0.02)%</w:t>
            </w:r>
          </w:p>
        </w:tc>
        <w:tc>
          <w:tcPr>
            <w:tcW w:w="0" w:type="dxa"/>
            <w:vAlign w:val="bottom"/>
          </w:tcPr>
          <w:p>
            <w:pPr>
              <w:spacing w:after="0"/>
              <w:rPr>
                <w:sz w:val="1"/>
                <w:szCs w:val="1"/>
                <w:color w:val="auto"/>
              </w:rPr>
            </w:pPr>
          </w:p>
        </w:tc>
      </w:tr>
    </w:tbl>
    <w:p>
      <w:pPr>
        <w:spacing w:after="0" w:line="135" w:lineRule="exact"/>
        <w:rPr>
          <w:sz w:val="20"/>
          <w:szCs w:val="20"/>
          <w:color w:val="auto"/>
        </w:rPr>
      </w:pPr>
    </w:p>
    <w:p>
      <w:pPr>
        <w:jc w:val="both"/>
        <w:ind w:firstLine="240"/>
        <w:spacing w:after="0" w:line="259" w:lineRule="auto"/>
        <w:rPr>
          <w:sz w:val="20"/>
          <w:szCs w:val="20"/>
          <w:color w:val="auto"/>
        </w:rPr>
      </w:pPr>
      <w:r>
        <w:rPr>
          <w:rFonts w:ascii="Arial" w:cs="Arial" w:eastAsia="Arial" w:hAnsi="Arial"/>
          <w:sz w:val="12"/>
          <w:szCs w:val="12"/>
          <w:color w:val="auto"/>
        </w:rPr>
        <w:t>In 2021, we recorded loan net recoveries of $2.0 million compared to loan net charge offs of $3.2 million in 2020 and loan net recoveries of $0.4 million in 2019. The net recoveries in 2021 primarily reflect reduced levels of non-performing loans, improvement in collateral liquidation values and ongoing collection efforts on previously charged-off loans. The increase in net charge-offs in 2020 was attributed to a $4.0 million charge down of one specific commercial loan relationship whose balance was zero at December 31, 2020. The net recoveries in 2019 primarily reflect reduced levels of non-performing loans, improvement in collateral liquidation values and ongoing collection efforts on previously charged-off loans.</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1"/>
          <w:szCs w:val="11"/>
          <w:i w:val="1"/>
          <w:iCs w:val="1"/>
          <w:color w:val="auto"/>
        </w:rPr>
        <w:t>Deposits and borrowings</w:t>
      </w:r>
      <w:r>
        <w:rPr>
          <w:rFonts w:ascii="Arial" w:cs="Arial" w:eastAsia="Arial" w:hAnsi="Arial"/>
          <w:sz w:val="11"/>
          <w:szCs w:val="11"/>
          <w:color w:val="auto"/>
        </w:rPr>
        <w:t>. Historically, the loyalty of our customer base has allowed us to price deposits competitively, contributing to a net interest margin that compares favorably to our peers. However, we still face a</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49" w:name="page50"/>
    <w:bookmarkEnd w:id="49"/>
    <w:p>
      <w:pPr>
        <w:spacing w:after="0"/>
        <w:rPr>
          <w:sz w:val="20"/>
          <w:szCs w:val="20"/>
          <w:color w:val="auto"/>
        </w:rPr>
      </w:pPr>
      <w:r>
        <w:rPr>
          <w:rFonts w:ascii="Arial" w:cs="Arial" w:eastAsia="Arial" w:hAnsi="Arial"/>
          <w:sz w:val="11"/>
          <w:szCs w:val="11"/>
          <w:color w:val="auto"/>
        </w:rPr>
        <w:t>significant amount of competition for deposits within many of the markets served by our branch network, which limits our ability to materially increase deposits without adversely impacting the weighted-average cost of core deposits.</w:t>
      </w:r>
    </w:p>
    <w:p>
      <w:pPr>
        <w:spacing w:after="0" w:line="162" w:lineRule="exact"/>
        <w:rPr>
          <w:sz w:val="20"/>
          <w:szCs w:val="20"/>
          <w:color w:val="auto"/>
        </w:rPr>
      </w:pPr>
    </w:p>
    <w:p>
      <w:pPr>
        <w:jc w:val="both"/>
        <w:ind w:right="20" w:firstLine="240"/>
        <w:spacing w:after="0" w:line="259" w:lineRule="auto"/>
        <w:rPr>
          <w:sz w:val="20"/>
          <w:szCs w:val="20"/>
          <w:color w:val="auto"/>
        </w:rPr>
      </w:pPr>
      <w:r>
        <w:rPr>
          <w:rFonts w:ascii="Arial" w:cs="Arial" w:eastAsia="Arial" w:hAnsi="Arial"/>
          <w:sz w:val="12"/>
          <w:szCs w:val="12"/>
          <w:color w:val="auto"/>
        </w:rPr>
        <w:t>To attract new core deposits, we have implemented various account acquisition strategies as well as branch staff sales training. Account acquisition initiatives have historically generated increases in customer relationships. Over the past several years, we have also expanded our treasury management products and services for commercial businesses and municipalities or other governmental units and have also increased our sales calling efforts in order to attract additional deposit relationships from these sectors. We view long-term core deposit growth as an important objective. Core deposits generally provide a more stable and lower cost source of funds than alternative sources such as short-term borrowings. (See “Liquidity and capital resources.”)</w:t>
      </w:r>
    </w:p>
    <w:p>
      <w:pPr>
        <w:spacing w:after="0" w:line="124" w:lineRule="exact"/>
        <w:rPr>
          <w:sz w:val="20"/>
          <w:szCs w:val="20"/>
          <w:color w:val="auto"/>
        </w:rPr>
      </w:pPr>
    </w:p>
    <w:p>
      <w:pPr>
        <w:jc w:val="both"/>
        <w:ind w:firstLine="240"/>
        <w:spacing w:after="0" w:line="256" w:lineRule="auto"/>
        <w:rPr>
          <w:sz w:val="20"/>
          <w:szCs w:val="20"/>
          <w:color w:val="auto"/>
        </w:rPr>
      </w:pPr>
      <w:r>
        <w:rPr>
          <w:rFonts w:ascii="Arial" w:cs="Arial" w:eastAsia="Arial" w:hAnsi="Arial"/>
          <w:sz w:val="12"/>
          <w:szCs w:val="12"/>
          <w:color w:val="auto"/>
        </w:rPr>
        <w:t>Deposits totaled $4.12 billion and $3.64 billion at December 31, 2021 and 2020, respectively. The $479.7 million increase in deposits during 2021 is due to growth in non-interest bearing deposits, savings and interest bearing checking deposits, time deposits and reciprocal deposits. Reciprocal deposits totaled $586.6 million and $556.2 million at December 31, 2021 and 2020, respectively. These deposits represent demand, money market and time deposits from our customers that have been placed through the IntraFi Network (formerly Promontory Interfinancial Network’s Insured Cash Sweep® service and Certificate of Deposit Account Registry Service®). This service allows our customers to access multi-million dollar FDIC deposit insurance on deposit balances greater than the standard FDIC insurance maximum. The increase in reciprocal deposits is due in part to sales efforts of our treasury management team.</w:t>
      </w:r>
    </w:p>
    <w:p>
      <w:pPr>
        <w:spacing w:after="0" w:line="128" w:lineRule="exact"/>
        <w:rPr>
          <w:sz w:val="20"/>
          <w:szCs w:val="20"/>
          <w:color w:val="auto"/>
        </w:rPr>
      </w:pPr>
    </w:p>
    <w:p>
      <w:pPr>
        <w:jc w:val="both"/>
        <w:ind w:firstLine="240"/>
        <w:spacing w:after="0" w:line="276" w:lineRule="auto"/>
        <w:rPr>
          <w:sz w:val="20"/>
          <w:szCs w:val="20"/>
          <w:color w:val="auto"/>
        </w:rPr>
      </w:pPr>
      <w:r>
        <w:rPr>
          <w:rFonts w:ascii="Arial" w:cs="Arial" w:eastAsia="Arial" w:hAnsi="Arial"/>
          <w:sz w:val="12"/>
          <w:szCs w:val="12"/>
          <w:color w:val="auto"/>
        </w:rPr>
        <w:t>We cannot be sure that we will be able to maintain our current level of core deposits. In particular, those deposits that are uninsured may be susceptible to outflow. At December 31, 2021, we had an estimated $1.03 billion of uninsured deposits. A reduction in core deposits would likely increase our need to rely on wholesale funding sources.</w:t>
      </w:r>
    </w:p>
    <w:p>
      <w:pPr>
        <w:spacing w:after="0" w:line="115" w:lineRule="exact"/>
        <w:rPr>
          <w:sz w:val="20"/>
          <w:szCs w:val="20"/>
          <w:color w:val="auto"/>
        </w:rPr>
      </w:pPr>
    </w:p>
    <w:p>
      <w:pPr>
        <w:jc w:val="both"/>
        <w:ind w:firstLine="240"/>
        <w:spacing w:after="0" w:line="263" w:lineRule="auto"/>
        <w:rPr>
          <w:sz w:val="20"/>
          <w:szCs w:val="20"/>
          <w:color w:val="auto"/>
        </w:rPr>
      </w:pPr>
      <w:r>
        <w:rPr>
          <w:rFonts w:ascii="Arial" w:cs="Arial" w:eastAsia="Arial" w:hAnsi="Arial"/>
          <w:sz w:val="12"/>
          <w:szCs w:val="12"/>
          <w:color w:val="auto"/>
        </w:rPr>
        <w:t>We have also implemented strategies that incorporate using federal funds purchased, other borrowings and Brokered CDs to fund a portion of our interest-earning assets. The use of such alternate sources of funds supplements our core deposits and is also a part of our asset/liability management efforts. Other borrowings, comprised primarily of federal funds purchased and advances from the Federal Home Loan Bank (the “FHLB”), totaled $30.0 million at December 31, 2021 and 2020.</w:t>
      </w:r>
    </w:p>
    <w:p>
      <w:pPr>
        <w:spacing w:after="0" w:line="122"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2"/>
          <w:szCs w:val="12"/>
          <w:color w:val="auto"/>
        </w:rPr>
        <w:t>As described above, we utilize wholesale funding, including federal funds purchased, FHLB borrowings and Brokered CDs to augment our core deposits and fund a portion of our assets. At December 31, 2021, our use of such wholesale funding sources (including reciprocal deposits) amounted to approximately $619.6 million, or 14.9% of total funding (deposits and total borrowings, excluding subordinated debt and debentures). Because wholesale funding sources are affected by general market conditions, the availability of such funding may be dependent on the confidence these sources have in our financial condition and operations. The continued availability to us of these funding sources is not certain, and Brokered CDs may be difficult for us to retain or replace at attractive rates as they mature. Our liquidity may be constrained if we are unable to renew our wholesale funding sources or if adequate financing is not available in the future at acceptable rates of interest or at all. Our financial performance could also be affected if we are unable to maintain our access to funding sources or if we are required to rely more heavily on more expensive funding sources. In such case, our net interest income and results of operations could be adversely affected.</w:t>
      </w:r>
    </w:p>
    <w:p>
      <w:pPr>
        <w:spacing w:after="0" w:line="128" w:lineRule="exact"/>
        <w:rPr>
          <w:sz w:val="20"/>
          <w:szCs w:val="20"/>
          <w:color w:val="auto"/>
        </w:rPr>
      </w:pPr>
    </w:p>
    <w:p>
      <w:pPr>
        <w:jc w:val="both"/>
        <w:ind w:firstLine="240"/>
        <w:spacing w:after="0" w:line="256" w:lineRule="auto"/>
        <w:rPr>
          <w:sz w:val="20"/>
          <w:szCs w:val="20"/>
          <w:color w:val="auto"/>
        </w:rPr>
      </w:pPr>
      <w:r>
        <w:rPr>
          <w:rFonts w:ascii="Arial" w:cs="Arial" w:eastAsia="Arial" w:hAnsi="Arial"/>
          <w:sz w:val="12"/>
          <w:szCs w:val="12"/>
          <w:color w:val="auto"/>
        </w:rPr>
        <w:t>We have historically employed derivative financial instruments to manage our exposure to changes in interest rates. During 2021, 2020 and 2019, we entered into $79.0 million, $16.7 million and $74.5 million (original aggregate notional amounts), respectively, of interest rate swaps with commercial loan customers, which were offset with interest rate swaps that the Bank entered into with a broker-dealer. We recorded $0.81 million, $0.26 million and $0.94 million of fee income related to these transactions during 2021, 2020 and 2019, respectively. In 2021 we entered into $106.9 million (notional amount) of pay fixed interest rate swaps to hedge the fair value of municipal bond securities. In 2020 we entered into $42.0 million (notional amount) of pay fixed interest rate swaps to hedge the fair value of municipal bond securities. In 2019 we entered into a $7.1 million (notional amount) pay fixed interest rate swap to hedge the fair value of a fixed rate commercial loan.</w:t>
      </w:r>
    </w:p>
    <w:p>
      <w:pPr>
        <w:spacing w:after="0" w:line="128" w:lineRule="exact"/>
        <w:rPr>
          <w:sz w:val="20"/>
          <w:szCs w:val="20"/>
          <w:color w:val="auto"/>
        </w:rPr>
      </w:pPr>
    </w:p>
    <w:p>
      <w:pPr>
        <w:jc w:val="both"/>
        <w:ind w:right="20" w:firstLine="240"/>
        <w:spacing w:after="0" w:line="379" w:lineRule="auto"/>
        <w:rPr>
          <w:sz w:val="20"/>
          <w:szCs w:val="20"/>
          <w:color w:val="auto"/>
        </w:rPr>
      </w:pPr>
      <w:r>
        <w:rPr>
          <w:rFonts w:ascii="Arial" w:cs="Arial" w:eastAsia="Arial" w:hAnsi="Arial"/>
          <w:sz w:val="10"/>
          <w:szCs w:val="10"/>
          <w:i w:val="1"/>
          <w:iCs w:val="1"/>
          <w:color w:val="auto"/>
        </w:rPr>
        <w:t xml:space="preserve">Liquidity and capital resources. </w:t>
      </w:r>
      <w:r>
        <w:rPr>
          <w:rFonts w:ascii="Arial" w:cs="Arial" w:eastAsia="Arial" w:hAnsi="Arial"/>
          <w:sz w:val="10"/>
          <w:szCs w:val="10"/>
          <w:color w:val="auto"/>
        </w:rPr>
        <w:t>Liquidity risk is the risk of being unable to timely meet obligations as they come due at a reasonable funding cost or without incurring unacceptable losses. Our liquidity management involves the</w:t>
      </w:r>
      <w:r>
        <w:rPr>
          <w:rFonts w:ascii="Arial" w:cs="Arial" w:eastAsia="Arial" w:hAnsi="Arial"/>
          <w:sz w:val="10"/>
          <w:szCs w:val="10"/>
          <w:i w:val="1"/>
          <w:iCs w:val="1"/>
          <w:color w:val="auto"/>
        </w:rPr>
        <w:t xml:space="preserve"> </w:t>
      </w:r>
      <w:r>
        <w:rPr>
          <w:rFonts w:ascii="Arial" w:cs="Arial" w:eastAsia="Arial" w:hAnsi="Arial"/>
          <w:sz w:val="10"/>
          <w:szCs w:val="10"/>
          <w:color w:val="auto"/>
        </w:rPr>
        <w:t>measurement and monitoring of a variety of sources and uses of funds. Our Consolidated Statements of Cash Flows categorize these sources and uses into operating, investing and financing activities. We primarily focus our liquidity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50" w:name="page51"/>
    <w:bookmarkEnd w:id="50"/>
    <w:p>
      <w:pPr>
        <w:jc w:val="both"/>
        <w:ind w:right="20"/>
        <w:spacing w:after="0" w:line="276" w:lineRule="auto"/>
        <w:rPr>
          <w:sz w:val="20"/>
          <w:szCs w:val="20"/>
          <w:color w:val="auto"/>
        </w:rPr>
      </w:pPr>
      <w:r>
        <w:rPr>
          <w:rFonts w:ascii="Arial" w:cs="Arial" w:eastAsia="Arial" w:hAnsi="Arial"/>
          <w:sz w:val="12"/>
          <w:szCs w:val="12"/>
          <w:color w:val="auto"/>
        </w:rPr>
        <w:t>management on maintaining adequate levels of liquid assets (primarily funds on deposit with the FRB and certain securities available for sale) as well as developing access to a variety of borrowing sources to supplement our deposit gathering activities and provide funds for purchasing securities available for sale or originating Portfolio Loans as well as to be able to respond to unforeseen liquidity needs.</w:t>
      </w:r>
    </w:p>
    <w:p>
      <w:pPr>
        <w:spacing w:after="0" w:line="115" w:lineRule="exact"/>
        <w:rPr>
          <w:sz w:val="20"/>
          <w:szCs w:val="20"/>
          <w:color w:val="auto"/>
        </w:rPr>
      </w:pPr>
    </w:p>
    <w:p>
      <w:pPr>
        <w:ind w:left="240"/>
        <w:spacing w:after="0"/>
        <w:rPr>
          <w:sz w:val="20"/>
          <w:szCs w:val="20"/>
          <w:color w:val="auto"/>
        </w:rPr>
      </w:pPr>
      <w:r>
        <w:rPr>
          <w:rFonts w:ascii="Arial" w:cs="Arial" w:eastAsia="Arial" w:hAnsi="Arial"/>
          <w:sz w:val="11"/>
          <w:szCs w:val="11"/>
          <w:color w:val="auto"/>
        </w:rPr>
        <w:t>Our primary sources of funds include our deposit base, secured advances from the FHLB, federal funds purchased borrowing facilities with other commercial banks, and access to the capital markets (for Brokered CDs).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TIME DEPOSITS</w:t>
      </w:r>
      <w:r>
        <w:rPr>
          <w:rFonts w:ascii="Arial" w:cs="Arial" w:eastAsia="Arial" w:hAnsi="Arial"/>
          <w:sz w:val="19"/>
          <w:szCs w:val="19"/>
          <w:b w:val="1"/>
          <w:bCs w:val="1"/>
          <w:color w:val="auto"/>
          <w:vertAlign w:val="superscript"/>
        </w:rPr>
        <w:t>(1)</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following table summarizes time deposits in amounts less than $250,000 and in amounts of $250,000 or more, by time remaining until maturity at December 31, 2021:</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7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2"/>
                <w:szCs w:val="12"/>
                <w:b w:val="1"/>
                <w:bCs w:val="1"/>
                <w:color w:val="auto"/>
              </w:rPr>
              <w:t>Less than</w:t>
            </w:r>
          </w:p>
        </w:tc>
        <w:tc>
          <w:tcPr>
            <w:tcW w:w="120" w:type="dxa"/>
            <w:vAlign w:val="bottom"/>
          </w:tcPr>
          <w:p>
            <w:pPr>
              <w:spacing w:after="0"/>
              <w:rPr>
                <w:sz w:val="12"/>
                <w:szCs w:val="12"/>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2"/>
              </w:rPr>
              <w:t>Greater than</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7"/>
        </w:trPr>
        <w:tc>
          <w:tcPr>
            <w:tcW w:w="7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280"/>
              <w:spacing w:after="0"/>
              <w:rPr>
                <w:sz w:val="20"/>
                <w:szCs w:val="20"/>
                <w:color w:val="auto"/>
              </w:rPr>
            </w:pPr>
            <w:r>
              <w:rPr>
                <w:rFonts w:ascii="Arial" w:cs="Arial" w:eastAsia="Arial" w:hAnsi="Arial"/>
                <w:sz w:val="12"/>
                <w:szCs w:val="12"/>
                <w:b w:val="1"/>
                <w:bCs w:val="1"/>
                <w:color w:val="auto"/>
              </w:rPr>
              <w:t>$250,000</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ind w:right="280"/>
              <w:spacing w:after="0"/>
              <w:rPr>
                <w:sz w:val="20"/>
                <w:szCs w:val="20"/>
                <w:color w:val="auto"/>
              </w:rPr>
            </w:pPr>
            <w:r>
              <w:rPr>
                <w:rFonts w:ascii="Arial" w:cs="Arial" w:eastAsia="Arial" w:hAnsi="Arial"/>
                <w:sz w:val="12"/>
                <w:szCs w:val="12"/>
                <w:b w:val="1"/>
                <w:bCs w:val="1"/>
                <w:color w:val="auto"/>
              </w:rPr>
              <w:t>$250,000</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2"/>
                <w:szCs w:val="12"/>
                <w:b w:val="1"/>
                <w:bCs w:val="1"/>
                <w:color w:val="auto"/>
              </w:rPr>
              <w:t>Total</w:t>
            </w:r>
          </w:p>
        </w:tc>
      </w:tr>
      <w:tr>
        <w:trPr>
          <w:trHeight w:val="142"/>
        </w:trPr>
        <w:tc>
          <w:tcPr>
            <w:tcW w:w="73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140"/>
              <w:spacing w:after="0"/>
              <w:rPr>
                <w:sz w:val="20"/>
                <w:szCs w:val="20"/>
                <w:color w:val="auto"/>
              </w:rPr>
            </w:pPr>
            <w:r>
              <w:rPr>
                <w:rFonts w:ascii="Arial" w:cs="Arial" w:eastAsia="Arial" w:hAnsi="Arial"/>
                <w:sz w:val="12"/>
                <w:szCs w:val="12"/>
                <w:b w:val="1"/>
                <w:bCs w:val="1"/>
                <w:color w:val="auto"/>
                <w:w w:val="94"/>
              </w:rPr>
              <w:t>(In thousands)</w:t>
            </w: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7340" w:type="dxa"/>
            <w:vAlign w:val="bottom"/>
            <w:shd w:val="clear" w:color="auto" w:fill="CCEEFF"/>
          </w:tcPr>
          <w:p>
            <w:pPr>
              <w:spacing w:after="0"/>
              <w:rPr>
                <w:sz w:val="20"/>
                <w:szCs w:val="20"/>
                <w:color w:val="auto"/>
              </w:rPr>
            </w:pPr>
            <w:r>
              <w:rPr>
                <w:rFonts w:ascii="Arial" w:cs="Arial" w:eastAsia="Arial" w:hAnsi="Arial"/>
                <w:sz w:val="12"/>
                <w:szCs w:val="12"/>
                <w:color w:val="auto"/>
              </w:rPr>
              <w:t>Three months or less</w:t>
            </w: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74,671</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18,870</w:t>
            </w: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93,541</w:t>
            </w:r>
          </w:p>
        </w:tc>
      </w:tr>
      <w:tr>
        <w:trPr>
          <w:trHeight w:val="144"/>
        </w:trPr>
        <w:tc>
          <w:tcPr>
            <w:tcW w:w="7340" w:type="dxa"/>
            <w:vAlign w:val="bottom"/>
          </w:tcPr>
          <w:p>
            <w:pPr>
              <w:spacing w:after="0"/>
              <w:rPr>
                <w:sz w:val="20"/>
                <w:szCs w:val="20"/>
                <w:color w:val="auto"/>
              </w:rPr>
            </w:pPr>
            <w:r>
              <w:rPr>
                <w:rFonts w:ascii="Arial" w:cs="Arial" w:eastAsia="Arial" w:hAnsi="Arial"/>
                <w:sz w:val="12"/>
                <w:szCs w:val="12"/>
                <w:color w:val="auto"/>
              </w:rPr>
              <w:t>Over three through six months</w:t>
            </w: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53,328</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13,582</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66,910</w:t>
            </w:r>
          </w:p>
        </w:tc>
      </w:tr>
      <w:tr>
        <w:trPr>
          <w:trHeight w:val="144"/>
        </w:trPr>
        <w:tc>
          <w:tcPr>
            <w:tcW w:w="7340" w:type="dxa"/>
            <w:vAlign w:val="bottom"/>
            <w:shd w:val="clear" w:color="auto" w:fill="CCEEFF"/>
          </w:tcPr>
          <w:p>
            <w:pPr>
              <w:spacing w:after="0"/>
              <w:rPr>
                <w:sz w:val="20"/>
                <w:szCs w:val="20"/>
                <w:color w:val="auto"/>
              </w:rPr>
            </w:pPr>
            <w:r>
              <w:rPr>
                <w:rFonts w:ascii="Arial" w:cs="Arial" w:eastAsia="Arial" w:hAnsi="Arial"/>
                <w:sz w:val="12"/>
                <w:szCs w:val="12"/>
                <w:color w:val="auto"/>
              </w:rPr>
              <w:t>Over six months through one year</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57,565</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51,051</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108,616</w:t>
            </w:r>
          </w:p>
        </w:tc>
      </w:tr>
      <w:tr>
        <w:trPr>
          <w:trHeight w:val="144"/>
        </w:trPr>
        <w:tc>
          <w:tcPr>
            <w:tcW w:w="7340" w:type="dxa"/>
            <w:vAlign w:val="bottom"/>
          </w:tcPr>
          <w:p>
            <w:pPr>
              <w:spacing w:after="0"/>
              <w:rPr>
                <w:sz w:val="20"/>
                <w:szCs w:val="20"/>
                <w:color w:val="auto"/>
              </w:rPr>
            </w:pPr>
            <w:r>
              <w:rPr>
                <w:rFonts w:ascii="Arial" w:cs="Arial" w:eastAsia="Arial" w:hAnsi="Arial"/>
                <w:sz w:val="12"/>
                <w:szCs w:val="12"/>
                <w:color w:val="auto"/>
              </w:rPr>
              <w:t>Over one year</w:t>
            </w: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57,155</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9,570</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66,725</w:t>
            </w:r>
          </w:p>
        </w:tc>
      </w:tr>
      <w:tr>
        <w:trPr>
          <w:trHeight w:val="182"/>
        </w:trPr>
        <w:tc>
          <w:tcPr>
            <w:tcW w:w="7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w:t>
            </w:r>
          </w:p>
        </w:tc>
        <w:tc>
          <w:tcPr>
            <w:tcW w:w="20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242,719</w:t>
            </w:r>
          </w:p>
        </w:tc>
        <w:tc>
          <w:tcPr>
            <w:tcW w:w="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93,073</w:t>
            </w:r>
          </w:p>
        </w:tc>
        <w:tc>
          <w:tcPr>
            <w:tcW w:w="2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335,792</w:t>
            </w:r>
          </w:p>
        </w:tc>
        <w:tc>
          <w:tcPr>
            <w:tcW w:w="120" w:type="dxa"/>
            <w:vAlign w:val="bottom"/>
            <w:tcBorders>
              <w:bottom w:val="single" w:sz="8" w:color="CCEEFF"/>
            </w:tcBorders>
            <w:shd w:val="clear" w:color="auto" w:fill="CCEEFF"/>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91440</wp:posOffset>
            </wp:positionV>
            <wp:extent cx="931545" cy="114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931545" cy="11430"/>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auto"/>
        </w:rPr>
        <w:t>(1) Includes time deposits, brokered time deposits and reciprocal time deposits</w:t>
      </w:r>
    </w:p>
    <w:p>
      <w:pPr>
        <w:spacing w:after="0" w:line="150" w:lineRule="exact"/>
        <w:rPr>
          <w:sz w:val="20"/>
          <w:szCs w:val="20"/>
          <w:color w:val="auto"/>
        </w:rPr>
      </w:pPr>
    </w:p>
    <w:p>
      <w:pPr>
        <w:jc w:val="both"/>
        <w:ind w:firstLine="240"/>
        <w:spacing w:after="0" w:line="259" w:lineRule="auto"/>
        <w:rPr>
          <w:sz w:val="20"/>
          <w:szCs w:val="20"/>
          <w:color w:val="auto"/>
        </w:rPr>
      </w:pPr>
      <w:r>
        <w:rPr>
          <w:rFonts w:ascii="Arial" w:cs="Arial" w:eastAsia="Arial" w:hAnsi="Arial"/>
          <w:sz w:val="12"/>
          <w:szCs w:val="12"/>
          <w:color w:val="auto"/>
        </w:rPr>
        <w:t>At December 31, 2021, we had $269.1 million of time deposits (see note #8 to the Consolidated Financial Statements) that mature in the next 12 months. Historically, a majority of these maturing time deposits are renewed by our customers. Additionally, $3.81 billion of our deposits at December 31, 2021, were in account types from which the customer could withdraw the funds on demand. Changes in the balances of deposits that can be withdrawn upon demand are usually predictable and the total balances of these accounts have generally grown or have been stable over time as a result of our marketing and promotional activities. However, there can be no assurance that historical patterns of renewing time deposits or overall growth or stability in deposits will continue in the future.</w:t>
      </w:r>
    </w:p>
    <w:p>
      <w:pPr>
        <w:spacing w:after="0" w:line="124" w:lineRule="exact"/>
        <w:rPr>
          <w:sz w:val="20"/>
          <w:szCs w:val="20"/>
          <w:color w:val="auto"/>
        </w:rPr>
      </w:pPr>
    </w:p>
    <w:p>
      <w:pPr>
        <w:jc w:val="both"/>
        <w:ind w:firstLine="240"/>
        <w:spacing w:after="0" w:line="259" w:lineRule="auto"/>
        <w:rPr>
          <w:sz w:val="20"/>
          <w:szCs w:val="20"/>
          <w:color w:val="auto"/>
        </w:rPr>
      </w:pPr>
      <w:r>
        <w:rPr>
          <w:rFonts w:ascii="Arial" w:cs="Arial" w:eastAsia="Arial" w:hAnsi="Arial"/>
          <w:sz w:val="12"/>
          <w:szCs w:val="12"/>
          <w:color w:val="auto"/>
        </w:rPr>
        <w:t>We have developed contingency funding plans that stress test our liquidity needs that may arise from certain events such as an adverse change in our financial metrics (for example, credit quality or regulatory capital ratios). Our liquidity management also includes periodic monitoring that measures quick assets (defined generally as highly liquid or short-term assets) to total assets, short-term liability dependence and basic surplus (defined as quick assets less volatile liabilities to total assets). Policy limits have been established for our various liquidity measurements and are monitored on a quarterly basis. In addition, we also prepare cash flow forecasts that include a variety of different scenarios.</w:t>
      </w:r>
    </w:p>
    <w:p>
      <w:pPr>
        <w:spacing w:after="0" w:line="124" w:lineRule="exact"/>
        <w:rPr>
          <w:sz w:val="20"/>
          <w:szCs w:val="20"/>
          <w:color w:val="auto"/>
        </w:rPr>
      </w:pPr>
    </w:p>
    <w:p>
      <w:pPr>
        <w:jc w:val="both"/>
        <w:ind w:right="20" w:firstLine="240"/>
        <w:spacing w:after="0" w:line="276" w:lineRule="auto"/>
        <w:rPr>
          <w:sz w:val="20"/>
          <w:szCs w:val="20"/>
          <w:color w:val="auto"/>
        </w:rPr>
      </w:pPr>
      <w:r>
        <w:rPr>
          <w:rFonts w:ascii="Arial" w:cs="Arial" w:eastAsia="Arial" w:hAnsi="Arial"/>
          <w:sz w:val="12"/>
          <w:szCs w:val="12"/>
          <w:color w:val="auto"/>
        </w:rPr>
        <w:t>We believe that we currently have adequate liquidity at our Bank because of our cash and cash equivalents, our portfolio of securities available for sale, our access to secured advances from the FHLB, and our ability to issue Brokered CDs.</w:t>
      </w:r>
    </w:p>
    <w:p>
      <w:pPr>
        <w:spacing w:after="0" w:line="115" w:lineRule="exact"/>
        <w:rPr>
          <w:sz w:val="20"/>
          <w:szCs w:val="20"/>
          <w:color w:val="auto"/>
        </w:rPr>
      </w:pPr>
    </w:p>
    <w:p>
      <w:pPr>
        <w:jc w:val="both"/>
        <w:ind w:right="20" w:firstLine="240"/>
        <w:spacing w:after="0" w:line="276" w:lineRule="auto"/>
        <w:rPr>
          <w:sz w:val="20"/>
          <w:szCs w:val="20"/>
          <w:color w:val="auto"/>
        </w:rPr>
      </w:pPr>
      <w:r>
        <w:rPr>
          <w:rFonts w:ascii="Arial" w:cs="Arial" w:eastAsia="Arial" w:hAnsi="Arial"/>
          <w:sz w:val="12"/>
          <w:szCs w:val="12"/>
          <w:color w:val="auto"/>
        </w:rPr>
        <w:t>We also believe that the available cash on hand at the parent company (including time deposits) of approximately $46.1 million as of December 31, 2021, provides sufficient liquidity resources at the parent company to meet operating expenses, to make interest payments on our subordinated debt and debentures and to pay a cash dividend on our common stock for the foreseeable future.</w:t>
      </w:r>
    </w:p>
    <w:p>
      <w:pPr>
        <w:spacing w:after="0" w:line="115" w:lineRule="exact"/>
        <w:rPr>
          <w:sz w:val="20"/>
          <w:szCs w:val="20"/>
          <w:color w:val="auto"/>
        </w:rPr>
      </w:pPr>
    </w:p>
    <w:p>
      <w:pPr>
        <w:jc w:val="both"/>
        <w:ind w:firstLine="240"/>
        <w:spacing w:after="0" w:line="276" w:lineRule="auto"/>
        <w:rPr>
          <w:sz w:val="20"/>
          <w:szCs w:val="20"/>
          <w:color w:val="auto"/>
        </w:rPr>
      </w:pPr>
      <w:r>
        <w:rPr>
          <w:rFonts w:ascii="Arial" w:cs="Arial" w:eastAsia="Arial" w:hAnsi="Arial"/>
          <w:sz w:val="12"/>
          <w:szCs w:val="12"/>
          <w:color w:val="auto"/>
        </w:rPr>
        <w:t>In the normal course of business we enter into certain contractual obligations. Such obligations include requirements to make future payments on debt and lease arrangements, contractual commitments for capital expenditures, and service contracts.</w:t>
      </w:r>
    </w:p>
    <w:p>
      <w:pPr>
        <w:spacing w:after="0" w:line="115" w:lineRule="exact"/>
        <w:rPr>
          <w:sz w:val="20"/>
          <w:szCs w:val="20"/>
          <w:color w:val="auto"/>
        </w:rPr>
      </w:pPr>
    </w:p>
    <w:p>
      <w:pPr>
        <w:jc w:val="both"/>
        <w:ind w:firstLine="240"/>
        <w:spacing w:after="0" w:line="276" w:lineRule="auto"/>
        <w:rPr>
          <w:sz w:val="20"/>
          <w:szCs w:val="20"/>
          <w:color w:val="auto"/>
        </w:rPr>
      </w:pPr>
      <w:r>
        <w:rPr>
          <w:rFonts w:ascii="Arial" w:cs="Arial" w:eastAsia="Arial" w:hAnsi="Arial"/>
          <w:sz w:val="12"/>
          <w:szCs w:val="12"/>
          <w:color w:val="auto"/>
        </w:rPr>
        <w:t>Effective management of capital resources is critical to our mission to create value for our shareholders. In addition to common stock, our capital structure also currently includes subordinated debt and cumulative trust preferred securities.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57"/>
        </w:trPr>
        <w:tc>
          <w:tcPr>
            <w:tcW w:w="8700" w:type="dxa"/>
            <w:vAlign w:val="bottom"/>
          </w:tcPr>
          <w:p>
            <w:pPr>
              <w:spacing w:after="0"/>
              <w:rPr>
                <w:sz w:val="20"/>
                <w:szCs w:val="20"/>
                <w:color w:val="auto"/>
              </w:rPr>
            </w:pPr>
            <w:r>
              <w:rPr>
                <w:rFonts w:ascii="Arial" w:cs="Arial" w:eastAsia="Arial" w:hAnsi="Arial"/>
                <w:sz w:val="12"/>
                <w:szCs w:val="12"/>
                <w:b w:val="1"/>
                <w:bCs w:val="1"/>
                <w:color w:val="auto"/>
              </w:rPr>
              <w:t>CAPITALIZATION</w:t>
            </w: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870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3"/>
          </w:tcPr>
          <w:p>
            <w:pPr>
              <w:ind w:left="180"/>
              <w:spacing w:after="0"/>
              <w:rPr>
                <w:sz w:val="20"/>
                <w:szCs w:val="20"/>
                <w:color w:val="auto"/>
              </w:rPr>
            </w:pPr>
            <w:r>
              <w:rPr>
                <w:rFonts w:ascii="Arial" w:cs="Arial" w:eastAsia="Arial" w:hAnsi="Arial"/>
                <w:sz w:val="12"/>
                <w:szCs w:val="12"/>
                <w:b w:val="1"/>
                <w:bCs w:val="1"/>
                <w:color w:val="auto"/>
              </w:rPr>
              <w:t>December 31,</w:t>
            </w:r>
          </w:p>
        </w:tc>
        <w:tc>
          <w:tcPr>
            <w:tcW w:w="7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8700" w:type="dxa"/>
            <w:vAlign w:val="bottom"/>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4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12"/>
                <w:szCs w:val="12"/>
                <w:color w:val="auto"/>
              </w:rPr>
            </w:pPr>
          </w:p>
        </w:tc>
      </w:tr>
      <w:tr>
        <w:trPr>
          <w:trHeight w:val="142"/>
        </w:trPr>
        <w:tc>
          <w:tcPr>
            <w:tcW w:w="8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jc w:val="right"/>
              <w:ind w:right="60"/>
              <w:spacing w:after="0"/>
              <w:rPr>
                <w:sz w:val="20"/>
                <w:szCs w:val="20"/>
                <w:color w:val="auto"/>
              </w:rPr>
            </w:pPr>
            <w:r>
              <w:rPr>
                <w:rFonts w:ascii="Arial" w:cs="Arial" w:eastAsia="Arial" w:hAnsi="Arial"/>
                <w:sz w:val="12"/>
                <w:szCs w:val="12"/>
                <w:b w:val="1"/>
                <w:bCs w:val="1"/>
                <w:color w:val="auto"/>
              </w:rPr>
              <w:t>(In</w:t>
            </w:r>
          </w:p>
        </w:tc>
        <w:tc>
          <w:tcPr>
            <w:tcW w:w="58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74"/>
              </w:rPr>
              <w:t>thousands)</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Subordinated debt</w:t>
            </w:r>
          </w:p>
        </w:tc>
        <w:tc>
          <w:tcPr>
            <w:tcW w:w="720" w:type="dxa"/>
            <w:vAlign w:val="bottom"/>
            <w:shd w:val="clear" w:color="auto" w:fill="CCEEFF"/>
          </w:tcPr>
          <w:p>
            <w:pPr>
              <w:jc w:val="right"/>
              <w:ind w:right="608"/>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39,357</w:t>
            </w:r>
          </w:p>
        </w:tc>
        <w:tc>
          <w:tcPr>
            <w:tcW w:w="360" w:type="dxa"/>
            <w:vAlign w:val="bottom"/>
            <w:shd w:val="clear" w:color="auto" w:fill="CCEEFF"/>
          </w:tcPr>
          <w:p>
            <w:pPr>
              <w:jc w:val="center"/>
              <w:ind w:right="240"/>
              <w:spacing w:after="0"/>
              <w:rPr>
                <w:sz w:val="20"/>
                <w:szCs w:val="20"/>
                <w:color w:val="auto"/>
              </w:rPr>
            </w:pPr>
            <w:r>
              <w:rPr>
                <w:rFonts w:ascii="Arial" w:cs="Arial" w:eastAsia="Arial" w:hAnsi="Arial"/>
                <w:sz w:val="12"/>
                <w:szCs w:val="12"/>
                <w:color w:val="auto"/>
                <w:w w:val="8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39,281</w:t>
            </w:r>
          </w:p>
        </w:tc>
      </w:tr>
      <w:tr>
        <w:trPr>
          <w:trHeight w:val="144"/>
        </w:trPr>
        <w:tc>
          <w:tcPr>
            <w:tcW w:w="8700" w:type="dxa"/>
            <w:vAlign w:val="bottom"/>
          </w:tcPr>
          <w:p>
            <w:pPr>
              <w:spacing w:after="0"/>
              <w:rPr>
                <w:sz w:val="20"/>
                <w:szCs w:val="20"/>
                <w:color w:val="auto"/>
              </w:rPr>
            </w:pPr>
            <w:r>
              <w:rPr>
                <w:rFonts w:ascii="Arial" w:cs="Arial" w:eastAsia="Arial" w:hAnsi="Arial"/>
                <w:sz w:val="12"/>
                <w:szCs w:val="12"/>
                <w:color w:val="auto"/>
              </w:rPr>
              <w:t>Subordinated debentures</w:t>
            </w:r>
          </w:p>
        </w:tc>
        <w:tc>
          <w:tcPr>
            <w:tcW w:w="72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39,592</w:t>
            </w:r>
          </w:p>
        </w:tc>
        <w:tc>
          <w:tcPr>
            <w:tcW w:w="36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39,524</w:t>
            </w:r>
          </w:p>
        </w:tc>
      </w:tr>
      <w:tr>
        <w:trPr>
          <w:trHeight w:val="144"/>
        </w:trPr>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Amount not qualifying as regulatory capital</w:t>
            </w:r>
          </w:p>
        </w:tc>
        <w:tc>
          <w:tcPr>
            <w:tcW w:w="7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(581)</w:t>
            </w: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(505)</w:t>
            </w:r>
          </w:p>
        </w:tc>
      </w:tr>
      <w:tr>
        <w:trPr>
          <w:trHeight w:val="20"/>
        </w:trPr>
        <w:tc>
          <w:tcPr>
            <w:tcW w:w="870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8700" w:type="dxa"/>
            <w:vAlign w:val="bottom"/>
          </w:tcPr>
          <w:p>
            <w:pPr>
              <w:ind w:left="100"/>
              <w:spacing w:after="0"/>
              <w:rPr>
                <w:sz w:val="20"/>
                <w:szCs w:val="20"/>
                <w:color w:val="auto"/>
              </w:rPr>
            </w:pPr>
            <w:r>
              <w:rPr>
                <w:rFonts w:ascii="Arial" w:cs="Arial" w:eastAsia="Arial" w:hAnsi="Arial"/>
                <w:sz w:val="12"/>
                <w:szCs w:val="12"/>
                <w:color w:val="auto"/>
              </w:rPr>
              <w:t>Amount qualifying as regulatory capital</w:t>
            </w:r>
          </w:p>
        </w:tc>
        <w:tc>
          <w:tcPr>
            <w:tcW w:w="72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78,368</w:t>
            </w:r>
          </w:p>
        </w:tc>
        <w:tc>
          <w:tcPr>
            <w:tcW w:w="36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78,300</w:t>
            </w:r>
          </w:p>
        </w:tc>
      </w:tr>
      <w:tr>
        <w:trPr>
          <w:trHeight w:val="142"/>
        </w:trPr>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Shareholders’ equity</w:t>
            </w:r>
          </w:p>
        </w:tc>
        <w:tc>
          <w:tcPr>
            <w:tcW w:w="72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700" w:type="dxa"/>
            <w:vAlign w:val="bottom"/>
          </w:tcPr>
          <w:p>
            <w:pPr>
              <w:ind w:left="100"/>
              <w:spacing w:after="0"/>
              <w:rPr>
                <w:sz w:val="20"/>
                <w:szCs w:val="20"/>
                <w:color w:val="auto"/>
              </w:rPr>
            </w:pPr>
            <w:r>
              <w:rPr>
                <w:rFonts w:ascii="Arial" w:cs="Arial" w:eastAsia="Arial" w:hAnsi="Arial"/>
                <w:sz w:val="12"/>
                <w:szCs w:val="12"/>
                <w:color w:val="auto"/>
              </w:rPr>
              <w:t>Common stock</w:t>
            </w:r>
          </w:p>
        </w:tc>
        <w:tc>
          <w:tcPr>
            <w:tcW w:w="7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w w:val="92"/>
              </w:rPr>
              <w:t>323,401</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339,353</w:t>
            </w:r>
          </w:p>
        </w:tc>
      </w:tr>
      <w:tr>
        <w:trPr>
          <w:trHeight w:val="144"/>
        </w:trPr>
        <w:tc>
          <w:tcPr>
            <w:tcW w:w="87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Retained earnings</w:t>
            </w:r>
          </w:p>
        </w:tc>
        <w:tc>
          <w:tcPr>
            <w:tcW w:w="7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74,582</w:t>
            </w: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40,145</w:t>
            </w:r>
          </w:p>
        </w:tc>
      </w:tr>
      <w:tr>
        <w:trPr>
          <w:trHeight w:val="144"/>
        </w:trPr>
        <w:tc>
          <w:tcPr>
            <w:tcW w:w="8700" w:type="dxa"/>
            <w:vAlign w:val="bottom"/>
          </w:tcPr>
          <w:p>
            <w:pPr>
              <w:ind w:left="100"/>
              <w:spacing w:after="0"/>
              <w:rPr>
                <w:sz w:val="20"/>
                <w:szCs w:val="20"/>
                <w:color w:val="auto"/>
              </w:rPr>
            </w:pPr>
            <w:r>
              <w:rPr>
                <w:rFonts w:ascii="Arial" w:cs="Arial" w:eastAsia="Arial" w:hAnsi="Arial"/>
                <w:sz w:val="12"/>
                <w:szCs w:val="12"/>
                <w:color w:val="auto"/>
              </w:rPr>
              <w:t>Accumulated other comprehensive income</w:t>
            </w:r>
          </w:p>
        </w:tc>
        <w:tc>
          <w:tcPr>
            <w:tcW w:w="7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501</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10,024</w:t>
            </w:r>
          </w:p>
        </w:tc>
      </w:tr>
      <w:tr>
        <w:trPr>
          <w:trHeight w:val="142"/>
        </w:trPr>
        <w:tc>
          <w:tcPr>
            <w:tcW w:w="8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Total shareholders’ equity</w:t>
            </w:r>
          </w:p>
        </w:tc>
        <w:tc>
          <w:tcPr>
            <w:tcW w:w="720" w:type="dxa"/>
            <w:vAlign w:val="bottom"/>
            <w:tcBorders>
              <w:top w:val="single" w:sz="8" w:color="auto"/>
              <w:bottom w:val="single" w:sz="8" w:color="auto"/>
            </w:tcBorders>
            <w:shd w:val="clear" w:color="auto" w:fill="CCEEFF"/>
          </w:tcPr>
          <w:p>
            <w:pPr>
              <w:spacing w:after="0"/>
              <w:rPr>
                <w:sz w:val="12"/>
                <w:szCs w:val="12"/>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2"/>
              </w:rPr>
              <w:t>398,484</w:t>
            </w:r>
          </w:p>
        </w:tc>
        <w:tc>
          <w:tcPr>
            <w:tcW w:w="2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389,522</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142"/>
        </w:trPr>
        <w:tc>
          <w:tcPr>
            <w:tcW w:w="8700" w:type="dxa"/>
            <w:vAlign w:val="bottom"/>
          </w:tcPr>
          <w:p>
            <w:pPr>
              <w:ind w:left="200"/>
              <w:spacing w:after="0"/>
              <w:rPr>
                <w:sz w:val="20"/>
                <w:szCs w:val="20"/>
                <w:color w:val="auto"/>
              </w:rPr>
            </w:pPr>
            <w:r>
              <w:rPr>
                <w:rFonts w:ascii="Arial" w:cs="Arial" w:eastAsia="Arial" w:hAnsi="Arial"/>
                <w:sz w:val="12"/>
                <w:szCs w:val="12"/>
                <w:color w:val="auto"/>
              </w:rPr>
              <w:t>Total capitalization</w:t>
            </w:r>
          </w:p>
        </w:tc>
        <w:tc>
          <w:tcPr>
            <w:tcW w:w="720" w:type="dxa"/>
            <w:vAlign w:val="bottom"/>
          </w:tcPr>
          <w:p>
            <w:pPr>
              <w:jc w:val="right"/>
              <w:ind w:right="608"/>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2"/>
                <w:szCs w:val="12"/>
                <w:color w:val="auto"/>
                <w:w w:val="92"/>
              </w:rPr>
              <w:t>476,852</w:t>
            </w:r>
          </w:p>
        </w:tc>
        <w:tc>
          <w:tcPr>
            <w:tcW w:w="220" w:type="dxa"/>
            <w:vAlign w:val="bottom"/>
          </w:tcPr>
          <w:p>
            <w:pPr>
              <w:spacing w:after="0"/>
              <w:rPr>
                <w:sz w:val="12"/>
                <w:szCs w:val="12"/>
                <w:color w:val="auto"/>
              </w:rPr>
            </w:pPr>
          </w:p>
        </w:tc>
        <w:tc>
          <w:tcPr>
            <w:tcW w:w="360" w:type="dxa"/>
            <w:vAlign w:val="bottom"/>
          </w:tcPr>
          <w:p>
            <w:pPr>
              <w:jc w:val="center"/>
              <w:ind w:right="240"/>
              <w:spacing w:after="0"/>
              <w:rPr>
                <w:sz w:val="20"/>
                <w:szCs w:val="20"/>
                <w:color w:val="auto"/>
              </w:rPr>
            </w:pPr>
            <w:r>
              <w:rPr>
                <w:rFonts w:ascii="Arial" w:cs="Arial" w:eastAsia="Arial" w:hAnsi="Arial"/>
                <w:sz w:val="12"/>
                <w:szCs w:val="12"/>
                <w:color w:val="auto"/>
                <w:w w:val="89"/>
              </w:rPr>
              <w:t>$</w:t>
            </w: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467,822</w:t>
            </w:r>
          </w:p>
        </w:tc>
      </w:tr>
      <w:tr>
        <w:trPr>
          <w:trHeight w:val="20"/>
        </w:trPr>
        <w:tc>
          <w:tcPr>
            <w:tcW w:w="87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5" w:lineRule="exact"/>
        <w:rPr>
          <w:sz w:val="20"/>
          <w:szCs w:val="20"/>
          <w:color w:val="auto"/>
        </w:rPr>
      </w:pPr>
    </w:p>
    <w:p>
      <w:pPr>
        <w:jc w:val="both"/>
        <w:ind w:firstLine="240"/>
        <w:spacing w:after="0" w:line="259" w:lineRule="auto"/>
        <w:rPr>
          <w:sz w:val="20"/>
          <w:szCs w:val="20"/>
          <w:color w:val="auto"/>
        </w:rPr>
      </w:pPr>
      <w:r>
        <w:rPr>
          <w:rFonts w:ascii="Arial" w:cs="Arial" w:eastAsia="Arial" w:hAnsi="Arial"/>
          <w:sz w:val="12"/>
          <w:szCs w:val="12"/>
          <w:color w:val="auto"/>
        </w:rPr>
        <w:t>In May 2020, we issued $40.0 million of fixed to floating subordinated notes with a ten year maturity and a five year call option. The initial coupon rate is 5.95% fixed for five years and then floats at the Secured Overnight Financing Rate (“SOFR”) plus 5.825%. These notes are presented in the Consolidated Statement of Financial Condition under the caption “Subordinated debt” and the December 31, 2021 and 2020 balances of $39.4 million and $39.3 million, respectively, is net of remaining unamortized deferred issuance costs that are being amortized through the maturity date into interest expense on other borrowings and subordinated debt and debentures in our Consolidated Statement of Operations.</w:t>
      </w:r>
    </w:p>
    <w:p>
      <w:pPr>
        <w:spacing w:after="0" w:line="124" w:lineRule="exact"/>
        <w:rPr>
          <w:sz w:val="20"/>
          <w:szCs w:val="20"/>
          <w:color w:val="auto"/>
        </w:rPr>
      </w:pPr>
    </w:p>
    <w:p>
      <w:pPr>
        <w:jc w:val="both"/>
        <w:ind w:firstLine="240"/>
        <w:spacing w:after="0" w:line="263" w:lineRule="auto"/>
        <w:rPr>
          <w:sz w:val="20"/>
          <w:szCs w:val="20"/>
          <w:color w:val="auto"/>
        </w:rPr>
      </w:pPr>
      <w:r>
        <w:rPr>
          <w:rFonts w:ascii="Arial" w:cs="Arial" w:eastAsia="Arial" w:hAnsi="Arial"/>
          <w:sz w:val="12"/>
          <w:szCs w:val="12"/>
          <w:color w:val="auto"/>
        </w:rPr>
        <w:t>We currently have four special purpose entities with $39.5 million of outstanding cumulative trust preferred securities. These special purpose entities issued common securities and provided cash to our parent company that in turn issued subordinated debentures to these special purpose entities equal to the trust preferred securities and common securities. The subordinated debentures represent the sole asset of the special purpose entities. The common securities and subordinated debentures are included in our Consolidated Statements of Financial Condition.</w:t>
      </w:r>
    </w:p>
    <w:p>
      <w:pPr>
        <w:spacing w:after="0" w:line="122" w:lineRule="exact"/>
        <w:rPr>
          <w:sz w:val="20"/>
          <w:szCs w:val="20"/>
          <w:color w:val="auto"/>
        </w:rPr>
      </w:pPr>
    </w:p>
    <w:p>
      <w:pPr>
        <w:jc w:val="both"/>
        <w:ind w:firstLine="240"/>
        <w:spacing w:after="0" w:line="259" w:lineRule="auto"/>
        <w:rPr>
          <w:sz w:val="20"/>
          <w:szCs w:val="20"/>
          <w:color w:val="auto"/>
        </w:rPr>
      </w:pPr>
      <w:r>
        <w:rPr>
          <w:rFonts w:ascii="Arial" w:cs="Arial" w:eastAsia="Arial" w:hAnsi="Arial"/>
          <w:sz w:val="12"/>
          <w:szCs w:val="12"/>
          <w:color w:val="auto"/>
        </w:rPr>
        <w:t>The FRB has issued rules regarding trust preferred securities as a component of the Tier 1 capital of bank holding companies. The aggregate amount of trust preferred securities (and certain other capital elements) is limited to 25% of Tier 1 capital elements, net of goodwill (net of any associated deferred tax liability). The amount of trust preferred securities and certain other elements in excess of the limit can be included in Tier 2 capital, subject to restrictions. Although the Dodd-Frank Act further limited Tier 1 treatment for trust preferred securities, those new limits did not apply to our outstanding trust preferred securities. Further, the capital rules allow for the treatment of our trust preferred securities as qualifying regulatory capital.</w:t>
      </w:r>
    </w:p>
    <w:p>
      <w:pPr>
        <w:spacing w:after="0" w:line="124" w:lineRule="exact"/>
        <w:rPr>
          <w:sz w:val="20"/>
          <w:szCs w:val="20"/>
          <w:color w:val="auto"/>
        </w:rPr>
      </w:pPr>
    </w:p>
    <w:p>
      <w:pPr>
        <w:jc w:val="both"/>
        <w:ind w:firstLine="240"/>
        <w:spacing w:after="0" w:line="298" w:lineRule="auto"/>
        <w:rPr>
          <w:sz w:val="20"/>
          <w:szCs w:val="20"/>
          <w:color w:val="auto"/>
        </w:rPr>
      </w:pPr>
      <w:r>
        <w:rPr>
          <w:rFonts w:ascii="Arial" w:cs="Arial" w:eastAsia="Arial" w:hAnsi="Arial"/>
          <w:sz w:val="11"/>
          <w:szCs w:val="11"/>
          <w:color w:val="auto"/>
        </w:rPr>
        <w:t>Common shareholders’ equity increased to $398.5 million at December 31, 2021 from $389.5 million at December 31, 2020, due primarily to our net income which was partially offset by the change in our accumulated other comprehensive income , share repurchases and dividends that we paid. Our tangible common equity (“TCE”) totaled $366.8 million and $356.9 million, respectively, at those same dates. Our ratio of TCE to tangible assets was 7.85% and 8.56% at December 31, 2021 and 2020, respectively. TCE and the ratio of TCE to tangible assets are non-GAAP measures. TCE represents total common equity less intangible assets.</w:t>
      </w:r>
    </w:p>
    <w:p>
      <w:pPr>
        <w:spacing w:after="0" w:line="105" w:lineRule="exact"/>
        <w:rPr>
          <w:sz w:val="20"/>
          <w:szCs w:val="20"/>
          <w:color w:val="auto"/>
        </w:rPr>
      </w:pPr>
    </w:p>
    <w:p>
      <w:pPr>
        <w:jc w:val="both"/>
        <w:ind w:firstLine="240"/>
        <w:spacing w:after="0" w:line="276" w:lineRule="auto"/>
        <w:rPr>
          <w:sz w:val="20"/>
          <w:szCs w:val="20"/>
          <w:color w:val="auto"/>
        </w:rPr>
      </w:pPr>
      <w:r>
        <w:rPr>
          <w:rFonts w:ascii="Arial" w:cs="Arial" w:eastAsia="Arial" w:hAnsi="Arial"/>
          <w:sz w:val="12"/>
          <w:szCs w:val="12"/>
          <w:color w:val="auto"/>
        </w:rPr>
        <w:t>In December 2021, our Board of Directors authorized the 2022 share repurchase plan. Under the terms of the 2022 share repurchase plan, we are authorized to buy back up to 1,100,000 shares, or approximately 5%, of our outstanding common stock. This repurchase plan commenced on January 1, 2022, and is expected to last through December 31, 2022.</w:t>
      </w:r>
    </w:p>
    <w:p>
      <w:pPr>
        <w:spacing w:after="0" w:line="115" w:lineRule="exact"/>
        <w:rPr>
          <w:sz w:val="20"/>
          <w:szCs w:val="20"/>
          <w:color w:val="auto"/>
        </w:rPr>
      </w:pPr>
    </w:p>
    <w:p>
      <w:pPr>
        <w:jc w:val="both"/>
        <w:ind w:right="20" w:firstLine="240"/>
        <w:spacing w:after="0" w:line="276" w:lineRule="auto"/>
        <w:rPr>
          <w:sz w:val="20"/>
          <w:szCs w:val="20"/>
          <w:color w:val="auto"/>
        </w:rPr>
      </w:pPr>
      <w:r>
        <w:rPr>
          <w:rFonts w:ascii="Arial" w:cs="Arial" w:eastAsia="Arial" w:hAnsi="Arial"/>
          <w:sz w:val="12"/>
          <w:szCs w:val="12"/>
          <w:color w:val="auto"/>
        </w:rPr>
        <w:t>In December 2020, our Board of Directors authorized the 2021 share repurchase plan. Under the original terms of the share repurchase plan, we were authorized to buy back 1,100,000 shares, or approximately 5% of our outstanding common stock. The share repurchase plan expired on December 31, 2021. We repurchased 814,910 shares during 2021 at an average cost of $21.19 per share.</w:t>
      </w:r>
    </w:p>
    <w:p>
      <w:pPr>
        <w:spacing w:after="0" w:line="115" w:lineRule="exact"/>
        <w:rPr>
          <w:sz w:val="20"/>
          <w:szCs w:val="20"/>
          <w:color w:val="auto"/>
        </w:rPr>
      </w:pPr>
    </w:p>
    <w:p>
      <w:pPr>
        <w:ind w:left="240"/>
        <w:spacing w:after="0"/>
        <w:rPr>
          <w:sz w:val="20"/>
          <w:szCs w:val="20"/>
          <w:color w:val="auto"/>
        </w:rPr>
      </w:pPr>
      <w:r>
        <w:rPr>
          <w:rFonts w:ascii="Arial" w:cs="Arial" w:eastAsia="Arial" w:hAnsi="Arial"/>
          <w:sz w:val="10"/>
          <w:szCs w:val="10"/>
          <w:color w:val="auto"/>
        </w:rPr>
        <w:t>In December 2019, our Board of Directors authorized a 2020 share repurchase plan. Under the terms of the 2020 share repurchase plan, we were authorized to buy back 1,120,000 shares, or approximately 5%, of our outstanding</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52" w:name="page53"/>
    <w:bookmarkEnd w:id="52"/>
    <w:p>
      <w:pPr>
        <w:jc w:val="both"/>
        <w:spacing w:after="0" w:line="263" w:lineRule="auto"/>
        <w:rPr>
          <w:sz w:val="20"/>
          <w:szCs w:val="20"/>
          <w:color w:val="auto"/>
        </w:rPr>
      </w:pPr>
      <w:r>
        <w:rPr>
          <w:rFonts w:ascii="Arial" w:cs="Arial" w:eastAsia="Arial" w:hAnsi="Arial"/>
          <w:sz w:val="12"/>
          <w:szCs w:val="12"/>
          <w:color w:val="auto"/>
        </w:rPr>
        <w:t>common stock. During the first three months of 2020, we repurchased 678,929 shares at a weighted average purchase price of $20.30 per share. Due primarily to the economic uncertainty brought on by the COVID-19 pandemic, we suspended share repurchase activity on March 16, 2020. However, primarily as a result our strong financial performance and improved economic conditions, we reactivated the share repurchase plan in the fourth quarter of 2020 and acquired 30,027 shares at a weighted average price of $14.90. We repurchased a total of 708,956 shares at a weighted average price of $20.07 in 2020.</w:t>
      </w:r>
    </w:p>
    <w:p>
      <w:pPr>
        <w:spacing w:after="0" w:line="122" w:lineRule="exact"/>
        <w:rPr>
          <w:sz w:val="20"/>
          <w:szCs w:val="20"/>
          <w:color w:val="auto"/>
        </w:rPr>
      </w:pPr>
    </w:p>
    <w:p>
      <w:pPr>
        <w:ind w:firstLine="240"/>
        <w:spacing w:after="0" w:line="276" w:lineRule="auto"/>
        <w:rPr>
          <w:sz w:val="20"/>
          <w:szCs w:val="20"/>
          <w:color w:val="auto"/>
        </w:rPr>
      </w:pPr>
      <w:r>
        <w:rPr>
          <w:rFonts w:ascii="Arial" w:cs="Arial" w:eastAsia="Arial" w:hAnsi="Arial"/>
          <w:sz w:val="12"/>
          <w:szCs w:val="12"/>
          <w:color w:val="auto"/>
        </w:rPr>
        <w:t>We currently pay a quarterly cash dividend on our common stock. The annual total dividends paid were $0.84, $0.80 and $0.72 per share for 2021, 2020 and 2019, respectively. We currently favor a dividend payout ratio between 30% and 50% of net income.</w:t>
      </w:r>
    </w:p>
    <w:p>
      <w:pPr>
        <w:spacing w:after="0" w:line="115" w:lineRule="exact"/>
        <w:rPr>
          <w:sz w:val="20"/>
          <w:szCs w:val="20"/>
          <w:color w:val="auto"/>
        </w:rPr>
      </w:pPr>
    </w:p>
    <w:p>
      <w:pPr>
        <w:jc w:val="both"/>
        <w:ind w:right="20" w:firstLine="240"/>
        <w:spacing w:after="0" w:line="276" w:lineRule="auto"/>
        <w:rPr>
          <w:sz w:val="20"/>
          <w:szCs w:val="20"/>
          <w:color w:val="auto"/>
        </w:rPr>
      </w:pPr>
      <w:r>
        <w:rPr>
          <w:rFonts w:ascii="Arial" w:cs="Arial" w:eastAsia="Arial" w:hAnsi="Arial"/>
          <w:sz w:val="12"/>
          <w:szCs w:val="12"/>
          <w:color w:val="auto"/>
        </w:rPr>
        <w:t>As of December 31, 2021 and 2020, our Bank (and holding company) continued to meet the requirements to be considered “well-capitalized” under federal regulatory standards (also see note #20 to the Consolidated Financial Statements).</w:t>
      </w:r>
    </w:p>
    <w:p>
      <w:pPr>
        <w:spacing w:after="0" w:line="115" w:lineRule="exact"/>
        <w:rPr>
          <w:sz w:val="20"/>
          <w:szCs w:val="20"/>
          <w:color w:val="auto"/>
        </w:rPr>
      </w:pPr>
    </w:p>
    <w:p>
      <w:pPr>
        <w:jc w:val="both"/>
        <w:ind w:right="20" w:firstLine="240"/>
        <w:spacing w:after="0" w:line="276" w:lineRule="auto"/>
        <w:rPr>
          <w:sz w:val="20"/>
          <w:szCs w:val="20"/>
          <w:color w:val="auto"/>
        </w:rPr>
      </w:pPr>
      <w:r>
        <w:rPr>
          <w:rFonts w:ascii="Arial" w:cs="Arial" w:eastAsia="Arial" w:hAnsi="Arial"/>
          <w:sz w:val="12"/>
          <w:szCs w:val="12"/>
          <w:i w:val="1"/>
          <w:iCs w:val="1"/>
          <w:color w:val="auto"/>
        </w:rPr>
        <w:t xml:space="preserve">Asset/liability management. </w:t>
      </w:r>
      <w:r>
        <w:rPr>
          <w:rFonts w:ascii="Arial" w:cs="Arial" w:eastAsia="Arial" w:hAnsi="Arial"/>
          <w:sz w:val="12"/>
          <w:szCs w:val="12"/>
          <w:color w:val="auto"/>
        </w:rPr>
        <w:t>Interest-rate risk is created by differences in the cash flow characteristics of our assets and liabilities. Options embedded in certain financial instruments, including caps on adjustable-rate loans as well</w:t>
      </w:r>
      <w:r>
        <w:rPr>
          <w:rFonts w:ascii="Arial" w:cs="Arial" w:eastAsia="Arial" w:hAnsi="Arial"/>
          <w:sz w:val="12"/>
          <w:szCs w:val="12"/>
          <w:i w:val="1"/>
          <w:iCs w:val="1"/>
          <w:color w:val="auto"/>
        </w:rPr>
        <w:t xml:space="preserve"> </w:t>
      </w:r>
      <w:r>
        <w:rPr>
          <w:rFonts w:ascii="Arial" w:cs="Arial" w:eastAsia="Arial" w:hAnsi="Arial"/>
          <w:sz w:val="12"/>
          <w:szCs w:val="12"/>
          <w:color w:val="auto"/>
        </w:rPr>
        <w:t>as borrowers’ rights to prepay fixed-rate loans, also create interest-rate risk.</w:t>
      </w:r>
    </w:p>
    <w:p>
      <w:pPr>
        <w:spacing w:after="0" w:line="115" w:lineRule="exact"/>
        <w:rPr>
          <w:sz w:val="20"/>
          <w:szCs w:val="20"/>
          <w:color w:val="auto"/>
        </w:rPr>
      </w:pPr>
    </w:p>
    <w:p>
      <w:pPr>
        <w:jc w:val="both"/>
        <w:ind w:firstLine="240"/>
        <w:spacing w:after="0" w:line="259" w:lineRule="auto"/>
        <w:rPr>
          <w:sz w:val="20"/>
          <w:szCs w:val="20"/>
          <w:color w:val="auto"/>
        </w:rPr>
      </w:pPr>
      <w:r>
        <w:rPr>
          <w:rFonts w:ascii="Arial" w:cs="Arial" w:eastAsia="Arial" w:hAnsi="Arial"/>
          <w:sz w:val="12"/>
          <w:szCs w:val="12"/>
          <w:color w:val="auto"/>
        </w:rPr>
        <w:t>Our asset/liability management efforts identify and evaluate opportunities to structure our statement of financial condition in a manner that is consistent with our mission to maintain profitable financial leverage within established risk parameters. We evaluate various opportunities and alternate asset/liability management strategies carefully and consider the likely impact on our risk profile as well as the anticipated contribution to earnings. The marginal cost of funds is a principal consideration in the implementation of our asset/liability management strategies, but such evaluations further consider interest-rate and liquidity risk as well as other pertinent factors. We have established parameters for interest-rate risk. We regularly monitor our interest-rate risk and report at least quarterly to our board of directors.</w:t>
      </w:r>
    </w:p>
    <w:p>
      <w:pPr>
        <w:spacing w:after="0" w:line="124" w:lineRule="exact"/>
        <w:rPr>
          <w:sz w:val="20"/>
          <w:szCs w:val="20"/>
          <w:color w:val="auto"/>
        </w:rPr>
      </w:pPr>
    </w:p>
    <w:p>
      <w:pPr>
        <w:jc w:val="both"/>
        <w:ind w:firstLine="240"/>
        <w:spacing w:after="0" w:line="280" w:lineRule="auto"/>
        <w:rPr>
          <w:sz w:val="20"/>
          <w:szCs w:val="20"/>
          <w:color w:val="auto"/>
        </w:rPr>
      </w:pPr>
      <w:r>
        <w:rPr>
          <w:rFonts w:ascii="Arial" w:cs="Arial" w:eastAsia="Arial" w:hAnsi="Arial"/>
          <w:sz w:val="11"/>
          <w:szCs w:val="11"/>
          <w:color w:val="auto"/>
        </w:rPr>
        <w:t>We employ simulation analyses to monitor our interest-rate risk profile and evaluate potential changes in our net interest income and market value of portfolio equity that result from changes in interest rates. The purpose of these simulations is to identify sources of interest-rate risk inherent in our Consolidated Statements of Financial Condition. The simulations do not anticipate any actions that we might initiate in response to changes in interest rates and, accordingly, the simulations do not provide a reliable forecast of anticipated results. The simulations are predicated on immediate, permanent and parallel shifts in interest rates and generally assume that current loan and deposit pricing relationships remain constant. The simulations further incorporate assumptions relating to changes in customer behavior, including changes in prepayment rates on certain assets and liabilities. During 2021, our interest rate risk profile as measured by our short term earnings simulation has not changed significantly while our longer term interest rate risk measure based on changes in economic value now indicates modest exposure to rising rates. The shift is primarily due to an increase in asset duration. The increase in asset duration is attributed to growth and mix changes in the investment portfolio and portfolio mortgage loans. However, we are carefully monitoring this change in the composition of our earning assets and the impact of potential future changes in interest rates on our changes in market value of portfolio equity and changes in net interest income. As a result, we may add some longer-term borrowings, may utilize derivatives (interest rate swaps and interest rate caps) to manage interest rate risk and may continue to sell some fixed rate jumbo and other portfolio mortgage loans in the future.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260" w:type="dxa"/>
            <w:vAlign w:val="bottom"/>
          </w:tcPr>
          <w:p>
            <w:pPr>
              <w:spacing w:after="0"/>
              <w:rPr>
                <w:sz w:val="20"/>
                <w:szCs w:val="20"/>
                <w:color w:val="auto"/>
              </w:rPr>
            </w:pPr>
            <w:r>
              <w:rPr>
                <w:rFonts w:ascii="Arial" w:cs="Arial" w:eastAsia="Arial" w:hAnsi="Arial"/>
                <w:sz w:val="12"/>
                <w:szCs w:val="12"/>
                <w:b w:val="1"/>
                <w:bCs w:val="1"/>
                <w:color w:val="auto"/>
              </w:rPr>
              <w:t>CHANGES IN MARKET VALUE OF PORTFOLIO EQUITY AND NET INTEREST INCOME</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5"/>
        </w:trPr>
        <w:tc>
          <w:tcPr>
            <w:tcW w:w="5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rPr>
              <w:t>Market</w:t>
            </w:r>
          </w:p>
        </w:tc>
        <w:tc>
          <w:tcPr>
            <w:tcW w:w="1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5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89"/>
              </w:rPr>
              <w:t>Value of</w:t>
            </w: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92"/>
              </w:rPr>
              <w:t>Net</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89"/>
              </w:rPr>
              <w:t>Portfolio</w:t>
            </w:r>
          </w:p>
        </w:tc>
        <w:tc>
          <w:tcPr>
            <w:tcW w:w="1560" w:type="dxa"/>
            <w:vAlign w:val="bottom"/>
            <w:gridSpan w:val="3"/>
          </w:tcPr>
          <w:p>
            <w:pPr>
              <w:jc w:val="right"/>
              <w:ind w:right="740"/>
              <w:spacing w:after="0"/>
              <w:rPr>
                <w:sz w:val="20"/>
                <w:szCs w:val="20"/>
                <w:color w:val="auto"/>
              </w:rPr>
            </w:pPr>
            <w:r>
              <w:rPr>
                <w:rFonts w:ascii="Arial" w:cs="Arial" w:eastAsia="Arial" w:hAnsi="Arial"/>
                <w:sz w:val="12"/>
                <w:szCs w:val="12"/>
                <w:b w:val="1"/>
                <w:bCs w:val="1"/>
                <w:color w:val="auto"/>
              </w:rPr>
              <w:t>Percent</w:t>
            </w:r>
          </w:p>
        </w:tc>
        <w:tc>
          <w:tcPr>
            <w:tcW w:w="116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92"/>
              </w:rPr>
              <w:t>Interest</w:t>
            </w:r>
          </w:p>
        </w:tc>
        <w:tc>
          <w:tcPr>
            <w:tcW w:w="1240" w:type="dxa"/>
            <w:vAlign w:val="bottom"/>
            <w:gridSpan w:val="2"/>
          </w:tcPr>
          <w:p>
            <w:pPr>
              <w:jc w:val="right"/>
              <w:ind w:right="480"/>
              <w:spacing w:after="0"/>
              <w:rPr>
                <w:sz w:val="20"/>
                <w:szCs w:val="20"/>
                <w:color w:val="auto"/>
              </w:rPr>
            </w:pPr>
            <w:r>
              <w:rPr>
                <w:rFonts w:ascii="Arial" w:cs="Arial" w:eastAsia="Arial" w:hAnsi="Arial"/>
                <w:sz w:val="12"/>
                <w:szCs w:val="12"/>
                <w:b w:val="1"/>
                <w:bCs w:val="1"/>
                <w:color w:val="auto"/>
              </w:rPr>
              <w:t>Percent</w:t>
            </w:r>
          </w:p>
        </w:tc>
        <w:tc>
          <w:tcPr>
            <w:tcW w:w="0" w:type="dxa"/>
            <w:vAlign w:val="bottom"/>
          </w:tcPr>
          <w:p>
            <w:pPr>
              <w:spacing w:after="0"/>
              <w:rPr>
                <w:sz w:val="1"/>
                <w:szCs w:val="1"/>
                <w:color w:val="auto"/>
              </w:rPr>
            </w:pPr>
          </w:p>
        </w:tc>
      </w:tr>
      <w:tr>
        <w:trPr>
          <w:trHeight w:val="162"/>
        </w:trPr>
        <w:tc>
          <w:tcPr>
            <w:tcW w:w="5260" w:type="dxa"/>
            <w:vAlign w:val="bottom"/>
          </w:tcPr>
          <w:p>
            <w:pPr>
              <w:spacing w:after="0"/>
              <w:rPr>
                <w:sz w:val="20"/>
                <w:szCs w:val="20"/>
                <w:color w:val="auto"/>
              </w:rPr>
            </w:pPr>
            <w:r>
              <w:rPr>
                <w:rFonts w:ascii="Arial" w:cs="Arial" w:eastAsia="Arial" w:hAnsi="Arial"/>
                <w:sz w:val="12"/>
                <w:szCs w:val="12"/>
                <w:b w:val="1"/>
                <w:bCs w:val="1"/>
                <w:color w:val="auto"/>
              </w:rPr>
              <w:t>Change in Interest Rates</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400"/>
              <w:spacing w:after="0" w:line="162" w:lineRule="exact"/>
              <w:rPr>
                <w:sz w:val="20"/>
                <w:szCs w:val="20"/>
                <w:color w:val="auto"/>
              </w:rPr>
            </w:pPr>
            <w:r>
              <w:rPr>
                <w:rFonts w:ascii="Arial" w:cs="Arial" w:eastAsia="Arial" w:hAnsi="Arial"/>
                <w:sz w:val="11"/>
                <w:szCs w:val="11"/>
                <w:b w:val="1"/>
                <w:bCs w:val="1"/>
                <w:color w:val="auto"/>
                <w:w w:val="95"/>
              </w:rPr>
              <w:t>Equity</w:t>
            </w:r>
            <w:r>
              <w:rPr>
                <w:rFonts w:ascii="Arial" w:cs="Arial" w:eastAsia="Arial" w:hAnsi="Arial"/>
                <w:sz w:val="18"/>
                <w:szCs w:val="18"/>
                <w:b w:val="1"/>
                <w:bCs w:val="1"/>
                <w:color w:val="auto"/>
                <w:w w:val="95"/>
                <w:vertAlign w:val="superscript"/>
              </w:rPr>
              <w:t>(1)</w:t>
            </w:r>
          </w:p>
        </w:tc>
        <w:tc>
          <w:tcPr>
            <w:tcW w:w="1560" w:type="dxa"/>
            <w:vAlign w:val="bottom"/>
            <w:gridSpan w:val="3"/>
          </w:tcPr>
          <w:p>
            <w:pPr>
              <w:jc w:val="right"/>
              <w:ind w:right="740"/>
              <w:spacing w:after="0"/>
              <w:rPr>
                <w:sz w:val="20"/>
                <w:szCs w:val="20"/>
                <w:color w:val="auto"/>
              </w:rPr>
            </w:pPr>
            <w:r>
              <w:rPr>
                <w:rFonts w:ascii="Arial" w:cs="Arial" w:eastAsia="Arial" w:hAnsi="Arial"/>
                <w:sz w:val="12"/>
                <w:szCs w:val="12"/>
                <w:b w:val="1"/>
                <w:bCs w:val="1"/>
                <w:color w:val="auto"/>
              </w:rPr>
              <w:t>Change</w:t>
            </w:r>
          </w:p>
        </w:tc>
        <w:tc>
          <w:tcPr>
            <w:tcW w:w="1160" w:type="dxa"/>
            <w:vAlign w:val="bottom"/>
            <w:gridSpan w:val="2"/>
          </w:tcPr>
          <w:p>
            <w:pPr>
              <w:jc w:val="center"/>
              <w:ind w:right="380"/>
              <w:spacing w:after="0" w:line="162" w:lineRule="exact"/>
              <w:rPr>
                <w:sz w:val="20"/>
                <w:szCs w:val="20"/>
                <w:color w:val="auto"/>
              </w:rPr>
            </w:pPr>
            <w:r>
              <w:rPr>
                <w:rFonts w:ascii="Arial" w:cs="Arial" w:eastAsia="Arial" w:hAnsi="Arial"/>
                <w:sz w:val="11"/>
                <w:szCs w:val="11"/>
                <w:b w:val="1"/>
                <w:bCs w:val="1"/>
                <w:color w:val="auto"/>
                <w:w w:val="93"/>
              </w:rPr>
              <w:t>Income</w:t>
            </w:r>
            <w:r>
              <w:rPr>
                <w:rFonts w:ascii="Arial" w:cs="Arial" w:eastAsia="Arial" w:hAnsi="Arial"/>
                <w:sz w:val="18"/>
                <w:szCs w:val="18"/>
                <w:b w:val="1"/>
                <w:bCs w:val="1"/>
                <w:color w:val="auto"/>
                <w:w w:val="93"/>
                <w:vertAlign w:val="superscript"/>
              </w:rPr>
              <w:t>(2)</w:t>
            </w:r>
          </w:p>
        </w:tc>
        <w:tc>
          <w:tcPr>
            <w:tcW w:w="1240" w:type="dxa"/>
            <w:vAlign w:val="bottom"/>
            <w:gridSpan w:val="2"/>
          </w:tcPr>
          <w:p>
            <w:pPr>
              <w:jc w:val="right"/>
              <w:ind w:right="480"/>
              <w:spacing w:after="0"/>
              <w:rPr>
                <w:sz w:val="20"/>
                <w:szCs w:val="20"/>
                <w:color w:val="auto"/>
              </w:rPr>
            </w:pPr>
            <w:r>
              <w:rPr>
                <w:rFonts w:ascii="Arial" w:cs="Arial" w:eastAsia="Arial" w:hAnsi="Arial"/>
                <w:sz w:val="12"/>
                <w:szCs w:val="12"/>
                <w:b w:val="1"/>
                <w:bCs w:val="1"/>
                <w:color w:val="auto"/>
              </w:rPr>
              <w:t>Change</w:t>
            </w:r>
          </w:p>
        </w:tc>
        <w:tc>
          <w:tcPr>
            <w:tcW w:w="0" w:type="dxa"/>
            <w:vAlign w:val="bottom"/>
          </w:tcPr>
          <w:p>
            <w:pPr>
              <w:spacing w:after="0"/>
              <w:rPr>
                <w:sz w:val="1"/>
                <w:szCs w:val="1"/>
                <w:color w:val="auto"/>
              </w:rPr>
            </w:pPr>
          </w:p>
        </w:tc>
      </w:tr>
      <w:tr>
        <w:trPr>
          <w:trHeight w:val="155"/>
        </w:trPr>
        <w:tc>
          <w:tcPr>
            <w:tcW w:w="5260" w:type="dxa"/>
            <w:vAlign w:val="bottom"/>
            <w:tcBorders>
              <w:top w:val="single" w:sz="8" w:color="auto"/>
            </w:tcBorders>
            <w:vMerge w:val="restart"/>
          </w:tcPr>
          <w:p>
            <w:pPr>
              <w:spacing w:after="0"/>
              <w:rPr>
                <w:sz w:val="20"/>
                <w:szCs w:val="20"/>
                <w:color w:val="auto"/>
              </w:rPr>
            </w:pPr>
            <w:r>
              <w:rPr>
                <w:rFonts w:ascii="Arial" w:cs="Arial" w:eastAsia="Arial" w:hAnsi="Arial"/>
                <w:sz w:val="12"/>
                <w:szCs w:val="12"/>
                <w:b w:val="1"/>
                <w:bCs w:val="1"/>
                <w:color w:val="auto"/>
              </w:rPr>
              <w:t>December 31, 2021</w:t>
            </w: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(Dollars</w:t>
            </w:r>
          </w:p>
        </w:tc>
        <w:tc>
          <w:tcPr>
            <w:tcW w:w="260" w:type="dxa"/>
            <w:vAlign w:val="bottom"/>
          </w:tcPr>
          <w:p>
            <w:pPr>
              <w:jc w:val="right"/>
              <w:ind w:right="100"/>
              <w:spacing w:after="0"/>
              <w:rPr>
                <w:sz w:val="20"/>
                <w:szCs w:val="20"/>
                <w:color w:val="auto"/>
              </w:rPr>
            </w:pPr>
            <w:r>
              <w:rPr>
                <w:rFonts w:ascii="Arial" w:cs="Arial" w:eastAsia="Arial" w:hAnsi="Arial"/>
                <w:sz w:val="12"/>
                <w:szCs w:val="12"/>
                <w:b w:val="1"/>
                <w:bCs w:val="1"/>
                <w:color w:val="auto"/>
                <w:w w:val="74"/>
              </w:rPr>
              <w:t>in</w:t>
            </w:r>
          </w:p>
        </w:tc>
        <w:tc>
          <w:tcPr>
            <w:tcW w:w="1120" w:type="dxa"/>
            <w:vAlign w:val="bottom"/>
            <w:tcBorders>
              <w:top w:val="single" w:sz="8" w:color="auto"/>
            </w:tcBorders>
            <w:gridSpan w:val="2"/>
          </w:tcPr>
          <w:p>
            <w:pPr>
              <w:spacing w:after="0"/>
              <w:rPr>
                <w:sz w:val="20"/>
                <w:szCs w:val="20"/>
                <w:color w:val="auto"/>
              </w:rPr>
            </w:pPr>
            <w:r>
              <w:rPr>
                <w:rFonts w:ascii="Arial" w:cs="Arial" w:eastAsia="Arial" w:hAnsi="Arial"/>
                <w:sz w:val="12"/>
                <w:szCs w:val="12"/>
                <w:b w:val="1"/>
                <w:bCs w:val="1"/>
                <w:color w:val="auto"/>
              </w:rPr>
              <w:t>thousands)</w:t>
            </w:r>
          </w:p>
        </w:tc>
        <w:tc>
          <w:tcPr>
            <w:tcW w:w="22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526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260" w:type="dxa"/>
            <w:vAlign w:val="bottom"/>
            <w:shd w:val="clear" w:color="auto" w:fill="CCEEFF"/>
          </w:tcPr>
          <w:p>
            <w:pPr>
              <w:spacing w:after="0"/>
              <w:rPr>
                <w:sz w:val="20"/>
                <w:szCs w:val="20"/>
                <w:color w:val="auto"/>
              </w:rPr>
            </w:pPr>
            <w:r>
              <w:rPr>
                <w:rFonts w:ascii="Arial" w:cs="Arial" w:eastAsia="Arial" w:hAnsi="Arial"/>
                <w:sz w:val="12"/>
                <w:szCs w:val="12"/>
                <w:color w:val="auto"/>
              </w:rPr>
              <w:t>200 basis point rise</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514,200</w:t>
            </w:r>
          </w:p>
        </w:tc>
        <w:tc>
          <w:tcPr>
            <w:tcW w:w="156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(5.86)%  $</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137,800</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3.30%</w:t>
            </w:r>
          </w:p>
        </w:tc>
        <w:tc>
          <w:tcPr>
            <w:tcW w:w="0" w:type="dxa"/>
            <w:vAlign w:val="bottom"/>
          </w:tcPr>
          <w:p>
            <w:pPr>
              <w:spacing w:after="0"/>
              <w:rPr>
                <w:sz w:val="1"/>
                <w:szCs w:val="1"/>
                <w:color w:val="auto"/>
              </w:rPr>
            </w:pPr>
          </w:p>
        </w:tc>
      </w:tr>
      <w:tr>
        <w:trPr>
          <w:trHeight w:val="144"/>
        </w:trPr>
        <w:tc>
          <w:tcPr>
            <w:tcW w:w="5260" w:type="dxa"/>
            <w:vAlign w:val="bottom"/>
          </w:tcPr>
          <w:p>
            <w:pPr>
              <w:spacing w:after="0"/>
              <w:rPr>
                <w:sz w:val="20"/>
                <w:szCs w:val="20"/>
                <w:color w:val="auto"/>
              </w:rPr>
            </w:pPr>
            <w:r>
              <w:rPr>
                <w:rFonts w:ascii="Arial" w:cs="Arial" w:eastAsia="Arial" w:hAnsi="Arial"/>
                <w:sz w:val="12"/>
                <w:szCs w:val="12"/>
                <w:color w:val="auto"/>
              </w:rPr>
              <w:t>100 basis point rise</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550,900</w:t>
            </w:r>
          </w:p>
        </w:tc>
        <w:tc>
          <w:tcPr>
            <w:tcW w:w="1380" w:type="dxa"/>
            <w:vAlign w:val="bottom"/>
            <w:gridSpan w:val="2"/>
          </w:tcPr>
          <w:p>
            <w:pPr>
              <w:jc w:val="right"/>
              <w:ind w:right="180"/>
              <w:spacing w:after="0"/>
              <w:rPr>
                <w:sz w:val="20"/>
                <w:szCs w:val="20"/>
                <w:color w:val="auto"/>
              </w:rPr>
            </w:pPr>
            <w:r>
              <w:rPr>
                <w:rFonts w:ascii="Arial" w:cs="Arial" w:eastAsia="Arial" w:hAnsi="Arial"/>
                <w:sz w:val="12"/>
                <w:szCs w:val="12"/>
                <w:color w:val="auto"/>
              </w:rPr>
              <w:t>0.86</w:t>
            </w:r>
          </w:p>
        </w:tc>
        <w:tc>
          <w:tcPr>
            <w:tcW w:w="18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136,800</w:t>
            </w: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2.55</w:t>
            </w:r>
          </w:p>
        </w:tc>
        <w:tc>
          <w:tcPr>
            <w:tcW w:w="0" w:type="dxa"/>
            <w:vAlign w:val="bottom"/>
          </w:tcPr>
          <w:p>
            <w:pPr>
              <w:spacing w:after="0"/>
              <w:rPr>
                <w:sz w:val="1"/>
                <w:szCs w:val="1"/>
                <w:color w:val="auto"/>
              </w:rPr>
            </w:pPr>
          </w:p>
        </w:tc>
      </w:tr>
      <w:tr>
        <w:trPr>
          <w:trHeight w:val="144"/>
        </w:trPr>
        <w:tc>
          <w:tcPr>
            <w:tcW w:w="5260" w:type="dxa"/>
            <w:vAlign w:val="bottom"/>
            <w:shd w:val="clear" w:color="auto" w:fill="CCEEFF"/>
          </w:tcPr>
          <w:p>
            <w:pPr>
              <w:spacing w:after="0"/>
              <w:rPr>
                <w:sz w:val="20"/>
                <w:szCs w:val="20"/>
                <w:color w:val="auto"/>
              </w:rPr>
            </w:pPr>
            <w:r>
              <w:rPr>
                <w:rFonts w:ascii="Arial" w:cs="Arial" w:eastAsia="Arial" w:hAnsi="Arial"/>
                <w:sz w:val="12"/>
                <w:szCs w:val="12"/>
                <w:color w:val="auto"/>
              </w:rPr>
              <w:t>Base-rate scenario</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546,200</w:t>
            </w:r>
          </w:p>
        </w:tc>
        <w:tc>
          <w:tcPr>
            <w:tcW w:w="1560" w:type="dxa"/>
            <w:vAlign w:val="bottom"/>
            <w:gridSpan w:val="3"/>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133,400</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5260" w:type="dxa"/>
            <w:vAlign w:val="bottom"/>
          </w:tcPr>
          <w:p>
            <w:pPr>
              <w:spacing w:after="0"/>
              <w:rPr>
                <w:sz w:val="20"/>
                <w:szCs w:val="20"/>
                <w:color w:val="auto"/>
              </w:rPr>
            </w:pPr>
            <w:r>
              <w:rPr>
                <w:rFonts w:ascii="Arial" w:cs="Arial" w:eastAsia="Arial" w:hAnsi="Arial"/>
                <w:sz w:val="12"/>
                <w:szCs w:val="12"/>
                <w:color w:val="auto"/>
              </w:rPr>
              <w:t>100 basis point decline</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473,000</w:t>
            </w:r>
          </w:p>
        </w:tc>
        <w:tc>
          <w:tcPr>
            <w:tcW w:w="1380" w:type="dxa"/>
            <w:vAlign w:val="bottom"/>
            <w:gridSpan w:val="2"/>
          </w:tcPr>
          <w:p>
            <w:pPr>
              <w:jc w:val="right"/>
              <w:ind w:right="140"/>
              <w:spacing w:after="0"/>
              <w:rPr>
                <w:sz w:val="20"/>
                <w:szCs w:val="20"/>
                <w:color w:val="auto"/>
              </w:rPr>
            </w:pPr>
            <w:r>
              <w:rPr>
                <w:rFonts w:ascii="Arial" w:cs="Arial" w:eastAsia="Arial" w:hAnsi="Arial"/>
                <w:sz w:val="12"/>
                <w:szCs w:val="12"/>
                <w:color w:val="auto"/>
              </w:rPr>
              <w:t>(13.40)</w:t>
            </w:r>
          </w:p>
        </w:tc>
        <w:tc>
          <w:tcPr>
            <w:tcW w:w="180" w:type="dxa"/>
            <w:vAlign w:val="bottom"/>
          </w:tcPr>
          <w:p>
            <w:pPr>
              <w:spacing w:after="0"/>
              <w:rPr>
                <w:sz w:val="13"/>
                <w:szCs w:val="1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126,700</w:t>
            </w: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(5.02)</w:t>
            </w:r>
          </w:p>
        </w:tc>
        <w:tc>
          <w:tcPr>
            <w:tcW w:w="0" w:type="dxa"/>
            <w:vAlign w:val="bottom"/>
          </w:tcPr>
          <w:p>
            <w:pPr>
              <w:spacing w:after="0"/>
              <w:rPr>
                <w:sz w:val="1"/>
                <w:szCs w:val="1"/>
                <w:color w:val="auto"/>
              </w:rPr>
            </w:pPr>
          </w:p>
        </w:tc>
      </w:tr>
      <w:tr>
        <w:trPr>
          <w:trHeight w:val="361"/>
        </w:trPr>
        <w:tc>
          <w:tcPr>
            <w:tcW w:w="5260" w:type="dxa"/>
            <w:vAlign w:val="bottom"/>
          </w:tcPr>
          <w:p>
            <w:pPr>
              <w:spacing w:after="0"/>
              <w:rPr>
                <w:sz w:val="24"/>
                <w:szCs w:val="24"/>
                <w:color w:val="auto"/>
              </w:rPr>
            </w:pPr>
          </w:p>
        </w:tc>
        <w:tc>
          <w:tcPr>
            <w:tcW w:w="620" w:type="dxa"/>
            <w:vAlign w:val="bottom"/>
          </w:tcPr>
          <w:p>
            <w:pPr>
              <w:jc w:val="right"/>
              <w:ind w:right="126"/>
              <w:spacing w:after="0"/>
              <w:rPr>
                <w:sz w:val="20"/>
                <w:szCs w:val="20"/>
                <w:color w:val="auto"/>
              </w:rPr>
            </w:pPr>
            <w:r>
              <w:rPr>
                <w:rFonts w:ascii="Arial" w:cs="Arial" w:eastAsia="Arial" w:hAnsi="Arial"/>
                <w:sz w:val="10"/>
                <w:szCs w:val="10"/>
                <w:color w:val="auto"/>
              </w:rPr>
              <w:t>33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5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31" w:right="299" w:bottom="1440" w:gutter="0" w:footer="0" w:header="0"/>
        </w:sectPr>
      </w:pPr>
    </w:p>
    <w:bookmarkStart w:id="53" w:name="page54"/>
    <w:bookmarkEnd w:id="53"/>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5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w w:val="98"/>
              </w:rPr>
              <w:t>Market</w:t>
            </w: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w w:val="89"/>
              </w:rPr>
              <w:t>Value of</w:t>
            </w: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92"/>
              </w:rPr>
              <w:t>Net</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w w:val="93"/>
              </w:rPr>
              <w:t>Portfolio</w:t>
            </w:r>
          </w:p>
        </w:tc>
        <w:tc>
          <w:tcPr>
            <w:tcW w:w="1520" w:type="dxa"/>
            <w:vAlign w:val="bottom"/>
            <w:gridSpan w:val="3"/>
          </w:tcPr>
          <w:p>
            <w:pPr>
              <w:jc w:val="right"/>
              <w:ind w:right="760"/>
              <w:spacing w:after="0"/>
              <w:rPr>
                <w:sz w:val="20"/>
                <w:szCs w:val="20"/>
                <w:color w:val="auto"/>
              </w:rPr>
            </w:pPr>
            <w:r>
              <w:rPr>
                <w:rFonts w:ascii="Arial" w:cs="Arial" w:eastAsia="Arial" w:hAnsi="Arial"/>
                <w:sz w:val="12"/>
                <w:szCs w:val="12"/>
                <w:b w:val="1"/>
                <w:bCs w:val="1"/>
                <w:color w:val="auto"/>
              </w:rPr>
              <w:t>Percent</w:t>
            </w:r>
          </w:p>
        </w:tc>
        <w:tc>
          <w:tcPr>
            <w:tcW w:w="116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92"/>
              </w:rPr>
              <w:t>Interest</w:t>
            </w:r>
          </w:p>
        </w:tc>
        <w:tc>
          <w:tcPr>
            <w:tcW w:w="1240" w:type="dxa"/>
            <w:vAlign w:val="bottom"/>
            <w:gridSpan w:val="2"/>
          </w:tcPr>
          <w:p>
            <w:pPr>
              <w:jc w:val="right"/>
              <w:ind w:right="480"/>
              <w:spacing w:after="0"/>
              <w:rPr>
                <w:sz w:val="20"/>
                <w:szCs w:val="20"/>
                <w:color w:val="auto"/>
              </w:rPr>
            </w:pPr>
            <w:r>
              <w:rPr>
                <w:rFonts w:ascii="Arial" w:cs="Arial" w:eastAsia="Arial" w:hAnsi="Arial"/>
                <w:sz w:val="12"/>
                <w:szCs w:val="12"/>
                <w:b w:val="1"/>
                <w:bCs w:val="1"/>
                <w:color w:val="auto"/>
              </w:rPr>
              <w:t>Percent</w:t>
            </w:r>
          </w:p>
        </w:tc>
        <w:tc>
          <w:tcPr>
            <w:tcW w:w="0" w:type="dxa"/>
            <w:vAlign w:val="bottom"/>
          </w:tcPr>
          <w:p>
            <w:pPr>
              <w:spacing w:after="0"/>
              <w:rPr>
                <w:sz w:val="1"/>
                <w:szCs w:val="1"/>
                <w:color w:val="auto"/>
              </w:rPr>
            </w:pPr>
          </w:p>
        </w:tc>
      </w:tr>
      <w:tr>
        <w:trPr>
          <w:trHeight w:val="162"/>
        </w:trPr>
        <w:tc>
          <w:tcPr>
            <w:tcW w:w="58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Change in Interest Rates</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40"/>
              <w:spacing w:after="0" w:line="162" w:lineRule="exact"/>
              <w:rPr>
                <w:sz w:val="20"/>
                <w:szCs w:val="20"/>
                <w:color w:val="auto"/>
              </w:rPr>
            </w:pPr>
            <w:r>
              <w:rPr>
                <w:rFonts w:ascii="Arial" w:cs="Arial" w:eastAsia="Arial" w:hAnsi="Arial"/>
                <w:sz w:val="11"/>
                <w:szCs w:val="11"/>
                <w:b w:val="1"/>
                <w:bCs w:val="1"/>
                <w:color w:val="auto"/>
                <w:w w:val="95"/>
              </w:rPr>
              <w:t>Equity</w:t>
            </w:r>
            <w:r>
              <w:rPr>
                <w:rFonts w:ascii="Arial" w:cs="Arial" w:eastAsia="Arial" w:hAnsi="Arial"/>
                <w:sz w:val="18"/>
                <w:szCs w:val="18"/>
                <w:b w:val="1"/>
                <w:bCs w:val="1"/>
                <w:color w:val="auto"/>
                <w:w w:val="95"/>
                <w:vertAlign w:val="superscript"/>
              </w:rPr>
              <w:t>(1)</w:t>
            </w:r>
          </w:p>
        </w:tc>
        <w:tc>
          <w:tcPr>
            <w:tcW w:w="240" w:type="dxa"/>
            <w:vAlign w:val="bottom"/>
          </w:tcPr>
          <w:p>
            <w:pPr>
              <w:spacing w:after="0"/>
              <w:rPr>
                <w:sz w:val="14"/>
                <w:szCs w:val="14"/>
                <w:color w:val="auto"/>
              </w:rPr>
            </w:pPr>
          </w:p>
        </w:tc>
        <w:tc>
          <w:tcPr>
            <w:tcW w:w="112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b w:val="1"/>
                <w:bCs w:val="1"/>
                <w:color w:val="auto"/>
              </w:rPr>
              <w:t>Change</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00"/>
              <w:spacing w:after="0" w:line="162" w:lineRule="exact"/>
              <w:rPr>
                <w:sz w:val="20"/>
                <w:szCs w:val="20"/>
                <w:color w:val="auto"/>
              </w:rPr>
            </w:pPr>
            <w:r>
              <w:rPr>
                <w:rFonts w:ascii="Arial" w:cs="Arial" w:eastAsia="Arial" w:hAnsi="Arial"/>
                <w:sz w:val="11"/>
                <w:szCs w:val="11"/>
                <w:b w:val="1"/>
                <w:bCs w:val="1"/>
                <w:color w:val="auto"/>
                <w:w w:val="93"/>
              </w:rPr>
              <w:t>Income</w:t>
            </w:r>
            <w:r>
              <w:rPr>
                <w:rFonts w:ascii="Arial" w:cs="Arial" w:eastAsia="Arial" w:hAnsi="Arial"/>
                <w:sz w:val="18"/>
                <w:szCs w:val="18"/>
                <w:b w:val="1"/>
                <w:bCs w:val="1"/>
                <w:color w:val="auto"/>
                <w:w w:val="93"/>
                <w:vertAlign w:val="superscript"/>
              </w:rPr>
              <w:t>(2)</w:t>
            </w:r>
          </w:p>
        </w:tc>
        <w:tc>
          <w:tcPr>
            <w:tcW w:w="220" w:type="dxa"/>
            <w:vAlign w:val="bottom"/>
          </w:tcPr>
          <w:p>
            <w:pPr>
              <w:spacing w:after="0"/>
              <w:rPr>
                <w:sz w:val="14"/>
                <w:szCs w:val="14"/>
                <w:color w:val="auto"/>
              </w:rPr>
            </w:pPr>
          </w:p>
        </w:tc>
        <w:tc>
          <w:tcPr>
            <w:tcW w:w="112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b w:val="1"/>
                <w:bCs w:val="1"/>
                <w:color w:val="auto"/>
              </w:rPr>
              <w:t>Change</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80" w:type="dxa"/>
            <w:vAlign w:val="bottom"/>
            <w:vMerge w:val="restart"/>
          </w:tcPr>
          <w:p>
            <w:pPr>
              <w:spacing w:after="0"/>
              <w:rPr>
                <w:sz w:val="20"/>
                <w:szCs w:val="20"/>
                <w:color w:val="auto"/>
              </w:rPr>
            </w:pPr>
            <w:r>
              <w:rPr>
                <w:rFonts w:ascii="Arial" w:cs="Arial" w:eastAsia="Arial" w:hAnsi="Arial"/>
                <w:sz w:val="12"/>
                <w:szCs w:val="12"/>
                <w:b w:val="1"/>
                <w:bCs w:val="1"/>
                <w:color w:val="auto"/>
              </w:rPr>
              <w:t>December 31, 2020</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80" w:type="dxa"/>
            <w:vAlign w:val="bottom"/>
            <w:gridSpan w:val="5"/>
          </w:tcPr>
          <w:p>
            <w:pPr>
              <w:jc w:val="right"/>
              <w:ind w:right="900"/>
              <w:spacing w:after="0"/>
              <w:rPr>
                <w:sz w:val="20"/>
                <w:szCs w:val="20"/>
                <w:color w:val="auto"/>
              </w:rPr>
            </w:pPr>
            <w:r>
              <w:rPr>
                <w:rFonts w:ascii="Arial" w:cs="Arial" w:eastAsia="Arial" w:hAnsi="Arial"/>
                <w:sz w:val="12"/>
                <w:szCs w:val="12"/>
                <w:b w:val="1"/>
                <w:bCs w:val="1"/>
                <w:color w:val="auto"/>
              </w:rPr>
              <w:t>(Dollars in thousands)</w:t>
            </w: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58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880" w:type="dxa"/>
            <w:vAlign w:val="bottom"/>
            <w:shd w:val="clear" w:color="auto" w:fill="CCEEFF"/>
          </w:tcPr>
          <w:p>
            <w:pPr>
              <w:spacing w:after="0"/>
              <w:rPr>
                <w:sz w:val="20"/>
                <w:szCs w:val="20"/>
                <w:color w:val="auto"/>
              </w:rPr>
            </w:pPr>
            <w:r>
              <w:rPr>
                <w:rFonts w:ascii="Arial" w:cs="Arial" w:eastAsia="Arial" w:hAnsi="Arial"/>
                <w:sz w:val="12"/>
                <w:szCs w:val="12"/>
                <w:color w:val="auto"/>
              </w:rPr>
              <w:t>200 basis point rise</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494,600</w:t>
            </w:r>
          </w:p>
        </w:tc>
        <w:tc>
          <w:tcPr>
            <w:tcW w:w="152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15.02%  $</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125,200</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4.16%</w:t>
            </w:r>
          </w:p>
        </w:tc>
        <w:tc>
          <w:tcPr>
            <w:tcW w:w="0" w:type="dxa"/>
            <w:vAlign w:val="bottom"/>
          </w:tcPr>
          <w:p>
            <w:pPr>
              <w:spacing w:after="0"/>
              <w:rPr>
                <w:sz w:val="1"/>
                <w:szCs w:val="1"/>
                <w:color w:val="auto"/>
              </w:rPr>
            </w:pPr>
          </w:p>
        </w:tc>
      </w:tr>
      <w:tr>
        <w:trPr>
          <w:trHeight w:val="144"/>
        </w:trPr>
        <w:tc>
          <w:tcPr>
            <w:tcW w:w="5880" w:type="dxa"/>
            <w:vAlign w:val="bottom"/>
          </w:tcPr>
          <w:p>
            <w:pPr>
              <w:spacing w:after="0"/>
              <w:rPr>
                <w:sz w:val="20"/>
                <w:szCs w:val="20"/>
                <w:color w:val="auto"/>
              </w:rPr>
            </w:pPr>
            <w:r>
              <w:rPr>
                <w:rFonts w:ascii="Arial" w:cs="Arial" w:eastAsia="Arial" w:hAnsi="Arial"/>
                <w:sz w:val="12"/>
                <w:szCs w:val="12"/>
                <w:color w:val="auto"/>
              </w:rPr>
              <w:t>100 basis point rise</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483,200</w:t>
            </w:r>
          </w:p>
        </w:tc>
        <w:tc>
          <w:tcPr>
            <w:tcW w:w="1340" w:type="dxa"/>
            <w:vAlign w:val="bottom"/>
            <w:gridSpan w:val="2"/>
          </w:tcPr>
          <w:p>
            <w:pPr>
              <w:jc w:val="right"/>
              <w:ind w:right="220"/>
              <w:spacing w:after="0"/>
              <w:rPr>
                <w:sz w:val="20"/>
                <w:szCs w:val="20"/>
                <w:color w:val="auto"/>
              </w:rPr>
            </w:pPr>
            <w:r>
              <w:rPr>
                <w:rFonts w:ascii="Arial" w:cs="Arial" w:eastAsia="Arial" w:hAnsi="Arial"/>
                <w:sz w:val="12"/>
                <w:szCs w:val="12"/>
                <w:color w:val="auto"/>
              </w:rPr>
              <w:t>12.37</w:t>
            </w:r>
          </w:p>
        </w:tc>
        <w:tc>
          <w:tcPr>
            <w:tcW w:w="18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123,700</w:t>
            </w: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2.91</w:t>
            </w:r>
          </w:p>
        </w:tc>
        <w:tc>
          <w:tcPr>
            <w:tcW w:w="0" w:type="dxa"/>
            <w:vAlign w:val="bottom"/>
          </w:tcPr>
          <w:p>
            <w:pPr>
              <w:spacing w:after="0"/>
              <w:rPr>
                <w:sz w:val="1"/>
                <w:szCs w:val="1"/>
                <w:color w:val="auto"/>
              </w:rPr>
            </w:pPr>
          </w:p>
        </w:tc>
      </w:tr>
      <w:tr>
        <w:trPr>
          <w:trHeight w:val="144"/>
        </w:trPr>
        <w:tc>
          <w:tcPr>
            <w:tcW w:w="5880" w:type="dxa"/>
            <w:vAlign w:val="bottom"/>
            <w:shd w:val="clear" w:color="auto" w:fill="CCEEFF"/>
          </w:tcPr>
          <w:p>
            <w:pPr>
              <w:spacing w:after="0"/>
              <w:rPr>
                <w:sz w:val="20"/>
                <w:szCs w:val="20"/>
                <w:color w:val="auto"/>
              </w:rPr>
            </w:pPr>
            <w:r>
              <w:rPr>
                <w:rFonts w:ascii="Arial" w:cs="Arial" w:eastAsia="Arial" w:hAnsi="Arial"/>
                <w:sz w:val="12"/>
                <w:szCs w:val="12"/>
                <w:color w:val="auto"/>
              </w:rPr>
              <w:t>Base-rate scenario</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430,000</w:t>
            </w:r>
          </w:p>
        </w:tc>
        <w:tc>
          <w:tcPr>
            <w:tcW w:w="1520" w:type="dxa"/>
            <w:vAlign w:val="bottom"/>
            <w:gridSpan w:val="3"/>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120,200</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5880" w:type="dxa"/>
            <w:vAlign w:val="bottom"/>
          </w:tcPr>
          <w:p>
            <w:pPr>
              <w:spacing w:after="0"/>
              <w:rPr>
                <w:sz w:val="20"/>
                <w:szCs w:val="20"/>
                <w:color w:val="auto"/>
              </w:rPr>
            </w:pPr>
            <w:r>
              <w:rPr>
                <w:rFonts w:ascii="Arial" w:cs="Arial" w:eastAsia="Arial" w:hAnsi="Arial"/>
                <w:sz w:val="12"/>
                <w:szCs w:val="12"/>
                <w:color w:val="auto"/>
              </w:rPr>
              <w:t>100 basis point decline</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395,500</w:t>
            </w:r>
          </w:p>
        </w:tc>
        <w:tc>
          <w:tcPr>
            <w:tcW w:w="1340" w:type="dxa"/>
            <w:vAlign w:val="bottom"/>
            <w:gridSpan w:val="2"/>
          </w:tcPr>
          <w:p>
            <w:pPr>
              <w:jc w:val="right"/>
              <w:ind w:right="180"/>
              <w:spacing w:after="0"/>
              <w:rPr>
                <w:sz w:val="20"/>
                <w:szCs w:val="20"/>
                <w:color w:val="auto"/>
              </w:rPr>
            </w:pPr>
            <w:r>
              <w:rPr>
                <w:rFonts w:ascii="Arial" w:cs="Arial" w:eastAsia="Arial" w:hAnsi="Arial"/>
                <w:sz w:val="12"/>
                <w:szCs w:val="12"/>
                <w:color w:val="auto"/>
              </w:rPr>
              <w:t>(8.02)</w:t>
            </w:r>
          </w:p>
        </w:tc>
        <w:tc>
          <w:tcPr>
            <w:tcW w:w="180" w:type="dxa"/>
            <w:vAlign w:val="bottom"/>
          </w:tcPr>
          <w:p>
            <w:pPr>
              <w:spacing w:after="0"/>
              <w:rPr>
                <w:sz w:val="13"/>
                <w:szCs w:val="1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114,900</w:t>
            </w: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(4.41)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931545" cy="114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931545" cy="11430"/>
                    </a:xfrm>
                    <a:prstGeom prst="rect">
                      <a:avLst/>
                    </a:prstGeom>
                    <a:noFill/>
                  </pic:spPr>
                </pic:pic>
              </a:graphicData>
            </a:graphic>
          </wp:anchor>
        </w:drawing>
      </w:r>
    </w:p>
    <w:p>
      <w:pPr>
        <w:spacing w:after="0" w:line="124" w:lineRule="exact"/>
        <w:rPr>
          <w:sz w:val="20"/>
          <w:szCs w:val="20"/>
          <w:color w:val="auto"/>
        </w:rPr>
      </w:pPr>
    </w:p>
    <w:p>
      <w:pPr>
        <w:ind w:left="208" w:right="80" w:hanging="208"/>
        <w:spacing w:after="0" w:line="258" w:lineRule="auto"/>
        <w:tabs>
          <w:tab w:leader="none" w:pos="208" w:val="left"/>
        </w:tabs>
        <w:numPr>
          <w:ilvl w:val="0"/>
          <w:numId w:val="20"/>
        </w:numPr>
        <w:rPr>
          <w:rFonts w:ascii="Arial" w:cs="Arial" w:eastAsia="Arial" w:hAnsi="Arial"/>
          <w:sz w:val="12"/>
          <w:szCs w:val="12"/>
          <w:color w:val="auto"/>
        </w:rPr>
      </w:pPr>
      <w:r>
        <w:rPr>
          <w:rFonts w:ascii="Arial" w:cs="Arial" w:eastAsia="Arial" w:hAnsi="Arial"/>
          <w:sz w:val="12"/>
          <w:szCs w:val="12"/>
          <w:color w:val="auto"/>
        </w:rPr>
        <w:t>Simulation analyses calculate the change in the net present value of our assets and liabilities, including debt and related financial derivative instruments, under parallel shifts in interest rates by discounting the estimated future cash flows using a market-based discount rate. Cash flow estimates incorporate anticipated changes in prepayment speeds and other embedded options.</w:t>
      </w:r>
    </w:p>
    <w:p>
      <w:pPr>
        <w:ind w:left="208" w:right="120" w:hanging="208"/>
        <w:spacing w:after="0" w:line="260" w:lineRule="auto"/>
        <w:tabs>
          <w:tab w:leader="none" w:pos="208" w:val="left"/>
        </w:tabs>
        <w:numPr>
          <w:ilvl w:val="0"/>
          <w:numId w:val="20"/>
        </w:numPr>
        <w:rPr>
          <w:rFonts w:ascii="Arial" w:cs="Arial" w:eastAsia="Arial" w:hAnsi="Arial"/>
          <w:sz w:val="12"/>
          <w:szCs w:val="12"/>
          <w:color w:val="auto"/>
        </w:rPr>
      </w:pPr>
      <w:r>
        <w:rPr>
          <w:rFonts w:ascii="Arial" w:cs="Arial" w:eastAsia="Arial" w:hAnsi="Arial"/>
          <w:sz w:val="12"/>
          <w:szCs w:val="12"/>
          <w:color w:val="auto"/>
        </w:rPr>
        <w:t>Simulation analyses calculate the change in net interest income under immediate parallel shifts in interest rates over the next twelve months, based upon a static Consolidated Statement of Financial Condition, which includes debt and related financial derivative instruments, and do not consider loan fees.</w:t>
      </w:r>
    </w:p>
    <w:p>
      <w:pPr>
        <w:spacing w:after="0" w:line="124" w:lineRule="exact"/>
        <w:rPr>
          <w:sz w:val="20"/>
          <w:szCs w:val="20"/>
          <w:color w:val="auto"/>
        </w:rPr>
      </w:pPr>
    </w:p>
    <w:p>
      <w:pPr>
        <w:jc w:val="both"/>
        <w:ind w:left="8" w:firstLine="240"/>
        <w:spacing w:after="0" w:line="276" w:lineRule="auto"/>
        <w:rPr>
          <w:sz w:val="20"/>
          <w:szCs w:val="20"/>
          <w:color w:val="auto"/>
        </w:rPr>
      </w:pPr>
      <w:r>
        <w:rPr>
          <w:rFonts w:ascii="Arial" w:cs="Arial" w:eastAsia="Arial" w:hAnsi="Arial"/>
          <w:sz w:val="12"/>
          <w:szCs w:val="12"/>
          <w:i w:val="1"/>
          <w:iCs w:val="1"/>
          <w:color w:val="auto"/>
        </w:rPr>
        <w:t xml:space="preserve">Accounting Standards Update. </w:t>
      </w:r>
      <w:r>
        <w:rPr>
          <w:rFonts w:ascii="Arial" w:cs="Arial" w:eastAsia="Arial" w:hAnsi="Arial"/>
          <w:sz w:val="12"/>
          <w:szCs w:val="12"/>
          <w:color w:val="auto"/>
        </w:rPr>
        <w:t>See note #1 to the Consolidated Financial Statements included elsewhere in this report for details on recently issued accounting pronouncements and their impact on our consolidated financial</w:t>
      </w:r>
      <w:r>
        <w:rPr>
          <w:rFonts w:ascii="Arial" w:cs="Arial" w:eastAsia="Arial" w:hAnsi="Arial"/>
          <w:sz w:val="12"/>
          <w:szCs w:val="12"/>
          <w:i w:val="1"/>
          <w:iCs w:val="1"/>
          <w:color w:val="auto"/>
        </w:rPr>
        <w:t xml:space="preserve"> </w:t>
      </w:r>
      <w:r>
        <w:rPr>
          <w:rFonts w:ascii="Arial" w:cs="Arial" w:eastAsia="Arial" w:hAnsi="Arial"/>
          <w:sz w:val="12"/>
          <w:szCs w:val="12"/>
          <w:color w:val="auto"/>
        </w:rPr>
        <w:t>statements.</w:t>
      </w:r>
    </w:p>
    <w:p>
      <w:pPr>
        <w:spacing w:after="0" w:line="111"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FAIR VALUATION OF FINANCIAL INSTRUMENTS</w:t>
      </w:r>
    </w:p>
    <w:p>
      <w:pPr>
        <w:spacing w:after="0" w:line="154" w:lineRule="exact"/>
        <w:rPr>
          <w:sz w:val="20"/>
          <w:szCs w:val="20"/>
          <w:color w:val="auto"/>
        </w:rPr>
      </w:pPr>
    </w:p>
    <w:p>
      <w:pPr>
        <w:jc w:val="both"/>
        <w:ind w:left="8" w:right="20" w:firstLine="240"/>
        <w:spacing w:after="0" w:line="323" w:lineRule="auto"/>
        <w:rPr>
          <w:sz w:val="20"/>
          <w:szCs w:val="20"/>
          <w:color w:val="auto"/>
        </w:rPr>
      </w:pPr>
      <w:r>
        <w:rPr>
          <w:rFonts w:ascii="Arial" w:cs="Arial" w:eastAsia="Arial" w:hAnsi="Arial"/>
          <w:sz w:val="11"/>
          <w:szCs w:val="11"/>
          <w:color w:val="auto"/>
        </w:rPr>
        <w:t>Financial Accounting Standards Board (“FASB”) Accounting Standards Codification (“ASC”) topic 820 - “Fair Value Measurements and Disclosures” (“FASB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92" w:lineRule="exact"/>
        <w:rPr>
          <w:sz w:val="20"/>
          <w:szCs w:val="20"/>
          <w:color w:val="auto"/>
        </w:rPr>
      </w:pPr>
    </w:p>
    <w:p>
      <w:pPr>
        <w:jc w:val="both"/>
        <w:ind w:left="8" w:firstLine="240"/>
        <w:spacing w:after="0" w:line="285" w:lineRule="auto"/>
        <w:rPr>
          <w:sz w:val="20"/>
          <w:szCs w:val="20"/>
          <w:color w:val="auto"/>
        </w:rPr>
      </w:pPr>
      <w:r>
        <w:rPr>
          <w:rFonts w:ascii="Arial" w:cs="Arial" w:eastAsia="Arial" w:hAnsi="Arial"/>
          <w:sz w:val="11"/>
          <w:szCs w:val="11"/>
          <w:color w:val="auto"/>
        </w:rPr>
        <w:t>We utilize fair value measurements to record fair value adjustments to certain financial instruments and to determine fair value disclosures. FASB ASC topic 820 differentiates between those assets and liabilities required to be carried at fair value at every reporting period (“recurring”) and those assets and liabilities that are only required to be adjusted to fair value under certain circumstances (“nonrecurring”). Securities available for sale, loans held for sale, derivatives and capitalized mortgage loan servicing rights are financial instruments recorded at fair value on a recurring basis. Additionally, from time to time, we may be required to record at fair value other financial assets on a nonrecurring basis, such as loans held for investment and certain other assets. These nonrecurring fair value adjustments typically involve application of lower of cost or fair value accounting or write-downs of individual assets. See note #21 to the Consolidated Financial Statements for a complete discussion on our use of fair valuation of financial instruments and the related measurement techniques.</w:t>
      </w:r>
    </w:p>
    <w:p>
      <w:pPr>
        <w:spacing w:after="0" w:line="10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LITIGATION MATTERS</w:t>
      </w:r>
    </w:p>
    <w:p>
      <w:pPr>
        <w:spacing w:after="0" w:line="154" w:lineRule="exact"/>
        <w:rPr>
          <w:sz w:val="20"/>
          <w:szCs w:val="20"/>
          <w:color w:val="auto"/>
        </w:rPr>
      </w:pPr>
    </w:p>
    <w:p>
      <w:pPr>
        <w:jc w:val="both"/>
        <w:ind w:left="8" w:firstLine="240"/>
        <w:spacing w:after="0" w:line="259" w:lineRule="auto"/>
        <w:rPr>
          <w:sz w:val="20"/>
          <w:szCs w:val="20"/>
          <w:color w:val="auto"/>
        </w:rPr>
      </w:pPr>
      <w:r>
        <w:rPr>
          <w:rFonts w:ascii="Arial" w:cs="Arial" w:eastAsia="Arial" w:hAnsi="Arial"/>
          <w:sz w:val="12"/>
          <w:szCs w:val="12"/>
          <w:color w:val="auto"/>
        </w:rPr>
        <w:t>We are involved in various litigation matters in the ordinary course of business. At the present time, we do not believe any of these matters will have a significant impact on our consolidated financial position or results of operations. The aggregate amount we have accrued for losses we consider probable as a result of these litigation matters is immaterial. However, because of the inherent uncertainty of outcomes from any litigation matter, we believe it is reasonably possible we may incur losses in addition to the amounts we have accrued. At this time, we estimate the maximum amount of additional losses that are reasonably possible is insignificant. However, because of a number of factors, including the fact that certain of these litigation matters are still in their early stages, this maximum amount may change in the future.</w:t>
      </w:r>
    </w:p>
    <w:p>
      <w:pPr>
        <w:spacing w:after="0" w:line="124" w:lineRule="exact"/>
        <w:rPr>
          <w:sz w:val="20"/>
          <w:szCs w:val="20"/>
          <w:color w:val="auto"/>
        </w:rPr>
      </w:pPr>
    </w:p>
    <w:p>
      <w:pPr>
        <w:jc w:val="both"/>
        <w:ind w:left="8" w:firstLine="240"/>
        <w:spacing w:after="0" w:line="263" w:lineRule="auto"/>
        <w:rPr>
          <w:sz w:val="20"/>
          <w:szCs w:val="20"/>
          <w:color w:val="auto"/>
        </w:rPr>
      </w:pPr>
      <w:r>
        <w:rPr>
          <w:rFonts w:ascii="Arial" w:cs="Arial" w:eastAsia="Arial" w:hAnsi="Arial"/>
          <w:sz w:val="12"/>
          <w:szCs w:val="12"/>
          <w:color w:val="auto"/>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 counterclaims by the opposing party or parties, however we have excluded such matters from the disclosure contained in the preceding paragraph in all cases where we believe the possibility of us paying damages to any opposing party is remote.</w:t>
      </w:r>
    </w:p>
    <w:p>
      <w:pPr>
        <w:spacing w:after="0" w:line="236" w:lineRule="exact"/>
        <w:rPr>
          <w:sz w:val="20"/>
          <w:szCs w:val="20"/>
          <w:color w:val="auto"/>
        </w:rPr>
      </w:pPr>
    </w:p>
    <w:p>
      <w:pPr>
        <w:jc w:val="center"/>
        <w:ind w:right="-7"/>
        <w:spacing w:after="0"/>
        <w:rPr>
          <w:sz w:val="20"/>
          <w:szCs w:val="20"/>
          <w:color w:val="auto"/>
        </w:rPr>
      </w:pPr>
      <w:r>
        <w:rPr>
          <w:rFonts w:ascii="Arial" w:cs="Arial" w:eastAsia="Arial" w:hAnsi="Arial"/>
          <w:sz w:val="10"/>
          <w:szCs w:val="1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78040" cy="114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7" w:right="299" w:bottom="1440" w:gutter="0" w:footer="0" w:header="0"/>
        </w:sectPr>
      </w:pPr>
    </w:p>
    <w:bookmarkStart w:id="54" w:name="page55"/>
    <w:bookmarkEnd w:id="54"/>
    <w:p>
      <w:pPr>
        <w:jc w:val="center"/>
        <w:spacing w:after="0"/>
        <w:rPr>
          <w:sz w:val="20"/>
          <w:szCs w:val="20"/>
          <w:color w:val="auto"/>
        </w:rPr>
      </w:pPr>
      <w:r>
        <w:rPr>
          <w:rFonts w:ascii="Arial" w:cs="Arial" w:eastAsia="Arial" w:hAnsi="Arial"/>
          <w:sz w:val="12"/>
          <w:szCs w:val="12"/>
          <w:b w:val="1"/>
          <w:bCs w:val="1"/>
          <w:color w:val="auto"/>
        </w:rPr>
        <w:t>CRITICAL ACCOUNTING POLICIES</w:t>
      </w:r>
    </w:p>
    <w:p>
      <w:pPr>
        <w:spacing w:after="0" w:line="154" w:lineRule="exact"/>
        <w:rPr>
          <w:sz w:val="20"/>
          <w:szCs w:val="20"/>
          <w:color w:val="auto"/>
        </w:rPr>
      </w:pPr>
    </w:p>
    <w:p>
      <w:pPr>
        <w:jc w:val="both"/>
        <w:ind w:firstLine="240"/>
        <w:spacing w:after="0" w:line="263" w:lineRule="auto"/>
        <w:rPr>
          <w:sz w:val="20"/>
          <w:szCs w:val="20"/>
          <w:color w:val="auto"/>
        </w:rPr>
      </w:pPr>
      <w:r>
        <w:rPr>
          <w:rFonts w:ascii="Arial" w:cs="Arial" w:eastAsia="Arial" w:hAnsi="Arial"/>
          <w:sz w:val="12"/>
          <w:szCs w:val="12"/>
          <w:color w:val="auto"/>
        </w:rPr>
        <w:t>Our accounting and reporting policies are in accordance with accounting principles generally accepted in the United States of America and conform to general practices within the banking industry. Accounting and reporting policies for the ACL and capitalized mortgage loan servicing rights are deemed critical since they involve the use of estimates and require significant management judgments. Application of assumptions different than those that we have used could result in material changes in our financial position or results of operations.</w:t>
      </w:r>
    </w:p>
    <w:p>
      <w:pPr>
        <w:spacing w:after="0" w:line="122" w:lineRule="exact"/>
        <w:rPr>
          <w:sz w:val="20"/>
          <w:szCs w:val="20"/>
          <w:color w:val="auto"/>
        </w:rPr>
      </w:pPr>
    </w:p>
    <w:p>
      <w:pPr>
        <w:jc w:val="both"/>
        <w:ind w:firstLine="240"/>
        <w:spacing w:after="0" w:line="256" w:lineRule="auto"/>
        <w:rPr>
          <w:sz w:val="20"/>
          <w:szCs w:val="20"/>
          <w:color w:val="auto"/>
        </w:rPr>
      </w:pPr>
      <w:r>
        <w:rPr>
          <w:rFonts w:ascii="Arial" w:cs="Arial" w:eastAsia="Arial" w:hAnsi="Arial"/>
          <w:sz w:val="12"/>
          <w:szCs w:val="12"/>
          <w:color w:val="auto"/>
        </w:rPr>
        <w:t>Our methodology for determining the ACL and related provision for credit losses is described above in “Portfolio Loans and asset quality.” In particular, this area of accounting requires a significant amount of judgment because a multitude of factors can influence the ultimate collection of a loan or other type of credit. It is extremely difficult to precisely measure the amount of expected credit losses in our loan portfolio. We use a rigorous process to attempt to accurately quantify the necessary ACL and related provision for credit losses, but there can be no assurance that our modeling process will successfully identify all of the expected credit losses in our loan portfolio. As a result, we could record future provisions for credit losses that may be significantly different than the levels that we recorded in prior periods. We adopted CECL on January 1, 2021 which changed the way we calculate our ACL. See also notes #1 and #4 to the Consolidated Financial Statements included within this report for further discussion on CECL.</w:t>
      </w:r>
    </w:p>
    <w:p>
      <w:pPr>
        <w:spacing w:after="0" w:line="128" w:lineRule="exact"/>
        <w:rPr>
          <w:sz w:val="20"/>
          <w:szCs w:val="20"/>
          <w:color w:val="auto"/>
        </w:rPr>
      </w:pPr>
    </w:p>
    <w:p>
      <w:pPr>
        <w:jc w:val="both"/>
        <w:ind w:firstLine="240"/>
        <w:spacing w:after="0" w:line="259" w:lineRule="auto"/>
        <w:rPr>
          <w:sz w:val="20"/>
          <w:szCs w:val="20"/>
          <w:color w:val="auto"/>
        </w:rPr>
      </w:pPr>
      <w:r>
        <w:rPr>
          <w:rFonts w:ascii="Arial" w:cs="Arial" w:eastAsia="Arial" w:hAnsi="Arial"/>
          <w:sz w:val="12"/>
          <w:szCs w:val="12"/>
          <w:color w:val="auto"/>
        </w:rPr>
        <w:t>At December 31, 2021 and 2020, we had approximately $26.2 million and $16.9 million, respectively, of mortgage loan servicing rights capitalized on our Consolidated Statements of Financial Condition. There are several critical assumptions involved in establishing the value of this asset including estimated future prepayment speeds on the underlying mortgage loans, the interest rate used to discount the net cash flows from the mortgage loan servicing, the estimated amount of ancillary income that will be received in the future (such as late fees) and the estimated cost to service the mortgage loans. We believe the assumptions that we utilize in our valuation are reasonable based upon accepted industry practices for valuing mortgage loan servicing rights and represent neither the most conservative or aggressive assumptions.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55" w:name="page56"/>
    <w:bookmarkEnd w:id="55"/>
    <w:p>
      <w:pPr>
        <w:jc w:val="center"/>
        <w:spacing w:after="0"/>
        <w:rPr>
          <w:sz w:val="20"/>
          <w:szCs w:val="20"/>
          <w:color w:val="auto"/>
        </w:rPr>
      </w:pPr>
      <w:r>
        <w:rPr>
          <w:rFonts w:ascii="Arial" w:cs="Arial" w:eastAsia="Arial" w:hAnsi="Arial"/>
          <w:sz w:val="12"/>
          <w:szCs w:val="12"/>
          <w:b w:val="1"/>
          <w:bCs w:val="1"/>
          <w:color w:val="auto"/>
        </w:rPr>
        <w:t>MANAGEMENT’S ANNUAL REPORT ON INTERNAL CONTROL OVER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FINANCIAL REPORTING</w:t>
      </w:r>
    </w:p>
    <w:p>
      <w:pPr>
        <w:spacing w:after="0" w:line="141" w:lineRule="exact"/>
        <w:rPr>
          <w:sz w:val="20"/>
          <w:szCs w:val="20"/>
          <w:color w:val="auto"/>
        </w:rPr>
      </w:pPr>
    </w:p>
    <w:p>
      <w:pPr>
        <w:jc w:val="both"/>
        <w:ind w:right="20" w:firstLine="240"/>
        <w:spacing w:after="0" w:line="258" w:lineRule="auto"/>
        <w:rPr>
          <w:sz w:val="20"/>
          <w:szCs w:val="20"/>
          <w:color w:val="auto"/>
        </w:rPr>
      </w:pPr>
      <w:r>
        <w:rPr>
          <w:rFonts w:ascii="Arial" w:cs="Arial" w:eastAsia="Arial" w:hAnsi="Arial"/>
          <w:sz w:val="12"/>
          <w:szCs w:val="12"/>
          <w:color w:val="auto"/>
        </w:rPr>
        <w:t>The management of Independent Bank Corporation is responsible for establishing and maintaining adequate internal control over financial reporting. Our internal control system was designed to provide reasonable assurance to us and the board of directors regarding the preparation and fair presentation of published financial statements.</w:t>
      </w:r>
    </w:p>
    <w:p>
      <w:pPr>
        <w:jc w:val="both"/>
        <w:ind w:right="20" w:firstLine="240"/>
        <w:spacing w:after="0" w:line="260" w:lineRule="auto"/>
        <w:rPr>
          <w:sz w:val="20"/>
          <w:szCs w:val="20"/>
          <w:color w:val="auto"/>
        </w:rPr>
      </w:pPr>
      <w:r>
        <w:rPr>
          <w:rFonts w:ascii="Arial" w:cs="Arial" w:eastAsia="Arial" w:hAnsi="Arial"/>
          <w:sz w:val="12"/>
          <w:szCs w:val="12"/>
          <w:color w:val="auto"/>
        </w:rPr>
        <w:t>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24" w:lineRule="exact"/>
        <w:rPr>
          <w:sz w:val="20"/>
          <w:szCs w:val="20"/>
          <w:color w:val="auto"/>
        </w:rPr>
      </w:pPr>
    </w:p>
    <w:p>
      <w:pPr>
        <w:jc w:val="both"/>
        <w:ind w:firstLine="240"/>
        <w:spacing w:after="0" w:line="298" w:lineRule="auto"/>
        <w:rPr>
          <w:sz w:val="20"/>
          <w:szCs w:val="20"/>
          <w:color w:val="auto"/>
        </w:rPr>
      </w:pPr>
      <w:r>
        <w:rPr>
          <w:rFonts w:ascii="Arial" w:cs="Arial" w:eastAsia="Arial" w:hAnsi="Arial"/>
          <w:sz w:val="11"/>
          <w:szCs w:val="11"/>
          <w:color w:val="auto"/>
        </w:rPr>
        <w:t>We assessed the effectiveness of our internal control over financial reporting as of December 31, 2021. In making this assessment, we used the criteria established in the 2013 Internal Control — Integrated Framework issued by the Committee of Sponsoring Organizations of the Treadway Commission (COSO). Based on our assessment, management has concluded that as of December 31, 2021, the Company’s internal control over financial reporting was effective to provide reasonable assurance regarding the reliability of financial reporting and the preparation of financial statements for external purposes in accordance with generally accepted accounting principles.</w:t>
      </w:r>
    </w:p>
    <w:p>
      <w:pPr>
        <w:spacing w:after="0" w:line="105" w:lineRule="exact"/>
        <w:rPr>
          <w:sz w:val="20"/>
          <w:szCs w:val="20"/>
          <w:color w:val="auto"/>
        </w:rPr>
      </w:pPr>
    </w:p>
    <w:p>
      <w:pPr>
        <w:jc w:val="both"/>
        <w:ind w:firstLine="240"/>
        <w:spacing w:after="0" w:line="276" w:lineRule="auto"/>
        <w:rPr>
          <w:sz w:val="20"/>
          <w:szCs w:val="20"/>
          <w:color w:val="auto"/>
        </w:rPr>
      </w:pPr>
      <w:r>
        <w:rPr>
          <w:rFonts w:ascii="Arial" w:cs="Arial" w:eastAsia="Arial" w:hAnsi="Arial"/>
          <w:sz w:val="12"/>
          <w:szCs w:val="12"/>
          <w:color w:val="auto"/>
        </w:rPr>
        <w:t>There were no changes in our internal control over financial reporting during the quarter ended December 31, 2021, that have materially affected, or are reasonably likely to materially affect, our internal control over financial reporting.</w:t>
      </w:r>
    </w:p>
    <w:p>
      <w:pPr>
        <w:spacing w:after="0" w:line="115" w:lineRule="exact"/>
        <w:rPr>
          <w:sz w:val="20"/>
          <w:szCs w:val="20"/>
          <w:color w:val="auto"/>
        </w:rPr>
      </w:pPr>
    </w:p>
    <w:p>
      <w:pPr>
        <w:ind w:left="240"/>
        <w:spacing w:after="0"/>
        <w:rPr>
          <w:sz w:val="20"/>
          <w:szCs w:val="20"/>
          <w:color w:val="auto"/>
        </w:rPr>
      </w:pPr>
      <w:r>
        <w:rPr>
          <w:rFonts w:ascii="Arial" w:cs="Arial" w:eastAsia="Arial" w:hAnsi="Arial"/>
          <w:sz w:val="11"/>
          <w:szCs w:val="11"/>
          <w:color w:val="auto"/>
        </w:rPr>
        <w:t>Our independent registered public accounting firm has issued an audit report on the effectiveness of the Company’s internal control over financial reporting as of December 31, 2021. Their report immediately follows our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107950</wp:posOffset>
            </wp:positionV>
            <wp:extent cx="1548765" cy="2571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1548765" cy="257175"/>
                    </a:xfrm>
                    <a:prstGeom prst="rect">
                      <a:avLst/>
                    </a:prstGeom>
                    <a:noFill/>
                  </pic:spPr>
                </pic:pic>
              </a:graphicData>
            </a:graphic>
          </wp:anchor>
        </w:drawing>
        <w:drawing>
          <wp:anchor simplePos="0" relativeHeight="251657728" behindDoc="1" locked="0" layoutInCell="0" allowOverlap="1">
            <wp:simplePos x="0" y="0"/>
            <wp:positionH relativeFrom="column">
              <wp:posOffset>3681095</wp:posOffset>
            </wp:positionH>
            <wp:positionV relativeFrom="paragraph">
              <wp:posOffset>107950</wp:posOffset>
            </wp:positionV>
            <wp:extent cx="594360" cy="3257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59436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540" w:type="dxa"/>
            <w:vAlign w:val="bottom"/>
          </w:tcPr>
          <w:p>
            <w:pPr>
              <w:spacing w:after="0"/>
              <w:rPr>
                <w:sz w:val="20"/>
                <w:szCs w:val="20"/>
                <w:color w:val="auto"/>
              </w:rPr>
            </w:pPr>
            <w:r>
              <w:rPr>
                <w:rFonts w:ascii="Arial" w:cs="Arial" w:eastAsia="Arial" w:hAnsi="Arial"/>
                <w:sz w:val="12"/>
                <w:szCs w:val="12"/>
                <w:color w:val="auto"/>
              </w:rPr>
              <w:t>William B. Kessel</w:t>
            </w:r>
          </w:p>
        </w:tc>
        <w:tc>
          <w:tcPr>
            <w:tcW w:w="7760" w:type="dxa"/>
            <w:vAlign w:val="bottom"/>
          </w:tcPr>
          <w:p>
            <w:pPr>
              <w:ind w:left="2260"/>
              <w:spacing w:after="0"/>
              <w:rPr>
                <w:sz w:val="20"/>
                <w:szCs w:val="20"/>
                <w:color w:val="auto"/>
              </w:rPr>
            </w:pPr>
            <w:r>
              <w:rPr>
                <w:rFonts w:ascii="Arial" w:cs="Arial" w:eastAsia="Arial" w:hAnsi="Arial"/>
                <w:sz w:val="12"/>
                <w:szCs w:val="12"/>
                <w:color w:val="auto"/>
              </w:rPr>
              <w:t>Gavin A. Mohr</w:t>
            </w:r>
          </w:p>
        </w:tc>
      </w:tr>
      <w:tr>
        <w:trPr>
          <w:trHeight w:val="144"/>
        </w:trPr>
        <w:tc>
          <w:tcPr>
            <w:tcW w:w="3540" w:type="dxa"/>
            <w:vAlign w:val="bottom"/>
          </w:tcPr>
          <w:p>
            <w:pPr>
              <w:spacing w:after="0"/>
              <w:rPr>
                <w:sz w:val="20"/>
                <w:szCs w:val="20"/>
                <w:color w:val="auto"/>
              </w:rPr>
            </w:pPr>
            <w:r>
              <w:rPr>
                <w:rFonts w:ascii="Arial" w:cs="Arial" w:eastAsia="Arial" w:hAnsi="Arial"/>
                <w:sz w:val="12"/>
                <w:szCs w:val="12"/>
                <w:color w:val="auto"/>
              </w:rPr>
              <w:t>President and</w:t>
            </w:r>
          </w:p>
        </w:tc>
        <w:tc>
          <w:tcPr>
            <w:tcW w:w="7760" w:type="dxa"/>
            <w:vAlign w:val="bottom"/>
          </w:tcPr>
          <w:p>
            <w:pPr>
              <w:ind w:left="2260"/>
              <w:spacing w:after="0"/>
              <w:rPr>
                <w:sz w:val="20"/>
                <w:szCs w:val="20"/>
                <w:color w:val="auto"/>
              </w:rPr>
            </w:pPr>
            <w:r>
              <w:rPr>
                <w:rFonts w:ascii="Arial" w:cs="Arial" w:eastAsia="Arial" w:hAnsi="Arial"/>
                <w:sz w:val="12"/>
                <w:szCs w:val="12"/>
                <w:color w:val="auto"/>
              </w:rPr>
              <w:t>Executive Vice President</w:t>
            </w:r>
          </w:p>
        </w:tc>
      </w:tr>
      <w:tr>
        <w:trPr>
          <w:trHeight w:val="153"/>
        </w:trPr>
        <w:tc>
          <w:tcPr>
            <w:tcW w:w="3540" w:type="dxa"/>
            <w:vAlign w:val="bottom"/>
          </w:tcPr>
          <w:p>
            <w:pPr>
              <w:spacing w:after="0"/>
              <w:rPr>
                <w:sz w:val="20"/>
                <w:szCs w:val="20"/>
                <w:color w:val="auto"/>
              </w:rPr>
            </w:pPr>
            <w:r>
              <w:rPr>
                <w:rFonts w:ascii="Arial" w:cs="Arial" w:eastAsia="Arial" w:hAnsi="Arial"/>
                <w:sz w:val="12"/>
                <w:szCs w:val="12"/>
                <w:color w:val="auto"/>
              </w:rPr>
              <w:t>Chief Executive Officer</w:t>
            </w:r>
          </w:p>
        </w:tc>
        <w:tc>
          <w:tcPr>
            <w:tcW w:w="7760" w:type="dxa"/>
            <w:vAlign w:val="bottom"/>
          </w:tcPr>
          <w:p>
            <w:pPr>
              <w:ind w:left="2260"/>
              <w:spacing w:after="0"/>
              <w:rPr>
                <w:sz w:val="20"/>
                <w:szCs w:val="20"/>
                <w:color w:val="auto"/>
              </w:rPr>
            </w:pPr>
            <w:r>
              <w:rPr>
                <w:rFonts w:ascii="Arial" w:cs="Arial" w:eastAsia="Arial" w:hAnsi="Arial"/>
                <w:sz w:val="12"/>
                <w:szCs w:val="12"/>
                <w:color w:val="auto"/>
              </w:rPr>
              <w:t>and Chief Financial Officer</w:t>
            </w:r>
          </w:p>
        </w:tc>
      </w:tr>
      <w:tr>
        <w:trPr>
          <w:trHeight w:val="279"/>
        </w:trPr>
        <w:tc>
          <w:tcPr>
            <w:tcW w:w="3540" w:type="dxa"/>
            <w:vAlign w:val="bottom"/>
          </w:tcPr>
          <w:p>
            <w:pPr>
              <w:spacing w:after="0"/>
              <w:rPr>
                <w:sz w:val="20"/>
                <w:szCs w:val="20"/>
                <w:color w:val="auto"/>
              </w:rPr>
            </w:pPr>
            <w:r>
              <w:rPr>
                <w:rFonts w:ascii="Arial" w:cs="Arial" w:eastAsia="Arial" w:hAnsi="Arial"/>
                <w:sz w:val="12"/>
                <w:szCs w:val="12"/>
                <w:color w:val="auto"/>
              </w:rPr>
              <w:t>Independent Bank Corporation</w:t>
            </w:r>
          </w:p>
        </w:tc>
        <w:tc>
          <w:tcPr>
            <w:tcW w:w="7760" w:type="dxa"/>
            <w:vAlign w:val="bottom"/>
          </w:tcPr>
          <w:p>
            <w:pPr>
              <w:spacing w:after="0"/>
              <w:rPr>
                <w:sz w:val="24"/>
                <w:szCs w:val="24"/>
                <w:color w:val="auto"/>
              </w:rPr>
            </w:pPr>
          </w:p>
        </w:tc>
      </w:tr>
      <w:tr>
        <w:trPr>
          <w:trHeight w:val="153"/>
        </w:trPr>
        <w:tc>
          <w:tcPr>
            <w:tcW w:w="3540" w:type="dxa"/>
            <w:vAlign w:val="bottom"/>
          </w:tcPr>
          <w:p>
            <w:pPr>
              <w:spacing w:after="0"/>
              <w:rPr>
                <w:sz w:val="20"/>
                <w:szCs w:val="20"/>
                <w:color w:val="auto"/>
              </w:rPr>
            </w:pPr>
            <w:r>
              <w:rPr>
                <w:rFonts w:ascii="Arial" w:cs="Arial" w:eastAsia="Arial" w:hAnsi="Arial"/>
                <w:sz w:val="12"/>
                <w:szCs w:val="12"/>
                <w:color w:val="auto"/>
              </w:rPr>
              <w:t>March 4, 2022</w:t>
            </w:r>
          </w:p>
        </w:tc>
        <w:tc>
          <w:tcPr>
            <w:tcW w:w="7760" w:type="dxa"/>
            <w:vAlign w:val="bottom"/>
          </w:tcPr>
          <w:p>
            <w:pPr>
              <w:spacing w:after="0"/>
              <w:rPr>
                <w:sz w:val="13"/>
                <w:szCs w:val="13"/>
                <w:color w:val="auto"/>
              </w:rPr>
            </w:pPr>
          </w:p>
        </w:tc>
      </w:tr>
      <w:tr>
        <w:trPr>
          <w:trHeight w:val="370"/>
        </w:trPr>
        <w:tc>
          <w:tcPr>
            <w:tcW w:w="3540" w:type="dxa"/>
            <w:vAlign w:val="bottom"/>
          </w:tcPr>
          <w:p>
            <w:pPr>
              <w:spacing w:after="0"/>
              <w:rPr>
                <w:sz w:val="24"/>
                <w:szCs w:val="24"/>
                <w:color w:val="auto"/>
              </w:rPr>
            </w:pPr>
          </w:p>
        </w:tc>
        <w:tc>
          <w:tcPr>
            <w:tcW w:w="7760" w:type="dxa"/>
            <w:vAlign w:val="bottom"/>
          </w:tcPr>
          <w:p>
            <w:pPr>
              <w:jc w:val="right"/>
              <w:ind w:right="5543"/>
              <w:spacing w:after="0"/>
              <w:rPr>
                <w:sz w:val="20"/>
                <w:szCs w:val="20"/>
                <w:color w:val="auto"/>
              </w:rPr>
            </w:pPr>
            <w:r>
              <w:rPr>
                <w:rFonts w:ascii="Arial" w:cs="Arial" w:eastAsia="Arial" w:hAnsi="Arial"/>
                <w:sz w:val="10"/>
                <w:szCs w:val="10"/>
                <w:color w:val="auto"/>
              </w:rPr>
              <w:t>36</w:t>
            </w:r>
          </w:p>
        </w:tc>
      </w:tr>
      <w:tr>
        <w:trPr>
          <w:trHeight w:val="26"/>
        </w:trPr>
        <w:tc>
          <w:tcPr>
            <w:tcW w:w="3540" w:type="dxa"/>
            <w:vAlign w:val="bottom"/>
            <w:tcBorders>
              <w:bottom w:val="single" w:sz="8" w:color="auto"/>
            </w:tcBorders>
          </w:tcPr>
          <w:p>
            <w:pPr>
              <w:spacing w:after="0"/>
              <w:rPr>
                <w:sz w:val="2"/>
                <w:szCs w:val="2"/>
                <w:color w:val="auto"/>
              </w:rPr>
            </w:pPr>
          </w:p>
        </w:tc>
        <w:tc>
          <w:tcPr>
            <w:tcW w:w="7760" w:type="dxa"/>
            <w:vAlign w:val="bottom"/>
            <w:tcBorders>
              <w:bottom w:val="single" w:sz="8" w:color="auto"/>
            </w:tcBorders>
          </w:tcPr>
          <w:p>
            <w:pPr>
              <w:spacing w:after="0"/>
              <w:rPr>
                <w:sz w:val="2"/>
                <w:szCs w:val="2"/>
                <w:color w:val="auto"/>
              </w:rPr>
            </w:pPr>
          </w:p>
        </w:tc>
      </w:tr>
    </w:tbl>
    <w:p>
      <w:pPr>
        <w:sectPr>
          <w:pgSz w:w="11900" w:h="16838" w:orient="portrait"/>
          <w:cols w:equalWidth="0" w:num="1">
            <w:col w:w="11300"/>
          </w:cols>
          <w:pgMar w:left="300" w:top="127" w:right="299" w:bottom="1440" w:gutter="0" w:footer="0" w:header="0"/>
        </w:sectPr>
      </w:pPr>
    </w:p>
    <w:bookmarkStart w:id="56" w:name="page57"/>
    <w:bookmarkEnd w:id="56"/>
    <w:p>
      <w:pPr>
        <w:jc w:val="center"/>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Shareholders and the Board of Directors of Independent Bank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Grand Rapids, Michigan</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Opinions on the Financial Statements and Internal Control over Financial Reporting</w:t>
      </w:r>
    </w:p>
    <w:p>
      <w:pPr>
        <w:spacing w:after="0" w:line="154" w:lineRule="exact"/>
        <w:rPr>
          <w:sz w:val="20"/>
          <w:szCs w:val="20"/>
          <w:color w:val="auto"/>
        </w:rPr>
      </w:pPr>
    </w:p>
    <w:p>
      <w:pPr>
        <w:jc w:val="both"/>
        <w:ind w:firstLine="240"/>
        <w:spacing w:after="0" w:line="259" w:lineRule="auto"/>
        <w:rPr>
          <w:sz w:val="20"/>
          <w:szCs w:val="20"/>
          <w:color w:val="auto"/>
        </w:rPr>
      </w:pPr>
      <w:r>
        <w:rPr>
          <w:rFonts w:ascii="Arial" w:cs="Arial" w:eastAsia="Arial" w:hAnsi="Arial"/>
          <w:sz w:val="12"/>
          <w:szCs w:val="12"/>
          <w:color w:val="auto"/>
        </w:rPr>
        <w:t>We have audited the accompanying consolidated statements of financial condition of Independent Bank Corporation (the “Corporation”) as of December 31, 2021 and 2020, the related consolidated statements of operations, comprehensive income, shareholders’ equity, and cash flows for each of the years in the three-year period ended December 31, 2021, and the related notes (collectively referred to as the “financial statements”). We also have audited the Corporation’s internal control over financial reporting as of December 31, 2021, based on criteria established in Internal Control – Integrated Framework: (2013) issued by the Committee of Sponsoring Organizations of the Treadway Commission (COSO).</w:t>
      </w:r>
    </w:p>
    <w:p>
      <w:pPr>
        <w:spacing w:after="0" w:line="124" w:lineRule="exact"/>
        <w:rPr>
          <w:sz w:val="20"/>
          <w:szCs w:val="20"/>
          <w:color w:val="auto"/>
        </w:rPr>
      </w:pPr>
    </w:p>
    <w:p>
      <w:pPr>
        <w:jc w:val="both"/>
        <w:ind w:firstLine="240"/>
        <w:spacing w:after="0" w:line="298" w:lineRule="auto"/>
        <w:rPr>
          <w:sz w:val="20"/>
          <w:szCs w:val="20"/>
          <w:color w:val="auto"/>
        </w:rPr>
      </w:pPr>
      <w:r>
        <w:rPr>
          <w:rFonts w:ascii="Arial" w:cs="Arial" w:eastAsia="Arial" w:hAnsi="Arial"/>
          <w:sz w:val="11"/>
          <w:szCs w:val="11"/>
          <w:color w:val="auto"/>
        </w:rPr>
        <w:t>In our opinion, the financial statements referred to above present fairly, in all material respects, the financial position of the Corporation as of December 31, 2021 and 2020, and the results of its operations and its cash flows for each of the years in the three-year period ended December 31, 2021 in conformity with accounting principles generally accepted in the United States of America. Also, in our opinion, the Corporation maintained, in all material respects, effective internal control over financial reporting as of December 31, 2021, based on criteria established in Internal Control – Integrated Framework: (2013) issued by COSO.</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Change in Accounting Principle</w:t>
      </w:r>
    </w:p>
    <w:p>
      <w:pPr>
        <w:spacing w:after="0" w:line="154" w:lineRule="exact"/>
        <w:rPr>
          <w:sz w:val="20"/>
          <w:szCs w:val="20"/>
          <w:color w:val="auto"/>
        </w:rPr>
      </w:pPr>
    </w:p>
    <w:p>
      <w:pPr>
        <w:jc w:val="both"/>
        <w:ind w:firstLine="304"/>
        <w:spacing w:after="0" w:line="259" w:lineRule="auto"/>
        <w:rPr>
          <w:sz w:val="20"/>
          <w:szCs w:val="20"/>
          <w:color w:val="auto"/>
        </w:rPr>
      </w:pPr>
      <w:r>
        <w:rPr>
          <w:rFonts w:ascii="Arial" w:cs="Arial" w:eastAsia="Arial" w:hAnsi="Arial"/>
          <w:sz w:val="12"/>
          <w:szCs w:val="12"/>
          <w:color w:val="auto"/>
        </w:rPr>
        <w:t>As discussed in Note 1 to the financial statements, the Corporation has changed its method of accounting for credit losses effective January 1, 2021 due to the adoption of Financial Accounting Standards Board (“FASB”) Accounting Standards Codification No. 326, Financial Instruments - Credit Losses (“ASC 326”). The Corporation adopted the new credit loss standard using the modified retrospective method such that prior period amounts are not adjusted and continue to be reported in accordance with previously applicable generally accepted accounting principles. Certain aspects of the application of the new credit loss standard are communicated as a critical audit matter below.</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Basis for Opinions</w:t>
      </w:r>
    </w:p>
    <w:p>
      <w:pPr>
        <w:spacing w:after="0" w:line="154" w:lineRule="exact"/>
        <w:rPr>
          <w:sz w:val="20"/>
          <w:szCs w:val="20"/>
          <w:color w:val="auto"/>
        </w:rPr>
      </w:pPr>
    </w:p>
    <w:p>
      <w:pPr>
        <w:jc w:val="both"/>
        <w:ind w:firstLine="240"/>
        <w:spacing w:after="0" w:line="289" w:lineRule="auto"/>
        <w:rPr>
          <w:sz w:val="20"/>
          <w:szCs w:val="20"/>
          <w:color w:val="auto"/>
        </w:rPr>
      </w:pPr>
      <w:r>
        <w:rPr>
          <w:rFonts w:ascii="Arial" w:cs="Arial" w:eastAsia="Arial" w:hAnsi="Arial"/>
          <w:sz w:val="11"/>
          <w:szCs w:val="11"/>
          <w:color w:val="auto"/>
        </w:rPr>
        <w:t>The Corporation’s management is responsible for these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Corporation’s financial statements and an opinion on the Corporation’s internal control over financial reporting based on our audits. We are a public accounting firm registered with the Public Company Accounting Oversight Board (United States) (“PCAOB”) and are required to be independent with respect to the Corporation in accordance with the U.S. federal securities laws and the applicable rules and regulations of the Securities and Exchange Commission and the PCAOB.</w:t>
      </w:r>
    </w:p>
    <w:p>
      <w:pPr>
        <w:spacing w:after="0" w:line="111" w:lineRule="exact"/>
        <w:rPr>
          <w:sz w:val="20"/>
          <w:szCs w:val="20"/>
          <w:color w:val="auto"/>
        </w:rPr>
      </w:pPr>
    </w:p>
    <w:p>
      <w:pPr>
        <w:jc w:val="both"/>
        <w:ind w:firstLine="240"/>
        <w:spacing w:after="0" w:line="276" w:lineRule="auto"/>
        <w:rPr>
          <w:sz w:val="20"/>
          <w:szCs w:val="20"/>
          <w:color w:val="auto"/>
        </w:rPr>
      </w:pPr>
      <w:r>
        <w:rPr>
          <w:rFonts w:ascii="Arial" w:cs="Arial" w:eastAsia="Arial" w:hAnsi="Arial"/>
          <w:sz w:val="12"/>
          <w:szCs w:val="12"/>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115" w:lineRule="exact"/>
        <w:rPr>
          <w:sz w:val="20"/>
          <w:szCs w:val="20"/>
          <w:color w:val="auto"/>
        </w:rPr>
      </w:pPr>
    </w:p>
    <w:p>
      <w:pPr>
        <w:jc w:val="both"/>
        <w:ind w:firstLine="240"/>
        <w:spacing w:after="0" w:line="256" w:lineRule="auto"/>
        <w:rPr>
          <w:sz w:val="20"/>
          <w:szCs w:val="20"/>
          <w:color w:val="auto"/>
        </w:rPr>
      </w:pPr>
      <w:r>
        <w:rPr>
          <w:rFonts w:ascii="Arial" w:cs="Arial" w:eastAsia="Arial" w:hAnsi="Arial"/>
          <w:sz w:val="12"/>
          <w:szCs w:val="12"/>
          <w:color w:val="auto"/>
        </w:rPr>
        <w:t>Our audits of the financial statements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Definition and Limitations of Internal Control Over Financial Reporting</w:t>
      </w:r>
    </w:p>
    <w:p>
      <w:pPr>
        <w:spacing w:after="0" w:line="154" w:lineRule="exact"/>
        <w:rPr>
          <w:sz w:val="20"/>
          <w:szCs w:val="20"/>
          <w:color w:val="auto"/>
        </w:rPr>
      </w:pPr>
    </w:p>
    <w:p>
      <w:pPr>
        <w:ind w:right="100" w:firstLine="240"/>
        <w:spacing w:after="0" w:line="285" w:lineRule="auto"/>
        <w:rPr>
          <w:sz w:val="20"/>
          <w:szCs w:val="20"/>
          <w:color w:val="auto"/>
        </w:rPr>
      </w:pPr>
      <w:r>
        <w:rPr>
          <w:rFonts w:ascii="Arial" w:cs="Arial" w:eastAsia="Arial" w:hAnsi="Arial"/>
          <w:sz w:val="11"/>
          <w:szCs w:val="11"/>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3" w:lineRule="exact"/>
        <w:rPr>
          <w:sz w:val="20"/>
          <w:szCs w:val="20"/>
          <w:color w:val="auto"/>
        </w:rPr>
      </w:pPr>
    </w:p>
    <w:p>
      <w:pPr>
        <w:ind w:right="20" w:firstLine="240"/>
        <w:spacing w:after="0" w:line="276"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15" w:right="299" w:bottom="1440" w:gutter="0" w:footer="0" w:header="0"/>
        </w:sectPr>
      </w:pPr>
    </w:p>
    <w:bookmarkStart w:id="57" w:name="page58"/>
    <w:bookmarkEnd w:id="57"/>
    <w:p>
      <w:pPr>
        <w:spacing w:after="0"/>
        <w:rPr>
          <w:sz w:val="20"/>
          <w:szCs w:val="20"/>
          <w:color w:val="auto"/>
        </w:rPr>
      </w:pPr>
      <w:r>
        <w:rPr>
          <w:rFonts w:ascii="Arial" w:cs="Arial" w:eastAsia="Arial" w:hAnsi="Arial"/>
          <w:sz w:val="12"/>
          <w:szCs w:val="12"/>
          <w:b w:val="1"/>
          <w:bCs w:val="1"/>
          <w:color w:val="auto"/>
        </w:rPr>
        <w:t>Critical Audit Matter</w:t>
      </w:r>
    </w:p>
    <w:p>
      <w:pPr>
        <w:spacing w:after="0" w:line="154" w:lineRule="exact"/>
        <w:rPr>
          <w:sz w:val="20"/>
          <w:szCs w:val="20"/>
          <w:color w:val="auto"/>
        </w:rPr>
      </w:pPr>
    </w:p>
    <w:p>
      <w:pPr>
        <w:jc w:val="both"/>
        <w:ind w:firstLine="240"/>
        <w:spacing w:after="0" w:line="259" w:lineRule="auto"/>
        <w:rPr>
          <w:sz w:val="20"/>
          <w:szCs w:val="20"/>
          <w:color w:val="auto"/>
        </w:rPr>
      </w:pPr>
      <w:r>
        <w:rPr>
          <w:rFonts w:ascii="Arial" w:cs="Arial" w:eastAsia="Arial" w:hAnsi="Arial"/>
          <w:sz w:val="12"/>
          <w:szCs w:val="12"/>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color w:val="auto"/>
        </w:rPr>
        <w:t>Allowance for Credit Losses (ACL) for loans – Subjective Factors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Refer to Notes 1 and 4 to the Consolidated Financial Statements.</w:t>
      </w:r>
    </w:p>
    <w:p>
      <w:pPr>
        <w:spacing w:after="0" w:line="150" w:lineRule="exact"/>
        <w:rPr>
          <w:sz w:val="20"/>
          <w:szCs w:val="20"/>
          <w:color w:val="auto"/>
        </w:rPr>
      </w:pPr>
    </w:p>
    <w:p>
      <w:pPr>
        <w:jc w:val="both"/>
        <w:ind w:firstLine="240"/>
        <w:spacing w:after="0" w:line="289" w:lineRule="auto"/>
        <w:rPr>
          <w:sz w:val="20"/>
          <w:szCs w:val="20"/>
          <w:color w:val="auto"/>
        </w:rPr>
      </w:pPr>
      <w:r>
        <w:rPr>
          <w:rFonts w:ascii="Arial" w:cs="Arial" w:eastAsia="Arial" w:hAnsi="Arial"/>
          <w:sz w:val="11"/>
          <w:szCs w:val="11"/>
          <w:color w:val="auto"/>
        </w:rPr>
        <w:t>On January 1, 2021 (“adoption date”), the Corporation adopted ASU 2016-13, Financial Instruments – Credit Losses (Topic 326) under a modified retrospective approach, which required the Corporation to estimate expected credit losses for its financial assets carried at amortized cost utilizing the current expected credit loss (“CECL”) methodology. As of the adoption date, the Corporation reported a $47.1 million allowance for credit losses (“ACL”) under the CECL methodology on its $2.7 billion of loans carried at amortized cost. Upon adoption of the new standard, the Corporation recorded an $11.7 million increase to the ACL for loans. After considering other impacts of adoption, a $10.3 million decrease was recorded in retained earnings through a cumulative-effect adjustment. See change in accounting principle explanatory paragraph above.</w:t>
      </w:r>
    </w:p>
    <w:p>
      <w:pPr>
        <w:spacing w:after="0" w:line="111" w:lineRule="exact"/>
        <w:rPr>
          <w:sz w:val="20"/>
          <w:szCs w:val="20"/>
          <w:color w:val="auto"/>
        </w:rPr>
      </w:pPr>
    </w:p>
    <w:p>
      <w:pPr>
        <w:jc w:val="both"/>
        <w:ind w:firstLine="240"/>
        <w:spacing w:after="0" w:line="298" w:lineRule="auto"/>
        <w:rPr>
          <w:sz w:val="20"/>
          <w:szCs w:val="20"/>
          <w:color w:val="auto"/>
        </w:rPr>
      </w:pPr>
      <w:r>
        <w:rPr>
          <w:rFonts w:ascii="Arial" w:cs="Arial" w:eastAsia="Arial" w:hAnsi="Arial"/>
          <w:sz w:val="11"/>
          <w:szCs w:val="11"/>
          <w:color w:val="auto"/>
        </w:rPr>
        <w:t>The ACL under the CECL methodology is a significant estimate recorded within the Corporation’s financial statements with a reported balance for loans of $47.1 million and $47.3 million as of the adoption date and December 31, 2021, respectively. The ACL model for loans consists of three components: 1) the specific analysis of individually evaluated loans; 2) pooled analysis of loans with similar risk characteristics based on historical experience using a discounted cash flow model, adjusted for current conditions, reasonable and supportable forecasts and expected prepayments; and 3) additional allowances based on subjective factors.</w:t>
      </w:r>
    </w:p>
    <w:p>
      <w:pPr>
        <w:spacing w:after="0" w:line="105" w:lineRule="exact"/>
        <w:rPr>
          <w:sz w:val="20"/>
          <w:szCs w:val="20"/>
          <w:color w:val="auto"/>
        </w:rPr>
      </w:pPr>
    </w:p>
    <w:p>
      <w:pPr>
        <w:jc w:val="both"/>
        <w:ind w:firstLine="240"/>
        <w:spacing w:after="0" w:line="263" w:lineRule="auto"/>
        <w:rPr>
          <w:sz w:val="20"/>
          <w:szCs w:val="20"/>
          <w:color w:val="auto"/>
        </w:rPr>
      </w:pPr>
      <w:r>
        <w:rPr>
          <w:rFonts w:ascii="Arial" w:cs="Arial" w:eastAsia="Arial" w:hAnsi="Arial"/>
          <w:sz w:val="12"/>
          <w:szCs w:val="12"/>
          <w:color w:val="auto"/>
        </w:rPr>
        <w:t>The subjective factors include consideration of the following: local and general economic business factors and trends, portfolio concentrations and changes in the size, and/or the general terms of the overall loan portfolio. Due to the significant judgment applied by management to determine the effect of the subjective factors, we identified the effect of the subjective factors on the ACL for loans as a critical audit matter as it involved a high degree of auditor judgment and required significant audit effort, including the need to involve more experienced audit personnel.</w:t>
      </w:r>
    </w:p>
    <w:p>
      <w:pPr>
        <w:spacing w:after="0" w:line="122"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primary procedures we performed to address this critical audit matter included:</w:t>
      </w:r>
    </w:p>
    <w:p>
      <w:pPr>
        <w:spacing w:after="0" w:line="150" w:lineRule="exact"/>
        <w:rPr>
          <w:sz w:val="20"/>
          <w:szCs w:val="20"/>
          <w:color w:val="auto"/>
        </w:rPr>
      </w:pPr>
    </w:p>
    <w:p>
      <w:pPr>
        <w:ind w:left="1120" w:hanging="561"/>
        <w:spacing w:after="0"/>
        <w:tabs>
          <w:tab w:leader="none" w:pos="11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Testing the effectiveness of controls over the subjective factors used in the ACL calculation including controls addressing:</w:t>
      </w:r>
    </w:p>
    <w:p>
      <w:pPr>
        <w:spacing w:after="0" w:line="95" w:lineRule="exact"/>
        <w:rPr>
          <w:rFonts w:ascii="Arial" w:cs="Arial" w:eastAsia="Arial" w:hAnsi="Arial"/>
          <w:sz w:val="12"/>
          <w:szCs w:val="12"/>
          <w:color w:val="auto"/>
        </w:rPr>
      </w:pPr>
    </w:p>
    <w:p>
      <w:pPr>
        <w:ind w:left="1700" w:hanging="574"/>
        <w:spacing w:after="0"/>
        <w:tabs>
          <w:tab w:leader="none" w:pos="1700" w:val="left"/>
        </w:tabs>
        <w:numPr>
          <w:ilvl w:val="1"/>
          <w:numId w:val="21"/>
        </w:numPr>
        <w:rPr>
          <w:rFonts w:ascii="Arial" w:cs="Arial" w:eastAsia="Arial" w:hAnsi="Arial"/>
          <w:sz w:val="18"/>
          <w:szCs w:val="18"/>
          <w:color w:val="auto"/>
          <w:vertAlign w:val="superscript"/>
        </w:rPr>
      </w:pPr>
      <w:r>
        <w:rPr>
          <w:rFonts w:ascii="Arial" w:cs="Arial" w:eastAsia="Arial" w:hAnsi="Arial"/>
          <w:sz w:val="11"/>
          <w:szCs w:val="11"/>
          <w:color w:val="auto"/>
        </w:rPr>
        <w:t>Management’s review of the reasonableness of the significant assumptions applied in the development of the subjective factors and the relevance to the loan segment to which they are applied.</w:t>
      </w:r>
    </w:p>
    <w:p>
      <w:pPr>
        <w:spacing w:after="0" w:line="93" w:lineRule="exact"/>
        <w:rPr>
          <w:rFonts w:ascii="Arial" w:cs="Arial" w:eastAsia="Arial" w:hAnsi="Arial"/>
          <w:sz w:val="18"/>
          <w:szCs w:val="18"/>
          <w:color w:val="auto"/>
          <w:vertAlign w:val="superscript"/>
        </w:rPr>
      </w:pPr>
    </w:p>
    <w:p>
      <w:pPr>
        <w:ind w:left="1700" w:hanging="574"/>
        <w:spacing w:after="0" w:line="213" w:lineRule="auto"/>
        <w:tabs>
          <w:tab w:leader="none" w:pos="1700" w:val="left"/>
        </w:tabs>
        <w:numPr>
          <w:ilvl w:val="1"/>
          <w:numId w:val="21"/>
        </w:numPr>
        <w:rPr>
          <w:rFonts w:ascii="Arial" w:cs="Arial" w:eastAsia="Arial" w:hAnsi="Arial"/>
          <w:sz w:val="19"/>
          <w:szCs w:val="19"/>
          <w:color w:val="auto"/>
          <w:vertAlign w:val="superscript"/>
        </w:rPr>
      </w:pPr>
      <w:r>
        <w:rPr>
          <w:rFonts w:ascii="Arial" w:cs="Arial" w:eastAsia="Arial" w:hAnsi="Arial"/>
          <w:sz w:val="12"/>
          <w:szCs w:val="12"/>
          <w:color w:val="auto"/>
        </w:rPr>
        <w:t>Mathematical accuracy of the subjective factors applied to the loan segments in the ACL calculation.</w:t>
      </w:r>
    </w:p>
    <w:p>
      <w:pPr>
        <w:spacing w:after="0" w:line="135" w:lineRule="exact"/>
        <w:rPr>
          <w:rFonts w:ascii="Arial" w:cs="Arial" w:eastAsia="Arial" w:hAnsi="Arial"/>
          <w:sz w:val="19"/>
          <w:szCs w:val="19"/>
          <w:color w:val="auto"/>
          <w:vertAlign w:val="superscript"/>
        </w:rPr>
      </w:pPr>
    </w:p>
    <w:p>
      <w:pPr>
        <w:ind w:left="1120" w:hanging="561"/>
        <w:spacing w:after="0"/>
        <w:tabs>
          <w:tab w:leader="none" w:pos="11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Substantively testing management’s determination of the subjective factors used in the ACL estimate, including:</w:t>
      </w:r>
    </w:p>
    <w:p>
      <w:pPr>
        <w:spacing w:after="0" w:line="150" w:lineRule="exact"/>
        <w:rPr>
          <w:rFonts w:ascii="Arial" w:cs="Arial" w:eastAsia="Arial" w:hAnsi="Arial"/>
          <w:sz w:val="12"/>
          <w:szCs w:val="12"/>
          <w:color w:val="auto"/>
        </w:rPr>
      </w:pPr>
    </w:p>
    <w:p>
      <w:pPr>
        <w:ind w:left="1700" w:hanging="574"/>
        <w:spacing w:after="0" w:line="199" w:lineRule="auto"/>
        <w:tabs>
          <w:tab w:leader="none" w:pos="1700" w:val="left"/>
        </w:tabs>
        <w:numPr>
          <w:ilvl w:val="1"/>
          <w:numId w:val="21"/>
        </w:numPr>
        <w:rPr>
          <w:rFonts w:ascii="Arial" w:cs="Arial" w:eastAsia="Arial" w:hAnsi="Arial"/>
          <w:sz w:val="19"/>
          <w:szCs w:val="19"/>
          <w:color w:val="auto"/>
          <w:vertAlign w:val="superscript"/>
        </w:rPr>
      </w:pPr>
      <w:r>
        <w:rPr>
          <w:rFonts w:ascii="Arial" w:cs="Arial" w:eastAsia="Arial" w:hAnsi="Arial"/>
          <w:sz w:val="12"/>
          <w:szCs w:val="12"/>
          <w:color w:val="auto"/>
        </w:rPr>
        <w:t>Testing management’s process for developing the subjective factors, which included assessing the relevance and reliability of data used to develop the subjective factors, including evaluating their judgments and assumptions for reasonableness. Among other procedures, our evaluation considered evidence from internal and external sources.</w:t>
      </w:r>
    </w:p>
    <w:p>
      <w:pPr>
        <w:spacing w:after="0" w:line="70" w:lineRule="exact"/>
        <w:rPr>
          <w:rFonts w:ascii="Arial" w:cs="Arial" w:eastAsia="Arial" w:hAnsi="Arial"/>
          <w:sz w:val="19"/>
          <w:szCs w:val="19"/>
          <w:color w:val="auto"/>
          <w:vertAlign w:val="superscript"/>
        </w:rPr>
      </w:pPr>
    </w:p>
    <w:p>
      <w:pPr>
        <w:ind w:left="1700" w:hanging="574"/>
        <w:spacing w:after="0"/>
        <w:tabs>
          <w:tab w:leader="none" w:pos="1700" w:val="left"/>
        </w:tabs>
        <w:numPr>
          <w:ilvl w:val="1"/>
          <w:numId w:val="21"/>
        </w:numPr>
        <w:rPr>
          <w:rFonts w:ascii="Arial" w:cs="Arial" w:eastAsia="Arial" w:hAnsi="Arial"/>
          <w:sz w:val="19"/>
          <w:szCs w:val="19"/>
          <w:color w:val="auto"/>
          <w:vertAlign w:val="superscript"/>
        </w:rPr>
      </w:pPr>
      <w:r>
        <w:rPr>
          <w:rFonts w:ascii="Arial" w:cs="Arial" w:eastAsia="Arial" w:hAnsi="Arial"/>
          <w:sz w:val="12"/>
          <w:szCs w:val="12"/>
          <w:color w:val="auto"/>
        </w:rPr>
        <w:t>Analytically evaluating the subjective factors for directional consistency, testing for reasonableness, and obtaining evidence for significant changes.</w:t>
      </w:r>
    </w:p>
    <w:p>
      <w:pPr>
        <w:spacing w:after="0" w:line="93" w:lineRule="exact"/>
        <w:rPr>
          <w:rFonts w:ascii="Arial" w:cs="Arial" w:eastAsia="Arial" w:hAnsi="Arial"/>
          <w:sz w:val="19"/>
          <w:szCs w:val="19"/>
          <w:color w:val="auto"/>
          <w:vertAlign w:val="superscript"/>
        </w:rPr>
      </w:pPr>
    </w:p>
    <w:p>
      <w:pPr>
        <w:ind w:left="1700" w:hanging="574"/>
        <w:spacing w:after="0" w:line="213" w:lineRule="auto"/>
        <w:tabs>
          <w:tab w:leader="none" w:pos="1700" w:val="left"/>
        </w:tabs>
        <w:numPr>
          <w:ilvl w:val="1"/>
          <w:numId w:val="21"/>
        </w:numPr>
        <w:rPr>
          <w:rFonts w:ascii="Arial" w:cs="Arial" w:eastAsia="Arial" w:hAnsi="Arial"/>
          <w:sz w:val="19"/>
          <w:szCs w:val="19"/>
          <w:color w:val="auto"/>
          <w:vertAlign w:val="superscript"/>
        </w:rPr>
      </w:pPr>
      <w:r>
        <w:rPr>
          <w:rFonts w:ascii="Arial" w:cs="Arial" w:eastAsia="Arial" w:hAnsi="Arial"/>
          <w:sz w:val="12"/>
          <w:szCs w:val="12"/>
          <w:color w:val="auto"/>
        </w:rPr>
        <w:t>Testing the mathematical accuracy of the subjective factors applied to the loan segments in the ACL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4464050</wp:posOffset>
            </wp:positionH>
            <wp:positionV relativeFrom="paragraph">
              <wp:posOffset>92075</wp:posOffset>
            </wp:positionV>
            <wp:extent cx="988695" cy="3257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98869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7040"/>
        <w:spacing w:after="0"/>
        <w:rPr>
          <w:sz w:val="20"/>
          <w:szCs w:val="20"/>
          <w:color w:val="auto"/>
        </w:rPr>
      </w:pPr>
      <w:r>
        <w:rPr>
          <w:rFonts w:ascii="Arial" w:cs="Arial" w:eastAsia="Arial" w:hAnsi="Arial"/>
          <w:sz w:val="12"/>
          <w:szCs w:val="12"/>
          <w:color w:val="auto"/>
        </w:rPr>
        <w:t>Crowe LLP</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We have served as the Corporation’s auditor since 2005.</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South Bend, Indiana</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March 4, 2022</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57"/>
        </w:trPr>
        <w:tc>
          <w:tcPr>
            <w:tcW w:w="8700" w:type="dxa"/>
            <w:vAlign w:val="bottom"/>
          </w:tcPr>
          <w:p>
            <w:pPr>
              <w:ind w:left="3920"/>
              <w:spacing w:after="0"/>
              <w:rPr>
                <w:sz w:val="20"/>
                <w:szCs w:val="20"/>
                <w:color w:val="auto"/>
              </w:rPr>
            </w:pPr>
            <w:r>
              <w:rPr>
                <w:rFonts w:ascii="Arial" w:cs="Arial" w:eastAsia="Arial" w:hAnsi="Arial"/>
                <w:sz w:val="12"/>
                <w:szCs w:val="12"/>
                <w:b w:val="1"/>
                <w:bCs w:val="1"/>
                <w:color w:val="auto"/>
              </w:rPr>
              <w:t>CONSOLIDATED STATEMENTS OF FINANCIAL CONDITION</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87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center"/>
              <w:ind w:left="480"/>
              <w:spacing w:after="0"/>
              <w:rPr>
                <w:sz w:val="20"/>
                <w:szCs w:val="20"/>
                <w:color w:val="auto"/>
              </w:rPr>
            </w:pPr>
            <w:r>
              <w:rPr>
                <w:rFonts w:ascii="Arial" w:cs="Arial" w:eastAsia="Arial" w:hAnsi="Arial"/>
                <w:sz w:val="12"/>
                <w:szCs w:val="12"/>
                <w:b w:val="1"/>
                <w:bCs w:val="1"/>
                <w:color w:val="auto"/>
                <w:w w:val="89"/>
              </w:rPr>
              <w:t>December 31,</w:t>
            </w: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7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2021</w:t>
            </w:r>
          </w:p>
        </w:tc>
        <w:tc>
          <w:tcPr>
            <w:tcW w:w="2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8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Arial" w:cs="Arial" w:eastAsia="Arial" w:hAnsi="Arial"/>
                <w:sz w:val="12"/>
                <w:szCs w:val="12"/>
                <w:b w:val="1"/>
                <w:bCs w:val="1"/>
                <w:color w:val="auto"/>
              </w:rPr>
              <w:t>(In thousands,</w:t>
            </w:r>
          </w:p>
        </w:tc>
        <w:tc>
          <w:tcPr>
            <w:tcW w:w="200" w:type="dxa"/>
            <w:vAlign w:val="bottom"/>
          </w:tcPr>
          <w:p>
            <w:pPr>
              <w:spacing w:after="0"/>
              <w:rPr>
                <w:sz w:val="11"/>
                <w:szCs w:val="11"/>
                <w:color w:val="auto"/>
              </w:rPr>
            </w:pPr>
          </w:p>
        </w:tc>
        <w:tc>
          <w:tcPr>
            <w:tcW w:w="11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except share</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8700" w:type="dxa"/>
            <w:vAlign w:val="bottom"/>
            <w:vMerge w:val="restart"/>
          </w:tcPr>
          <w:p>
            <w:pPr>
              <w:spacing w:after="0"/>
              <w:rPr>
                <w:sz w:val="20"/>
                <w:szCs w:val="20"/>
                <w:color w:val="auto"/>
              </w:rPr>
            </w:pPr>
            <w:r>
              <w:rPr>
                <w:rFonts w:ascii="Arial" w:cs="Arial" w:eastAsia="Arial" w:hAnsi="Arial"/>
                <w:sz w:val="12"/>
                <w:szCs w:val="12"/>
                <w:color w:val="auto"/>
              </w:rPr>
              <w:t>Assets</w:t>
            </w:r>
          </w:p>
        </w:tc>
        <w:tc>
          <w:tcPr>
            <w:tcW w:w="260" w:type="dxa"/>
            <w:vAlign w:val="bottom"/>
          </w:tcPr>
          <w:p>
            <w:pPr>
              <w:spacing w:after="0"/>
              <w:rPr>
                <w:sz w:val="13"/>
                <w:szCs w:val="13"/>
                <w:color w:val="auto"/>
              </w:rPr>
            </w:pPr>
          </w:p>
        </w:tc>
        <w:tc>
          <w:tcPr>
            <w:tcW w:w="1440" w:type="dxa"/>
            <w:vAlign w:val="bottom"/>
            <w:gridSpan w:val="3"/>
          </w:tcPr>
          <w:p>
            <w:pPr>
              <w:jc w:val="center"/>
              <w:ind w:left="460"/>
              <w:spacing w:after="0"/>
              <w:rPr>
                <w:sz w:val="20"/>
                <w:szCs w:val="20"/>
                <w:color w:val="auto"/>
              </w:rPr>
            </w:pPr>
            <w:r>
              <w:rPr>
                <w:rFonts w:ascii="Arial" w:cs="Arial" w:eastAsia="Arial" w:hAnsi="Arial"/>
                <w:sz w:val="12"/>
                <w:szCs w:val="12"/>
                <w:b w:val="1"/>
                <w:bCs w:val="1"/>
                <w:color w:val="auto"/>
                <w:w w:val="88"/>
              </w:rPr>
              <w:t>amounts)</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87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Cash and due from banks</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51,069</w:t>
            </w:r>
          </w:p>
        </w:tc>
        <w:tc>
          <w:tcPr>
            <w:tcW w:w="34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56,006</w:t>
            </w:r>
          </w:p>
        </w:tc>
        <w:tc>
          <w:tcPr>
            <w:tcW w:w="0" w:type="dxa"/>
            <w:vAlign w:val="bottom"/>
          </w:tcPr>
          <w:p>
            <w:pPr>
              <w:spacing w:after="0"/>
              <w:rPr>
                <w:sz w:val="1"/>
                <w:szCs w:val="1"/>
                <w:color w:val="auto"/>
              </w:rPr>
            </w:pPr>
          </w:p>
        </w:tc>
      </w:tr>
      <w:tr>
        <w:trPr>
          <w:trHeight w:val="144"/>
        </w:trPr>
        <w:tc>
          <w:tcPr>
            <w:tcW w:w="8700" w:type="dxa"/>
            <w:vAlign w:val="bottom"/>
          </w:tcPr>
          <w:p>
            <w:pPr>
              <w:spacing w:after="0"/>
              <w:rPr>
                <w:sz w:val="20"/>
                <w:szCs w:val="20"/>
                <w:color w:val="auto"/>
              </w:rPr>
            </w:pPr>
            <w:r>
              <w:rPr>
                <w:rFonts w:ascii="Arial" w:cs="Arial" w:eastAsia="Arial" w:hAnsi="Arial"/>
                <w:sz w:val="12"/>
                <w:szCs w:val="12"/>
                <w:color w:val="auto"/>
              </w:rPr>
              <w:t>Interest bearing deposits</w:t>
            </w:r>
          </w:p>
        </w:tc>
        <w:tc>
          <w:tcPr>
            <w:tcW w:w="26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58,404</w:t>
            </w:r>
          </w:p>
        </w:tc>
        <w:tc>
          <w:tcPr>
            <w:tcW w:w="3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62,699</w:t>
            </w:r>
          </w:p>
        </w:tc>
        <w:tc>
          <w:tcPr>
            <w:tcW w:w="0" w:type="dxa"/>
            <w:vAlign w:val="bottom"/>
          </w:tcPr>
          <w:p>
            <w:pPr>
              <w:spacing w:after="0"/>
              <w:rPr>
                <w:sz w:val="1"/>
                <w:szCs w:val="1"/>
                <w:color w:val="auto"/>
              </w:rPr>
            </w:pPr>
          </w:p>
        </w:tc>
      </w:tr>
      <w:tr>
        <w:trPr>
          <w:trHeight w:val="142"/>
        </w:trPr>
        <w:tc>
          <w:tcPr>
            <w:tcW w:w="8700" w:type="dxa"/>
            <w:vAlign w:val="bottom"/>
            <w:shd w:val="clear" w:color="auto" w:fill="CCEEFF"/>
          </w:tcPr>
          <w:p>
            <w:pPr>
              <w:ind w:left="4940"/>
              <w:spacing w:after="0"/>
              <w:rPr>
                <w:sz w:val="20"/>
                <w:szCs w:val="20"/>
                <w:color w:val="auto"/>
              </w:rPr>
            </w:pPr>
            <w:r>
              <w:rPr>
                <w:rFonts w:ascii="Arial" w:cs="Arial" w:eastAsia="Arial" w:hAnsi="Arial"/>
                <w:sz w:val="12"/>
                <w:szCs w:val="12"/>
                <w:color w:val="auto"/>
              </w:rPr>
              <w:t>Cash and Cash Equivalents</w:t>
            </w:r>
          </w:p>
        </w:tc>
        <w:tc>
          <w:tcPr>
            <w:tcW w:w="2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109,473</w:t>
            </w:r>
          </w:p>
        </w:tc>
        <w:tc>
          <w:tcPr>
            <w:tcW w:w="200" w:type="dxa"/>
            <w:vAlign w:val="bottom"/>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118,705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700" w:type="dxa"/>
            <w:vAlign w:val="bottom"/>
          </w:tcPr>
          <w:p>
            <w:pPr>
              <w:spacing w:after="0"/>
              <w:rPr>
                <w:sz w:val="20"/>
                <w:szCs w:val="20"/>
                <w:color w:val="auto"/>
              </w:rPr>
            </w:pPr>
            <w:r>
              <w:rPr>
                <w:rFonts w:ascii="Arial" w:cs="Arial" w:eastAsia="Arial" w:hAnsi="Arial"/>
                <w:sz w:val="12"/>
                <w:szCs w:val="12"/>
                <w:color w:val="auto"/>
              </w:rPr>
              <w:t>Securities available for sale</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1,412,830</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1,072,159</w:t>
            </w:r>
          </w:p>
        </w:tc>
        <w:tc>
          <w:tcPr>
            <w:tcW w:w="0" w:type="dxa"/>
            <w:vAlign w:val="bottom"/>
          </w:tcPr>
          <w:p>
            <w:pPr>
              <w:spacing w:after="0"/>
              <w:rPr>
                <w:sz w:val="1"/>
                <w:szCs w:val="1"/>
                <w:color w:val="auto"/>
              </w:rPr>
            </w:pPr>
          </w:p>
        </w:tc>
      </w:tr>
      <w:tr>
        <w:trPr>
          <w:trHeight w:val="144"/>
        </w:trPr>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Federal Home Loan Bank and Federal Reserve Bank stock, at cost</w:t>
            </w: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18,427</w:t>
            </w: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18,427</w:t>
            </w:r>
          </w:p>
        </w:tc>
        <w:tc>
          <w:tcPr>
            <w:tcW w:w="0" w:type="dxa"/>
            <w:vAlign w:val="bottom"/>
          </w:tcPr>
          <w:p>
            <w:pPr>
              <w:spacing w:after="0"/>
              <w:rPr>
                <w:sz w:val="1"/>
                <w:szCs w:val="1"/>
                <w:color w:val="auto"/>
              </w:rPr>
            </w:pPr>
          </w:p>
        </w:tc>
      </w:tr>
      <w:tr>
        <w:trPr>
          <w:trHeight w:val="144"/>
        </w:trPr>
        <w:tc>
          <w:tcPr>
            <w:tcW w:w="8700" w:type="dxa"/>
            <w:vAlign w:val="bottom"/>
          </w:tcPr>
          <w:p>
            <w:pPr>
              <w:spacing w:after="0"/>
              <w:rPr>
                <w:sz w:val="20"/>
                <w:szCs w:val="20"/>
                <w:color w:val="auto"/>
              </w:rPr>
            </w:pPr>
            <w:r>
              <w:rPr>
                <w:rFonts w:ascii="Arial" w:cs="Arial" w:eastAsia="Arial" w:hAnsi="Arial"/>
                <w:sz w:val="12"/>
                <w:szCs w:val="12"/>
                <w:color w:val="auto"/>
              </w:rPr>
              <w:t>Loans held for sale, carried at fair value</w:t>
            </w:r>
          </w:p>
        </w:tc>
        <w:tc>
          <w:tcPr>
            <w:tcW w:w="26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55,470</w:t>
            </w:r>
          </w:p>
        </w:tc>
        <w:tc>
          <w:tcPr>
            <w:tcW w:w="3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92,434</w:t>
            </w:r>
          </w:p>
        </w:tc>
        <w:tc>
          <w:tcPr>
            <w:tcW w:w="0" w:type="dxa"/>
            <w:vAlign w:val="bottom"/>
          </w:tcPr>
          <w:p>
            <w:pPr>
              <w:spacing w:after="0"/>
              <w:rPr>
                <w:sz w:val="1"/>
                <w:szCs w:val="1"/>
                <w:color w:val="auto"/>
              </w:rPr>
            </w:pPr>
          </w:p>
        </w:tc>
      </w:tr>
      <w:tr>
        <w:trPr>
          <w:trHeight w:val="144"/>
        </w:trPr>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Loans held for sale, carried at lower of cost or fair value</w:t>
            </w:r>
          </w:p>
        </w:tc>
        <w:tc>
          <w:tcPr>
            <w:tcW w:w="260" w:type="dxa"/>
            <w:vAlign w:val="bottom"/>
            <w:shd w:val="clear" w:color="auto" w:fill="CCEEFF"/>
          </w:tcPr>
          <w:p>
            <w:pPr>
              <w:spacing w:after="0"/>
              <w:rPr>
                <w:sz w:val="12"/>
                <w:szCs w:val="12"/>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34,811</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8700" w:type="dxa"/>
            <w:vAlign w:val="bottom"/>
          </w:tcPr>
          <w:p>
            <w:pPr>
              <w:spacing w:after="0"/>
              <w:rPr>
                <w:sz w:val="20"/>
                <w:szCs w:val="20"/>
                <w:color w:val="auto"/>
              </w:rPr>
            </w:pPr>
            <w:r>
              <w:rPr>
                <w:rFonts w:ascii="Arial" w:cs="Arial" w:eastAsia="Arial" w:hAnsi="Arial"/>
                <w:sz w:val="12"/>
                <w:szCs w:val="12"/>
                <w:color w:val="auto"/>
              </w:rPr>
              <w:t>Loans</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7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Commercial</w:t>
            </w:r>
          </w:p>
        </w:tc>
        <w:tc>
          <w:tcPr>
            <w:tcW w:w="260" w:type="dxa"/>
            <w:vAlign w:val="bottom"/>
            <w:shd w:val="clear" w:color="auto" w:fill="CCEEFF"/>
          </w:tcPr>
          <w:p>
            <w:pPr>
              <w:spacing w:after="0"/>
              <w:rPr>
                <w:sz w:val="12"/>
                <w:szCs w:val="12"/>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1,203,581</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1,242,415</w:t>
            </w:r>
          </w:p>
        </w:tc>
        <w:tc>
          <w:tcPr>
            <w:tcW w:w="0" w:type="dxa"/>
            <w:vAlign w:val="bottom"/>
          </w:tcPr>
          <w:p>
            <w:pPr>
              <w:spacing w:after="0"/>
              <w:rPr>
                <w:sz w:val="1"/>
                <w:szCs w:val="1"/>
                <w:color w:val="auto"/>
              </w:rPr>
            </w:pPr>
          </w:p>
        </w:tc>
      </w:tr>
      <w:tr>
        <w:trPr>
          <w:trHeight w:val="144"/>
        </w:trPr>
        <w:tc>
          <w:tcPr>
            <w:tcW w:w="8700" w:type="dxa"/>
            <w:vAlign w:val="bottom"/>
          </w:tcPr>
          <w:p>
            <w:pPr>
              <w:ind w:left="100"/>
              <w:spacing w:after="0"/>
              <w:rPr>
                <w:sz w:val="20"/>
                <w:szCs w:val="20"/>
                <w:color w:val="auto"/>
              </w:rPr>
            </w:pPr>
            <w:r>
              <w:rPr>
                <w:rFonts w:ascii="Arial" w:cs="Arial" w:eastAsia="Arial" w:hAnsi="Arial"/>
                <w:sz w:val="12"/>
                <w:szCs w:val="12"/>
                <w:color w:val="auto"/>
              </w:rPr>
              <w:t>Mortgage</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1,139,659</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1,015,926</w:t>
            </w:r>
          </w:p>
        </w:tc>
        <w:tc>
          <w:tcPr>
            <w:tcW w:w="0" w:type="dxa"/>
            <w:vAlign w:val="bottom"/>
          </w:tcPr>
          <w:p>
            <w:pPr>
              <w:spacing w:after="0"/>
              <w:rPr>
                <w:sz w:val="1"/>
                <w:szCs w:val="1"/>
                <w:color w:val="auto"/>
              </w:rPr>
            </w:pPr>
          </w:p>
        </w:tc>
      </w:tr>
      <w:tr>
        <w:trPr>
          <w:trHeight w:val="144"/>
        </w:trPr>
        <w:tc>
          <w:tcPr>
            <w:tcW w:w="87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Installment</w:t>
            </w:r>
          </w:p>
        </w:tc>
        <w:tc>
          <w:tcPr>
            <w:tcW w:w="260" w:type="dxa"/>
            <w:vAlign w:val="bottom"/>
            <w:shd w:val="clear" w:color="auto" w:fill="CCEEFF"/>
          </w:tcPr>
          <w:p>
            <w:pPr>
              <w:spacing w:after="0"/>
              <w:rPr>
                <w:sz w:val="12"/>
                <w:szCs w:val="12"/>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561,805</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475,337</w:t>
            </w:r>
          </w:p>
        </w:tc>
        <w:tc>
          <w:tcPr>
            <w:tcW w:w="0" w:type="dxa"/>
            <w:vAlign w:val="bottom"/>
          </w:tcPr>
          <w:p>
            <w:pPr>
              <w:spacing w:after="0"/>
              <w:rPr>
                <w:sz w:val="1"/>
                <w:szCs w:val="1"/>
                <w:color w:val="auto"/>
              </w:rPr>
            </w:pPr>
          </w:p>
        </w:tc>
      </w:tr>
      <w:tr>
        <w:trPr>
          <w:trHeight w:val="20"/>
        </w:trPr>
        <w:tc>
          <w:tcPr>
            <w:tcW w:w="87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700" w:type="dxa"/>
            <w:vAlign w:val="bottom"/>
          </w:tcPr>
          <w:p>
            <w:pPr>
              <w:jc w:val="right"/>
              <w:ind w:right="60"/>
              <w:spacing w:after="0"/>
              <w:rPr>
                <w:sz w:val="20"/>
                <w:szCs w:val="20"/>
                <w:color w:val="auto"/>
              </w:rPr>
            </w:pPr>
            <w:r>
              <w:rPr>
                <w:rFonts w:ascii="Arial" w:cs="Arial" w:eastAsia="Arial" w:hAnsi="Arial"/>
                <w:sz w:val="12"/>
                <w:szCs w:val="12"/>
                <w:color w:val="auto"/>
              </w:rPr>
              <w:t>Total Loans</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2,905,045</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2,733,678</w:t>
            </w:r>
          </w:p>
        </w:tc>
        <w:tc>
          <w:tcPr>
            <w:tcW w:w="0" w:type="dxa"/>
            <w:vAlign w:val="bottom"/>
          </w:tcPr>
          <w:p>
            <w:pPr>
              <w:spacing w:after="0"/>
              <w:rPr>
                <w:sz w:val="1"/>
                <w:szCs w:val="1"/>
                <w:color w:val="auto"/>
              </w:rPr>
            </w:pPr>
          </w:p>
        </w:tc>
      </w:tr>
      <w:tr>
        <w:trPr>
          <w:trHeight w:val="144"/>
        </w:trPr>
        <w:tc>
          <w:tcPr>
            <w:tcW w:w="87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Allowance for credit losses (1)</w:t>
            </w: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(47,252)</w:t>
            </w: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(35,429)</w:t>
            </w:r>
          </w:p>
        </w:tc>
        <w:tc>
          <w:tcPr>
            <w:tcW w:w="0" w:type="dxa"/>
            <w:vAlign w:val="bottom"/>
          </w:tcPr>
          <w:p>
            <w:pPr>
              <w:spacing w:after="0"/>
              <w:rPr>
                <w:sz w:val="1"/>
                <w:szCs w:val="1"/>
                <w:color w:val="auto"/>
              </w:rPr>
            </w:pPr>
          </w:p>
        </w:tc>
      </w:tr>
      <w:tr>
        <w:trPr>
          <w:trHeight w:val="20"/>
        </w:trPr>
        <w:tc>
          <w:tcPr>
            <w:tcW w:w="87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700" w:type="dxa"/>
            <w:vAlign w:val="bottom"/>
          </w:tcPr>
          <w:p>
            <w:pPr>
              <w:jc w:val="right"/>
              <w:ind w:right="60"/>
              <w:spacing w:after="0"/>
              <w:rPr>
                <w:sz w:val="20"/>
                <w:szCs w:val="20"/>
                <w:color w:val="auto"/>
              </w:rPr>
            </w:pPr>
            <w:r>
              <w:rPr>
                <w:rFonts w:ascii="Arial" w:cs="Arial" w:eastAsia="Arial" w:hAnsi="Arial"/>
                <w:sz w:val="12"/>
                <w:szCs w:val="12"/>
                <w:color w:val="auto"/>
              </w:rPr>
              <w:t>Net Loans</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2,857,793</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2,698,249</w:t>
            </w:r>
          </w:p>
        </w:tc>
        <w:tc>
          <w:tcPr>
            <w:tcW w:w="0" w:type="dxa"/>
            <w:vAlign w:val="bottom"/>
          </w:tcPr>
          <w:p>
            <w:pPr>
              <w:spacing w:after="0"/>
              <w:rPr>
                <w:sz w:val="1"/>
                <w:szCs w:val="1"/>
                <w:color w:val="auto"/>
              </w:rPr>
            </w:pPr>
          </w:p>
        </w:tc>
      </w:tr>
      <w:tr>
        <w:trPr>
          <w:trHeight w:val="144"/>
        </w:trPr>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Other real estate and repossessed assets, net</w:t>
            </w:r>
          </w:p>
        </w:tc>
        <w:tc>
          <w:tcPr>
            <w:tcW w:w="260" w:type="dxa"/>
            <w:vAlign w:val="bottom"/>
            <w:shd w:val="clear" w:color="auto" w:fill="CCEEFF"/>
          </w:tcPr>
          <w:p>
            <w:pPr>
              <w:spacing w:after="0"/>
              <w:rPr>
                <w:sz w:val="12"/>
                <w:szCs w:val="12"/>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245</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766</w:t>
            </w:r>
          </w:p>
        </w:tc>
        <w:tc>
          <w:tcPr>
            <w:tcW w:w="0" w:type="dxa"/>
            <w:vAlign w:val="bottom"/>
          </w:tcPr>
          <w:p>
            <w:pPr>
              <w:spacing w:after="0"/>
              <w:rPr>
                <w:sz w:val="1"/>
                <w:szCs w:val="1"/>
                <w:color w:val="auto"/>
              </w:rPr>
            </w:pPr>
          </w:p>
        </w:tc>
      </w:tr>
      <w:tr>
        <w:trPr>
          <w:trHeight w:val="144"/>
        </w:trPr>
        <w:tc>
          <w:tcPr>
            <w:tcW w:w="8700" w:type="dxa"/>
            <w:vAlign w:val="bottom"/>
          </w:tcPr>
          <w:p>
            <w:pPr>
              <w:spacing w:after="0"/>
              <w:rPr>
                <w:sz w:val="20"/>
                <w:szCs w:val="20"/>
                <w:color w:val="auto"/>
              </w:rPr>
            </w:pPr>
            <w:r>
              <w:rPr>
                <w:rFonts w:ascii="Arial" w:cs="Arial" w:eastAsia="Arial" w:hAnsi="Arial"/>
                <w:sz w:val="12"/>
                <w:szCs w:val="12"/>
                <w:color w:val="auto"/>
              </w:rPr>
              <w:t>Property and equipment, net</w:t>
            </w:r>
          </w:p>
        </w:tc>
        <w:tc>
          <w:tcPr>
            <w:tcW w:w="26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36,404</w:t>
            </w:r>
          </w:p>
        </w:tc>
        <w:tc>
          <w:tcPr>
            <w:tcW w:w="3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36,127</w:t>
            </w:r>
          </w:p>
        </w:tc>
        <w:tc>
          <w:tcPr>
            <w:tcW w:w="0" w:type="dxa"/>
            <w:vAlign w:val="bottom"/>
          </w:tcPr>
          <w:p>
            <w:pPr>
              <w:spacing w:after="0"/>
              <w:rPr>
                <w:sz w:val="1"/>
                <w:szCs w:val="1"/>
                <w:color w:val="auto"/>
              </w:rPr>
            </w:pPr>
          </w:p>
        </w:tc>
      </w:tr>
      <w:tr>
        <w:trPr>
          <w:trHeight w:val="144"/>
        </w:trPr>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Bank-owned life insurance</w:t>
            </w: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55,279</w:t>
            </w: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55,180</w:t>
            </w:r>
          </w:p>
        </w:tc>
        <w:tc>
          <w:tcPr>
            <w:tcW w:w="0" w:type="dxa"/>
            <w:vAlign w:val="bottom"/>
          </w:tcPr>
          <w:p>
            <w:pPr>
              <w:spacing w:after="0"/>
              <w:rPr>
                <w:sz w:val="1"/>
                <w:szCs w:val="1"/>
                <w:color w:val="auto"/>
              </w:rPr>
            </w:pPr>
          </w:p>
        </w:tc>
      </w:tr>
      <w:tr>
        <w:trPr>
          <w:trHeight w:val="144"/>
        </w:trPr>
        <w:tc>
          <w:tcPr>
            <w:tcW w:w="8700" w:type="dxa"/>
            <w:vAlign w:val="bottom"/>
          </w:tcPr>
          <w:p>
            <w:pPr>
              <w:spacing w:after="0"/>
              <w:rPr>
                <w:sz w:val="20"/>
                <w:szCs w:val="20"/>
                <w:color w:val="auto"/>
              </w:rPr>
            </w:pPr>
            <w:r>
              <w:rPr>
                <w:rFonts w:ascii="Arial" w:cs="Arial" w:eastAsia="Arial" w:hAnsi="Arial"/>
                <w:sz w:val="12"/>
                <w:szCs w:val="12"/>
                <w:color w:val="auto"/>
              </w:rPr>
              <w:t>Capitalized mortgage loan servicing rights, carried at fair value</w:t>
            </w:r>
          </w:p>
        </w:tc>
        <w:tc>
          <w:tcPr>
            <w:tcW w:w="26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26,232</w:t>
            </w:r>
          </w:p>
        </w:tc>
        <w:tc>
          <w:tcPr>
            <w:tcW w:w="3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16,904</w:t>
            </w:r>
          </w:p>
        </w:tc>
        <w:tc>
          <w:tcPr>
            <w:tcW w:w="0" w:type="dxa"/>
            <w:vAlign w:val="bottom"/>
          </w:tcPr>
          <w:p>
            <w:pPr>
              <w:spacing w:after="0"/>
              <w:rPr>
                <w:sz w:val="1"/>
                <w:szCs w:val="1"/>
                <w:color w:val="auto"/>
              </w:rPr>
            </w:pPr>
          </w:p>
        </w:tc>
      </w:tr>
      <w:tr>
        <w:trPr>
          <w:trHeight w:val="144"/>
        </w:trPr>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Other intangibles</w:t>
            </w:r>
          </w:p>
        </w:tc>
        <w:tc>
          <w:tcPr>
            <w:tcW w:w="260" w:type="dxa"/>
            <w:vAlign w:val="bottom"/>
            <w:shd w:val="clear" w:color="auto" w:fill="CCEEFF"/>
          </w:tcPr>
          <w:p>
            <w:pPr>
              <w:spacing w:after="0"/>
              <w:rPr>
                <w:sz w:val="12"/>
                <w:szCs w:val="12"/>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3,336</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4,306</w:t>
            </w:r>
          </w:p>
        </w:tc>
        <w:tc>
          <w:tcPr>
            <w:tcW w:w="0" w:type="dxa"/>
            <w:vAlign w:val="bottom"/>
          </w:tcPr>
          <w:p>
            <w:pPr>
              <w:spacing w:after="0"/>
              <w:rPr>
                <w:sz w:val="1"/>
                <w:szCs w:val="1"/>
                <w:color w:val="auto"/>
              </w:rPr>
            </w:pPr>
          </w:p>
        </w:tc>
      </w:tr>
      <w:tr>
        <w:trPr>
          <w:trHeight w:val="144"/>
        </w:trPr>
        <w:tc>
          <w:tcPr>
            <w:tcW w:w="8700" w:type="dxa"/>
            <w:vAlign w:val="bottom"/>
          </w:tcPr>
          <w:p>
            <w:pPr>
              <w:spacing w:after="0"/>
              <w:rPr>
                <w:sz w:val="20"/>
                <w:szCs w:val="20"/>
                <w:color w:val="auto"/>
              </w:rPr>
            </w:pPr>
            <w:r>
              <w:rPr>
                <w:rFonts w:ascii="Arial" w:cs="Arial" w:eastAsia="Arial" w:hAnsi="Arial"/>
                <w:sz w:val="12"/>
                <w:szCs w:val="12"/>
                <w:color w:val="auto"/>
              </w:rPr>
              <w:t>Goodwill</w:t>
            </w:r>
          </w:p>
        </w:tc>
        <w:tc>
          <w:tcPr>
            <w:tcW w:w="26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28,300</w:t>
            </w:r>
          </w:p>
        </w:tc>
        <w:tc>
          <w:tcPr>
            <w:tcW w:w="3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28,300</w:t>
            </w:r>
          </w:p>
        </w:tc>
        <w:tc>
          <w:tcPr>
            <w:tcW w:w="0" w:type="dxa"/>
            <w:vAlign w:val="bottom"/>
          </w:tcPr>
          <w:p>
            <w:pPr>
              <w:spacing w:after="0"/>
              <w:rPr>
                <w:sz w:val="1"/>
                <w:szCs w:val="1"/>
                <w:color w:val="auto"/>
              </w:rPr>
            </w:pPr>
          </w:p>
        </w:tc>
      </w:tr>
      <w:tr>
        <w:trPr>
          <w:trHeight w:val="144"/>
        </w:trPr>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Accrued income and other assets</w:t>
            </w: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66,140</w:t>
            </w: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62,456</w:t>
            </w:r>
          </w:p>
        </w:tc>
        <w:tc>
          <w:tcPr>
            <w:tcW w:w="0" w:type="dxa"/>
            <w:vAlign w:val="bottom"/>
          </w:tcPr>
          <w:p>
            <w:pPr>
              <w:spacing w:after="0"/>
              <w:rPr>
                <w:sz w:val="1"/>
                <w:szCs w:val="1"/>
                <w:color w:val="auto"/>
              </w:rPr>
            </w:pPr>
          </w:p>
        </w:tc>
      </w:tr>
      <w:tr>
        <w:trPr>
          <w:trHeight w:val="20"/>
        </w:trPr>
        <w:tc>
          <w:tcPr>
            <w:tcW w:w="87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700" w:type="dxa"/>
            <w:vAlign w:val="bottom"/>
          </w:tcPr>
          <w:p>
            <w:pPr>
              <w:jc w:val="right"/>
              <w:ind w:right="60"/>
              <w:spacing w:after="0"/>
              <w:rPr>
                <w:sz w:val="20"/>
                <w:szCs w:val="20"/>
                <w:color w:val="auto"/>
              </w:rPr>
            </w:pPr>
            <w:r>
              <w:rPr>
                <w:rFonts w:ascii="Arial" w:cs="Arial" w:eastAsia="Arial" w:hAnsi="Arial"/>
                <w:sz w:val="12"/>
                <w:szCs w:val="12"/>
                <w:color w:val="auto"/>
              </w:rPr>
              <w:t>Total Assets</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4,704,740</w:t>
            </w:r>
          </w:p>
        </w:tc>
        <w:tc>
          <w:tcPr>
            <w:tcW w:w="200" w:type="dxa"/>
            <w:vAlign w:val="bottom"/>
          </w:tcPr>
          <w:p>
            <w:pPr>
              <w:spacing w:after="0"/>
              <w:rPr>
                <w:sz w:val="12"/>
                <w:szCs w:val="12"/>
                <w:color w:val="auto"/>
              </w:rPr>
            </w:pPr>
          </w:p>
        </w:tc>
        <w:tc>
          <w:tcPr>
            <w:tcW w:w="340" w:type="dxa"/>
            <w:vAlign w:val="bottom"/>
          </w:tcPr>
          <w:p>
            <w:pPr>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4,204,013</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8700" w:type="dxa"/>
            <w:vAlign w:val="bottom"/>
            <w:shd w:val="clear" w:color="auto" w:fill="CCEEFF"/>
          </w:tcPr>
          <w:p>
            <w:pPr>
              <w:spacing w:after="0" w:line="120" w:lineRule="exact"/>
              <w:rPr>
                <w:sz w:val="20"/>
                <w:szCs w:val="20"/>
                <w:color w:val="auto"/>
              </w:rPr>
            </w:pPr>
            <w:r>
              <w:rPr>
                <w:rFonts w:ascii="Arial" w:cs="Arial" w:eastAsia="Arial" w:hAnsi="Arial"/>
                <w:sz w:val="12"/>
                <w:szCs w:val="12"/>
                <w:color w:val="auto"/>
              </w:rPr>
              <w:t>Liabilities and Shareholders’ Equity</w:t>
            </w:r>
          </w:p>
        </w:tc>
        <w:tc>
          <w:tcPr>
            <w:tcW w:w="260" w:type="dxa"/>
            <w:vAlign w:val="bottom"/>
            <w:shd w:val="clear" w:color="auto" w:fill="CCEEFF"/>
          </w:tcPr>
          <w:p>
            <w:pPr>
              <w:spacing w:after="0"/>
              <w:rPr>
                <w:sz w:val="10"/>
                <w:szCs w:val="10"/>
                <w:color w:val="auto"/>
              </w:rPr>
            </w:pPr>
          </w:p>
        </w:tc>
        <w:tc>
          <w:tcPr>
            <w:tcW w:w="900" w:type="dxa"/>
            <w:vAlign w:val="bottom"/>
            <w:tcBorders>
              <w:right w:val="single" w:sz="8" w:color="CCEEFF"/>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8700" w:type="dxa"/>
            <w:vAlign w:val="bottom"/>
          </w:tcPr>
          <w:p>
            <w:pPr>
              <w:spacing w:after="0"/>
              <w:rPr>
                <w:sz w:val="20"/>
                <w:szCs w:val="20"/>
                <w:color w:val="auto"/>
              </w:rPr>
            </w:pPr>
            <w:r>
              <w:rPr>
                <w:rFonts w:ascii="Arial" w:cs="Arial" w:eastAsia="Arial" w:hAnsi="Arial"/>
                <w:sz w:val="12"/>
                <w:szCs w:val="12"/>
                <w:color w:val="auto"/>
              </w:rPr>
              <w:t>Deposits</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7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Non-interest bearing</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1,321,601</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1,153,473</w:t>
            </w:r>
          </w:p>
        </w:tc>
        <w:tc>
          <w:tcPr>
            <w:tcW w:w="0" w:type="dxa"/>
            <w:vAlign w:val="bottom"/>
          </w:tcPr>
          <w:p>
            <w:pPr>
              <w:spacing w:after="0"/>
              <w:rPr>
                <w:sz w:val="1"/>
                <w:szCs w:val="1"/>
                <w:color w:val="auto"/>
              </w:rPr>
            </w:pPr>
          </w:p>
        </w:tc>
      </w:tr>
      <w:tr>
        <w:trPr>
          <w:trHeight w:val="144"/>
        </w:trPr>
        <w:tc>
          <w:tcPr>
            <w:tcW w:w="8700" w:type="dxa"/>
            <w:vAlign w:val="bottom"/>
          </w:tcPr>
          <w:p>
            <w:pPr>
              <w:ind w:left="100"/>
              <w:spacing w:after="0"/>
              <w:rPr>
                <w:sz w:val="20"/>
                <w:szCs w:val="20"/>
                <w:color w:val="auto"/>
              </w:rPr>
            </w:pPr>
            <w:r>
              <w:rPr>
                <w:rFonts w:ascii="Arial" w:cs="Arial" w:eastAsia="Arial" w:hAnsi="Arial"/>
                <w:sz w:val="12"/>
                <w:szCs w:val="12"/>
                <w:color w:val="auto"/>
              </w:rPr>
              <w:t>Savings and interest-bearing checking</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1,897,487</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1,526,465</w:t>
            </w:r>
          </w:p>
        </w:tc>
        <w:tc>
          <w:tcPr>
            <w:tcW w:w="0" w:type="dxa"/>
            <w:vAlign w:val="bottom"/>
          </w:tcPr>
          <w:p>
            <w:pPr>
              <w:spacing w:after="0"/>
              <w:rPr>
                <w:sz w:val="1"/>
                <w:szCs w:val="1"/>
                <w:color w:val="auto"/>
              </w:rPr>
            </w:pPr>
          </w:p>
        </w:tc>
      </w:tr>
      <w:tr>
        <w:trPr>
          <w:trHeight w:val="144"/>
        </w:trPr>
        <w:tc>
          <w:tcPr>
            <w:tcW w:w="87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Reciprocal</w:t>
            </w:r>
          </w:p>
        </w:tc>
        <w:tc>
          <w:tcPr>
            <w:tcW w:w="260" w:type="dxa"/>
            <w:vAlign w:val="bottom"/>
            <w:shd w:val="clear" w:color="auto" w:fill="CCEEFF"/>
          </w:tcPr>
          <w:p>
            <w:pPr>
              <w:spacing w:after="0"/>
              <w:rPr>
                <w:sz w:val="12"/>
                <w:szCs w:val="12"/>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586,626</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556,185</w:t>
            </w:r>
          </w:p>
        </w:tc>
        <w:tc>
          <w:tcPr>
            <w:tcW w:w="0" w:type="dxa"/>
            <w:vAlign w:val="bottom"/>
          </w:tcPr>
          <w:p>
            <w:pPr>
              <w:spacing w:after="0"/>
              <w:rPr>
                <w:sz w:val="1"/>
                <w:szCs w:val="1"/>
                <w:color w:val="auto"/>
              </w:rPr>
            </w:pPr>
          </w:p>
        </w:tc>
      </w:tr>
      <w:tr>
        <w:trPr>
          <w:trHeight w:val="144"/>
        </w:trPr>
        <w:tc>
          <w:tcPr>
            <w:tcW w:w="8700" w:type="dxa"/>
            <w:vAlign w:val="bottom"/>
          </w:tcPr>
          <w:p>
            <w:pPr>
              <w:ind w:left="100"/>
              <w:spacing w:after="0"/>
              <w:rPr>
                <w:sz w:val="20"/>
                <w:szCs w:val="20"/>
                <w:color w:val="auto"/>
              </w:rPr>
            </w:pPr>
            <w:r>
              <w:rPr>
                <w:rFonts w:ascii="Arial" w:cs="Arial" w:eastAsia="Arial" w:hAnsi="Arial"/>
                <w:sz w:val="12"/>
                <w:szCs w:val="12"/>
                <w:color w:val="auto"/>
              </w:rPr>
              <w:t>Time</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308,438</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287,402</w:t>
            </w:r>
          </w:p>
        </w:tc>
        <w:tc>
          <w:tcPr>
            <w:tcW w:w="0" w:type="dxa"/>
            <w:vAlign w:val="bottom"/>
          </w:tcPr>
          <w:p>
            <w:pPr>
              <w:spacing w:after="0"/>
              <w:rPr>
                <w:sz w:val="1"/>
                <w:szCs w:val="1"/>
                <w:color w:val="auto"/>
              </w:rPr>
            </w:pPr>
          </w:p>
        </w:tc>
      </w:tr>
      <w:tr>
        <w:trPr>
          <w:trHeight w:val="144"/>
        </w:trPr>
        <w:tc>
          <w:tcPr>
            <w:tcW w:w="87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Brokered time</w:t>
            </w:r>
          </w:p>
        </w:tc>
        <w:tc>
          <w:tcPr>
            <w:tcW w:w="260" w:type="dxa"/>
            <w:vAlign w:val="bottom"/>
            <w:shd w:val="clear" w:color="auto" w:fill="CCEEFF"/>
          </w:tcPr>
          <w:p>
            <w:pPr>
              <w:spacing w:after="0"/>
              <w:rPr>
                <w:sz w:val="12"/>
                <w:szCs w:val="12"/>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2,938</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113,830</w:t>
            </w:r>
          </w:p>
        </w:tc>
        <w:tc>
          <w:tcPr>
            <w:tcW w:w="0" w:type="dxa"/>
            <w:vAlign w:val="bottom"/>
          </w:tcPr>
          <w:p>
            <w:pPr>
              <w:spacing w:after="0"/>
              <w:rPr>
                <w:sz w:val="1"/>
                <w:szCs w:val="1"/>
                <w:color w:val="auto"/>
              </w:rPr>
            </w:pPr>
          </w:p>
        </w:tc>
      </w:tr>
      <w:tr>
        <w:trPr>
          <w:trHeight w:val="20"/>
        </w:trPr>
        <w:tc>
          <w:tcPr>
            <w:tcW w:w="87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700" w:type="dxa"/>
            <w:vAlign w:val="bottom"/>
          </w:tcPr>
          <w:p>
            <w:pPr>
              <w:jc w:val="right"/>
              <w:ind w:right="60"/>
              <w:spacing w:after="0"/>
              <w:rPr>
                <w:sz w:val="20"/>
                <w:szCs w:val="20"/>
                <w:color w:val="auto"/>
              </w:rPr>
            </w:pPr>
            <w:r>
              <w:rPr>
                <w:rFonts w:ascii="Arial" w:cs="Arial" w:eastAsia="Arial" w:hAnsi="Arial"/>
                <w:sz w:val="12"/>
                <w:szCs w:val="12"/>
                <w:color w:val="auto"/>
              </w:rPr>
              <w:t>Total Deposits</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4,117,090</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3,637,355</w:t>
            </w:r>
          </w:p>
        </w:tc>
        <w:tc>
          <w:tcPr>
            <w:tcW w:w="0" w:type="dxa"/>
            <w:vAlign w:val="bottom"/>
          </w:tcPr>
          <w:p>
            <w:pPr>
              <w:spacing w:after="0"/>
              <w:rPr>
                <w:sz w:val="1"/>
                <w:szCs w:val="1"/>
                <w:color w:val="auto"/>
              </w:rPr>
            </w:pPr>
          </w:p>
        </w:tc>
      </w:tr>
      <w:tr>
        <w:trPr>
          <w:trHeight w:val="144"/>
        </w:trPr>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Other borrowings</w:t>
            </w: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30,009</w:t>
            </w: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30,012</w:t>
            </w:r>
          </w:p>
        </w:tc>
        <w:tc>
          <w:tcPr>
            <w:tcW w:w="0" w:type="dxa"/>
            <w:vAlign w:val="bottom"/>
          </w:tcPr>
          <w:p>
            <w:pPr>
              <w:spacing w:after="0"/>
              <w:rPr>
                <w:sz w:val="1"/>
                <w:szCs w:val="1"/>
                <w:color w:val="auto"/>
              </w:rPr>
            </w:pPr>
          </w:p>
        </w:tc>
      </w:tr>
      <w:tr>
        <w:trPr>
          <w:trHeight w:val="144"/>
        </w:trPr>
        <w:tc>
          <w:tcPr>
            <w:tcW w:w="8700" w:type="dxa"/>
            <w:vAlign w:val="bottom"/>
          </w:tcPr>
          <w:p>
            <w:pPr>
              <w:spacing w:after="0"/>
              <w:rPr>
                <w:sz w:val="20"/>
                <w:szCs w:val="20"/>
                <w:color w:val="auto"/>
              </w:rPr>
            </w:pPr>
            <w:r>
              <w:rPr>
                <w:rFonts w:ascii="Arial" w:cs="Arial" w:eastAsia="Arial" w:hAnsi="Arial"/>
                <w:sz w:val="12"/>
                <w:szCs w:val="12"/>
                <w:color w:val="auto"/>
              </w:rPr>
              <w:t>Subordinated debt</w:t>
            </w:r>
          </w:p>
        </w:tc>
        <w:tc>
          <w:tcPr>
            <w:tcW w:w="26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39,357</w:t>
            </w:r>
          </w:p>
        </w:tc>
        <w:tc>
          <w:tcPr>
            <w:tcW w:w="3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39,281</w:t>
            </w:r>
          </w:p>
        </w:tc>
        <w:tc>
          <w:tcPr>
            <w:tcW w:w="0" w:type="dxa"/>
            <w:vAlign w:val="bottom"/>
          </w:tcPr>
          <w:p>
            <w:pPr>
              <w:spacing w:after="0"/>
              <w:rPr>
                <w:sz w:val="1"/>
                <w:szCs w:val="1"/>
                <w:color w:val="auto"/>
              </w:rPr>
            </w:pPr>
          </w:p>
        </w:tc>
      </w:tr>
      <w:tr>
        <w:trPr>
          <w:trHeight w:val="144"/>
        </w:trPr>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Subordinated debentures</w:t>
            </w: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39,592</w:t>
            </w: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39,524</w:t>
            </w:r>
          </w:p>
        </w:tc>
        <w:tc>
          <w:tcPr>
            <w:tcW w:w="0" w:type="dxa"/>
            <w:vAlign w:val="bottom"/>
          </w:tcPr>
          <w:p>
            <w:pPr>
              <w:spacing w:after="0"/>
              <w:rPr>
                <w:sz w:val="1"/>
                <w:szCs w:val="1"/>
                <w:color w:val="auto"/>
              </w:rPr>
            </w:pPr>
          </w:p>
        </w:tc>
      </w:tr>
      <w:tr>
        <w:trPr>
          <w:trHeight w:val="144"/>
        </w:trPr>
        <w:tc>
          <w:tcPr>
            <w:tcW w:w="8700" w:type="dxa"/>
            <w:vAlign w:val="bottom"/>
          </w:tcPr>
          <w:p>
            <w:pPr>
              <w:spacing w:after="0"/>
              <w:rPr>
                <w:sz w:val="20"/>
                <w:szCs w:val="20"/>
                <w:color w:val="auto"/>
              </w:rPr>
            </w:pPr>
            <w:r>
              <w:rPr>
                <w:rFonts w:ascii="Arial" w:cs="Arial" w:eastAsia="Arial" w:hAnsi="Arial"/>
                <w:sz w:val="12"/>
                <w:szCs w:val="12"/>
                <w:color w:val="auto"/>
              </w:rPr>
              <w:t>Accrued expenses and other liabilities</w:t>
            </w:r>
          </w:p>
        </w:tc>
        <w:tc>
          <w:tcPr>
            <w:tcW w:w="26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80,208</w:t>
            </w:r>
          </w:p>
        </w:tc>
        <w:tc>
          <w:tcPr>
            <w:tcW w:w="3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68,319</w:t>
            </w:r>
          </w:p>
        </w:tc>
        <w:tc>
          <w:tcPr>
            <w:tcW w:w="0" w:type="dxa"/>
            <w:vAlign w:val="bottom"/>
          </w:tcPr>
          <w:p>
            <w:pPr>
              <w:spacing w:after="0"/>
              <w:rPr>
                <w:sz w:val="1"/>
                <w:szCs w:val="1"/>
                <w:color w:val="auto"/>
              </w:rPr>
            </w:pPr>
          </w:p>
        </w:tc>
      </w:tr>
      <w:tr>
        <w:trPr>
          <w:trHeight w:val="142"/>
        </w:trPr>
        <w:tc>
          <w:tcPr>
            <w:tcW w:w="87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Total Liabilities</w:t>
            </w:r>
          </w:p>
        </w:tc>
        <w:tc>
          <w:tcPr>
            <w:tcW w:w="2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4,306,256</w:t>
            </w:r>
          </w:p>
        </w:tc>
        <w:tc>
          <w:tcPr>
            <w:tcW w:w="200" w:type="dxa"/>
            <w:vAlign w:val="bottom"/>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3,814,491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700" w:type="dxa"/>
            <w:vAlign w:val="bottom"/>
            <w:tcBorders>
              <w:top w:val="single" w:sz="8" w:color="CCEEFF"/>
            </w:tcBorders>
          </w:tcPr>
          <w:p>
            <w:pPr>
              <w:spacing w:after="0"/>
              <w:rPr>
                <w:sz w:val="20"/>
                <w:szCs w:val="20"/>
                <w:color w:val="auto"/>
              </w:rPr>
            </w:pPr>
            <w:r>
              <w:rPr>
                <w:rFonts w:ascii="Arial" w:cs="Arial" w:eastAsia="Arial" w:hAnsi="Arial"/>
                <w:sz w:val="12"/>
                <w:szCs w:val="12"/>
                <w:color w:val="auto"/>
              </w:rPr>
              <w:t>Commitments and contingent liabilities</w:t>
            </w: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Shareholders’ Equity</w:t>
            </w:r>
          </w:p>
        </w:tc>
        <w:tc>
          <w:tcPr>
            <w:tcW w:w="260" w:type="dxa"/>
            <w:vAlign w:val="bottom"/>
            <w:shd w:val="clear" w:color="auto" w:fill="CCEEFF"/>
          </w:tcPr>
          <w:p>
            <w:pPr>
              <w:spacing w:after="0"/>
              <w:rPr>
                <w:sz w:val="12"/>
                <w:szCs w:val="12"/>
                <w:color w:val="auto"/>
              </w:rPr>
            </w:pPr>
          </w:p>
        </w:tc>
        <w:tc>
          <w:tcPr>
            <w:tcW w:w="90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700" w:type="dxa"/>
            <w:vAlign w:val="bottom"/>
          </w:tcPr>
          <w:p>
            <w:pPr>
              <w:ind w:left="100"/>
              <w:spacing w:after="0"/>
              <w:rPr>
                <w:sz w:val="20"/>
                <w:szCs w:val="20"/>
                <w:color w:val="auto"/>
              </w:rPr>
            </w:pPr>
            <w:r>
              <w:rPr>
                <w:rFonts w:ascii="Arial" w:cs="Arial" w:eastAsia="Arial" w:hAnsi="Arial"/>
                <w:sz w:val="12"/>
                <w:szCs w:val="12"/>
                <w:color w:val="auto"/>
              </w:rPr>
              <w:t>Preferred stock, no par value, 200,000 shares authorized; none issued or outstanding</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8700" w:type="dxa"/>
            <w:vAlign w:val="bottom"/>
            <w:shd w:val="clear" w:color="auto" w:fill="CCEEFF"/>
          </w:tcPr>
          <w:p>
            <w:pPr>
              <w:ind w:left="100"/>
              <w:spacing w:after="0"/>
              <w:rPr>
                <w:sz w:val="20"/>
                <w:szCs w:val="20"/>
                <w:color w:val="auto"/>
              </w:rPr>
            </w:pPr>
            <w:r>
              <w:rPr>
                <w:rFonts w:ascii="Arial" w:cs="Arial" w:eastAsia="Arial" w:hAnsi="Arial"/>
                <w:sz w:val="12"/>
                <w:szCs w:val="12"/>
                <w:color w:val="auto"/>
                <w:w w:val="92"/>
              </w:rPr>
              <w:t>Common stock, no par value, 500,000,000 shares authorized; issued and outstanding: 21,171,036 shares at December 31, 2021 and 21,853,800 shares at December 31, 2020</w:t>
            </w:r>
          </w:p>
        </w:tc>
        <w:tc>
          <w:tcPr>
            <w:tcW w:w="260" w:type="dxa"/>
            <w:vAlign w:val="bottom"/>
            <w:shd w:val="clear" w:color="auto" w:fill="CCEEFF"/>
          </w:tcPr>
          <w:p>
            <w:pPr>
              <w:spacing w:after="0"/>
              <w:rPr>
                <w:sz w:val="12"/>
                <w:szCs w:val="12"/>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323,401</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339,353</w:t>
            </w:r>
          </w:p>
        </w:tc>
        <w:tc>
          <w:tcPr>
            <w:tcW w:w="0" w:type="dxa"/>
            <w:vAlign w:val="bottom"/>
          </w:tcPr>
          <w:p>
            <w:pPr>
              <w:spacing w:after="0"/>
              <w:rPr>
                <w:sz w:val="1"/>
                <w:szCs w:val="1"/>
                <w:color w:val="auto"/>
              </w:rPr>
            </w:pPr>
          </w:p>
        </w:tc>
      </w:tr>
      <w:tr>
        <w:trPr>
          <w:trHeight w:val="144"/>
        </w:trPr>
        <w:tc>
          <w:tcPr>
            <w:tcW w:w="8700" w:type="dxa"/>
            <w:vAlign w:val="bottom"/>
          </w:tcPr>
          <w:p>
            <w:pPr>
              <w:ind w:left="100"/>
              <w:spacing w:after="0"/>
              <w:rPr>
                <w:sz w:val="20"/>
                <w:szCs w:val="20"/>
                <w:color w:val="auto"/>
              </w:rPr>
            </w:pPr>
            <w:r>
              <w:rPr>
                <w:rFonts w:ascii="Arial" w:cs="Arial" w:eastAsia="Arial" w:hAnsi="Arial"/>
                <w:sz w:val="12"/>
                <w:szCs w:val="12"/>
                <w:color w:val="auto"/>
              </w:rPr>
              <w:t>Retained earnings</w:t>
            </w:r>
          </w:p>
        </w:tc>
        <w:tc>
          <w:tcPr>
            <w:tcW w:w="26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74,582</w:t>
            </w:r>
          </w:p>
        </w:tc>
        <w:tc>
          <w:tcPr>
            <w:tcW w:w="3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40,145</w:t>
            </w:r>
          </w:p>
        </w:tc>
        <w:tc>
          <w:tcPr>
            <w:tcW w:w="0" w:type="dxa"/>
            <w:vAlign w:val="bottom"/>
          </w:tcPr>
          <w:p>
            <w:pPr>
              <w:spacing w:after="0"/>
              <w:rPr>
                <w:sz w:val="1"/>
                <w:szCs w:val="1"/>
                <w:color w:val="auto"/>
              </w:rPr>
            </w:pPr>
          </w:p>
        </w:tc>
      </w:tr>
      <w:tr>
        <w:trPr>
          <w:trHeight w:val="144"/>
        </w:trPr>
        <w:tc>
          <w:tcPr>
            <w:tcW w:w="87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Accumulated other comprehensive income</w:t>
            </w:r>
          </w:p>
        </w:tc>
        <w:tc>
          <w:tcPr>
            <w:tcW w:w="260" w:type="dxa"/>
            <w:vAlign w:val="bottom"/>
            <w:shd w:val="clear" w:color="auto" w:fill="CCEEFF"/>
          </w:tcPr>
          <w:p>
            <w:pPr>
              <w:spacing w:after="0"/>
              <w:rPr>
                <w:sz w:val="12"/>
                <w:szCs w:val="12"/>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501</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10,024</w:t>
            </w:r>
          </w:p>
        </w:tc>
        <w:tc>
          <w:tcPr>
            <w:tcW w:w="0" w:type="dxa"/>
            <w:vAlign w:val="bottom"/>
          </w:tcPr>
          <w:p>
            <w:pPr>
              <w:spacing w:after="0"/>
              <w:rPr>
                <w:sz w:val="1"/>
                <w:szCs w:val="1"/>
                <w:color w:val="auto"/>
              </w:rPr>
            </w:pPr>
          </w:p>
        </w:tc>
      </w:tr>
      <w:tr>
        <w:trPr>
          <w:trHeight w:val="20"/>
        </w:trPr>
        <w:tc>
          <w:tcPr>
            <w:tcW w:w="87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700" w:type="dxa"/>
            <w:vAlign w:val="bottom"/>
          </w:tcPr>
          <w:p>
            <w:pPr>
              <w:jc w:val="right"/>
              <w:ind w:right="60"/>
              <w:spacing w:after="0"/>
              <w:rPr>
                <w:sz w:val="20"/>
                <w:szCs w:val="20"/>
                <w:color w:val="auto"/>
              </w:rPr>
            </w:pPr>
            <w:r>
              <w:rPr>
                <w:rFonts w:ascii="Arial" w:cs="Arial" w:eastAsia="Arial" w:hAnsi="Arial"/>
                <w:sz w:val="12"/>
                <w:szCs w:val="12"/>
                <w:color w:val="auto"/>
              </w:rPr>
              <w:t>Total Shareholders’ Equity</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398,484</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389,522</w:t>
            </w:r>
          </w:p>
        </w:tc>
        <w:tc>
          <w:tcPr>
            <w:tcW w:w="0" w:type="dxa"/>
            <w:vAlign w:val="bottom"/>
          </w:tcPr>
          <w:p>
            <w:pPr>
              <w:spacing w:after="0"/>
              <w:rPr>
                <w:sz w:val="1"/>
                <w:szCs w:val="1"/>
                <w:color w:val="auto"/>
              </w:rPr>
            </w:pPr>
          </w:p>
        </w:tc>
      </w:tr>
      <w:tr>
        <w:trPr>
          <w:trHeight w:val="182"/>
        </w:trPr>
        <w:tc>
          <w:tcPr>
            <w:tcW w:w="87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2"/>
                <w:szCs w:val="12"/>
                <w:color w:val="auto"/>
              </w:rPr>
              <w:t>Total Liabilities and Shareholders’ Equity</w:t>
            </w:r>
          </w:p>
        </w:tc>
        <w:tc>
          <w:tcPr>
            <w:tcW w:w="2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4,704,740</w:t>
            </w:r>
          </w:p>
        </w:tc>
        <w:tc>
          <w:tcPr>
            <w:tcW w:w="2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4,204,013</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(1) Beginning January 1, 2021, calculation is based on CECL methodology. Prior to January 1, 2021, calculation was based on the probable incurred loss methodology.</w:t>
      </w:r>
    </w:p>
    <w:p>
      <w:pPr>
        <w:spacing w:after="0" w:line="150" w:lineRule="exact"/>
        <w:rPr>
          <w:sz w:val="20"/>
          <w:szCs w:val="20"/>
          <w:color w:val="auto"/>
        </w:rPr>
      </w:pPr>
    </w:p>
    <w:p>
      <w:pPr>
        <w:ind w:left="4180"/>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71" w:right="29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57"/>
        </w:trPr>
        <w:tc>
          <w:tcPr>
            <w:tcW w:w="3520" w:type="dxa"/>
            <w:vAlign w:val="bottom"/>
          </w:tcPr>
          <w:p>
            <w:pPr>
              <w:spacing w:after="0"/>
              <w:rPr>
                <w:sz w:val="13"/>
                <w:szCs w:val="13"/>
                <w:color w:val="auto"/>
              </w:rPr>
            </w:pPr>
          </w:p>
        </w:tc>
        <w:tc>
          <w:tcPr>
            <w:tcW w:w="4540" w:type="dxa"/>
            <w:vAlign w:val="bottom"/>
            <w:gridSpan w:val="2"/>
          </w:tcPr>
          <w:p>
            <w:pPr>
              <w:jc w:val="right"/>
              <w:ind w:right="969"/>
              <w:spacing w:after="0"/>
              <w:rPr>
                <w:sz w:val="20"/>
                <w:szCs w:val="20"/>
                <w:color w:val="auto"/>
              </w:rPr>
            </w:pPr>
            <w:r>
              <w:rPr>
                <w:rFonts w:ascii="Arial" w:cs="Arial" w:eastAsia="Arial" w:hAnsi="Arial"/>
                <w:sz w:val="12"/>
                <w:szCs w:val="12"/>
                <w:b w:val="1"/>
                <w:bCs w:val="1"/>
                <w:color w:val="auto"/>
              </w:rPr>
              <w:t>CONSOLIDATED STATEMENTS OF OPERATIONS</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35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2"/>
                <w:szCs w:val="12"/>
                <w:b w:val="1"/>
                <w:bCs w:val="1"/>
                <w:color w:val="auto"/>
                <w:w w:val="92"/>
              </w:rPr>
              <w:t>Year Ended December 31,</w:t>
            </w: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5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4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2020</w:t>
            </w: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520" w:type="dxa"/>
            <w:vAlign w:val="bottom"/>
            <w:vMerge w:val="restart"/>
          </w:tcPr>
          <w:p>
            <w:pPr>
              <w:spacing w:after="0"/>
              <w:rPr>
                <w:sz w:val="20"/>
                <w:szCs w:val="20"/>
                <w:color w:val="auto"/>
              </w:rPr>
            </w:pPr>
            <w:r>
              <w:rPr>
                <w:rFonts w:ascii="Arial" w:cs="Arial" w:eastAsia="Arial" w:hAnsi="Arial"/>
                <w:sz w:val="12"/>
                <w:szCs w:val="12"/>
                <w:color w:val="auto"/>
              </w:rPr>
              <w:t>INTEREST INCOME</w:t>
            </w:r>
          </w:p>
        </w:tc>
        <w:tc>
          <w:tcPr>
            <w:tcW w:w="38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jc w:val="right"/>
              <w:ind w:right="60"/>
              <w:spacing w:after="0"/>
              <w:rPr>
                <w:sz w:val="20"/>
                <w:szCs w:val="20"/>
                <w:color w:val="auto"/>
              </w:rPr>
            </w:pPr>
            <w:r>
              <w:rPr>
                <w:rFonts w:ascii="Arial" w:cs="Arial" w:eastAsia="Arial" w:hAnsi="Arial"/>
                <w:sz w:val="12"/>
                <w:szCs w:val="12"/>
                <w:b w:val="1"/>
                <w:bCs w:val="1"/>
                <w:color w:val="auto"/>
              </w:rPr>
              <w:t>(In</w:t>
            </w:r>
          </w:p>
        </w:tc>
        <w:tc>
          <w:tcPr>
            <w:tcW w:w="1360" w:type="dxa"/>
            <w:vAlign w:val="bottom"/>
            <w:gridSpan w:val="4"/>
          </w:tcPr>
          <w:p>
            <w:pPr>
              <w:jc w:val="right"/>
              <w:spacing w:after="0"/>
              <w:rPr>
                <w:sz w:val="20"/>
                <w:szCs w:val="20"/>
                <w:color w:val="auto"/>
              </w:rPr>
            </w:pPr>
            <w:r>
              <w:rPr>
                <w:rFonts w:ascii="Arial" w:cs="Arial" w:eastAsia="Arial" w:hAnsi="Arial"/>
                <w:sz w:val="12"/>
                <w:szCs w:val="12"/>
                <w:b w:val="1"/>
                <w:bCs w:val="1"/>
                <w:color w:val="auto"/>
                <w:w w:val="81"/>
              </w:rPr>
              <w:t>thousands, except per share</w:t>
            </w:r>
          </w:p>
        </w:tc>
        <w:tc>
          <w:tcPr>
            <w:tcW w:w="58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88"/>
              </w:rPr>
              <w:t>amounts)</w:t>
            </w: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520" w:type="dxa"/>
            <w:vAlign w:val="bottom"/>
            <w:vMerge w:val="continue"/>
          </w:tcPr>
          <w:p>
            <w:pPr>
              <w:spacing w:after="0"/>
              <w:rPr>
                <w:sz w:val="11"/>
                <w:szCs w:val="11"/>
                <w:color w:val="auto"/>
              </w:rPr>
            </w:pPr>
          </w:p>
        </w:tc>
        <w:tc>
          <w:tcPr>
            <w:tcW w:w="3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5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Interest and fees on loans</w:t>
            </w:r>
          </w:p>
        </w:tc>
        <w:tc>
          <w:tcPr>
            <w:tcW w:w="4540" w:type="dxa"/>
            <w:vAlign w:val="bottom"/>
            <w:gridSpan w:val="2"/>
            <w:shd w:val="clear" w:color="auto" w:fill="CCEEFF"/>
          </w:tcPr>
          <w:p>
            <w:pPr>
              <w:jc w:val="right"/>
              <w:ind w:right="609"/>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2"/>
              </w:rPr>
              <w:t>116,644</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52"/>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123,159</w:t>
            </w:r>
          </w:p>
        </w:tc>
        <w:tc>
          <w:tcPr>
            <w:tcW w:w="360" w:type="dxa"/>
            <w:vAlign w:val="bottom"/>
            <w:shd w:val="clear" w:color="auto" w:fill="CCEEFF"/>
          </w:tcPr>
          <w:p>
            <w:pPr>
              <w:jc w:val="center"/>
              <w:ind w:right="240"/>
              <w:spacing w:after="0"/>
              <w:rPr>
                <w:sz w:val="20"/>
                <w:szCs w:val="20"/>
                <w:color w:val="auto"/>
              </w:rPr>
            </w:pPr>
            <w:r>
              <w:rPr>
                <w:rFonts w:ascii="Arial" w:cs="Arial" w:eastAsia="Arial" w:hAnsi="Arial"/>
                <w:sz w:val="12"/>
                <w:szCs w:val="12"/>
                <w:color w:val="auto"/>
                <w:w w:val="8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133,883</w:t>
            </w:r>
          </w:p>
        </w:tc>
        <w:tc>
          <w:tcPr>
            <w:tcW w:w="0" w:type="dxa"/>
            <w:vAlign w:val="bottom"/>
          </w:tcPr>
          <w:p>
            <w:pPr>
              <w:spacing w:after="0"/>
              <w:rPr>
                <w:sz w:val="1"/>
                <w:szCs w:val="1"/>
                <w:color w:val="auto"/>
              </w:rPr>
            </w:pPr>
          </w:p>
        </w:tc>
      </w:tr>
      <w:tr>
        <w:trPr>
          <w:trHeight w:val="144"/>
        </w:trPr>
        <w:tc>
          <w:tcPr>
            <w:tcW w:w="3520" w:type="dxa"/>
            <w:vAlign w:val="bottom"/>
          </w:tcPr>
          <w:p>
            <w:pPr>
              <w:ind w:left="100"/>
              <w:spacing w:after="0"/>
              <w:rPr>
                <w:sz w:val="20"/>
                <w:szCs w:val="20"/>
                <w:color w:val="auto"/>
              </w:rPr>
            </w:pPr>
            <w:r>
              <w:rPr>
                <w:rFonts w:ascii="Arial" w:cs="Arial" w:eastAsia="Arial" w:hAnsi="Arial"/>
                <w:sz w:val="12"/>
                <w:szCs w:val="12"/>
                <w:color w:val="auto"/>
              </w:rPr>
              <w:t>Interest on securities available for sale</w:t>
            </w:r>
          </w:p>
        </w:tc>
        <w:tc>
          <w:tcPr>
            <w:tcW w:w="3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20" w:type="dxa"/>
            <w:vAlign w:val="bottom"/>
            <w:shd w:val="clear" w:color="auto" w:fill="CCEEFF"/>
          </w:tcPr>
          <w:p>
            <w:pPr>
              <w:ind w:left="200"/>
              <w:spacing w:after="0"/>
              <w:rPr>
                <w:sz w:val="20"/>
                <w:szCs w:val="20"/>
                <w:color w:val="auto"/>
              </w:rPr>
            </w:pPr>
            <w:r>
              <w:rPr>
                <w:rFonts w:ascii="Arial" w:cs="Arial" w:eastAsia="Arial" w:hAnsi="Arial"/>
                <w:sz w:val="12"/>
                <w:szCs w:val="12"/>
                <w:color w:val="auto"/>
              </w:rPr>
              <w:t>Taxable</w:t>
            </w:r>
          </w:p>
        </w:tc>
        <w:tc>
          <w:tcPr>
            <w:tcW w:w="38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14,488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12,655</w:t>
            </w: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11,842</w:t>
            </w:r>
          </w:p>
        </w:tc>
        <w:tc>
          <w:tcPr>
            <w:tcW w:w="0" w:type="dxa"/>
            <w:vAlign w:val="bottom"/>
          </w:tcPr>
          <w:p>
            <w:pPr>
              <w:spacing w:after="0"/>
              <w:rPr>
                <w:sz w:val="1"/>
                <w:szCs w:val="1"/>
                <w:color w:val="auto"/>
              </w:rPr>
            </w:pPr>
          </w:p>
        </w:tc>
      </w:tr>
      <w:tr>
        <w:trPr>
          <w:trHeight w:val="144"/>
        </w:trPr>
        <w:tc>
          <w:tcPr>
            <w:tcW w:w="3520" w:type="dxa"/>
            <w:vAlign w:val="bottom"/>
          </w:tcPr>
          <w:p>
            <w:pPr>
              <w:ind w:left="200"/>
              <w:spacing w:after="0"/>
              <w:rPr>
                <w:sz w:val="20"/>
                <w:szCs w:val="20"/>
                <w:color w:val="auto"/>
              </w:rPr>
            </w:pPr>
            <w:r>
              <w:rPr>
                <w:rFonts w:ascii="Arial" w:cs="Arial" w:eastAsia="Arial" w:hAnsi="Arial"/>
                <w:sz w:val="12"/>
                <w:szCs w:val="12"/>
                <w:color w:val="auto"/>
              </w:rPr>
              <w:t>Tax-exempt</w:t>
            </w:r>
          </w:p>
        </w:tc>
        <w:tc>
          <w:tcPr>
            <w:tcW w:w="3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6,102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2,926</w:t>
            </w:r>
          </w:p>
        </w:tc>
        <w:tc>
          <w:tcPr>
            <w:tcW w:w="36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1,342</w:t>
            </w:r>
          </w:p>
        </w:tc>
        <w:tc>
          <w:tcPr>
            <w:tcW w:w="0" w:type="dxa"/>
            <w:vAlign w:val="bottom"/>
          </w:tcPr>
          <w:p>
            <w:pPr>
              <w:spacing w:after="0"/>
              <w:rPr>
                <w:sz w:val="1"/>
                <w:szCs w:val="1"/>
                <w:color w:val="auto"/>
              </w:rPr>
            </w:pPr>
          </w:p>
        </w:tc>
      </w:tr>
      <w:tr>
        <w:trPr>
          <w:trHeight w:val="144"/>
        </w:trPr>
        <w:tc>
          <w:tcPr>
            <w:tcW w:w="35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Other investments</w:t>
            </w:r>
          </w:p>
        </w:tc>
        <w:tc>
          <w:tcPr>
            <w:tcW w:w="38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1,089</w:t>
            </w: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1,861</w:t>
            </w:r>
          </w:p>
        </w:tc>
        <w:tc>
          <w:tcPr>
            <w:tcW w:w="0" w:type="dxa"/>
            <w:vAlign w:val="bottom"/>
          </w:tcPr>
          <w:p>
            <w:pPr>
              <w:spacing w:after="0"/>
              <w:rPr>
                <w:sz w:val="1"/>
                <w:szCs w:val="1"/>
                <w:color w:val="auto"/>
              </w:rPr>
            </w:pPr>
          </w:p>
        </w:tc>
      </w:tr>
      <w:tr>
        <w:trPr>
          <w:trHeight w:val="20"/>
        </w:trPr>
        <w:tc>
          <w:tcPr>
            <w:tcW w:w="3520" w:type="dxa"/>
            <w:vAlign w:val="bottom"/>
            <w:shd w:val="clear" w:color="auto" w:fill="CCEEFF"/>
          </w:tcPr>
          <w:p>
            <w:pPr>
              <w:spacing w:after="0" w:line="20" w:lineRule="exact"/>
              <w:rPr>
                <w:sz w:val="1"/>
                <w:szCs w:val="1"/>
                <w:color w:val="auto"/>
              </w:rPr>
            </w:pPr>
          </w:p>
        </w:tc>
        <w:tc>
          <w:tcPr>
            <w:tcW w:w="382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520" w:type="dxa"/>
            <w:vAlign w:val="bottom"/>
          </w:tcPr>
          <w:p>
            <w:pPr>
              <w:ind w:left="200"/>
              <w:spacing w:after="0"/>
              <w:rPr>
                <w:sz w:val="20"/>
                <w:szCs w:val="20"/>
                <w:color w:val="auto"/>
              </w:rPr>
            </w:pPr>
            <w:r>
              <w:rPr>
                <w:rFonts w:ascii="Arial" w:cs="Arial" w:eastAsia="Arial" w:hAnsi="Arial"/>
                <w:sz w:val="12"/>
                <w:szCs w:val="12"/>
                <w:color w:val="auto"/>
              </w:rPr>
              <w:t>Total Interest Income</w:t>
            </w:r>
          </w:p>
        </w:tc>
        <w:tc>
          <w:tcPr>
            <w:tcW w:w="3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w w:val="92"/>
              </w:rPr>
              <w:t>138,080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139,829</w:t>
            </w:r>
          </w:p>
        </w:tc>
        <w:tc>
          <w:tcPr>
            <w:tcW w:w="36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148,928</w:t>
            </w:r>
          </w:p>
        </w:tc>
        <w:tc>
          <w:tcPr>
            <w:tcW w:w="0" w:type="dxa"/>
            <w:vAlign w:val="bottom"/>
          </w:tcPr>
          <w:p>
            <w:pPr>
              <w:spacing w:after="0"/>
              <w:rPr>
                <w:sz w:val="1"/>
                <w:szCs w:val="1"/>
                <w:color w:val="auto"/>
              </w:rPr>
            </w:pPr>
          </w:p>
        </w:tc>
      </w:tr>
      <w:tr>
        <w:trPr>
          <w:trHeight w:val="142"/>
        </w:trPr>
        <w:tc>
          <w:tcPr>
            <w:tcW w:w="3520" w:type="dxa"/>
            <w:vAlign w:val="bottom"/>
            <w:shd w:val="clear" w:color="auto" w:fill="CCEEFF"/>
          </w:tcPr>
          <w:p>
            <w:pPr>
              <w:spacing w:after="0"/>
              <w:rPr>
                <w:sz w:val="20"/>
                <w:szCs w:val="20"/>
                <w:color w:val="auto"/>
              </w:rPr>
            </w:pPr>
            <w:r>
              <w:rPr>
                <w:rFonts w:ascii="Arial" w:cs="Arial" w:eastAsia="Arial" w:hAnsi="Arial"/>
                <w:sz w:val="12"/>
                <w:szCs w:val="12"/>
                <w:color w:val="auto"/>
              </w:rPr>
              <w:t>INTEREST EXPENSE</w:t>
            </w:r>
          </w:p>
        </w:tc>
        <w:tc>
          <w:tcPr>
            <w:tcW w:w="3820" w:type="dxa"/>
            <w:vAlign w:val="bottom"/>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20" w:type="dxa"/>
            <w:vAlign w:val="bottom"/>
          </w:tcPr>
          <w:p>
            <w:pPr>
              <w:ind w:left="100"/>
              <w:spacing w:after="0"/>
              <w:rPr>
                <w:sz w:val="20"/>
                <w:szCs w:val="20"/>
                <w:color w:val="auto"/>
              </w:rPr>
            </w:pPr>
            <w:r>
              <w:rPr>
                <w:rFonts w:ascii="Arial" w:cs="Arial" w:eastAsia="Arial" w:hAnsi="Arial"/>
                <w:sz w:val="12"/>
                <w:szCs w:val="12"/>
                <w:color w:val="auto"/>
              </w:rPr>
              <w:t>Deposits</w:t>
            </w:r>
          </w:p>
        </w:tc>
        <w:tc>
          <w:tcPr>
            <w:tcW w:w="3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4,465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12,666</w:t>
            </w:r>
          </w:p>
        </w:tc>
        <w:tc>
          <w:tcPr>
            <w:tcW w:w="36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23,425</w:t>
            </w:r>
          </w:p>
        </w:tc>
        <w:tc>
          <w:tcPr>
            <w:tcW w:w="0" w:type="dxa"/>
            <w:vAlign w:val="bottom"/>
          </w:tcPr>
          <w:p>
            <w:pPr>
              <w:spacing w:after="0"/>
              <w:rPr>
                <w:sz w:val="1"/>
                <w:szCs w:val="1"/>
                <w:color w:val="auto"/>
              </w:rPr>
            </w:pPr>
          </w:p>
        </w:tc>
      </w:tr>
      <w:tr>
        <w:trPr>
          <w:trHeight w:val="144"/>
        </w:trPr>
        <w:tc>
          <w:tcPr>
            <w:tcW w:w="35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Other borrowings and subordinated debt and debentures</w:t>
            </w:r>
          </w:p>
        </w:tc>
        <w:tc>
          <w:tcPr>
            <w:tcW w:w="38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3,850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3,551</w:t>
            </w: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2,922</w:t>
            </w:r>
          </w:p>
        </w:tc>
        <w:tc>
          <w:tcPr>
            <w:tcW w:w="0" w:type="dxa"/>
            <w:vAlign w:val="bottom"/>
          </w:tcPr>
          <w:p>
            <w:pPr>
              <w:spacing w:after="0"/>
              <w:rPr>
                <w:sz w:val="1"/>
                <w:szCs w:val="1"/>
                <w:color w:val="auto"/>
              </w:rPr>
            </w:pPr>
          </w:p>
        </w:tc>
      </w:tr>
      <w:tr>
        <w:trPr>
          <w:trHeight w:val="20"/>
        </w:trPr>
        <w:tc>
          <w:tcPr>
            <w:tcW w:w="3520" w:type="dxa"/>
            <w:vAlign w:val="bottom"/>
            <w:shd w:val="clear" w:color="auto" w:fill="CCEEFF"/>
          </w:tcPr>
          <w:p>
            <w:pPr>
              <w:spacing w:after="0" w:line="20" w:lineRule="exact"/>
              <w:rPr>
                <w:sz w:val="1"/>
                <w:szCs w:val="1"/>
                <w:color w:val="auto"/>
              </w:rPr>
            </w:pPr>
          </w:p>
        </w:tc>
        <w:tc>
          <w:tcPr>
            <w:tcW w:w="382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520" w:type="dxa"/>
            <w:vAlign w:val="bottom"/>
          </w:tcPr>
          <w:p>
            <w:pPr>
              <w:ind w:left="200"/>
              <w:spacing w:after="0"/>
              <w:rPr>
                <w:sz w:val="20"/>
                <w:szCs w:val="20"/>
                <w:color w:val="auto"/>
              </w:rPr>
            </w:pPr>
            <w:r>
              <w:rPr>
                <w:rFonts w:ascii="Arial" w:cs="Arial" w:eastAsia="Arial" w:hAnsi="Arial"/>
                <w:sz w:val="12"/>
                <w:szCs w:val="12"/>
                <w:color w:val="auto"/>
              </w:rPr>
              <w:t>Total Interest Expense</w:t>
            </w:r>
          </w:p>
        </w:tc>
        <w:tc>
          <w:tcPr>
            <w:tcW w:w="3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8,315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16,217</w:t>
            </w:r>
          </w:p>
        </w:tc>
        <w:tc>
          <w:tcPr>
            <w:tcW w:w="36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26,347</w:t>
            </w:r>
          </w:p>
        </w:tc>
        <w:tc>
          <w:tcPr>
            <w:tcW w:w="0" w:type="dxa"/>
            <w:vAlign w:val="bottom"/>
          </w:tcPr>
          <w:p>
            <w:pPr>
              <w:spacing w:after="0"/>
              <w:rPr>
                <w:sz w:val="1"/>
                <w:szCs w:val="1"/>
                <w:color w:val="auto"/>
              </w:rPr>
            </w:pPr>
          </w:p>
        </w:tc>
      </w:tr>
      <w:tr>
        <w:trPr>
          <w:trHeight w:val="142"/>
        </w:trPr>
        <w:tc>
          <w:tcPr>
            <w:tcW w:w="3520" w:type="dxa"/>
            <w:vAlign w:val="bottom"/>
            <w:shd w:val="clear" w:color="auto" w:fill="CCEEFF"/>
          </w:tcPr>
          <w:p>
            <w:pPr>
              <w:ind w:left="200"/>
              <w:spacing w:after="0"/>
              <w:rPr>
                <w:sz w:val="20"/>
                <w:szCs w:val="20"/>
                <w:color w:val="auto"/>
              </w:rPr>
            </w:pPr>
            <w:r>
              <w:rPr>
                <w:rFonts w:ascii="Arial" w:cs="Arial" w:eastAsia="Arial" w:hAnsi="Arial"/>
                <w:sz w:val="12"/>
                <w:szCs w:val="12"/>
                <w:color w:val="auto"/>
              </w:rPr>
              <w:t>Net Interest Income</w:t>
            </w:r>
          </w:p>
        </w:tc>
        <w:tc>
          <w:tcPr>
            <w:tcW w:w="3820" w:type="dxa"/>
            <w:vAlign w:val="bottom"/>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2"/>
              </w:rPr>
              <w:t>129,765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123,612</w:t>
            </w:r>
          </w:p>
        </w:tc>
        <w:tc>
          <w:tcPr>
            <w:tcW w:w="220" w:type="dxa"/>
            <w:vAlign w:val="bottom"/>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122,581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20" w:type="dxa"/>
            <w:vAlign w:val="bottom"/>
          </w:tcPr>
          <w:p>
            <w:pPr>
              <w:ind w:left="100"/>
              <w:spacing w:after="0"/>
              <w:rPr>
                <w:sz w:val="20"/>
                <w:szCs w:val="20"/>
                <w:color w:val="auto"/>
              </w:rPr>
            </w:pPr>
            <w:r>
              <w:rPr>
                <w:rFonts w:ascii="Arial" w:cs="Arial" w:eastAsia="Arial" w:hAnsi="Arial"/>
                <w:sz w:val="12"/>
                <w:szCs w:val="12"/>
                <w:color w:val="auto"/>
              </w:rPr>
              <w:t>Provision for credit losses (1)</w:t>
            </w:r>
          </w:p>
        </w:tc>
        <w:tc>
          <w:tcPr>
            <w:tcW w:w="3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2"/>
                <w:szCs w:val="12"/>
                <w:color w:val="auto"/>
              </w:rPr>
              <w:t>(1,928)</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12,463</w:t>
            </w:r>
          </w:p>
        </w:tc>
        <w:tc>
          <w:tcPr>
            <w:tcW w:w="36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824</w:t>
            </w:r>
          </w:p>
        </w:tc>
        <w:tc>
          <w:tcPr>
            <w:tcW w:w="0" w:type="dxa"/>
            <w:vAlign w:val="bottom"/>
          </w:tcPr>
          <w:p>
            <w:pPr>
              <w:spacing w:after="0"/>
              <w:rPr>
                <w:sz w:val="1"/>
                <w:szCs w:val="1"/>
                <w:color w:val="auto"/>
              </w:rPr>
            </w:pPr>
          </w:p>
        </w:tc>
      </w:tr>
      <w:tr>
        <w:trPr>
          <w:trHeight w:val="142"/>
        </w:trPr>
        <w:tc>
          <w:tcPr>
            <w:tcW w:w="3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Net Interest Income After Provision for Credit Losses</w:t>
            </w:r>
          </w:p>
        </w:tc>
        <w:tc>
          <w:tcPr>
            <w:tcW w:w="38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spacing w:after="0"/>
              <w:rPr>
                <w:sz w:val="12"/>
                <w:szCs w:val="12"/>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2"/>
              </w:rPr>
              <w:t>131,693</w:t>
            </w: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111,149</w:t>
            </w:r>
          </w:p>
        </w:tc>
        <w:tc>
          <w:tcPr>
            <w:tcW w:w="2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121,757</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20" w:type="dxa"/>
            <w:vAlign w:val="bottom"/>
          </w:tcPr>
          <w:p>
            <w:pPr>
              <w:spacing w:after="0"/>
              <w:rPr>
                <w:sz w:val="20"/>
                <w:szCs w:val="20"/>
                <w:color w:val="auto"/>
              </w:rPr>
            </w:pPr>
            <w:r>
              <w:rPr>
                <w:rFonts w:ascii="Arial" w:cs="Arial" w:eastAsia="Arial" w:hAnsi="Arial"/>
                <w:sz w:val="12"/>
                <w:szCs w:val="12"/>
                <w:color w:val="auto"/>
              </w:rPr>
              <w:t>NON-INTEREST INCOME</w:t>
            </w:r>
          </w:p>
        </w:tc>
        <w:tc>
          <w:tcPr>
            <w:tcW w:w="3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Interchange income</w:t>
            </w:r>
          </w:p>
        </w:tc>
        <w:tc>
          <w:tcPr>
            <w:tcW w:w="38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14,045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11,230</w:t>
            </w: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10,297</w:t>
            </w:r>
          </w:p>
        </w:tc>
        <w:tc>
          <w:tcPr>
            <w:tcW w:w="0" w:type="dxa"/>
            <w:vAlign w:val="bottom"/>
          </w:tcPr>
          <w:p>
            <w:pPr>
              <w:spacing w:after="0"/>
              <w:rPr>
                <w:sz w:val="1"/>
                <w:szCs w:val="1"/>
                <w:color w:val="auto"/>
              </w:rPr>
            </w:pPr>
          </w:p>
        </w:tc>
      </w:tr>
      <w:tr>
        <w:trPr>
          <w:trHeight w:val="144"/>
        </w:trPr>
        <w:tc>
          <w:tcPr>
            <w:tcW w:w="3520" w:type="dxa"/>
            <w:vAlign w:val="bottom"/>
          </w:tcPr>
          <w:p>
            <w:pPr>
              <w:ind w:left="100"/>
              <w:spacing w:after="0"/>
              <w:rPr>
                <w:sz w:val="20"/>
                <w:szCs w:val="20"/>
                <w:color w:val="auto"/>
              </w:rPr>
            </w:pPr>
            <w:r>
              <w:rPr>
                <w:rFonts w:ascii="Arial" w:cs="Arial" w:eastAsia="Arial" w:hAnsi="Arial"/>
                <w:sz w:val="12"/>
                <w:szCs w:val="12"/>
                <w:color w:val="auto"/>
              </w:rPr>
              <w:t>Service charges on deposit accounts</w:t>
            </w:r>
          </w:p>
        </w:tc>
        <w:tc>
          <w:tcPr>
            <w:tcW w:w="3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10,170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8,517</w:t>
            </w:r>
          </w:p>
        </w:tc>
        <w:tc>
          <w:tcPr>
            <w:tcW w:w="36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11,208</w:t>
            </w:r>
          </w:p>
        </w:tc>
        <w:tc>
          <w:tcPr>
            <w:tcW w:w="0" w:type="dxa"/>
            <w:vAlign w:val="bottom"/>
          </w:tcPr>
          <w:p>
            <w:pPr>
              <w:spacing w:after="0"/>
              <w:rPr>
                <w:sz w:val="1"/>
                <w:szCs w:val="1"/>
                <w:color w:val="auto"/>
              </w:rPr>
            </w:pPr>
          </w:p>
        </w:tc>
      </w:tr>
      <w:tr>
        <w:trPr>
          <w:trHeight w:val="144"/>
        </w:trPr>
        <w:tc>
          <w:tcPr>
            <w:tcW w:w="35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Net gains on assets</w:t>
            </w:r>
          </w:p>
        </w:tc>
        <w:tc>
          <w:tcPr>
            <w:tcW w:w="38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20" w:type="dxa"/>
            <w:vAlign w:val="bottom"/>
          </w:tcPr>
          <w:p>
            <w:pPr>
              <w:ind w:left="200"/>
              <w:spacing w:after="0"/>
              <w:rPr>
                <w:sz w:val="20"/>
                <w:szCs w:val="20"/>
                <w:color w:val="auto"/>
              </w:rPr>
            </w:pPr>
            <w:r>
              <w:rPr>
                <w:rFonts w:ascii="Arial" w:cs="Arial" w:eastAsia="Arial" w:hAnsi="Arial"/>
                <w:sz w:val="12"/>
                <w:szCs w:val="12"/>
                <w:color w:val="auto"/>
              </w:rPr>
              <w:t>Mortgage loans</w:t>
            </w:r>
          </w:p>
        </w:tc>
        <w:tc>
          <w:tcPr>
            <w:tcW w:w="3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35,880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62,560</w:t>
            </w:r>
          </w:p>
        </w:tc>
        <w:tc>
          <w:tcPr>
            <w:tcW w:w="36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19,978</w:t>
            </w:r>
          </w:p>
        </w:tc>
        <w:tc>
          <w:tcPr>
            <w:tcW w:w="0" w:type="dxa"/>
            <w:vAlign w:val="bottom"/>
          </w:tcPr>
          <w:p>
            <w:pPr>
              <w:spacing w:after="0"/>
              <w:rPr>
                <w:sz w:val="1"/>
                <w:szCs w:val="1"/>
                <w:color w:val="auto"/>
              </w:rPr>
            </w:pPr>
          </w:p>
        </w:tc>
      </w:tr>
      <w:tr>
        <w:trPr>
          <w:trHeight w:val="144"/>
        </w:trPr>
        <w:tc>
          <w:tcPr>
            <w:tcW w:w="3520" w:type="dxa"/>
            <w:vAlign w:val="bottom"/>
            <w:shd w:val="clear" w:color="auto" w:fill="CCEEFF"/>
          </w:tcPr>
          <w:p>
            <w:pPr>
              <w:ind w:left="200"/>
              <w:spacing w:after="0"/>
              <w:rPr>
                <w:sz w:val="20"/>
                <w:szCs w:val="20"/>
                <w:color w:val="auto"/>
              </w:rPr>
            </w:pPr>
            <w:r>
              <w:rPr>
                <w:rFonts w:ascii="Arial" w:cs="Arial" w:eastAsia="Arial" w:hAnsi="Arial"/>
                <w:sz w:val="12"/>
                <w:szCs w:val="12"/>
                <w:color w:val="auto"/>
              </w:rPr>
              <w:t>Securities available for sale</w:t>
            </w:r>
          </w:p>
        </w:tc>
        <w:tc>
          <w:tcPr>
            <w:tcW w:w="38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1,411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267</w:t>
            </w: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307</w:t>
            </w:r>
          </w:p>
        </w:tc>
        <w:tc>
          <w:tcPr>
            <w:tcW w:w="0" w:type="dxa"/>
            <w:vAlign w:val="bottom"/>
          </w:tcPr>
          <w:p>
            <w:pPr>
              <w:spacing w:after="0"/>
              <w:rPr>
                <w:sz w:val="1"/>
                <w:szCs w:val="1"/>
                <w:color w:val="auto"/>
              </w:rPr>
            </w:pPr>
          </w:p>
        </w:tc>
      </w:tr>
      <w:tr>
        <w:trPr>
          <w:trHeight w:val="144"/>
        </w:trPr>
        <w:tc>
          <w:tcPr>
            <w:tcW w:w="3520" w:type="dxa"/>
            <w:vAlign w:val="bottom"/>
          </w:tcPr>
          <w:p>
            <w:pPr>
              <w:ind w:left="100"/>
              <w:spacing w:after="0"/>
              <w:rPr>
                <w:sz w:val="20"/>
                <w:szCs w:val="20"/>
                <w:color w:val="auto"/>
              </w:rPr>
            </w:pPr>
            <w:r>
              <w:rPr>
                <w:rFonts w:ascii="Arial" w:cs="Arial" w:eastAsia="Arial" w:hAnsi="Arial"/>
                <w:sz w:val="12"/>
                <w:szCs w:val="12"/>
                <w:color w:val="auto"/>
              </w:rPr>
              <w:t>Mortgage loan servicing, net</w:t>
            </w:r>
          </w:p>
        </w:tc>
        <w:tc>
          <w:tcPr>
            <w:tcW w:w="3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5,745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(9,350)</w:t>
            </w:r>
          </w:p>
        </w:tc>
        <w:tc>
          <w:tcPr>
            <w:tcW w:w="360" w:type="dxa"/>
            <w:vAlign w:val="bottom"/>
          </w:tcPr>
          <w:p>
            <w:pPr>
              <w:spacing w:after="0"/>
              <w:rPr>
                <w:sz w:val="12"/>
                <w:szCs w:val="1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(3,336)</w:t>
            </w:r>
          </w:p>
        </w:tc>
        <w:tc>
          <w:tcPr>
            <w:tcW w:w="0" w:type="dxa"/>
            <w:vAlign w:val="bottom"/>
          </w:tcPr>
          <w:p>
            <w:pPr>
              <w:spacing w:after="0"/>
              <w:rPr>
                <w:sz w:val="1"/>
                <w:szCs w:val="1"/>
                <w:color w:val="auto"/>
              </w:rPr>
            </w:pPr>
          </w:p>
        </w:tc>
      </w:tr>
      <w:tr>
        <w:trPr>
          <w:trHeight w:val="144"/>
        </w:trPr>
        <w:tc>
          <w:tcPr>
            <w:tcW w:w="35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Other</w:t>
            </w:r>
          </w:p>
        </w:tc>
        <w:tc>
          <w:tcPr>
            <w:tcW w:w="38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9,392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7,521</w:t>
            </w: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9,282</w:t>
            </w:r>
          </w:p>
        </w:tc>
        <w:tc>
          <w:tcPr>
            <w:tcW w:w="0" w:type="dxa"/>
            <w:vAlign w:val="bottom"/>
          </w:tcPr>
          <w:p>
            <w:pPr>
              <w:spacing w:after="0"/>
              <w:rPr>
                <w:sz w:val="1"/>
                <w:szCs w:val="1"/>
                <w:color w:val="auto"/>
              </w:rPr>
            </w:pPr>
          </w:p>
        </w:tc>
      </w:tr>
      <w:tr>
        <w:trPr>
          <w:trHeight w:val="20"/>
        </w:trPr>
        <w:tc>
          <w:tcPr>
            <w:tcW w:w="3520" w:type="dxa"/>
            <w:vAlign w:val="bottom"/>
            <w:shd w:val="clear" w:color="auto" w:fill="CCEEFF"/>
          </w:tcPr>
          <w:p>
            <w:pPr>
              <w:spacing w:after="0" w:line="20" w:lineRule="exact"/>
              <w:rPr>
                <w:sz w:val="1"/>
                <w:szCs w:val="1"/>
                <w:color w:val="auto"/>
              </w:rPr>
            </w:pPr>
          </w:p>
        </w:tc>
        <w:tc>
          <w:tcPr>
            <w:tcW w:w="382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520" w:type="dxa"/>
            <w:vAlign w:val="bottom"/>
          </w:tcPr>
          <w:p>
            <w:pPr>
              <w:ind w:left="200"/>
              <w:spacing w:after="0"/>
              <w:rPr>
                <w:sz w:val="20"/>
                <w:szCs w:val="20"/>
                <w:color w:val="auto"/>
              </w:rPr>
            </w:pPr>
            <w:r>
              <w:rPr>
                <w:rFonts w:ascii="Arial" w:cs="Arial" w:eastAsia="Arial" w:hAnsi="Arial"/>
                <w:sz w:val="12"/>
                <w:szCs w:val="12"/>
                <w:color w:val="auto"/>
              </w:rPr>
              <w:t>Total Non-interest Income</w:t>
            </w:r>
          </w:p>
        </w:tc>
        <w:tc>
          <w:tcPr>
            <w:tcW w:w="3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76,643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80,745</w:t>
            </w:r>
          </w:p>
        </w:tc>
        <w:tc>
          <w:tcPr>
            <w:tcW w:w="36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47,736</w:t>
            </w:r>
          </w:p>
        </w:tc>
        <w:tc>
          <w:tcPr>
            <w:tcW w:w="0" w:type="dxa"/>
            <w:vAlign w:val="bottom"/>
          </w:tcPr>
          <w:p>
            <w:pPr>
              <w:spacing w:after="0"/>
              <w:rPr>
                <w:sz w:val="1"/>
                <w:szCs w:val="1"/>
                <w:color w:val="auto"/>
              </w:rPr>
            </w:pPr>
          </w:p>
        </w:tc>
      </w:tr>
      <w:tr>
        <w:trPr>
          <w:trHeight w:val="142"/>
        </w:trPr>
        <w:tc>
          <w:tcPr>
            <w:tcW w:w="3520" w:type="dxa"/>
            <w:vAlign w:val="bottom"/>
            <w:shd w:val="clear" w:color="auto" w:fill="CCEEFF"/>
          </w:tcPr>
          <w:p>
            <w:pPr>
              <w:spacing w:after="0"/>
              <w:rPr>
                <w:sz w:val="20"/>
                <w:szCs w:val="20"/>
                <w:color w:val="auto"/>
              </w:rPr>
            </w:pPr>
            <w:r>
              <w:rPr>
                <w:rFonts w:ascii="Arial" w:cs="Arial" w:eastAsia="Arial" w:hAnsi="Arial"/>
                <w:sz w:val="12"/>
                <w:szCs w:val="12"/>
                <w:color w:val="auto"/>
              </w:rPr>
              <w:t>NON-INTEREST EXPENSE</w:t>
            </w:r>
          </w:p>
        </w:tc>
        <w:tc>
          <w:tcPr>
            <w:tcW w:w="3820" w:type="dxa"/>
            <w:vAlign w:val="bottom"/>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20" w:type="dxa"/>
            <w:vAlign w:val="bottom"/>
          </w:tcPr>
          <w:p>
            <w:pPr>
              <w:ind w:left="100"/>
              <w:spacing w:after="0"/>
              <w:rPr>
                <w:sz w:val="20"/>
                <w:szCs w:val="20"/>
                <w:color w:val="auto"/>
              </w:rPr>
            </w:pPr>
            <w:r>
              <w:rPr>
                <w:rFonts w:ascii="Arial" w:cs="Arial" w:eastAsia="Arial" w:hAnsi="Arial"/>
                <w:sz w:val="12"/>
                <w:szCs w:val="12"/>
                <w:color w:val="auto"/>
              </w:rPr>
              <w:t>Compensation and employee benefits</w:t>
            </w:r>
          </w:p>
        </w:tc>
        <w:tc>
          <w:tcPr>
            <w:tcW w:w="3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79,969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74,781</w:t>
            </w:r>
          </w:p>
        </w:tc>
        <w:tc>
          <w:tcPr>
            <w:tcW w:w="36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67,501</w:t>
            </w:r>
          </w:p>
        </w:tc>
        <w:tc>
          <w:tcPr>
            <w:tcW w:w="0" w:type="dxa"/>
            <w:vAlign w:val="bottom"/>
          </w:tcPr>
          <w:p>
            <w:pPr>
              <w:spacing w:after="0"/>
              <w:rPr>
                <w:sz w:val="1"/>
                <w:szCs w:val="1"/>
                <w:color w:val="auto"/>
              </w:rPr>
            </w:pPr>
          </w:p>
        </w:tc>
      </w:tr>
      <w:tr>
        <w:trPr>
          <w:trHeight w:val="144"/>
        </w:trPr>
        <w:tc>
          <w:tcPr>
            <w:tcW w:w="35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Data processing</w:t>
            </w:r>
          </w:p>
        </w:tc>
        <w:tc>
          <w:tcPr>
            <w:tcW w:w="38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10,823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8,534</w:t>
            </w: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8,905</w:t>
            </w:r>
          </w:p>
        </w:tc>
        <w:tc>
          <w:tcPr>
            <w:tcW w:w="0" w:type="dxa"/>
            <w:vAlign w:val="bottom"/>
          </w:tcPr>
          <w:p>
            <w:pPr>
              <w:spacing w:after="0"/>
              <w:rPr>
                <w:sz w:val="1"/>
                <w:szCs w:val="1"/>
                <w:color w:val="auto"/>
              </w:rPr>
            </w:pPr>
          </w:p>
        </w:tc>
      </w:tr>
      <w:tr>
        <w:trPr>
          <w:trHeight w:val="144"/>
        </w:trPr>
        <w:tc>
          <w:tcPr>
            <w:tcW w:w="3520" w:type="dxa"/>
            <w:vAlign w:val="bottom"/>
          </w:tcPr>
          <w:p>
            <w:pPr>
              <w:ind w:left="100"/>
              <w:spacing w:after="0"/>
              <w:rPr>
                <w:sz w:val="20"/>
                <w:szCs w:val="20"/>
                <w:color w:val="auto"/>
              </w:rPr>
            </w:pPr>
            <w:r>
              <w:rPr>
                <w:rFonts w:ascii="Arial" w:cs="Arial" w:eastAsia="Arial" w:hAnsi="Arial"/>
                <w:sz w:val="12"/>
                <w:szCs w:val="12"/>
                <w:color w:val="auto"/>
              </w:rPr>
              <w:t>Occupancy, net</w:t>
            </w:r>
          </w:p>
        </w:tc>
        <w:tc>
          <w:tcPr>
            <w:tcW w:w="3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8,794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8,938</w:t>
            </w:r>
          </w:p>
        </w:tc>
        <w:tc>
          <w:tcPr>
            <w:tcW w:w="36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9,013</w:t>
            </w:r>
          </w:p>
        </w:tc>
        <w:tc>
          <w:tcPr>
            <w:tcW w:w="0" w:type="dxa"/>
            <w:vAlign w:val="bottom"/>
          </w:tcPr>
          <w:p>
            <w:pPr>
              <w:spacing w:after="0"/>
              <w:rPr>
                <w:sz w:val="1"/>
                <w:szCs w:val="1"/>
                <w:color w:val="auto"/>
              </w:rPr>
            </w:pPr>
          </w:p>
        </w:tc>
      </w:tr>
      <w:tr>
        <w:trPr>
          <w:trHeight w:val="144"/>
        </w:trPr>
        <w:tc>
          <w:tcPr>
            <w:tcW w:w="35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Interchange expense</w:t>
            </w:r>
          </w:p>
        </w:tc>
        <w:tc>
          <w:tcPr>
            <w:tcW w:w="38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4,434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3,342</w:t>
            </w: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3,215</w:t>
            </w:r>
          </w:p>
        </w:tc>
        <w:tc>
          <w:tcPr>
            <w:tcW w:w="0" w:type="dxa"/>
            <w:vAlign w:val="bottom"/>
          </w:tcPr>
          <w:p>
            <w:pPr>
              <w:spacing w:after="0"/>
              <w:rPr>
                <w:sz w:val="1"/>
                <w:szCs w:val="1"/>
                <w:color w:val="auto"/>
              </w:rPr>
            </w:pPr>
          </w:p>
        </w:tc>
      </w:tr>
      <w:tr>
        <w:trPr>
          <w:trHeight w:val="144"/>
        </w:trPr>
        <w:tc>
          <w:tcPr>
            <w:tcW w:w="3520" w:type="dxa"/>
            <w:vAlign w:val="bottom"/>
          </w:tcPr>
          <w:p>
            <w:pPr>
              <w:ind w:left="100"/>
              <w:spacing w:after="0"/>
              <w:rPr>
                <w:sz w:val="20"/>
                <w:szCs w:val="20"/>
                <w:color w:val="auto"/>
              </w:rPr>
            </w:pPr>
            <w:r>
              <w:rPr>
                <w:rFonts w:ascii="Arial" w:cs="Arial" w:eastAsia="Arial" w:hAnsi="Arial"/>
                <w:sz w:val="12"/>
                <w:szCs w:val="12"/>
                <w:color w:val="auto"/>
              </w:rPr>
              <w:t>Furniture, fixtures and equipment</w:t>
            </w:r>
          </w:p>
        </w:tc>
        <w:tc>
          <w:tcPr>
            <w:tcW w:w="3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4,172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4,089</w:t>
            </w:r>
          </w:p>
        </w:tc>
        <w:tc>
          <w:tcPr>
            <w:tcW w:w="36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4,113</w:t>
            </w:r>
          </w:p>
        </w:tc>
        <w:tc>
          <w:tcPr>
            <w:tcW w:w="0" w:type="dxa"/>
            <w:vAlign w:val="bottom"/>
          </w:tcPr>
          <w:p>
            <w:pPr>
              <w:spacing w:after="0"/>
              <w:rPr>
                <w:sz w:val="1"/>
                <w:szCs w:val="1"/>
                <w:color w:val="auto"/>
              </w:rPr>
            </w:pPr>
          </w:p>
        </w:tc>
      </w:tr>
      <w:tr>
        <w:trPr>
          <w:trHeight w:val="144"/>
        </w:trPr>
        <w:tc>
          <w:tcPr>
            <w:tcW w:w="35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Loan and collection</w:t>
            </w:r>
          </w:p>
        </w:tc>
        <w:tc>
          <w:tcPr>
            <w:tcW w:w="38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3,172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3,037</w:t>
            </w: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2,685</w:t>
            </w:r>
          </w:p>
        </w:tc>
        <w:tc>
          <w:tcPr>
            <w:tcW w:w="0" w:type="dxa"/>
            <w:vAlign w:val="bottom"/>
          </w:tcPr>
          <w:p>
            <w:pPr>
              <w:spacing w:after="0"/>
              <w:rPr>
                <w:sz w:val="1"/>
                <w:szCs w:val="1"/>
                <w:color w:val="auto"/>
              </w:rPr>
            </w:pPr>
          </w:p>
        </w:tc>
      </w:tr>
      <w:tr>
        <w:trPr>
          <w:trHeight w:val="144"/>
        </w:trPr>
        <w:tc>
          <w:tcPr>
            <w:tcW w:w="3520" w:type="dxa"/>
            <w:vAlign w:val="bottom"/>
          </w:tcPr>
          <w:p>
            <w:pPr>
              <w:ind w:left="100"/>
              <w:spacing w:after="0"/>
              <w:rPr>
                <w:sz w:val="20"/>
                <w:szCs w:val="20"/>
                <w:color w:val="auto"/>
              </w:rPr>
            </w:pPr>
            <w:r>
              <w:rPr>
                <w:rFonts w:ascii="Arial" w:cs="Arial" w:eastAsia="Arial" w:hAnsi="Arial"/>
                <w:sz w:val="12"/>
                <w:szCs w:val="12"/>
                <w:color w:val="auto"/>
              </w:rPr>
              <w:t>Communications</w:t>
            </w:r>
          </w:p>
        </w:tc>
        <w:tc>
          <w:tcPr>
            <w:tcW w:w="3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3,080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3,194</w:t>
            </w:r>
          </w:p>
        </w:tc>
        <w:tc>
          <w:tcPr>
            <w:tcW w:w="36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2,947</w:t>
            </w:r>
          </w:p>
        </w:tc>
        <w:tc>
          <w:tcPr>
            <w:tcW w:w="0" w:type="dxa"/>
            <w:vAlign w:val="bottom"/>
          </w:tcPr>
          <w:p>
            <w:pPr>
              <w:spacing w:after="0"/>
              <w:rPr>
                <w:sz w:val="1"/>
                <w:szCs w:val="1"/>
                <w:color w:val="auto"/>
              </w:rPr>
            </w:pPr>
          </w:p>
        </w:tc>
      </w:tr>
      <w:tr>
        <w:trPr>
          <w:trHeight w:val="144"/>
        </w:trPr>
        <w:tc>
          <w:tcPr>
            <w:tcW w:w="35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Legal and professional</w:t>
            </w:r>
          </w:p>
        </w:tc>
        <w:tc>
          <w:tcPr>
            <w:tcW w:w="38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2,068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2,027</w:t>
            </w: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1,814</w:t>
            </w:r>
          </w:p>
        </w:tc>
        <w:tc>
          <w:tcPr>
            <w:tcW w:w="0" w:type="dxa"/>
            <w:vAlign w:val="bottom"/>
          </w:tcPr>
          <w:p>
            <w:pPr>
              <w:spacing w:after="0"/>
              <w:rPr>
                <w:sz w:val="1"/>
                <w:szCs w:val="1"/>
                <w:color w:val="auto"/>
              </w:rPr>
            </w:pPr>
          </w:p>
        </w:tc>
      </w:tr>
      <w:tr>
        <w:trPr>
          <w:trHeight w:val="144"/>
        </w:trPr>
        <w:tc>
          <w:tcPr>
            <w:tcW w:w="3520" w:type="dxa"/>
            <w:vAlign w:val="bottom"/>
          </w:tcPr>
          <w:p>
            <w:pPr>
              <w:ind w:left="100"/>
              <w:spacing w:after="0"/>
              <w:rPr>
                <w:sz w:val="20"/>
                <w:szCs w:val="20"/>
                <w:color w:val="auto"/>
              </w:rPr>
            </w:pPr>
            <w:r>
              <w:rPr>
                <w:rFonts w:ascii="Arial" w:cs="Arial" w:eastAsia="Arial" w:hAnsi="Arial"/>
                <w:sz w:val="12"/>
                <w:szCs w:val="12"/>
                <w:color w:val="auto"/>
              </w:rPr>
              <w:t>Advertising</w:t>
            </w:r>
          </w:p>
        </w:tc>
        <w:tc>
          <w:tcPr>
            <w:tcW w:w="3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1,918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2,230</w:t>
            </w:r>
          </w:p>
        </w:tc>
        <w:tc>
          <w:tcPr>
            <w:tcW w:w="36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2,450</w:t>
            </w:r>
          </w:p>
        </w:tc>
        <w:tc>
          <w:tcPr>
            <w:tcW w:w="0" w:type="dxa"/>
            <w:vAlign w:val="bottom"/>
          </w:tcPr>
          <w:p>
            <w:pPr>
              <w:spacing w:after="0"/>
              <w:rPr>
                <w:sz w:val="1"/>
                <w:szCs w:val="1"/>
                <w:color w:val="auto"/>
              </w:rPr>
            </w:pPr>
          </w:p>
        </w:tc>
      </w:tr>
      <w:tr>
        <w:trPr>
          <w:trHeight w:val="144"/>
        </w:trPr>
        <w:tc>
          <w:tcPr>
            <w:tcW w:w="35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Conversion related expense</w:t>
            </w:r>
          </w:p>
        </w:tc>
        <w:tc>
          <w:tcPr>
            <w:tcW w:w="38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1,827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2,586</w:t>
            </w: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520" w:type="dxa"/>
            <w:vAlign w:val="bottom"/>
          </w:tcPr>
          <w:p>
            <w:pPr>
              <w:ind w:left="100"/>
              <w:spacing w:after="0"/>
              <w:rPr>
                <w:sz w:val="20"/>
                <w:szCs w:val="20"/>
                <w:color w:val="auto"/>
              </w:rPr>
            </w:pPr>
            <w:r>
              <w:rPr>
                <w:rFonts w:ascii="Arial" w:cs="Arial" w:eastAsia="Arial" w:hAnsi="Arial"/>
                <w:sz w:val="12"/>
                <w:szCs w:val="12"/>
                <w:color w:val="auto"/>
              </w:rPr>
              <w:t>FDIC deposit insurance</w:t>
            </w:r>
          </w:p>
        </w:tc>
        <w:tc>
          <w:tcPr>
            <w:tcW w:w="3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1,396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1,596</w:t>
            </w:r>
          </w:p>
        </w:tc>
        <w:tc>
          <w:tcPr>
            <w:tcW w:w="36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685</w:t>
            </w:r>
          </w:p>
        </w:tc>
        <w:tc>
          <w:tcPr>
            <w:tcW w:w="0" w:type="dxa"/>
            <w:vAlign w:val="bottom"/>
          </w:tcPr>
          <w:p>
            <w:pPr>
              <w:spacing w:after="0"/>
              <w:rPr>
                <w:sz w:val="1"/>
                <w:szCs w:val="1"/>
                <w:color w:val="auto"/>
              </w:rPr>
            </w:pPr>
          </w:p>
        </w:tc>
      </w:tr>
      <w:tr>
        <w:trPr>
          <w:trHeight w:val="144"/>
        </w:trPr>
        <w:tc>
          <w:tcPr>
            <w:tcW w:w="35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Costs related to unfunded lending commitments</w:t>
            </w:r>
          </w:p>
        </w:tc>
        <w:tc>
          <w:tcPr>
            <w:tcW w:w="38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263</w:t>
            </w: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246</w:t>
            </w:r>
          </w:p>
        </w:tc>
        <w:tc>
          <w:tcPr>
            <w:tcW w:w="0" w:type="dxa"/>
            <w:vAlign w:val="bottom"/>
          </w:tcPr>
          <w:p>
            <w:pPr>
              <w:spacing w:after="0"/>
              <w:rPr>
                <w:sz w:val="1"/>
                <w:szCs w:val="1"/>
                <w:color w:val="auto"/>
              </w:rPr>
            </w:pPr>
          </w:p>
        </w:tc>
      </w:tr>
      <w:tr>
        <w:trPr>
          <w:trHeight w:val="144"/>
        </w:trPr>
        <w:tc>
          <w:tcPr>
            <w:tcW w:w="3520" w:type="dxa"/>
            <w:vAlign w:val="bottom"/>
          </w:tcPr>
          <w:p>
            <w:pPr>
              <w:ind w:left="100"/>
              <w:spacing w:after="0"/>
              <w:rPr>
                <w:sz w:val="20"/>
                <w:szCs w:val="20"/>
                <w:color w:val="auto"/>
              </w:rPr>
            </w:pPr>
            <w:r>
              <w:rPr>
                <w:rFonts w:ascii="Arial" w:cs="Arial" w:eastAsia="Arial" w:hAnsi="Arial"/>
                <w:sz w:val="12"/>
                <w:szCs w:val="12"/>
                <w:color w:val="auto"/>
              </w:rPr>
              <w:t>Other</w:t>
            </w:r>
          </w:p>
        </w:tc>
        <w:tc>
          <w:tcPr>
            <w:tcW w:w="3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8,163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7,796</w:t>
            </w:r>
          </w:p>
        </w:tc>
        <w:tc>
          <w:tcPr>
            <w:tcW w:w="36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8,159</w:t>
            </w:r>
          </w:p>
        </w:tc>
        <w:tc>
          <w:tcPr>
            <w:tcW w:w="0" w:type="dxa"/>
            <w:vAlign w:val="bottom"/>
          </w:tcPr>
          <w:p>
            <w:pPr>
              <w:spacing w:after="0"/>
              <w:rPr>
                <w:sz w:val="1"/>
                <w:szCs w:val="1"/>
                <w:color w:val="auto"/>
              </w:rPr>
            </w:pPr>
          </w:p>
        </w:tc>
      </w:tr>
      <w:tr>
        <w:trPr>
          <w:trHeight w:val="142"/>
        </w:trPr>
        <w:tc>
          <w:tcPr>
            <w:tcW w:w="3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Total Non-interest Expense</w:t>
            </w:r>
          </w:p>
        </w:tc>
        <w:tc>
          <w:tcPr>
            <w:tcW w:w="38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spacing w:after="0"/>
              <w:rPr>
                <w:sz w:val="12"/>
                <w:szCs w:val="12"/>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2"/>
              </w:rPr>
              <w:t>131,023</w:t>
            </w: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122,413</w:t>
            </w:r>
          </w:p>
        </w:tc>
        <w:tc>
          <w:tcPr>
            <w:tcW w:w="2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111,733</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20" w:type="dxa"/>
            <w:vAlign w:val="bottom"/>
          </w:tcPr>
          <w:p>
            <w:pPr>
              <w:ind w:left="200"/>
              <w:spacing w:after="0"/>
              <w:rPr>
                <w:sz w:val="20"/>
                <w:szCs w:val="20"/>
                <w:color w:val="auto"/>
              </w:rPr>
            </w:pPr>
            <w:r>
              <w:rPr>
                <w:rFonts w:ascii="Arial" w:cs="Arial" w:eastAsia="Arial" w:hAnsi="Arial"/>
                <w:sz w:val="12"/>
                <w:szCs w:val="12"/>
                <w:color w:val="auto"/>
              </w:rPr>
              <w:t>Income Before Income Tax</w:t>
            </w:r>
          </w:p>
        </w:tc>
        <w:tc>
          <w:tcPr>
            <w:tcW w:w="3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77,313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69,481</w:t>
            </w:r>
          </w:p>
        </w:tc>
        <w:tc>
          <w:tcPr>
            <w:tcW w:w="36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57,760</w:t>
            </w:r>
          </w:p>
        </w:tc>
        <w:tc>
          <w:tcPr>
            <w:tcW w:w="0" w:type="dxa"/>
            <w:vAlign w:val="bottom"/>
          </w:tcPr>
          <w:p>
            <w:pPr>
              <w:spacing w:after="0"/>
              <w:rPr>
                <w:sz w:val="1"/>
                <w:szCs w:val="1"/>
                <w:color w:val="auto"/>
              </w:rPr>
            </w:pPr>
          </w:p>
        </w:tc>
      </w:tr>
      <w:tr>
        <w:trPr>
          <w:trHeight w:val="144"/>
        </w:trPr>
        <w:tc>
          <w:tcPr>
            <w:tcW w:w="3520" w:type="dxa"/>
            <w:vAlign w:val="bottom"/>
            <w:shd w:val="clear" w:color="auto" w:fill="CCEEFF"/>
          </w:tcPr>
          <w:p>
            <w:pPr>
              <w:ind w:left="200"/>
              <w:spacing w:after="0"/>
              <w:rPr>
                <w:sz w:val="20"/>
                <w:szCs w:val="20"/>
                <w:color w:val="auto"/>
              </w:rPr>
            </w:pPr>
            <w:r>
              <w:rPr>
                <w:rFonts w:ascii="Arial" w:cs="Arial" w:eastAsia="Arial" w:hAnsi="Arial"/>
                <w:sz w:val="12"/>
                <w:szCs w:val="12"/>
                <w:color w:val="auto"/>
              </w:rPr>
              <w:t>Income tax expense</w:t>
            </w:r>
          </w:p>
        </w:tc>
        <w:tc>
          <w:tcPr>
            <w:tcW w:w="38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14,418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13,329</w:t>
            </w: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11,325</w:t>
            </w:r>
          </w:p>
        </w:tc>
        <w:tc>
          <w:tcPr>
            <w:tcW w:w="0" w:type="dxa"/>
            <w:vAlign w:val="bottom"/>
          </w:tcPr>
          <w:p>
            <w:pPr>
              <w:spacing w:after="0"/>
              <w:rPr>
                <w:sz w:val="1"/>
                <w:szCs w:val="1"/>
                <w:color w:val="auto"/>
              </w:rPr>
            </w:pPr>
          </w:p>
        </w:tc>
      </w:tr>
      <w:tr>
        <w:trPr>
          <w:trHeight w:val="20"/>
        </w:trPr>
        <w:tc>
          <w:tcPr>
            <w:tcW w:w="3520" w:type="dxa"/>
            <w:vAlign w:val="bottom"/>
            <w:shd w:val="clear" w:color="auto" w:fill="CCEEFF"/>
          </w:tcPr>
          <w:p>
            <w:pPr>
              <w:spacing w:after="0" w:line="20" w:lineRule="exact"/>
              <w:rPr>
                <w:sz w:val="1"/>
                <w:szCs w:val="1"/>
                <w:color w:val="auto"/>
              </w:rPr>
            </w:pPr>
          </w:p>
        </w:tc>
        <w:tc>
          <w:tcPr>
            <w:tcW w:w="382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520" w:type="dxa"/>
            <w:vAlign w:val="bottom"/>
          </w:tcPr>
          <w:p>
            <w:pPr>
              <w:ind w:left="200"/>
              <w:spacing w:after="0"/>
              <w:rPr>
                <w:sz w:val="20"/>
                <w:szCs w:val="20"/>
                <w:color w:val="auto"/>
              </w:rPr>
            </w:pPr>
            <w:r>
              <w:rPr>
                <w:rFonts w:ascii="Arial" w:cs="Arial" w:eastAsia="Arial" w:hAnsi="Arial"/>
                <w:sz w:val="12"/>
                <w:szCs w:val="12"/>
                <w:color w:val="auto"/>
              </w:rPr>
              <w:t>Net Income</w:t>
            </w:r>
          </w:p>
        </w:tc>
        <w:tc>
          <w:tcPr>
            <w:tcW w:w="3820" w:type="dxa"/>
            <w:vAlign w:val="bottom"/>
          </w:tcPr>
          <w:p>
            <w:pPr>
              <w:spacing w:after="0"/>
              <w:rPr>
                <w:sz w:val="12"/>
                <w:szCs w:val="12"/>
                <w:color w:val="auto"/>
              </w:rPr>
            </w:pPr>
          </w:p>
        </w:tc>
        <w:tc>
          <w:tcPr>
            <w:tcW w:w="720" w:type="dxa"/>
            <w:vAlign w:val="bottom"/>
          </w:tcPr>
          <w:p>
            <w:pPr>
              <w:jc w:val="right"/>
              <w:ind w:right="609"/>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62,895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56,152</w:t>
            </w:r>
          </w:p>
        </w:tc>
        <w:tc>
          <w:tcPr>
            <w:tcW w:w="360" w:type="dxa"/>
            <w:vAlign w:val="bottom"/>
          </w:tcPr>
          <w:p>
            <w:pPr>
              <w:jc w:val="center"/>
              <w:ind w:right="240"/>
              <w:spacing w:after="0"/>
              <w:rPr>
                <w:sz w:val="20"/>
                <w:szCs w:val="20"/>
                <w:color w:val="auto"/>
              </w:rPr>
            </w:pPr>
            <w:r>
              <w:rPr>
                <w:rFonts w:ascii="Arial" w:cs="Arial" w:eastAsia="Arial" w:hAnsi="Arial"/>
                <w:sz w:val="12"/>
                <w:szCs w:val="12"/>
                <w:color w:val="auto"/>
                <w:w w:val="89"/>
              </w:rPr>
              <w:t>$</w:t>
            </w: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46,435</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3520" w:type="dxa"/>
            <w:vAlign w:val="bottom"/>
            <w:shd w:val="clear" w:color="auto" w:fill="CCEEFF"/>
          </w:tcPr>
          <w:p>
            <w:pPr>
              <w:spacing w:after="0" w:line="120" w:lineRule="exact"/>
              <w:rPr>
                <w:sz w:val="20"/>
                <w:szCs w:val="20"/>
                <w:color w:val="auto"/>
              </w:rPr>
            </w:pPr>
            <w:r>
              <w:rPr>
                <w:rFonts w:ascii="Arial" w:cs="Arial" w:eastAsia="Arial" w:hAnsi="Arial"/>
                <w:sz w:val="12"/>
                <w:szCs w:val="12"/>
                <w:color w:val="auto"/>
              </w:rPr>
              <w:t>Net income per common share</w:t>
            </w:r>
          </w:p>
        </w:tc>
        <w:tc>
          <w:tcPr>
            <w:tcW w:w="38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520" w:type="dxa"/>
            <w:vAlign w:val="bottom"/>
          </w:tcPr>
          <w:p>
            <w:pPr>
              <w:ind w:left="100"/>
              <w:spacing w:after="0"/>
              <w:rPr>
                <w:sz w:val="20"/>
                <w:szCs w:val="20"/>
                <w:color w:val="auto"/>
              </w:rPr>
            </w:pPr>
            <w:r>
              <w:rPr>
                <w:rFonts w:ascii="Arial" w:cs="Arial" w:eastAsia="Arial" w:hAnsi="Arial"/>
                <w:sz w:val="12"/>
                <w:szCs w:val="12"/>
                <w:color w:val="auto"/>
              </w:rPr>
              <w:t>Basic</w:t>
            </w:r>
          </w:p>
        </w:tc>
        <w:tc>
          <w:tcPr>
            <w:tcW w:w="3820" w:type="dxa"/>
            <w:vAlign w:val="bottom"/>
          </w:tcPr>
          <w:p>
            <w:pPr>
              <w:spacing w:after="0"/>
              <w:rPr>
                <w:sz w:val="12"/>
                <w:szCs w:val="12"/>
                <w:color w:val="auto"/>
              </w:rPr>
            </w:pPr>
          </w:p>
        </w:tc>
        <w:tc>
          <w:tcPr>
            <w:tcW w:w="720" w:type="dxa"/>
            <w:vAlign w:val="bottom"/>
          </w:tcPr>
          <w:p>
            <w:pPr>
              <w:jc w:val="right"/>
              <w:ind w:right="609"/>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2.91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2.56</w:t>
            </w:r>
          </w:p>
        </w:tc>
        <w:tc>
          <w:tcPr>
            <w:tcW w:w="360" w:type="dxa"/>
            <w:vAlign w:val="bottom"/>
          </w:tcPr>
          <w:p>
            <w:pPr>
              <w:jc w:val="center"/>
              <w:ind w:right="240"/>
              <w:spacing w:after="0"/>
              <w:rPr>
                <w:sz w:val="20"/>
                <w:szCs w:val="20"/>
                <w:color w:val="auto"/>
              </w:rPr>
            </w:pPr>
            <w:r>
              <w:rPr>
                <w:rFonts w:ascii="Arial" w:cs="Arial" w:eastAsia="Arial" w:hAnsi="Arial"/>
                <w:sz w:val="12"/>
                <w:szCs w:val="12"/>
                <w:color w:val="auto"/>
                <w:w w:val="89"/>
              </w:rPr>
              <w:t>$</w:t>
            </w: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2.03</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520" w:type="dxa"/>
            <w:vAlign w:val="bottom"/>
            <w:tcBorders>
              <w:bottom w:val="single" w:sz="8" w:color="CCEEFF"/>
            </w:tcBorders>
            <w:shd w:val="clear" w:color="auto" w:fill="CCEEFF"/>
          </w:tcPr>
          <w:p>
            <w:pPr>
              <w:ind w:left="100"/>
              <w:spacing w:after="0" w:line="120" w:lineRule="exact"/>
              <w:rPr>
                <w:sz w:val="20"/>
                <w:szCs w:val="20"/>
                <w:color w:val="auto"/>
              </w:rPr>
            </w:pPr>
            <w:r>
              <w:rPr>
                <w:rFonts w:ascii="Arial" w:cs="Arial" w:eastAsia="Arial" w:hAnsi="Arial"/>
                <w:sz w:val="12"/>
                <w:szCs w:val="12"/>
                <w:color w:val="auto"/>
              </w:rPr>
              <w:t>Diluted</w:t>
            </w:r>
          </w:p>
        </w:tc>
        <w:tc>
          <w:tcPr>
            <w:tcW w:w="382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609"/>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2.88</w:t>
            </w: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2.53</w:t>
            </w:r>
          </w:p>
        </w:tc>
        <w:tc>
          <w:tcPr>
            <w:tcW w:w="22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center"/>
              <w:ind w:right="240"/>
              <w:spacing w:after="0" w:line="120" w:lineRule="exact"/>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2.00</w:t>
            </w:r>
          </w:p>
        </w:tc>
        <w:tc>
          <w:tcPr>
            <w:tcW w:w="1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(1) Beginning January 1, 2021, calculation is based on CECL methodology. Prior to January 1, 2021, calculation was based on the probable incurred loss methodology.</w:t>
      </w:r>
    </w:p>
    <w:p>
      <w:pPr>
        <w:spacing w:after="0" w:line="150" w:lineRule="exact"/>
        <w:rPr>
          <w:sz w:val="20"/>
          <w:szCs w:val="20"/>
          <w:color w:val="auto"/>
        </w:rPr>
      </w:pPr>
    </w:p>
    <w:p>
      <w:pPr>
        <w:ind w:left="4180"/>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71" w:right="29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57"/>
        </w:trPr>
        <w:tc>
          <w:tcPr>
            <w:tcW w:w="8080" w:type="dxa"/>
            <w:vAlign w:val="bottom"/>
            <w:gridSpan w:val="2"/>
          </w:tcPr>
          <w:p>
            <w:pPr>
              <w:ind w:left="3820"/>
              <w:spacing w:after="0"/>
              <w:rPr>
                <w:sz w:val="20"/>
                <w:szCs w:val="20"/>
                <w:color w:val="auto"/>
              </w:rPr>
            </w:pPr>
            <w:r>
              <w:rPr>
                <w:rFonts w:ascii="Arial" w:cs="Arial" w:eastAsia="Arial" w:hAnsi="Arial"/>
                <w:sz w:val="12"/>
                <w:szCs w:val="12"/>
                <w:b w:val="1"/>
                <w:bCs w:val="1"/>
                <w:color w:val="auto"/>
              </w:rPr>
              <w:t>CONSOLIDATED STATEMENTS OF COMPREHENSIVE INCOME</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75"/>
        </w:trPr>
        <w:tc>
          <w:tcPr>
            <w:tcW w:w="73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00" w:type="dxa"/>
            <w:vAlign w:val="bottom"/>
            <w:gridSpan w:val="4"/>
          </w:tcPr>
          <w:p>
            <w:pPr>
              <w:jc w:val="right"/>
              <w:ind w:right="120"/>
              <w:spacing w:after="0"/>
              <w:rPr>
                <w:sz w:val="20"/>
                <w:szCs w:val="20"/>
                <w:color w:val="auto"/>
              </w:rPr>
            </w:pPr>
            <w:r>
              <w:rPr>
                <w:rFonts w:ascii="Arial" w:cs="Arial" w:eastAsia="Arial" w:hAnsi="Arial"/>
                <w:sz w:val="12"/>
                <w:szCs w:val="12"/>
                <w:b w:val="1"/>
                <w:bCs w:val="1"/>
                <w:color w:val="auto"/>
                <w:w w:val="92"/>
              </w:rPr>
              <w:t>Year Ended December 31,</w:t>
            </w: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157"/>
        </w:trPr>
        <w:tc>
          <w:tcPr>
            <w:tcW w:w="734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4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2020</w:t>
            </w: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3"/>
                <w:szCs w:val="13"/>
                <w:color w:val="auto"/>
              </w:rPr>
            </w:pPr>
          </w:p>
        </w:tc>
      </w:tr>
      <w:tr>
        <w:trPr>
          <w:trHeight w:val="155"/>
        </w:trPr>
        <w:tc>
          <w:tcPr>
            <w:tcW w:w="7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ind w:right="140"/>
              <w:spacing w:after="0"/>
              <w:rPr>
                <w:sz w:val="20"/>
                <w:szCs w:val="20"/>
                <w:color w:val="auto"/>
              </w:rPr>
            </w:pPr>
            <w:r>
              <w:rPr>
                <w:rFonts w:ascii="Arial" w:cs="Arial" w:eastAsia="Arial" w:hAnsi="Arial"/>
                <w:sz w:val="12"/>
                <w:szCs w:val="12"/>
                <w:b w:val="1"/>
                <w:bCs w:val="1"/>
                <w:color w:val="auto"/>
                <w:w w:val="94"/>
              </w:rPr>
              <w:t>(In thousands)</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1"/>
        </w:trPr>
        <w:tc>
          <w:tcPr>
            <w:tcW w:w="7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gridSpan w:val="2"/>
          </w:tcPr>
          <w:p>
            <w:pPr>
              <w:spacing w:after="0"/>
              <w:rPr>
                <w:sz w:val="11"/>
                <w:szCs w:val="11"/>
                <w:color w:val="auto"/>
              </w:rPr>
            </w:pPr>
          </w:p>
        </w:tc>
        <w:tc>
          <w:tcPr>
            <w:tcW w:w="1220" w:type="dxa"/>
            <w:vAlign w:val="bottom"/>
            <w:gridSpan w:val="2"/>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gridSpan w:val="2"/>
          </w:tcPr>
          <w:p>
            <w:pPr>
              <w:spacing w:after="0"/>
              <w:rPr>
                <w:sz w:val="11"/>
                <w:szCs w:val="11"/>
                <w:color w:val="auto"/>
              </w:rPr>
            </w:pPr>
          </w:p>
        </w:tc>
      </w:tr>
      <w:tr>
        <w:trPr>
          <w:trHeight w:val="144"/>
        </w:trPr>
        <w:tc>
          <w:tcPr>
            <w:tcW w:w="7340" w:type="dxa"/>
            <w:vAlign w:val="bottom"/>
            <w:shd w:val="clear" w:color="auto" w:fill="CCEEFF"/>
          </w:tcPr>
          <w:p>
            <w:pPr>
              <w:spacing w:after="0"/>
              <w:rPr>
                <w:sz w:val="20"/>
                <w:szCs w:val="20"/>
                <w:color w:val="auto"/>
              </w:rPr>
            </w:pPr>
            <w:r>
              <w:rPr>
                <w:rFonts w:ascii="Arial" w:cs="Arial" w:eastAsia="Arial" w:hAnsi="Arial"/>
                <w:sz w:val="12"/>
                <w:szCs w:val="12"/>
                <w:color w:val="auto"/>
              </w:rPr>
              <w:t>Net income</w:t>
            </w:r>
          </w:p>
        </w:tc>
        <w:tc>
          <w:tcPr>
            <w:tcW w:w="740" w:type="dxa"/>
            <w:vAlign w:val="bottom"/>
            <w:shd w:val="clear" w:color="auto" w:fill="CCEEFF"/>
          </w:tcPr>
          <w:p>
            <w:pPr>
              <w:jc w:val="right"/>
              <w:ind w:right="628"/>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62,895</w:t>
            </w:r>
          </w:p>
        </w:tc>
        <w:tc>
          <w:tcPr>
            <w:tcW w:w="8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
              <w:spacing w:after="0"/>
              <w:rPr>
                <w:sz w:val="20"/>
                <w:szCs w:val="20"/>
                <w:color w:val="auto"/>
              </w:rPr>
            </w:pPr>
            <w:r>
              <w:rPr>
                <w:rFonts w:ascii="Arial" w:cs="Arial" w:eastAsia="Arial" w:hAnsi="Arial"/>
                <w:sz w:val="12"/>
                <w:szCs w:val="12"/>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56,152</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46,435</w:t>
            </w:r>
          </w:p>
        </w:tc>
      </w:tr>
      <w:tr>
        <w:trPr>
          <w:trHeight w:val="144"/>
        </w:trPr>
        <w:tc>
          <w:tcPr>
            <w:tcW w:w="7340" w:type="dxa"/>
            <w:vAlign w:val="bottom"/>
          </w:tcPr>
          <w:p>
            <w:pPr>
              <w:spacing w:after="0"/>
              <w:rPr>
                <w:sz w:val="20"/>
                <w:szCs w:val="20"/>
                <w:color w:val="auto"/>
              </w:rPr>
            </w:pPr>
            <w:r>
              <w:rPr>
                <w:rFonts w:ascii="Arial" w:cs="Arial" w:eastAsia="Arial" w:hAnsi="Arial"/>
                <w:sz w:val="12"/>
                <w:szCs w:val="12"/>
                <w:color w:val="auto"/>
              </w:rPr>
              <w:t>Other comprehensive income (loss)</w:t>
            </w: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73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Securities available for sale</w:t>
            </w: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7340" w:type="dxa"/>
            <w:vAlign w:val="bottom"/>
          </w:tcPr>
          <w:p>
            <w:pPr>
              <w:ind w:left="200"/>
              <w:spacing w:after="0"/>
              <w:rPr>
                <w:sz w:val="20"/>
                <w:szCs w:val="20"/>
                <w:color w:val="auto"/>
              </w:rPr>
            </w:pPr>
            <w:r>
              <w:rPr>
                <w:rFonts w:ascii="Arial" w:cs="Arial" w:eastAsia="Arial" w:hAnsi="Arial"/>
                <w:sz w:val="12"/>
                <w:szCs w:val="12"/>
                <w:color w:val="auto"/>
              </w:rPr>
              <w:t>Unrealized gain (loss) arising during period</w:t>
            </w:r>
          </w:p>
        </w:tc>
        <w:tc>
          <w:tcPr>
            <w:tcW w:w="74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w w:val="93"/>
              </w:rPr>
              <w:t>(10,644)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15,611</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10,235</w:t>
            </w:r>
          </w:p>
        </w:tc>
      </w:tr>
      <w:tr>
        <w:trPr>
          <w:trHeight w:val="144"/>
        </w:trPr>
        <w:tc>
          <w:tcPr>
            <w:tcW w:w="7340" w:type="dxa"/>
            <w:vAlign w:val="bottom"/>
            <w:shd w:val="clear" w:color="auto" w:fill="CCEEFF"/>
          </w:tcPr>
          <w:p>
            <w:pPr>
              <w:ind w:left="200"/>
              <w:spacing w:after="0"/>
              <w:rPr>
                <w:sz w:val="20"/>
                <w:szCs w:val="20"/>
                <w:color w:val="auto"/>
              </w:rPr>
            </w:pPr>
            <w:r>
              <w:rPr>
                <w:rFonts w:ascii="Arial" w:cs="Arial" w:eastAsia="Arial" w:hAnsi="Arial"/>
                <w:sz w:val="12"/>
                <w:szCs w:val="12"/>
                <w:color w:val="auto"/>
              </w:rPr>
              <w:t>Change in unrealized gains and losses for which a portion of other than temporary impairment has been recognized in earnings</w:t>
            </w: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(49)</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(65)</w:t>
            </w:r>
          </w:p>
        </w:tc>
      </w:tr>
      <w:tr>
        <w:trPr>
          <w:trHeight w:val="144"/>
        </w:trPr>
        <w:tc>
          <w:tcPr>
            <w:tcW w:w="7340" w:type="dxa"/>
            <w:vAlign w:val="bottom"/>
          </w:tcPr>
          <w:p>
            <w:pPr>
              <w:ind w:left="200"/>
              <w:spacing w:after="0"/>
              <w:rPr>
                <w:sz w:val="20"/>
                <w:szCs w:val="20"/>
                <w:color w:val="auto"/>
              </w:rPr>
            </w:pPr>
            <w:r>
              <w:rPr>
                <w:rFonts w:ascii="Arial" w:cs="Arial" w:eastAsia="Arial" w:hAnsi="Arial"/>
                <w:sz w:val="12"/>
                <w:szCs w:val="12"/>
                <w:color w:val="auto"/>
              </w:rPr>
              <w:t>Reclassification adjustments for gains included in earnings</w:t>
            </w:r>
          </w:p>
        </w:tc>
        <w:tc>
          <w:tcPr>
            <w:tcW w:w="74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(1,411)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2"/>
                <w:szCs w:val="12"/>
                <w:color w:val="auto"/>
              </w:rPr>
              <w:t>(267)</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(140)</w:t>
            </w:r>
          </w:p>
        </w:tc>
      </w:tr>
      <w:tr>
        <w:trPr>
          <w:trHeight w:val="142"/>
        </w:trPr>
        <w:tc>
          <w:tcPr>
            <w:tcW w:w="7340" w:type="dxa"/>
            <w:vAlign w:val="bottom"/>
            <w:shd w:val="clear" w:color="auto" w:fill="CCEEFF"/>
          </w:tcPr>
          <w:p>
            <w:pPr>
              <w:ind w:left="200"/>
              <w:spacing w:after="0"/>
              <w:rPr>
                <w:sz w:val="20"/>
                <w:szCs w:val="20"/>
                <w:color w:val="auto"/>
              </w:rPr>
            </w:pPr>
            <w:r>
              <w:rPr>
                <w:rFonts w:ascii="Arial" w:cs="Arial" w:eastAsia="Arial" w:hAnsi="Arial"/>
                <w:sz w:val="12"/>
                <w:szCs w:val="12"/>
                <w:color w:val="auto"/>
              </w:rPr>
              <w:t>Unrealized gains (losses) recognized in other comprehensive income (loss) on securities available for sale</w:t>
            </w:r>
          </w:p>
        </w:tc>
        <w:tc>
          <w:tcPr>
            <w:tcW w:w="74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4"/>
              </w:rPr>
              <w:t>(12,055)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15,295</w:t>
            </w:r>
          </w:p>
        </w:tc>
        <w:tc>
          <w:tcPr>
            <w:tcW w:w="2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10,030</w:t>
            </w:r>
          </w:p>
        </w:tc>
        <w:tc>
          <w:tcPr>
            <w:tcW w:w="120" w:type="dxa"/>
            <w:vAlign w:val="bottom"/>
            <w:shd w:val="clear" w:color="auto" w:fill="CCEEFF"/>
          </w:tcPr>
          <w:p>
            <w:pPr>
              <w:spacing w:after="0"/>
              <w:rPr>
                <w:sz w:val="12"/>
                <w:szCs w:val="12"/>
                <w:color w:val="auto"/>
              </w:rPr>
            </w:pPr>
          </w:p>
        </w:tc>
      </w:tr>
      <w:tr>
        <w:trPr>
          <w:trHeight w:val="144"/>
        </w:trPr>
        <w:tc>
          <w:tcPr>
            <w:tcW w:w="7340" w:type="dxa"/>
            <w:vAlign w:val="bottom"/>
          </w:tcPr>
          <w:p>
            <w:pPr>
              <w:ind w:left="320"/>
              <w:spacing w:after="0"/>
              <w:rPr>
                <w:sz w:val="20"/>
                <w:szCs w:val="20"/>
                <w:color w:val="auto"/>
              </w:rPr>
            </w:pPr>
            <w:r>
              <w:rPr>
                <w:rFonts w:ascii="Arial" w:cs="Arial" w:eastAsia="Arial" w:hAnsi="Arial"/>
                <w:sz w:val="12"/>
                <w:szCs w:val="12"/>
                <w:color w:val="auto"/>
              </w:rPr>
              <w:t>Income tax expense (benefit)</w:t>
            </w:r>
          </w:p>
        </w:tc>
        <w:tc>
          <w:tcPr>
            <w:tcW w:w="74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(2,532)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3,212</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2,106</w:t>
            </w:r>
          </w:p>
        </w:tc>
      </w:tr>
      <w:tr>
        <w:trPr>
          <w:trHeight w:val="142"/>
        </w:trPr>
        <w:tc>
          <w:tcPr>
            <w:tcW w:w="7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Unrealized gains (losses) recognized in other comprehensive income (loss) on securities available for sale, net of tax</w:t>
            </w:r>
          </w:p>
        </w:tc>
        <w:tc>
          <w:tcPr>
            <w:tcW w:w="740" w:type="dxa"/>
            <w:vAlign w:val="bottom"/>
            <w:tcBorders>
              <w:top w:val="single" w:sz="8" w:color="auto"/>
              <w:bottom w:val="single" w:sz="8" w:color="auto"/>
            </w:tcBorders>
            <w:shd w:val="clear" w:color="auto" w:fill="CCEEFF"/>
          </w:tcPr>
          <w:p>
            <w:pPr>
              <w:spacing w:after="0"/>
              <w:rPr>
                <w:sz w:val="12"/>
                <w:szCs w:val="12"/>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9"/>
              </w:rPr>
              <w:t>(9,523)</w:t>
            </w: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12,083</w:t>
            </w:r>
          </w:p>
        </w:tc>
        <w:tc>
          <w:tcPr>
            <w:tcW w:w="2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7,924</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142"/>
        </w:trPr>
        <w:tc>
          <w:tcPr>
            <w:tcW w:w="7340" w:type="dxa"/>
            <w:vAlign w:val="bottom"/>
          </w:tcPr>
          <w:p>
            <w:pPr>
              <w:ind w:left="100"/>
              <w:spacing w:after="0"/>
              <w:rPr>
                <w:sz w:val="20"/>
                <w:szCs w:val="20"/>
                <w:color w:val="auto"/>
              </w:rPr>
            </w:pPr>
            <w:r>
              <w:rPr>
                <w:rFonts w:ascii="Arial" w:cs="Arial" w:eastAsia="Arial" w:hAnsi="Arial"/>
                <w:sz w:val="12"/>
                <w:szCs w:val="12"/>
                <w:color w:val="auto"/>
              </w:rPr>
              <w:t>Derivative instruments</w:t>
            </w: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7340" w:type="dxa"/>
            <w:vAlign w:val="bottom"/>
            <w:shd w:val="clear" w:color="auto" w:fill="CCEEFF"/>
          </w:tcPr>
          <w:p>
            <w:pPr>
              <w:ind w:left="200"/>
              <w:spacing w:after="0"/>
              <w:rPr>
                <w:sz w:val="20"/>
                <w:szCs w:val="20"/>
                <w:color w:val="auto"/>
              </w:rPr>
            </w:pPr>
            <w:r>
              <w:rPr>
                <w:rFonts w:ascii="Arial" w:cs="Arial" w:eastAsia="Arial" w:hAnsi="Arial"/>
                <w:sz w:val="12"/>
                <w:szCs w:val="12"/>
                <w:color w:val="auto"/>
              </w:rPr>
              <w:t>Unrealized losses arising during period</w:t>
            </w: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(354)</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(1,603)</w:t>
            </w:r>
          </w:p>
        </w:tc>
      </w:tr>
      <w:tr>
        <w:trPr>
          <w:trHeight w:val="144"/>
        </w:trPr>
        <w:tc>
          <w:tcPr>
            <w:tcW w:w="7340" w:type="dxa"/>
            <w:vAlign w:val="bottom"/>
          </w:tcPr>
          <w:p>
            <w:pPr>
              <w:ind w:left="200"/>
              <w:spacing w:after="0"/>
              <w:rPr>
                <w:sz w:val="20"/>
                <w:szCs w:val="20"/>
                <w:color w:val="auto"/>
              </w:rPr>
            </w:pPr>
            <w:r>
              <w:rPr>
                <w:rFonts w:ascii="Arial" w:cs="Arial" w:eastAsia="Arial" w:hAnsi="Arial"/>
                <w:sz w:val="12"/>
                <w:szCs w:val="12"/>
                <w:color w:val="auto"/>
              </w:rPr>
              <w:t>Reclassification adjustment for (income) expense recognized in earnings</w:t>
            </w:r>
          </w:p>
        </w:tc>
        <w:tc>
          <w:tcPr>
            <w:tcW w:w="7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2,539</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(425)</w:t>
            </w:r>
          </w:p>
        </w:tc>
      </w:tr>
      <w:tr>
        <w:trPr>
          <w:trHeight w:val="142"/>
        </w:trPr>
        <w:tc>
          <w:tcPr>
            <w:tcW w:w="7340" w:type="dxa"/>
            <w:vAlign w:val="bottom"/>
            <w:shd w:val="clear" w:color="auto" w:fill="CCEEFF"/>
          </w:tcPr>
          <w:p>
            <w:pPr>
              <w:ind w:left="200"/>
              <w:spacing w:after="0"/>
              <w:rPr>
                <w:sz w:val="20"/>
                <w:szCs w:val="20"/>
                <w:color w:val="auto"/>
              </w:rPr>
            </w:pPr>
            <w:r>
              <w:rPr>
                <w:rFonts w:ascii="Arial" w:cs="Arial" w:eastAsia="Arial" w:hAnsi="Arial"/>
                <w:sz w:val="12"/>
                <w:szCs w:val="12"/>
                <w:color w:val="auto"/>
              </w:rPr>
              <w:t>Unrealized gains (losses) recognized in other comprehensive income (loss) on derivative instruments</w:t>
            </w:r>
          </w:p>
        </w:tc>
        <w:tc>
          <w:tcPr>
            <w:tcW w:w="74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2,185</w:t>
            </w:r>
          </w:p>
        </w:tc>
        <w:tc>
          <w:tcPr>
            <w:tcW w:w="2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(2,028)</w:t>
            </w:r>
          </w:p>
        </w:tc>
        <w:tc>
          <w:tcPr>
            <w:tcW w:w="120" w:type="dxa"/>
            <w:vAlign w:val="bottom"/>
            <w:shd w:val="clear" w:color="auto" w:fill="CCEEFF"/>
          </w:tcPr>
          <w:p>
            <w:pPr>
              <w:spacing w:after="0"/>
              <w:rPr>
                <w:sz w:val="12"/>
                <w:szCs w:val="12"/>
                <w:color w:val="auto"/>
              </w:rPr>
            </w:pPr>
          </w:p>
        </w:tc>
      </w:tr>
      <w:tr>
        <w:trPr>
          <w:trHeight w:val="144"/>
        </w:trPr>
        <w:tc>
          <w:tcPr>
            <w:tcW w:w="7340" w:type="dxa"/>
            <w:vAlign w:val="bottom"/>
          </w:tcPr>
          <w:p>
            <w:pPr>
              <w:ind w:left="320"/>
              <w:spacing w:after="0"/>
              <w:rPr>
                <w:sz w:val="20"/>
                <w:szCs w:val="20"/>
                <w:color w:val="auto"/>
              </w:rPr>
            </w:pPr>
            <w:r>
              <w:rPr>
                <w:rFonts w:ascii="Arial" w:cs="Arial" w:eastAsia="Arial" w:hAnsi="Arial"/>
                <w:sz w:val="12"/>
                <w:szCs w:val="12"/>
                <w:color w:val="auto"/>
              </w:rPr>
              <w:t>Income tax expense (benefit)</w:t>
            </w:r>
          </w:p>
        </w:tc>
        <w:tc>
          <w:tcPr>
            <w:tcW w:w="7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458</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(426)</w:t>
            </w:r>
          </w:p>
        </w:tc>
      </w:tr>
      <w:tr>
        <w:trPr>
          <w:trHeight w:val="142"/>
        </w:trPr>
        <w:tc>
          <w:tcPr>
            <w:tcW w:w="7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Unrealized gains (losses) recognized in other comprehensive income (loss) on derivative instruments, net of tax</w:t>
            </w:r>
          </w:p>
        </w:tc>
        <w:tc>
          <w:tcPr>
            <w:tcW w:w="740" w:type="dxa"/>
            <w:vAlign w:val="bottom"/>
            <w:tcBorders>
              <w:top w:val="single" w:sz="8" w:color="auto"/>
              <w:bottom w:val="single" w:sz="8" w:color="auto"/>
            </w:tcBorders>
            <w:shd w:val="clear" w:color="auto" w:fill="CCEEFF"/>
          </w:tcPr>
          <w:p>
            <w:pPr>
              <w:spacing w:after="0"/>
              <w:rPr>
                <w:sz w:val="12"/>
                <w:szCs w:val="12"/>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1,727</w:t>
            </w:r>
          </w:p>
        </w:tc>
        <w:tc>
          <w:tcPr>
            <w:tcW w:w="2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(1,602)</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142"/>
        </w:trPr>
        <w:tc>
          <w:tcPr>
            <w:tcW w:w="7340" w:type="dxa"/>
            <w:vAlign w:val="bottom"/>
          </w:tcPr>
          <w:p>
            <w:pPr>
              <w:ind w:left="220"/>
              <w:spacing w:after="0"/>
              <w:rPr>
                <w:sz w:val="20"/>
                <w:szCs w:val="20"/>
                <w:color w:val="auto"/>
              </w:rPr>
            </w:pPr>
            <w:r>
              <w:rPr>
                <w:rFonts w:ascii="Arial" w:cs="Arial" w:eastAsia="Arial" w:hAnsi="Arial"/>
                <w:sz w:val="12"/>
                <w:szCs w:val="12"/>
                <w:color w:val="auto"/>
              </w:rPr>
              <w:t>Other comprehensive income (loss)</w:t>
            </w:r>
          </w:p>
        </w:tc>
        <w:tc>
          <w:tcPr>
            <w:tcW w:w="74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(9,523)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13,810</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6,322</w:t>
            </w:r>
          </w:p>
        </w:tc>
      </w:tr>
      <w:tr>
        <w:trPr>
          <w:trHeight w:val="182"/>
        </w:trPr>
        <w:tc>
          <w:tcPr>
            <w:tcW w:w="7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Comprehensive income</w:t>
            </w:r>
          </w:p>
        </w:tc>
        <w:tc>
          <w:tcPr>
            <w:tcW w:w="740" w:type="dxa"/>
            <w:vAlign w:val="bottom"/>
            <w:tcBorders>
              <w:top w:val="single" w:sz="8" w:color="auto"/>
              <w:bottom w:val="single" w:sz="8" w:color="auto"/>
            </w:tcBorders>
            <w:shd w:val="clear" w:color="auto" w:fill="CCEEFF"/>
          </w:tcPr>
          <w:p>
            <w:pPr>
              <w:jc w:val="right"/>
              <w:ind w:right="628"/>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53,372</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69,962</w:t>
            </w:r>
          </w:p>
        </w:tc>
        <w:tc>
          <w:tcPr>
            <w:tcW w:w="2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52,757</w:t>
            </w:r>
          </w:p>
        </w:tc>
        <w:tc>
          <w:tcPr>
            <w:tcW w:w="120" w:type="dxa"/>
            <w:vAlign w:val="bottom"/>
            <w:tcBorders>
              <w:bottom w:val="single" w:sz="8" w:color="CCEEFF"/>
            </w:tcBorders>
            <w:shd w:val="clear" w:color="auto" w:fill="CCEEFF"/>
          </w:tcPr>
          <w:p>
            <w:pPr>
              <w:spacing w:after="0"/>
              <w:rPr>
                <w:sz w:val="15"/>
                <w:szCs w:val="15"/>
                <w:color w:val="auto"/>
              </w:rPr>
            </w:pPr>
          </w:p>
        </w:tc>
      </w:tr>
    </w:tbl>
    <w:p>
      <w:pPr>
        <w:spacing w:after="0" w:line="1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119"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71" w:right="29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57"/>
        </w:trPr>
        <w:tc>
          <w:tcPr>
            <w:tcW w:w="7500" w:type="dxa"/>
            <w:vAlign w:val="bottom"/>
            <w:gridSpan w:val="6"/>
          </w:tcPr>
          <w:p>
            <w:pPr>
              <w:ind w:left="3860"/>
              <w:spacing w:after="0"/>
              <w:rPr>
                <w:sz w:val="20"/>
                <w:szCs w:val="20"/>
                <w:color w:val="auto"/>
              </w:rPr>
            </w:pPr>
            <w:r>
              <w:rPr>
                <w:rFonts w:ascii="Arial" w:cs="Arial" w:eastAsia="Arial" w:hAnsi="Arial"/>
                <w:sz w:val="12"/>
                <w:szCs w:val="12"/>
                <w:b w:val="1"/>
                <w:bCs w:val="1"/>
                <w:color w:val="auto"/>
              </w:rPr>
              <w:t>CONSOLIDATED STATEMENTS OF SHAREHOLDERS’ EQUITY</w:t>
            </w: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419"/>
        </w:trPr>
        <w:tc>
          <w:tcPr>
            <w:tcW w:w="6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0"/>
              </w:rPr>
              <w:t>Retained</w:t>
            </w: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0"/>
              </w:rPr>
              <w:t>Accumulated</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4"/>
        </w:trPr>
        <w:tc>
          <w:tcPr>
            <w:tcW w:w="6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3"/>
              </w:rPr>
              <w:t>Earnings</w:t>
            </w:r>
          </w:p>
        </w:tc>
        <w:tc>
          <w:tcPr>
            <w:tcW w:w="120" w:type="dxa"/>
            <w:vAlign w:val="bottom"/>
          </w:tcPr>
          <w:p>
            <w:pPr>
              <w:spacing w:after="0"/>
              <w:rPr>
                <w:sz w:val="12"/>
                <w:szCs w:val="12"/>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3"/>
              </w:rPr>
              <w:t>Other</w:t>
            </w:r>
          </w:p>
        </w:tc>
        <w:tc>
          <w:tcPr>
            <w:tcW w:w="140" w:type="dxa"/>
            <w:vAlign w:val="bottom"/>
          </w:tcPr>
          <w:p>
            <w:pPr>
              <w:spacing w:after="0"/>
              <w:rPr>
                <w:sz w:val="12"/>
                <w:szCs w:val="12"/>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0"/>
              </w:rPr>
              <w:t>Total</w:t>
            </w:r>
          </w:p>
        </w:tc>
      </w:tr>
      <w:tr>
        <w:trPr>
          <w:trHeight w:val="144"/>
        </w:trPr>
        <w:tc>
          <w:tcPr>
            <w:tcW w:w="6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rPr>
              <w:t>Common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0"/>
              </w:rPr>
              <w:t>(Accumulated</w:t>
            </w:r>
          </w:p>
        </w:tc>
        <w:tc>
          <w:tcPr>
            <w:tcW w:w="120" w:type="dxa"/>
            <w:vAlign w:val="bottom"/>
          </w:tcPr>
          <w:p>
            <w:pPr>
              <w:spacing w:after="0"/>
              <w:rPr>
                <w:sz w:val="12"/>
                <w:szCs w:val="12"/>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88"/>
              </w:rPr>
              <w:t>Comprehensive</w:t>
            </w:r>
          </w:p>
        </w:tc>
        <w:tc>
          <w:tcPr>
            <w:tcW w:w="140" w:type="dxa"/>
            <w:vAlign w:val="bottom"/>
          </w:tcPr>
          <w:p>
            <w:pPr>
              <w:spacing w:after="0"/>
              <w:rPr>
                <w:sz w:val="12"/>
                <w:szCs w:val="12"/>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9"/>
              </w:rPr>
              <w:t>Shareholders’</w:t>
            </w:r>
          </w:p>
        </w:tc>
      </w:tr>
      <w:tr>
        <w:trPr>
          <w:trHeight w:val="157"/>
        </w:trPr>
        <w:tc>
          <w:tcPr>
            <w:tcW w:w="60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Stock</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80"/>
              <w:spacing w:after="0"/>
              <w:rPr>
                <w:sz w:val="20"/>
                <w:szCs w:val="20"/>
                <w:color w:val="auto"/>
              </w:rPr>
            </w:pPr>
            <w:r>
              <w:rPr>
                <w:rFonts w:ascii="Arial" w:cs="Arial" w:eastAsia="Arial" w:hAnsi="Arial"/>
                <w:sz w:val="12"/>
                <w:szCs w:val="12"/>
                <w:b w:val="1"/>
                <w:bCs w:val="1"/>
                <w:color w:val="auto"/>
                <w:w w:val="93"/>
              </w:rPr>
              <w:t>Deficit)</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60"/>
              <w:spacing w:after="0"/>
              <w:rPr>
                <w:sz w:val="20"/>
                <w:szCs w:val="20"/>
                <w:color w:val="auto"/>
              </w:rPr>
            </w:pPr>
            <w:r>
              <w:rPr>
                <w:rFonts w:ascii="Arial" w:cs="Arial" w:eastAsia="Arial" w:hAnsi="Arial"/>
                <w:sz w:val="12"/>
                <w:szCs w:val="12"/>
                <w:b w:val="1"/>
                <w:bCs w:val="1"/>
                <w:color w:val="auto"/>
                <w:w w:val="88"/>
              </w:rPr>
              <w:t>Income (Loss)</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60"/>
              <w:spacing w:after="0"/>
              <w:rPr>
                <w:sz w:val="20"/>
                <w:szCs w:val="20"/>
                <w:color w:val="auto"/>
              </w:rPr>
            </w:pPr>
            <w:r>
              <w:rPr>
                <w:rFonts w:ascii="Arial" w:cs="Arial" w:eastAsia="Arial" w:hAnsi="Arial"/>
                <w:sz w:val="12"/>
                <w:szCs w:val="12"/>
                <w:b w:val="1"/>
                <w:bCs w:val="1"/>
                <w:color w:val="auto"/>
                <w:w w:val="92"/>
              </w:rPr>
              <w:t>Equity</w:t>
            </w:r>
          </w:p>
        </w:tc>
        <w:tc>
          <w:tcPr>
            <w:tcW w:w="120" w:type="dxa"/>
            <w:vAlign w:val="bottom"/>
          </w:tcPr>
          <w:p>
            <w:pPr>
              <w:spacing w:after="0"/>
              <w:rPr>
                <w:sz w:val="13"/>
                <w:szCs w:val="13"/>
                <w:color w:val="auto"/>
              </w:rPr>
            </w:pPr>
          </w:p>
        </w:tc>
      </w:tr>
      <w:tr>
        <w:trPr>
          <w:trHeight w:val="142"/>
        </w:trPr>
        <w:tc>
          <w:tcPr>
            <w:tcW w:w="6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spacing w:after="0"/>
              <w:rPr>
                <w:sz w:val="20"/>
                <w:szCs w:val="20"/>
                <w:color w:val="auto"/>
              </w:rPr>
            </w:pPr>
            <w:r>
              <w:rPr>
                <w:rFonts w:ascii="Arial" w:cs="Arial" w:eastAsia="Arial" w:hAnsi="Arial"/>
                <w:sz w:val="12"/>
                <w:szCs w:val="12"/>
                <w:b w:val="1"/>
                <w:bCs w:val="1"/>
                <w:color w:val="auto"/>
                <w:w w:val="84"/>
              </w:rPr>
              <w:t>(Dollars in thousands,</w:t>
            </w:r>
          </w:p>
        </w:tc>
        <w:tc>
          <w:tcPr>
            <w:tcW w:w="1340" w:type="dxa"/>
            <w:vAlign w:val="bottom"/>
            <w:gridSpan w:val="3"/>
          </w:tcPr>
          <w:p>
            <w:pPr>
              <w:jc w:val="right"/>
              <w:spacing w:after="0"/>
              <w:rPr>
                <w:sz w:val="20"/>
                <w:szCs w:val="20"/>
                <w:color w:val="auto"/>
              </w:rPr>
            </w:pPr>
            <w:r>
              <w:rPr>
                <w:rFonts w:ascii="Arial" w:cs="Arial" w:eastAsia="Arial" w:hAnsi="Arial"/>
                <w:sz w:val="12"/>
                <w:szCs w:val="12"/>
                <w:b w:val="1"/>
                <w:bCs w:val="1"/>
                <w:color w:val="auto"/>
                <w:w w:val="86"/>
              </w:rPr>
              <w:t>except per share amounts)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Balances at January 1, 2019</w:t>
            </w: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377,372</w:t>
            </w:r>
          </w:p>
        </w:tc>
        <w:tc>
          <w:tcPr>
            <w:tcW w:w="1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6"/>
              <w:spacing w:after="0"/>
              <w:rPr>
                <w:sz w:val="20"/>
                <w:szCs w:val="20"/>
                <w:color w:val="auto"/>
              </w:rPr>
            </w:pPr>
            <w:r>
              <w:rPr>
                <w:rFonts w:ascii="Arial" w:cs="Arial" w:eastAsia="Arial" w:hAnsi="Arial"/>
                <w:sz w:val="12"/>
                <w:szCs w:val="12"/>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(28,270)</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(10,108)</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338,994</w:t>
            </w:r>
          </w:p>
        </w:tc>
      </w:tr>
      <w:tr>
        <w:trPr>
          <w:trHeight w:val="144"/>
        </w:trPr>
        <w:tc>
          <w:tcPr>
            <w:tcW w:w="6000" w:type="dxa"/>
            <w:vAlign w:val="bottom"/>
          </w:tcPr>
          <w:p>
            <w:pPr>
              <w:spacing w:after="0"/>
              <w:rPr>
                <w:sz w:val="20"/>
                <w:szCs w:val="20"/>
                <w:color w:val="auto"/>
              </w:rPr>
            </w:pPr>
            <w:r>
              <w:rPr>
                <w:rFonts w:ascii="Arial" w:cs="Arial" w:eastAsia="Arial" w:hAnsi="Arial"/>
                <w:sz w:val="12"/>
                <w:szCs w:val="12"/>
                <w:color w:val="auto"/>
              </w:rPr>
              <w:t>Net income for 2019</w:t>
            </w:r>
          </w:p>
        </w:tc>
        <w:tc>
          <w:tcPr>
            <w:tcW w:w="2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2"/>
                <w:szCs w:val="12"/>
                <w:color w:val="auto"/>
              </w:rPr>
              <w:t>46,435</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46,435</w:t>
            </w:r>
          </w:p>
        </w:tc>
      </w:tr>
      <w:tr>
        <w:trPr>
          <w:trHeight w:val="144"/>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Cash dividends declared, $0.72 per share</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(16,554)</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(16,554)</w:t>
            </w:r>
          </w:p>
        </w:tc>
      </w:tr>
      <w:tr>
        <w:trPr>
          <w:trHeight w:val="144"/>
        </w:trPr>
        <w:tc>
          <w:tcPr>
            <w:tcW w:w="6000" w:type="dxa"/>
            <w:vAlign w:val="bottom"/>
          </w:tcPr>
          <w:p>
            <w:pPr>
              <w:spacing w:after="0"/>
              <w:rPr>
                <w:sz w:val="20"/>
                <w:szCs w:val="20"/>
                <w:color w:val="auto"/>
              </w:rPr>
            </w:pPr>
            <w:r>
              <w:rPr>
                <w:rFonts w:ascii="Arial" w:cs="Arial" w:eastAsia="Arial" w:hAnsi="Arial"/>
                <w:sz w:val="12"/>
                <w:szCs w:val="12"/>
                <w:color w:val="auto"/>
              </w:rPr>
              <w:t>Repurchase of 1,204,688 shares of common stock</w:t>
            </w:r>
          </w:p>
        </w:tc>
        <w:tc>
          <w:tcPr>
            <w:tcW w:w="200" w:type="dxa"/>
            <w:vAlign w:val="bottom"/>
          </w:tcPr>
          <w:p>
            <w:pPr>
              <w:spacing w:after="0"/>
              <w:rPr>
                <w:sz w:val="12"/>
                <w:szCs w:val="12"/>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2"/>
                <w:szCs w:val="12"/>
                <w:color w:val="auto"/>
              </w:rPr>
              <w:t>(26,284)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2"/>
                <w:szCs w:val="12"/>
                <w:color w:val="auto"/>
              </w:rPr>
              <w:t>(26,284)</w:t>
            </w:r>
          </w:p>
        </w:tc>
      </w:tr>
      <w:tr>
        <w:trPr>
          <w:trHeight w:val="144"/>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Issuance of 71,799 shares of common stock</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284</w:t>
            </w:r>
          </w:p>
        </w:tc>
      </w:tr>
      <w:tr>
        <w:trPr>
          <w:trHeight w:val="144"/>
        </w:trPr>
        <w:tc>
          <w:tcPr>
            <w:tcW w:w="6000" w:type="dxa"/>
            <w:vAlign w:val="bottom"/>
          </w:tcPr>
          <w:p>
            <w:pPr>
              <w:spacing w:after="0"/>
              <w:rPr>
                <w:sz w:val="20"/>
                <w:szCs w:val="20"/>
                <w:color w:val="auto"/>
              </w:rPr>
            </w:pPr>
            <w:r>
              <w:rPr>
                <w:rFonts w:ascii="Arial" w:cs="Arial" w:eastAsia="Arial" w:hAnsi="Arial"/>
                <w:sz w:val="12"/>
                <w:szCs w:val="12"/>
                <w:color w:val="auto"/>
              </w:rPr>
              <w:t>Share based compensation (issuance of 92,275 shares of common stock)</w:t>
            </w:r>
          </w:p>
        </w:tc>
        <w:tc>
          <w:tcPr>
            <w:tcW w:w="2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1,854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1,854</w:t>
            </w:r>
          </w:p>
        </w:tc>
      </w:tr>
      <w:tr>
        <w:trPr>
          <w:trHeight w:val="144"/>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Share based compensation withholding obligation (withholding of 57,468 shares of common stock)</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(882)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(882)</w:t>
            </w:r>
          </w:p>
        </w:tc>
      </w:tr>
      <w:tr>
        <w:trPr>
          <w:trHeight w:val="144"/>
        </w:trPr>
        <w:tc>
          <w:tcPr>
            <w:tcW w:w="6000" w:type="dxa"/>
            <w:vAlign w:val="bottom"/>
          </w:tcPr>
          <w:p>
            <w:pPr>
              <w:spacing w:after="0"/>
              <w:rPr>
                <w:sz w:val="20"/>
                <w:szCs w:val="20"/>
                <w:color w:val="auto"/>
              </w:rPr>
            </w:pPr>
            <w:r>
              <w:rPr>
                <w:rFonts w:ascii="Arial" w:cs="Arial" w:eastAsia="Arial" w:hAnsi="Arial"/>
                <w:sz w:val="12"/>
                <w:szCs w:val="12"/>
                <w:color w:val="auto"/>
              </w:rPr>
              <w:t>Other comprehensive income</w:t>
            </w:r>
          </w:p>
        </w:tc>
        <w:tc>
          <w:tcPr>
            <w:tcW w:w="2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6,322</w:t>
            </w: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6,322</w:t>
            </w:r>
          </w:p>
        </w:tc>
      </w:tr>
      <w:tr>
        <w:trPr>
          <w:trHeight w:val="142"/>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Balances at December 31, 2019</w:t>
            </w:r>
          </w:p>
        </w:tc>
        <w:tc>
          <w:tcPr>
            <w:tcW w:w="20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352,344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1,611</w:t>
            </w:r>
          </w:p>
        </w:tc>
        <w:tc>
          <w:tcPr>
            <w:tcW w:w="2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(3,786)</w:t>
            </w:r>
          </w:p>
        </w:tc>
        <w:tc>
          <w:tcPr>
            <w:tcW w:w="2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350,169</w:t>
            </w:r>
          </w:p>
        </w:tc>
        <w:tc>
          <w:tcPr>
            <w:tcW w:w="120" w:type="dxa"/>
            <w:vAlign w:val="bottom"/>
            <w:shd w:val="clear" w:color="auto" w:fill="CCEEFF"/>
          </w:tcPr>
          <w:p>
            <w:pPr>
              <w:spacing w:after="0"/>
              <w:rPr>
                <w:sz w:val="12"/>
                <w:szCs w:val="12"/>
                <w:color w:val="auto"/>
              </w:rPr>
            </w:pPr>
          </w:p>
        </w:tc>
      </w:tr>
      <w:tr>
        <w:trPr>
          <w:trHeight w:val="144"/>
        </w:trPr>
        <w:tc>
          <w:tcPr>
            <w:tcW w:w="6000" w:type="dxa"/>
            <w:vAlign w:val="bottom"/>
          </w:tcPr>
          <w:p>
            <w:pPr>
              <w:spacing w:after="0"/>
              <w:rPr>
                <w:sz w:val="20"/>
                <w:szCs w:val="20"/>
                <w:color w:val="auto"/>
              </w:rPr>
            </w:pPr>
            <w:r>
              <w:rPr>
                <w:rFonts w:ascii="Arial" w:cs="Arial" w:eastAsia="Arial" w:hAnsi="Arial"/>
                <w:sz w:val="12"/>
                <w:szCs w:val="12"/>
                <w:color w:val="auto"/>
              </w:rPr>
              <w:t>Net income for 2020</w:t>
            </w:r>
          </w:p>
        </w:tc>
        <w:tc>
          <w:tcPr>
            <w:tcW w:w="2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2"/>
                <w:szCs w:val="12"/>
                <w:color w:val="auto"/>
              </w:rPr>
              <w:t>56,152</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56,152</w:t>
            </w:r>
          </w:p>
        </w:tc>
      </w:tr>
      <w:tr>
        <w:trPr>
          <w:trHeight w:val="144"/>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Cash dividends declared, $0.80 per share</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(17,618)</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(17,618)</w:t>
            </w:r>
          </w:p>
        </w:tc>
      </w:tr>
      <w:tr>
        <w:trPr>
          <w:trHeight w:val="144"/>
        </w:trPr>
        <w:tc>
          <w:tcPr>
            <w:tcW w:w="6000" w:type="dxa"/>
            <w:vAlign w:val="bottom"/>
          </w:tcPr>
          <w:p>
            <w:pPr>
              <w:spacing w:after="0"/>
              <w:rPr>
                <w:sz w:val="20"/>
                <w:szCs w:val="20"/>
                <w:color w:val="auto"/>
              </w:rPr>
            </w:pPr>
            <w:r>
              <w:rPr>
                <w:rFonts w:ascii="Arial" w:cs="Arial" w:eastAsia="Arial" w:hAnsi="Arial"/>
                <w:sz w:val="12"/>
                <w:szCs w:val="12"/>
                <w:color w:val="auto"/>
              </w:rPr>
              <w:t>Repurchase of 708,956 shares of common stock</w:t>
            </w:r>
          </w:p>
        </w:tc>
        <w:tc>
          <w:tcPr>
            <w:tcW w:w="200" w:type="dxa"/>
            <w:vAlign w:val="bottom"/>
          </w:tcPr>
          <w:p>
            <w:pPr>
              <w:spacing w:after="0"/>
              <w:rPr>
                <w:sz w:val="12"/>
                <w:szCs w:val="12"/>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2"/>
                <w:szCs w:val="12"/>
                <w:color w:val="auto"/>
              </w:rPr>
              <w:t>(14,231)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2"/>
                <w:szCs w:val="12"/>
                <w:color w:val="auto"/>
              </w:rPr>
              <w:t>(14,231)</w:t>
            </w:r>
          </w:p>
        </w:tc>
      </w:tr>
      <w:tr>
        <w:trPr>
          <w:trHeight w:val="144"/>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Issuance of 17,317 shares of common stock</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w:t>
            </w:r>
          </w:p>
        </w:tc>
      </w:tr>
      <w:tr>
        <w:trPr>
          <w:trHeight w:val="144"/>
        </w:trPr>
        <w:tc>
          <w:tcPr>
            <w:tcW w:w="6000" w:type="dxa"/>
            <w:vAlign w:val="bottom"/>
          </w:tcPr>
          <w:p>
            <w:pPr>
              <w:spacing w:after="0"/>
              <w:rPr>
                <w:sz w:val="20"/>
                <w:szCs w:val="20"/>
                <w:color w:val="auto"/>
              </w:rPr>
            </w:pPr>
            <w:r>
              <w:rPr>
                <w:rFonts w:ascii="Arial" w:cs="Arial" w:eastAsia="Arial" w:hAnsi="Arial"/>
                <w:sz w:val="12"/>
                <w:szCs w:val="12"/>
                <w:color w:val="auto"/>
              </w:rPr>
              <w:t>Share based compensation (issuance of 103,429 shares of common stock)</w:t>
            </w:r>
          </w:p>
        </w:tc>
        <w:tc>
          <w:tcPr>
            <w:tcW w:w="2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1,980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1,980</w:t>
            </w:r>
          </w:p>
        </w:tc>
      </w:tr>
      <w:tr>
        <w:trPr>
          <w:trHeight w:val="144"/>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Share based compensation withholding obligation (withholding of 39,633 shares of common stock)</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(755)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(755)</w:t>
            </w:r>
          </w:p>
        </w:tc>
      </w:tr>
      <w:tr>
        <w:trPr>
          <w:trHeight w:val="144"/>
        </w:trPr>
        <w:tc>
          <w:tcPr>
            <w:tcW w:w="6000" w:type="dxa"/>
            <w:vAlign w:val="bottom"/>
          </w:tcPr>
          <w:p>
            <w:pPr>
              <w:spacing w:after="0"/>
              <w:rPr>
                <w:sz w:val="20"/>
                <w:szCs w:val="20"/>
                <w:color w:val="auto"/>
              </w:rPr>
            </w:pPr>
            <w:r>
              <w:rPr>
                <w:rFonts w:ascii="Arial" w:cs="Arial" w:eastAsia="Arial" w:hAnsi="Arial"/>
                <w:sz w:val="12"/>
                <w:szCs w:val="12"/>
                <w:color w:val="auto"/>
              </w:rPr>
              <w:t>Other comprehensive income</w:t>
            </w:r>
          </w:p>
        </w:tc>
        <w:tc>
          <w:tcPr>
            <w:tcW w:w="2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13,810</w:t>
            </w: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13,810</w:t>
            </w:r>
          </w:p>
        </w:tc>
      </w:tr>
      <w:tr>
        <w:trPr>
          <w:trHeight w:val="142"/>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Balances at December 31, 2020</w:t>
            </w:r>
          </w:p>
        </w:tc>
        <w:tc>
          <w:tcPr>
            <w:tcW w:w="20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339,353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40,145</w:t>
            </w:r>
          </w:p>
        </w:tc>
        <w:tc>
          <w:tcPr>
            <w:tcW w:w="2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10,024</w:t>
            </w:r>
          </w:p>
        </w:tc>
        <w:tc>
          <w:tcPr>
            <w:tcW w:w="2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389,522</w:t>
            </w:r>
          </w:p>
        </w:tc>
        <w:tc>
          <w:tcPr>
            <w:tcW w:w="120" w:type="dxa"/>
            <w:vAlign w:val="bottom"/>
            <w:shd w:val="clear" w:color="auto" w:fill="CCEEFF"/>
          </w:tcPr>
          <w:p>
            <w:pPr>
              <w:spacing w:after="0"/>
              <w:rPr>
                <w:sz w:val="12"/>
                <w:szCs w:val="12"/>
                <w:color w:val="auto"/>
              </w:rPr>
            </w:pPr>
          </w:p>
        </w:tc>
      </w:tr>
      <w:tr>
        <w:trPr>
          <w:trHeight w:val="144"/>
        </w:trPr>
        <w:tc>
          <w:tcPr>
            <w:tcW w:w="6000" w:type="dxa"/>
            <w:vAlign w:val="bottom"/>
          </w:tcPr>
          <w:p>
            <w:pPr>
              <w:spacing w:after="0"/>
              <w:rPr>
                <w:sz w:val="20"/>
                <w:szCs w:val="20"/>
                <w:color w:val="auto"/>
              </w:rPr>
            </w:pPr>
            <w:r>
              <w:rPr>
                <w:rFonts w:ascii="Arial" w:cs="Arial" w:eastAsia="Arial" w:hAnsi="Arial"/>
                <w:sz w:val="12"/>
                <w:szCs w:val="12"/>
                <w:color w:val="auto"/>
              </w:rPr>
              <w:t>Adoption of ASU 2016-13</w:t>
            </w:r>
          </w:p>
        </w:tc>
        <w:tc>
          <w:tcPr>
            <w:tcW w:w="2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2"/>
                <w:szCs w:val="12"/>
                <w:color w:val="auto"/>
              </w:rPr>
              <w:t>(10,303)</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2"/>
                <w:szCs w:val="12"/>
                <w:color w:val="auto"/>
              </w:rPr>
              <w:t>(10,303)</w:t>
            </w:r>
          </w:p>
        </w:tc>
      </w:tr>
      <w:tr>
        <w:trPr>
          <w:trHeight w:val="142"/>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Balances at December 31, 2020, as adjusted</w:t>
            </w:r>
          </w:p>
        </w:tc>
        <w:tc>
          <w:tcPr>
            <w:tcW w:w="20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339,353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29,842</w:t>
            </w:r>
          </w:p>
        </w:tc>
        <w:tc>
          <w:tcPr>
            <w:tcW w:w="2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10,024</w:t>
            </w:r>
          </w:p>
        </w:tc>
        <w:tc>
          <w:tcPr>
            <w:tcW w:w="2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379,219</w:t>
            </w:r>
          </w:p>
        </w:tc>
        <w:tc>
          <w:tcPr>
            <w:tcW w:w="120" w:type="dxa"/>
            <w:vAlign w:val="bottom"/>
            <w:shd w:val="clear" w:color="auto" w:fill="CCEEFF"/>
          </w:tcPr>
          <w:p>
            <w:pPr>
              <w:spacing w:after="0"/>
              <w:rPr>
                <w:sz w:val="12"/>
                <w:szCs w:val="12"/>
                <w:color w:val="auto"/>
              </w:rPr>
            </w:pPr>
          </w:p>
        </w:tc>
      </w:tr>
      <w:tr>
        <w:trPr>
          <w:trHeight w:val="144"/>
        </w:trPr>
        <w:tc>
          <w:tcPr>
            <w:tcW w:w="6000" w:type="dxa"/>
            <w:vAlign w:val="bottom"/>
          </w:tcPr>
          <w:p>
            <w:pPr>
              <w:spacing w:after="0"/>
              <w:rPr>
                <w:sz w:val="20"/>
                <w:szCs w:val="20"/>
                <w:color w:val="auto"/>
              </w:rPr>
            </w:pPr>
            <w:r>
              <w:rPr>
                <w:rFonts w:ascii="Arial" w:cs="Arial" w:eastAsia="Arial" w:hAnsi="Arial"/>
                <w:sz w:val="12"/>
                <w:szCs w:val="12"/>
                <w:color w:val="auto"/>
              </w:rPr>
              <w:t>Net income for 2021</w:t>
            </w:r>
          </w:p>
        </w:tc>
        <w:tc>
          <w:tcPr>
            <w:tcW w:w="2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2"/>
                <w:szCs w:val="12"/>
                <w:color w:val="auto"/>
              </w:rPr>
              <w:t>62,895</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62,895</w:t>
            </w:r>
          </w:p>
        </w:tc>
      </w:tr>
      <w:tr>
        <w:trPr>
          <w:trHeight w:val="144"/>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Cash dividends declared, $0.84 per share</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(18,155)</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(18,155)</w:t>
            </w:r>
          </w:p>
        </w:tc>
      </w:tr>
      <w:tr>
        <w:trPr>
          <w:trHeight w:val="144"/>
        </w:trPr>
        <w:tc>
          <w:tcPr>
            <w:tcW w:w="6000" w:type="dxa"/>
            <w:vAlign w:val="bottom"/>
          </w:tcPr>
          <w:p>
            <w:pPr>
              <w:spacing w:after="0"/>
              <w:rPr>
                <w:sz w:val="20"/>
                <w:szCs w:val="20"/>
                <w:color w:val="auto"/>
              </w:rPr>
            </w:pPr>
            <w:r>
              <w:rPr>
                <w:rFonts w:ascii="Arial" w:cs="Arial" w:eastAsia="Arial" w:hAnsi="Arial"/>
                <w:sz w:val="12"/>
                <w:szCs w:val="12"/>
                <w:color w:val="auto"/>
              </w:rPr>
              <w:t>Repurchase of 814,910 shares of common stock</w:t>
            </w:r>
          </w:p>
        </w:tc>
        <w:tc>
          <w:tcPr>
            <w:tcW w:w="200" w:type="dxa"/>
            <w:vAlign w:val="bottom"/>
          </w:tcPr>
          <w:p>
            <w:pPr>
              <w:spacing w:after="0"/>
              <w:rPr>
                <w:sz w:val="12"/>
                <w:szCs w:val="12"/>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2"/>
                <w:szCs w:val="12"/>
                <w:color w:val="auto"/>
              </w:rPr>
              <w:t>(17,269)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2"/>
                <w:szCs w:val="12"/>
                <w:color w:val="auto"/>
              </w:rPr>
              <w:t>(17,269)</w:t>
            </w:r>
          </w:p>
        </w:tc>
      </w:tr>
      <w:tr>
        <w:trPr>
          <w:trHeight w:val="144"/>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Issuance of 40,350 shares of common stock</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61</w:t>
            </w:r>
          </w:p>
        </w:tc>
      </w:tr>
      <w:tr>
        <w:trPr>
          <w:trHeight w:val="144"/>
        </w:trPr>
        <w:tc>
          <w:tcPr>
            <w:tcW w:w="6000" w:type="dxa"/>
            <w:vAlign w:val="bottom"/>
          </w:tcPr>
          <w:p>
            <w:pPr>
              <w:spacing w:after="0"/>
              <w:rPr>
                <w:sz w:val="20"/>
                <w:szCs w:val="20"/>
                <w:color w:val="auto"/>
              </w:rPr>
            </w:pPr>
            <w:r>
              <w:rPr>
                <w:rFonts w:ascii="Arial" w:cs="Arial" w:eastAsia="Arial" w:hAnsi="Arial"/>
                <w:sz w:val="12"/>
                <w:szCs w:val="12"/>
                <w:color w:val="auto"/>
              </w:rPr>
              <w:t>Share based compensation (issuance of 128,018 shares of common stock)</w:t>
            </w:r>
          </w:p>
        </w:tc>
        <w:tc>
          <w:tcPr>
            <w:tcW w:w="2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1,947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1,947</w:t>
            </w:r>
          </w:p>
        </w:tc>
      </w:tr>
      <w:tr>
        <w:trPr>
          <w:trHeight w:val="144"/>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Share based compensation withholding obligation (withholding of 36,222 shares of common stock)</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(691)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(691)</w:t>
            </w:r>
          </w:p>
        </w:tc>
      </w:tr>
      <w:tr>
        <w:trPr>
          <w:trHeight w:val="144"/>
        </w:trPr>
        <w:tc>
          <w:tcPr>
            <w:tcW w:w="6000" w:type="dxa"/>
            <w:vAlign w:val="bottom"/>
          </w:tcPr>
          <w:p>
            <w:pPr>
              <w:spacing w:after="0"/>
              <w:rPr>
                <w:sz w:val="20"/>
                <w:szCs w:val="20"/>
                <w:color w:val="auto"/>
              </w:rPr>
            </w:pPr>
            <w:r>
              <w:rPr>
                <w:rFonts w:ascii="Arial" w:cs="Arial" w:eastAsia="Arial" w:hAnsi="Arial"/>
                <w:sz w:val="12"/>
                <w:szCs w:val="12"/>
                <w:color w:val="auto"/>
              </w:rPr>
              <w:t>Other comprehensive loss</w:t>
            </w:r>
          </w:p>
        </w:tc>
        <w:tc>
          <w:tcPr>
            <w:tcW w:w="2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2"/>
                <w:szCs w:val="12"/>
                <w:color w:val="auto"/>
              </w:rPr>
              <w:t>(9,523)</w:t>
            </w:r>
          </w:p>
        </w:tc>
        <w:tc>
          <w:tcPr>
            <w:tcW w:w="14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2"/>
                <w:szCs w:val="12"/>
                <w:color w:val="auto"/>
              </w:rPr>
              <w:t>(9,523)</w:t>
            </w:r>
          </w:p>
        </w:tc>
      </w:tr>
      <w:tr>
        <w:trPr>
          <w:trHeight w:val="182"/>
        </w:trPr>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Balances at December 31, 2021</w:t>
            </w:r>
          </w:p>
        </w:tc>
        <w:tc>
          <w:tcPr>
            <w:tcW w:w="20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323,401</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74,582</w:t>
            </w:r>
          </w:p>
        </w:tc>
        <w:tc>
          <w:tcPr>
            <w:tcW w:w="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501</w:t>
            </w:r>
          </w:p>
        </w:tc>
        <w:tc>
          <w:tcPr>
            <w:tcW w:w="2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398,484</w:t>
            </w:r>
          </w:p>
        </w:tc>
        <w:tc>
          <w:tcPr>
            <w:tcW w:w="120" w:type="dxa"/>
            <w:vAlign w:val="bottom"/>
            <w:tcBorders>
              <w:bottom w:val="single" w:sz="8" w:color="CCEEFF"/>
            </w:tcBorders>
            <w:shd w:val="clear" w:color="auto" w:fill="CCEEFF"/>
          </w:tcPr>
          <w:p>
            <w:pPr>
              <w:spacing w:after="0"/>
              <w:rPr>
                <w:sz w:val="15"/>
                <w:szCs w:val="15"/>
                <w:color w:val="auto"/>
              </w:rPr>
            </w:pPr>
          </w:p>
        </w:tc>
      </w:tr>
    </w:tbl>
    <w:p>
      <w:pPr>
        <w:spacing w:after="0" w:line="13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119"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71" w:right="29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57"/>
        </w:trPr>
        <w:tc>
          <w:tcPr>
            <w:tcW w:w="7340" w:type="dxa"/>
            <w:vAlign w:val="bottom"/>
          </w:tcPr>
          <w:p>
            <w:pPr>
              <w:ind w:left="4240"/>
              <w:spacing w:after="0"/>
              <w:rPr>
                <w:sz w:val="20"/>
                <w:szCs w:val="20"/>
                <w:color w:val="auto"/>
              </w:rPr>
            </w:pPr>
            <w:r>
              <w:rPr>
                <w:rFonts w:ascii="Arial" w:cs="Arial" w:eastAsia="Arial" w:hAnsi="Arial"/>
                <w:sz w:val="12"/>
                <w:szCs w:val="12"/>
                <w:b w:val="1"/>
                <w:bCs w:val="1"/>
                <w:color w:val="auto"/>
              </w:rPr>
              <w:t>CONSOLIDATED STATEMENTS OF CASH FLOWS</w:t>
            </w: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73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2"/>
                <w:szCs w:val="12"/>
                <w:b w:val="1"/>
                <w:bCs w:val="1"/>
                <w:color w:val="auto"/>
                <w:w w:val="92"/>
              </w:rPr>
              <w:t>Year Ended December 31,</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73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2021</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2020</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2"/>
                <w:szCs w:val="12"/>
                <w:color w:val="auto"/>
              </w:rPr>
            </w:pPr>
          </w:p>
        </w:tc>
      </w:tr>
      <w:tr>
        <w:trPr>
          <w:trHeight w:val="142"/>
        </w:trPr>
        <w:tc>
          <w:tcPr>
            <w:tcW w:w="7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ind w:right="140"/>
              <w:spacing w:after="0"/>
              <w:rPr>
                <w:sz w:val="20"/>
                <w:szCs w:val="20"/>
                <w:color w:val="auto"/>
              </w:rPr>
            </w:pPr>
            <w:r>
              <w:rPr>
                <w:rFonts w:ascii="Arial" w:cs="Arial" w:eastAsia="Arial" w:hAnsi="Arial"/>
                <w:sz w:val="12"/>
                <w:szCs w:val="12"/>
                <w:b w:val="1"/>
                <w:bCs w:val="1"/>
                <w:color w:val="auto"/>
                <w:w w:val="94"/>
              </w:rPr>
              <w:t>(In thousands)</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7340" w:type="dxa"/>
            <w:vAlign w:val="bottom"/>
            <w:shd w:val="clear" w:color="auto" w:fill="CCEEFF"/>
          </w:tcPr>
          <w:p>
            <w:pPr>
              <w:spacing w:after="0"/>
              <w:rPr>
                <w:sz w:val="20"/>
                <w:szCs w:val="20"/>
                <w:color w:val="auto"/>
              </w:rPr>
            </w:pPr>
            <w:r>
              <w:rPr>
                <w:rFonts w:ascii="Arial" w:cs="Arial" w:eastAsia="Arial" w:hAnsi="Arial"/>
                <w:sz w:val="12"/>
                <w:szCs w:val="12"/>
                <w:color w:val="auto"/>
              </w:rPr>
              <w:t>Net Income</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96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rPr>
              <w:t>62,895</w:t>
            </w:r>
          </w:p>
        </w:tc>
        <w:tc>
          <w:tcPr>
            <w:tcW w:w="280" w:type="dxa"/>
            <w:vAlign w:val="bottom"/>
            <w:gridSpan w:val="2"/>
            <w:shd w:val="clear" w:color="auto" w:fill="CCEEFF"/>
          </w:tcPr>
          <w:p>
            <w:pPr>
              <w:jc w:val="right"/>
              <w:ind w:right="12"/>
              <w:spacing w:after="0"/>
              <w:rPr>
                <w:sz w:val="20"/>
                <w:szCs w:val="20"/>
                <w:color w:val="auto"/>
              </w:rPr>
            </w:pPr>
            <w:r>
              <w:rPr>
                <w:rFonts w:ascii="Arial" w:cs="Arial" w:eastAsia="Arial" w:hAnsi="Arial"/>
                <w:sz w:val="12"/>
                <w:szCs w:val="12"/>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56,152</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46,435</w:t>
            </w:r>
          </w:p>
        </w:tc>
      </w:tr>
      <w:tr>
        <w:trPr>
          <w:trHeight w:val="142"/>
        </w:trPr>
        <w:tc>
          <w:tcPr>
            <w:tcW w:w="7340" w:type="dxa"/>
            <w:vAlign w:val="bottom"/>
            <w:tcBorders>
              <w:top w:val="single" w:sz="8" w:color="CCEEFF"/>
            </w:tcBorders>
          </w:tcPr>
          <w:p>
            <w:pPr>
              <w:spacing w:after="0"/>
              <w:rPr>
                <w:sz w:val="20"/>
                <w:szCs w:val="20"/>
                <w:color w:val="auto"/>
              </w:rPr>
            </w:pPr>
            <w:r>
              <w:rPr>
                <w:rFonts w:ascii="Arial" w:cs="Arial" w:eastAsia="Arial" w:hAnsi="Arial"/>
                <w:sz w:val="12"/>
                <w:szCs w:val="12"/>
                <w:color w:val="auto"/>
              </w:rPr>
              <w:t>ADJUSTMENTS TO RECONCILE NET INCOME TO NET CASH FROM OPERATING ACTIVITIES</w:t>
            </w:r>
          </w:p>
        </w:tc>
        <w:tc>
          <w:tcPr>
            <w:tcW w:w="2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44"/>
        </w:trPr>
        <w:tc>
          <w:tcPr>
            <w:tcW w:w="73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Proceeds from the sale of equity securities at fair value</w:t>
            </w:r>
          </w:p>
        </w:tc>
        <w:tc>
          <w:tcPr>
            <w:tcW w:w="26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560</w:t>
            </w:r>
          </w:p>
        </w:tc>
      </w:tr>
      <w:tr>
        <w:trPr>
          <w:trHeight w:val="144"/>
        </w:trPr>
        <w:tc>
          <w:tcPr>
            <w:tcW w:w="7340" w:type="dxa"/>
            <w:vAlign w:val="bottom"/>
          </w:tcPr>
          <w:p>
            <w:pPr>
              <w:ind w:left="100"/>
              <w:spacing w:after="0"/>
              <w:rPr>
                <w:sz w:val="20"/>
                <w:szCs w:val="20"/>
                <w:color w:val="auto"/>
              </w:rPr>
            </w:pPr>
            <w:r>
              <w:rPr>
                <w:rFonts w:ascii="Arial" w:cs="Arial" w:eastAsia="Arial" w:hAnsi="Arial"/>
                <w:sz w:val="12"/>
                <w:szCs w:val="12"/>
                <w:color w:val="auto"/>
              </w:rPr>
              <w:t>Proceeds from sales of loans held for sale</w:t>
            </w:r>
          </w:p>
        </w:tc>
        <w:tc>
          <w:tcPr>
            <w:tcW w:w="260" w:type="dxa"/>
            <w:vAlign w:val="bottom"/>
          </w:tcPr>
          <w:p>
            <w:pPr>
              <w:spacing w:after="0"/>
              <w:rPr>
                <w:sz w:val="12"/>
                <w:szCs w:val="12"/>
                <w:color w:val="auto"/>
              </w:rPr>
            </w:pPr>
          </w:p>
        </w:tc>
        <w:tc>
          <w:tcPr>
            <w:tcW w:w="960" w:type="dxa"/>
            <w:vAlign w:val="bottom"/>
          </w:tcPr>
          <w:p>
            <w:pPr>
              <w:jc w:val="right"/>
              <w:ind w:right="20"/>
              <w:spacing w:after="0"/>
              <w:rPr>
                <w:sz w:val="20"/>
                <w:szCs w:val="20"/>
                <w:color w:val="auto"/>
              </w:rPr>
            </w:pPr>
            <w:r>
              <w:rPr>
                <w:rFonts w:ascii="Arial" w:cs="Arial" w:eastAsia="Arial" w:hAnsi="Arial"/>
                <w:sz w:val="12"/>
                <w:szCs w:val="12"/>
                <w:color w:val="auto"/>
              </w:rPr>
              <w:t>1,283,741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1,478,908</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642,537</w:t>
            </w:r>
          </w:p>
        </w:tc>
      </w:tr>
      <w:tr>
        <w:trPr>
          <w:trHeight w:val="144"/>
        </w:trPr>
        <w:tc>
          <w:tcPr>
            <w:tcW w:w="73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Disbursements for loans held for sale</w:t>
            </w:r>
          </w:p>
        </w:tc>
        <w:tc>
          <w:tcPr>
            <w:tcW w:w="26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(1,210,897)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(1,438,982)</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(647,606)</w:t>
            </w:r>
          </w:p>
        </w:tc>
      </w:tr>
      <w:tr>
        <w:trPr>
          <w:trHeight w:val="144"/>
        </w:trPr>
        <w:tc>
          <w:tcPr>
            <w:tcW w:w="7340" w:type="dxa"/>
            <w:vAlign w:val="bottom"/>
          </w:tcPr>
          <w:p>
            <w:pPr>
              <w:ind w:left="100"/>
              <w:spacing w:after="0"/>
              <w:rPr>
                <w:sz w:val="20"/>
                <w:szCs w:val="20"/>
                <w:color w:val="auto"/>
              </w:rPr>
            </w:pPr>
            <w:r>
              <w:rPr>
                <w:rFonts w:ascii="Arial" w:cs="Arial" w:eastAsia="Arial" w:hAnsi="Arial"/>
                <w:sz w:val="12"/>
                <w:szCs w:val="12"/>
                <w:color w:val="auto"/>
              </w:rPr>
              <w:t>Provision for credit losses (1)</w:t>
            </w:r>
          </w:p>
        </w:tc>
        <w:tc>
          <w:tcPr>
            <w:tcW w:w="2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(1,928)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12,463</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824</w:t>
            </w:r>
          </w:p>
        </w:tc>
      </w:tr>
      <w:tr>
        <w:trPr>
          <w:trHeight w:val="144"/>
        </w:trPr>
        <w:tc>
          <w:tcPr>
            <w:tcW w:w="73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Deferred income tax (benefit) expense</w:t>
            </w:r>
          </w:p>
        </w:tc>
        <w:tc>
          <w:tcPr>
            <w:tcW w:w="26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rPr>
              <w:t>1,912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(2,130)</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1,088</w:t>
            </w:r>
          </w:p>
        </w:tc>
      </w:tr>
      <w:tr>
        <w:trPr>
          <w:trHeight w:val="144"/>
        </w:trPr>
        <w:tc>
          <w:tcPr>
            <w:tcW w:w="7340" w:type="dxa"/>
            <w:vAlign w:val="bottom"/>
          </w:tcPr>
          <w:p>
            <w:pPr>
              <w:ind w:left="100"/>
              <w:spacing w:after="0"/>
              <w:rPr>
                <w:sz w:val="20"/>
                <w:szCs w:val="20"/>
                <w:color w:val="auto"/>
              </w:rPr>
            </w:pPr>
            <w:r>
              <w:rPr>
                <w:rFonts w:ascii="Arial" w:cs="Arial" w:eastAsia="Arial" w:hAnsi="Arial"/>
                <w:sz w:val="12"/>
                <w:szCs w:val="12"/>
                <w:color w:val="auto"/>
              </w:rPr>
              <w:t>Net deferred loan fees (costs)</w:t>
            </w:r>
          </w:p>
        </w:tc>
        <w:tc>
          <w:tcPr>
            <w:tcW w:w="2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(7,857)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1,686</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(2,936)</w:t>
            </w:r>
          </w:p>
        </w:tc>
      </w:tr>
      <w:tr>
        <w:trPr>
          <w:trHeight w:val="144"/>
        </w:trPr>
        <w:tc>
          <w:tcPr>
            <w:tcW w:w="7340" w:type="dxa"/>
            <w:vAlign w:val="bottom"/>
            <w:shd w:val="clear" w:color="auto" w:fill="CCEEFF"/>
          </w:tcPr>
          <w:p>
            <w:pPr>
              <w:ind w:left="100"/>
              <w:spacing w:after="0"/>
              <w:rPr>
                <w:sz w:val="20"/>
                <w:szCs w:val="20"/>
                <w:color w:val="auto"/>
              </w:rPr>
            </w:pPr>
            <w:r>
              <w:rPr>
                <w:rFonts w:ascii="Arial" w:cs="Arial" w:eastAsia="Arial" w:hAnsi="Arial"/>
                <w:sz w:val="12"/>
                <w:szCs w:val="12"/>
                <w:color w:val="auto"/>
                <w:w w:val="92"/>
              </w:rPr>
              <w:t>Net depreciation, amortization of intangible assets and premiums and accretion of discounts on securities, loans and interest bearing deposits - time</w:t>
            </w:r>
          </w:p>
        </w:tc>
        <w:tc>
          <w:tcPr>
            <w:tcW w:w="26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rPr>
              <w:t>12,130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9,161</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6,059</w:t>
            </w:r>
          </w:p>
        </w:tc>
      </w:tr>
      <w:tr>
        <w:trPr>
          <w:trHeight w:val="144"/>
        </w:trPr>
        <w:tc>
          <w:tcPr>
            <w:tcW w:w="7340" w:type="dxa"/>
            <w:vAlign w:val="bottom"/>
          </w:tcPr>
          <w:p>
            <w:pPr>
              <w:ind w:left="100"/>
              <w:spacing w:after="0"/>
              <w:rPr>
                <w:sz w:val="20"/>
                <w:szCs w:val="20"/>
                <w:color w:val="auto"/>
              </w:rPr>
            </w:pPr>
            <w:r>
              <w:rPr>
                <w:rFonts w:ascii="Arial" w:cs="Arial" w:eastAsia="Arial" w:hAnsi="Arial"/>
                <w:sz w:val="12"/>
                <w:szCs w:val="12"/>
                <w:color w:val="auto"/>
              </w:rPr>
              <w:t>Net gains on mortgage loans</w:t>
            </w:r>
          </w:p>
        </w:tc>
        <w:tc>
          <w:tcPr>
            <w:tcW w:w="2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(35,880)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2"/>
                <w:szCs w:val="12"/>
                <w:color w:val="auto"/>
              </w:rPr>
              <w:t>(62,560)</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(19,978)</w:t>
            </w:r>
          </w:p>
        </w:tc>
      </w:tr>
      <w:tr>
        <w:trPr>
          <w:trHeight w:val="144"/>
        </w:trPr>
        <w:tc>
          <w:tcPr>
            <w:tcW w:w="73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Net gains on securities available for sale</w:t>
            </w:r>
          </w:p>
        </w:tc>
        <w:tc>
          <w:tcPr>
            <w:tcW w:w="26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(1,411)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(267)</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(307)</w:t>
            </w:r>
          </w:p>
        </w:tc>
      </w:tr>
      <w:tr>
        <w:trPr>
          <w:trHeight w:val="144"/>
        </w:trPr>
        <w:tc>
          <w:tcPr>
            <w:tcW w:w="7340" w:type="dxa"/>
            <w:vAlign w:val="bottom"/>
          </w:tcPr>
          <w:p>
            <w:pPr>
              <w:ind w:left="100"/>
              <w:spacing w:after="0"/>
              <w:rPr>
                <w:sz w:val="20"/>
                <w:szCs w:val="20"/>
                <w:color w:val="auto"/>
              </w:rPr>
            </w:pPr>
            <w:r>
              <w:rPr>
                <w:rFonts w:ascii="Arial" w:cs="Arial" w:eastAsia="Arial" w:hAnsi="Arial"/>
                <w:sz w:val="12"/>
                <w:szCs w:val="12"/>
                <w:color w:val="auto"/>
              </w:rPr>
              <w:t>Share based compensation</w:t>
            </w:r>
          </w:p>
        </w:tc>
        <w:tc>
          <w:tcPr>
            <w:tcW w:w="260" w:type="dxa"/>
            <w:vAlign w:val="bottom"/>
          </w:tcPr>
          <w:p>
            <w:pPr>
              <w:spacing w:after="0"/>
              <w:rPr>
                <w:sz w:val="12"/>
                <w:szCs w:val="12"/>
                <w:color w:val="auto"/>
              </w:rPr>
            </w:pPr>
          </w:p>
        </w:tc>
        <w:tc>
          <w:tcPr>
            <w:tcW w:w="960" w:type="dxa"/>
            <w:vAlign w:val="bottom"/>
          </w:tcPr>
          <w:p>
            <w:pPr>
              <w:jc w:val="right"/>
              <w:ind w:right="20"/>
              <w:spacing w:after="0"/>
              <w:rPr>
                <w:sz w:val="20"/>
                <w:szCs w:val="20"/>
                <w:color w:val="auto"/>
              </w:rPr>
            </w:pPr>
            <w:r>
              <w:rPr>
                <w:rFonts w:ascii="Arial" w:cs="Arial" w:eastAsia="Arial" w:hAnsi="Arial"/>
                <w:sz w:val="12"/>
                <w:szCs w:val="12"/>
                <w:color w:val="auto"/>
              </w:rPr>
              <w:t>1,947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1,980</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1,854</w:t>
            </w:r>
          </w:p>
        </w:tc>
      </w:tr>
      <w:tr>
        <w:trPr>
          <w:trHeight w:val="144"/>
        </w:trPr>
        <w:tc>
          <w:tcPr>
            <w:tcW w:w="73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Increase in accrued income and other assets</w:t>
            </w:r>
          </w:p>
        </w:tc>
        <w:tc>
          <w:tcPr>
            <w:tcW w:w="26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(11,669)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(7,966)</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(6,061)</w:t>
            </w:r>
          </w:p>
        </w:tc>
      </w:tr>
      <w:tr>
        <w:trPr>
          <w:trHeight w:val="144"/>
        </w:trPr>
        <w:tc>
          <w:tcPr>
            <w:tcW w:w="7340" w:type="dxa"/>
            <w:vAlign w:val="bottom"/>
          </w:tcPr>
          <w:p>
            <w:pPr>
              <w:ind w:left="100"/>
              <w:spacing w:after="0"/>
              <w:rPr>
                <w:sz w:val="20"/>
                <w:szCs w:val="20"/>
                <w:color w:val="auto"/>
              </w:rPr>
            </w:pPr>
            <w:r>
              <w:rPr>
                <w:rFonts w:ascii="Arial" w:cs="Arial" w:eastAsia="Arial" w:hAnsi="Arial"/>
                <w:sz w:val="12"/>
                <w:szCs w:val="12"/>
                <w:color w:val="auto"/>
              </w:rPr>
              <w:t>Increase in accrued expenses and other liabilities</w:t>
            </w:r>
          </w:p>
        </w:tc>
        <w:tc>
          <w:tcPr>
            <w:tcW w:w="260" w:type="dxa"/>
            <w:vAlign w:val="bottom"/>
          </w:tcPr>
          <w:p>
            <w:pPr>
              <w:spacing w:after="0"/>
              <w:rPr>
                <w:sz w:val="12"/>
                <w:szCs w:val="12"/>
                <w:color w:val="auto"/>
              </w:rPr>
            </w:pPr>
          </w:p>
        </w:tc>
        <w:tc>
          <w:tcPr>
            <w:tcW w:w="960" w:type="dxa"/>
            <w:vAlign w:val="bottom"/>
          </w:tcPr>
          <w:p>
            <w:pPr>
              <w:jc w:val="right"/>
              <w:ind w:right="20"/>
              <w:spacing w:after="0"/>
              <w:rPr>
                <w:sz w:val="20"/>
                <w:szCs w:val="20"/>
                <w:color w:val="auto"/>
              </w:rPr>
            </w:pPr>
            <w:r>
              <w:rPr>
                <w:rFonts w:ascii="Arial" w:cs="Arial" w:eastAsia="Arial" w:hAnsi="Arial"/>
                <w:sz w:val="12"/>
                <w:szCs w:val="12"/>
                <w:color w:val="auto"/>
              </w:rPr>
              <w:t>17,171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10,239</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12,023</w:t>
            </w:r>
          </w:p>
        </w:tc>
      </w:tr>
      <w:tr>
        <w:trPr>
          <w:trHeight w:val="142"/>
        </w:trPr>
        <w:tc>
          <w:tcPr>
            <w:tcW w:w="7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Adjustments</w:t>
            </w: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960" w:type="dxa"/>
            <w:vAlign w:val="bottom"/>
            <w:tcBorders>
              <w:top w:val="single" w:sz="8" w:color="auto"/>
              <w:bottom w:val="single" w:sz="8" w:color="auto"/>
              <w:right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rPr>
              <w:t>47,259</w:t>
            </w: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2,532</w:t>
            </w:r>
          </w:p>
        </w:tc>
        <w:tc>
          <w:tcPr>
            <w:tcW w:w="2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(11,943)</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142"/>
        </w:trPr>
        <w:tc>
          <w:tcPr>
            <w:tcW w:w="7340" w:type="dxa"/>
            <w:vAlign w:val="bottom"/>
          </w:tcPr>
          <w:p>
            <w:pPr>
              <w:spacing w:after="0"/>
              <w:rPr>
                <w:sz w:val="20"/>
                <w:szCs w:val="20"/>
                <w:color w:val="auto"/>
              </w:rPr>
            </w:pPr>
            <w:r>
              <w:rPr>
                <w:rFonts w:ascii="Arial" w:cs="Arial" w:eastAsia="Arial" w:hAnsi="Arial"/>
                <w:sz w:val="12"/>
                <w:szCs w:val="12"/>
                <w:color w:val="auto"/>
              </w:rPr>
              <w:t>Net Cash From Operating Activities</w:t>
            </w:r>
          </w:p>
        </w:tc>
        <w:tc>
          <w:tcPr>
            <w:tcW w:w="260" w:type="dxa"/>
            <w:vAlign w:val="bottom"/>
          </w:tcPr>
          <w:p>
            <w:pPr>
              <w:spacing w:after="0"/>
              <w:rPr>
                <w:sz w:val="12"/>
                <w:szCs w:val="12"/>
                <w:color w:val="auto"/>
              </w:rPr>
            </w:pPr>
          </w:p>
        </w:tc>
        <w:tc>
          <w:tcPr>
            <w:tcW w:w="960" w:type="dxa"/>
            <w:vAlign w:val="bottom"/>
          </w:tcPr>
          <w:p>
            <w:pPr>
              <w:jc w:val="right"/>
              <w:ind w:right="20"/>
              <w:spacing w:after="0"/>
              <w:rPr>
                <w:sz w:val="20"/>
                <w:szCs w:val="20"/>
                <w:color w:val="auto"/>
              </w:rPr>
            </w:pPr>
            <w:r>
              <w:rPr>
                <w:rFonts w:ascii="Arial" w:cs="Arial" w:eastAsia="Arial" w:hAnsi="Arial"/>
                <w:sz w:val="12"/>
                <w:szCs w:val="12"/>
                <w:color w:val="auto"/>
              </w:rPr>
              <w:t>110,154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58,684</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34,492</w:t>
            </w:r>
          </w:p>
        </w:tc>
      </w:tr>
      <w:tr>
        <w:trPr>
          <w:trHeight w:val="142"/>
        </w:trPr>
        <w:tc>
          <w:tcPr>
            <w:tcW w:w="7340" w:type="dxa"/>
            <w:vAlign w:val="bottom"/>
            <w:shd w:val="clear" w:color="auto" w:fill="CCEEFF"/>
          </w:tcPr>
          <w:p>
            <w:pPr>
              <w:spacing w:after="0"/>
              <w:rPr>
                <w:sz w:val="20"/>
                <w:szCs w:val="20"/>
                <w:color w:val="auto"/>
              </w:rPr>
            </w:pPr>
            <w:r>
              <w:rPr>
                <w:rFonts w:ascii="Arial" w:cs="Arial" w:eastAsia="Arial" w:hAnsi="Arial"/>
                <w:sz w:val="12"/>
                <w:szCs w:val="12"/>
                <w:color w:val="auto"/>
              </w:rPr>
              <w:t>CASH FLOW USED IN INVESTING ACTIVITIES</w:t>
            </w:r>
          </w:p>
        </w:tc>
        <w:tc>
          <w:tcPr>
            <w:tcW w:w="2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7340" w:type="dxa"/>
            <w:vAlign w:val="bottom"/>
          </w:tcPr>
          <w:p>
            <w:pPr>
              <w:ind w:left="100"/>
              <w:spacing w:after="0"/>
              <w:rPr>
                <w:sz w:val="20"/>
                <w:szCs w:val="20"/>
                <w:color w:val="auto"/>
              </w:rPr>
            </w:pPr>
            <w:r>
              <w:rPr>
                <w:rFonts w:ascii="Arial" w:cs="Arial" w:eastAsia="Arial" w:hAnsi="Arial"/>
                <w:sz w:val="12"/>
                <w:szCs w:val="12"/>
                <w:color w:val="auto"/>
              </w:rPr>
              <w:t>Proceeds from the sale of securities available for sale</w:t>
            </w:r>
          </w:p>
        </w:tc>
        <w:tc>
          <w:tcPr>
            <w:tcW w:w="260" w:type="dxa"/>
            <w:vAlign w:val="bottom"/>
          </w:tcPr>
          <w:p>
            <w:pPr>
              <w:spacing w:after="0"/>
              <w:rPr>
                <w:sz w:val="12"/>
                <w:szCs w:val="12"/>
                <w:color w:val="auto"/>
              </w:rPr>
            </w:pPr>
          </w:p>
        </w:tc>
        <w:tc>
          <w:tcPr>
            <w:tcW w:w="960" w:type="dxa"/>
            <w:vAlign w:val="bottom"/>
          </w:tcPr>
          <w:p>
            <w:pPr>
              <w:jc w:val="right"/>
              <w:ind w:right="20"/>
              <w:spacing w:after="0"/>
              <w:rPr>
                <w:sz w:val="20"/>
                <w:szCs w:val="20"/>
                <w:color w:val="auto"/>
              </w:rPr>
            </w:pPr>
            <w:r>
              <w:rPr>
                <w:rFonts w:ascii="Arial" w:cs="Arial" w:eastAsia="Arial" w:hAnsi="Arial"/>
                <w:sz w:val="12"/>
                <w:szCs w:val="12"/>
                <w:color w:val="auto"/>
              </w:rPr>
              <w:t>85,371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38,095</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68,716</w:t>
            </w:r>
          </w:p>
        </w:tc>
      </w:tr>
      <w:tr>
        <w:trPr>
          <w:trHeight w:val="144"/>
        </w:trPr>
        <w:tc>
          <w:tcPr>
            <w:tcW w:w="73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Proceeds from maturities, prepayments and calls of securities available for sale</w:t>
            </w:r>
          </w:p>
        </w:tc>
        <w:tc>
          <w:tcPr>
            <w:tcW w:w="26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rPr>
              <w:t>375,723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306,691</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153,938</w:t>
            </w:r>
          </w:p>
        </w:tc>
      </w:tr>
      <w:tr>
        <w:trPr>
          <w:trHeight w:val="144"/>
        </w:trPr>
        <w:tc>
          <w:tcPr>
            <w:tcW w:w="7340" w:type="dxa"/>
            <w:vAlign w:val="bottom"/>
          </w:tcPr>
          <w:p>
            <w:pPr>
              <w:ind w:left="100"/>
              <w:spacing w:after="0"/>
              <w:rPr>
                <w:sz w:val="20"/>
                <w:szCs w:val="20"/>
                <w:color w:val="auto"/>
              </w:rPr>
            </w:pPr>
            <w:r>
              <w:rPr>
                <w:rFonts w:ascii="Arial" w:cs="Arial" w:eastAsia="Arial" w:hAnsi="Arial"/>
                <w:sz w:val="12"/>
                <w:szCs w:val="12"/>
                <w:color w:val="auto"/>
              </w:rPr>
              <w:t>Purchases of securities available for sale</w:t>
            </w:r>
          </w:p>
        </w:tc>
        <w:tc>
          <w:tcPr>
            <w:tcW w:w="2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(824,348)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2"/>
                <w:szCs w:val="12"/>
                <w:color w:val="auto"/>
              </w:rPr>
              <w:t>(859,068)</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(237,672)</w:t>
            </w:r>
          </w:p>
        </w:tc>
      </w:tr>
      <w:tr>
        <w:trPr>
          <w:trHeight w:val="144"/>
        </w:trPr>
        <w:tc>
          <w:tcPr>
            <w:tcW w:w="73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Proceeds from the maturity of interest bearing deposits - time</w:t>
            </w:r>
          </w:p>
        </w:tc>
        <w:tc>
          <w:tcPr>
            <w:tcW w:w="26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350</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250</w:t>
            </w:r>
          </w:p>
        </w:tc>
      </w:tr>
      <w:tr>
        <w:trPr>
          <w:trHeight w:val="144"/>
        </w:trPr>
        <w:tc>
          <w:tcPr>
            <w:tcW w:w="7340" w:type="dxa"/>
            <w:vAlign w:val="bottom"/>
          </w:tcPr>
          <w:p>
            <w:pPr>
              <w:ind w:left="100"/>
              <w:spacing w:after="0"/>
              <w:rPr>
                <w:sz w:val="20"/>
                <w:szCs w:val="20"/>
                <w:color w:val="auto"/>
              </w:rPr>
            </w:pPr>
            <w:r>
              <w:rPr>
                <w:rFonts w:ascii="Arial" w:cs="Arial" w:eastAsia="Arial" w:hAnsi="Arial"/>
                <w:sz w:val="12"/>
                <w:szCs w:val="12"/>
                <w:color w:val="auto"/>
              </w:rPr>
              <w:t>Purchase of Federal Home Loan Bank stock</w:t>
            </w:r>
          </w:p>
        </w:tc>
        <w:tc>
          <w:tcPr>
            <w:tcW w:w="260" w:type="dxa"/>
            <w:vAlign w:val="bottom"/>
          </w:tcPr>
          <w:p>
            <w:pPr>
              <w:spacing w:after="0"/>
              <w:rPr>
                <w:sz w:val="12"/>
                <w:szCs w:val="12"/>
                <w:color w:val="auto"/>
              </w:rPr>
            </w:pPr>
          </w:p>
        </w:tc>
        <w:tc>
          <w:tcPr>
            <w:tcW w:w="96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2"/>
                <w:szCs w:val="12"/>
                <w:color w:val="auto"/>
              </w:rPr>
              <w:t>(68)</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4"/>
        </w:trPr>
        <w:tc>
          <w:tcPr>
            <w:tcW w:w="73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Net increase in portfolio loans (loans originated, net of principal payments)</w:t>
            </w:r>
          </w:p>
        </w:tc>
        <w:tc>
          <w:tcPr>
            <w:tcW w:w="26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(205,539)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(41,861)</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(215,276)</w:t>
            </w:r>
          </w:p>
        </w:tc>
      </w:tr>
      <w:tr>
        <w:trPr>
          <w:trHeight w:val="144"/>
        </w:trPr>
        <w:tc>
          <w:tcPr>
            <w:tcW w:w="7340" w:type="dxa"/>
            <w:vAlign w:val="bottom"/>
          </w:tcPr>
          <w:p>
            <w:pPr>
              <w:ind w:left="100"/>
              <w:spacing w:after="0"/>
              <w:rPr>
                <w:sz w:val="20"/>
                <w:szCs w:val="20"/>
                <w:color w:val="auto"/>
              </w:rPr>
            </w:pPr>
            <w:r>
              <w:rPr>
                <w:rFonts w:ascii="Arial" w:cs="Arial" w:eastAsia="Arial" w:hAnsi="Arial"/>
                <w:sz w:val="12"/>
                <w:szCs w:val="12"/>
                <w:color w:val="auto"/>
              </w:rPr>
              <w:t>Proceeds from the sale of portfolio loans</w:t>
            </w:r>
          </w:p>
        </w:tc>
        <w:tc>
          <w:tcPr>
            <w:tcW w:w="260" w:type="dxa"/>
            <w:vAlign w:val="bottom"/>
          </w:tcPr>
          <w:p>
            <w:pPr>
              <w:spacing w:after="0"/>
              <w:rPr>
                <w:sz w:val="12"/>
                <w:szCs w:val="12"/>
                <w:color w:val="auto"/>
              </w:rPr>
            </w:pPr>
          </w:p>
        </w:tc>
        <w:tc>
          <w:tcPr>
            <w:tcW w:w="960" w:type="dxa"/>
            <w:vAlign w:val="bottom"/>
          </w:tcPr>
          <w:p>
            <w:pPr>
              <w:jc w:val="right"/>
              <w:ind w:right="20"/>
              <w:spacing w:after="0"/>
              <w:rPr>
                <w:sz w:val="20"/>
                <w:szCs w:val="20"/>
                <w:color w:val="auto"/>
              </w:rPr>
            </w:pPr>
            <w:r>
              <w:rPr>
                <w:rFonts w:ascii="Arial" w:cs="Arial" w:eastAsia="Arial" w:hAnsi="Arial"/>
                <w:sz w:val="12"/>
                <w:szCs w:val="12"/>
                <w:color w:val="auto"/>
              </w:rPr>
              <w:t>10,032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2,395</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50,516</w:t>
            </w:r>
          </w:p>
        </w:tc>
      </w:tr>
      <w:tr>
        <w:trPr>
          <w:trHeight w:val="144"/>
        </w:trPr>
        <w:tc>
          <w:tcPr>
            <w:tcW w:w="73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Proceeds from the sale of other real estate and repossessed assets</w:t>
            </w:r>
          </w:p>
        </w:tc>
        <w:tc>
          <w:tcPr>
            <w:tcW w:w="26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rPr>
              <w:t>1,004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1,367</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1,766</w:t>
            </w:r>
          </w:p>
        </w:tc>
      </w:tr>
      <w:tr>
        <w:trPr>
          <w:trHeight w:val="144"/>
        </w:trPr>
        <w:tc>
          <w:tcPr>
            <w:tcW w:w="7340" w:type="dxa"/>
            <w:vAlign w:val="bottom"/>
          </w:tcPr>
          <w:p>
            <w:pPr>
              <w:ind w:left="100"/>
              <w:spacing w:after="0"/>
              <w:rPr>
                <w:sz w:val="20"/>
                <w:szCs w:val="20"/>
                <w:color w:val="auto"/>
              </w:rPr>
            </w:pPr>
            <w:r>
              <w:rPr>
                <w:rFonts w:ascii="Arial" w:cs="Arial" w:eastAsia="Arial" w:hAnsi="Arial"/>
                <w:sz w:val="12"/>
                <w:szCs w:val="12"/>
                <w:color w:val="auto"/>
              </w:rPr>
              <w:t>Proceeds from bank-owned life insurance</w:t>
            </w:r>
          </w:p>
        </w:tc>
        <w:tc>
          <w:tcPr>
            <w:tcW w:w="260" w:type="dxa"/>
            <w:vAlign w:val="bottom"/>
          </w:tcPr>
          <w:p>
            <w:pPr>
              <w:spacing w:after="0"/>
              <w:rPr>
                <w:sz w:val="12"/>
                <w:szCs w:val="12"/>
                <w:color w:val="auto"/>
              </w:rPr>
            </w:pPr>
          </w:p>
        </w:tc>
        <w:tc>
          <w:tcPr>
            <w:tcW w:w="960" w:type="dxa"/>
            <w:vAlign w:val="bottom"/>
          </w:tcPr>
          <w:p>
            <w:pPr>
              <w:jc w:val="right"/>
              <w:ind w:right="20"/>
              <w:spacing w:after="0"/>
              <w:rPr>
                <w:sz w:val="20"/>
                <w:szCs w:val="20"/>
                <w:color w:val="auto"/>
              </w:rPr>
            </w:pPr>
            <w:r>
              <w:rPr>
                <w:rFonts w:ascii="Arial" w:cs="Arial" w:eastAsia="Arial" w:hAnsi="Arial"/>
                <w:sz w:val="12"/>
                <w:szCs w:val="12"/>
                <w:color w:val="auto"/>
              </w:rPr>
              <w:t>467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1,441</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470</w:t>
            </w:r>
          </w:p>
        </w:tc>
      </w:tr>
      <w:tr>
        <w:trPr>
          <w:trHeight w:val="144"/>
        </w:trPr>
        <w:tc>
          <w:tcPr>
            <w:tcW w:w="73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Proceeds from the sale of property and equipment</w:t>
            </w:r>
          </w:p>
        </w:tc>
        <w:tc>
          <w:tcPr>
            <w:tcW w:w="26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rPr>
              <w:t>63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1,133</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74</w:t>
            </w:r>
          </w:p>
        </w:tc>
      </w:tr>
      <w:tr>
        <w:trPr>
          <w:trHeight w:val="144"/>
        </w:trPr>
        <w:tc>
          <w:tcPr>
            <w:tcW w:w="7340" w:type="dxa"/>
            <w:vAlign w:val="bottom"/>
          </w:tcPr>
          <w:p>
            <w:pPr>
              <w:ind w:left="100"/>
              <w:spacing w:after="0"/>
              <w:rPr>
                <w:sz w:val="20"/>
                <w:szCs w:val="20"/>
                <w:color w:val="auto"/>
              </w:rPr>
            </w:pPr>
            <w:r>
              <w:rPr>
                <w:rFonts w:ascii="Arial" w:cs="Arial" w:eastAsia="Arial" w:hAnsi="Arial"/>
                <w:sz w:val="12"/>
                <w:szCs w:val="12"/>
                <w:color w:val="auto"/>
              </w:rPr>
              <w:t>Capital expenditures</w:t>
            </w:r>
          </w:p>
        </w:tc>
        <w:tc>
          <w:tcPr>
            <w:tcW w:w="2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(5,837)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2"/>
                <w:szCs w:val="12"/>
                <w:color w:val="auto"/>
              </w:rPr>
              <w:t>(4,383)</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(4,936)</w:t>
            </w:r>
          </w:p>
        </w:tc>
      </w:tr>
      <w:tr>
        <w:trPr>
          <w:trHeight w:val="142"/>
        </w:trPr>
        <w:tc>
          <w:tcPr>
            <w:tcW w:w="7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Net Cash Used in Investing Activities</w:t>
            </w: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960" w:type="dxa"/>
            <w:vAlign w:val="bottom"/>
            <w:tcBorders>
              <w:top w:val="single" w:sz="8" w:color="auto"/>
              <w:bottom w:val="single" w:sz="8" w:color="auto"/>
              <w:right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rPr>
              <w:t>(563,064)</w:t>
            </w: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(553,908)</w:t>
            </w:r>
          </w:p>
        </w:tc>
        <w:tc>
          <w:tcPr>
            <w:tcW w:w="2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(182,154)</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142"/>
        </w:trPr>
        <w:tc>
          <w:tcPr>
            <w:tcW w:w="7340" w:type="dxa"/>
            <w:vAlign w:val="bottom"/>
          </w:tcPr>
          <w:p>
            <w:pPr>
              <w:spacing w:after="0"/>
              <w:rPr>
                <w:sz w:val="20"/>
                <w:szCs w:val="20"/>
                <w:color w:val="auto"/>
              </w:rPr>
            </w:pPr>
            <w:r>
              <w:rPr>
                <w:rFonts w:ascii="Arial" w:cs="Arial" w:eastAsia="Arial" w:hAnsi="Arial"/>
                <w:sz w:val="12"/>
                <w:szCs w:val="12"/>
                <w:color w:val="auto"/>
              </w:rPr>
              <w:t>CASH FLOW FROM FINANCING ACTIVITIES</w:t>
            </w: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73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Net increase in total deposits</w:t>
            </w:r>
          </w:p>
        </w:tc>
        <w:tc>
          <w:tcPr>
            <w:tcW w:w="26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rPr>
              <w:t>479,735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600,628</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123,299</w:t>
            </w:r>
          </w:p>
        </w:tc>
      </w:tr>
      <w:tr>
        <w:trPr>
          <w:trHeight w:val="144"/>
        </w:trPr>
        <w:tc>
          <w:tcPr>
            <w:tcW w:w="7340" w:type="dxa"/>
            <w:vAlign w:val="bottom"/>
          </w:tcPr>
          <w:p>
            <w:pPr>
              <w:ind w:left="100"/>
              <w:spacing w:after="0"/>
              <w:rPr>
                <w:sz w:val="20"/>
                <w:szCs w:val="20"/>
                <w:color w:val="auto"/>
              </w:rPr>
            </w:pPr>
            <w:r>
              <w:rPr>
                <w:rFonts w:ascii="Arial" w:cs="Arial" w:eastAsia="Arial" w:hAnsi="Arial"/>
                <w:sz w:val="12"/>
                <w:szCs w:val="12"/>
                <w:color w:val="auto"/>
              </w:rPr>
              <w:t>Net increase (decrease) in other borrowings</w:t>
            </w:r>
          </w:p>
        </w:tc>
        <w:tc>
          <w:tcPr>
            <w:tcW w:w="2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2"/>
                <w:szCs w:val="12"/>
                <w:color w:val="auto"/>
              </w:rPr>
              <w:t>(24,994)</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25,002</w:t>
            </w:r>
          </w:p>
        </w:tc>
      </w:tr>
      <w:tr>
        <w:trPr>
          <w:trHeight w:val="144"/>
        </w:trPr>
        <w:tc>
          <w:tcPr>
            <w:tcW w:w="73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Proceeds from Federal Home Loan Bank advances</w:t>
            </w:r>
          </w:p>
        </w:tc>
        <w:tc>
          <w:tcPr>
            <w:tcW w:w="26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rPr>
              <w:t>100,000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239,254</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111,000</w:t>
            </w:r>
          </w:p>
        </w:tc>
      </w:tr>
      <w:tr>
        <w:trPr>
          <w:trHeight w:val="144"/>
        </w:trPr>
        <w:tc>
          <w:tcPr>
            <w:tcW w:w="7340" w:type="dxa"/>
            <w:vAlign w:val="bottom"/>
          </w:tcPr>
          <w:p>
            <w:pPr>
              <w:ind w:left="100"/>
              <w:spacing w:after="0"/>
              <w:rPr>
                <w:sz w:val="20"/>
                <w:szCs w:val="20"/>
                <w:color w:val="auto"/>
              </w:rPr>
            </w:pPr>
            <w:r>
              <w:rPr>
                <w:rFonts w:ascii="Arial" w:cs="Arial" w:eastAsia="Arial" w:hAnsi="Arial"/>
                <w:sz w:val="12"/>
                <w:szCs w:val="12"/>
                <w:color w:val="auto"/>
              </w:rPr>
              <w:t>Payments of Federal Home Loan Bank advances</w:t>
            </w:r>
          </w:p>
        </w:tc>
        <w:tc>
          <w:tcPr>
            <w:tcW w:w="2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(100,000)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2"/>
                <w:szCs w:val="12"/>
                <w:color w:val="auto"/>
              </w:rPr>
              <w:t>(272,910)</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(73,143)</w:t>
            </w:r>
          </w:p>
        </w:tc>
      </w:tr>
      <w:tr>
        <w:trPr>
          <w:trHeight w:val="144"/>
        </w:trPr>
        <w:tc>
          <w:tcPr>
            <w:tcW w:w="73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Proceeds from issuance of subordinated debt, net of issuance costs</w:t>
            </w:r>
          </w:p>
        </w:tc>
        <w:tc>
          <w:tcPr>
            <w:tcW w:w="26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39,236</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144"/>
        </w:trPr>
        <w:tc>
          <w:tcPr>
            <w:tcW w:w="7340" w:type="dxa"/>
            <w:vAlign w:val="bottom"/>
          </w:tcPr>
          <w:p>
            <w:pPr>
              <w:ind w:left="100"/>
              <w:spacing w:after="0"/>
              <w:rPr>
                <w:sz w:val="20"/>
                <w:szCs w:val="20"/>
                <w:color w:val="auto"/>
              </w:rPr>
            </w:pPr>
            <w:r>
              <w:rPr>
                <w:rFonts w:ascii="Arial" w:cs="Arial" w:eastAsia="Arial" w:hAnsi="Arial"/>
                <w:sz w:val="12"/>
                <w:szCs w:val="12"/>
                <w:color w:val="auto"/>
              </w:rPr>
              <w:t>Dividends paid</w:t>
            </w:r>
          </w:p>
        </w:tc>
        <w:tc>
          <w:tcPr>
            <w:tcW w:w="2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(18,155)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2"/>
                <w:szCs w:val="12"/>
                <w:color w:val="auto"/>
              </w:rPr>
              <w:t>(17,618)</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(16,554)</w:t>
            </w:r>
          </w:p>
        </w:tc>
      </w:tr>
      <w:tr>
        <w:trPr>
          <w:trHeight w:val="144"/>
        </w:trPr>
        <w:tc>
          <w:tcPr>
            <w:tcW w:w="73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Proceeds from issuance of common stock</w:t>
            </w:r>
          </w:p>
        </w:tc>
        <w:tc>
          <w:tcPr>
            <w:tcW w:w="26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rPr>
              <w:t>61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15</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284</w:t>
            </w:r>
          </w:p>
        </w:tc>
      </w:tr>
      <w:tr>
        <w:trPr>
          <w:trHeight w:val="144"/>
        </w:trPr>
        <w:tc>
          <w:tcPr>
            <w:tcW w:w="7340" w:type="dxa"/>
            <w:vAlign w:val="bottom"/>
          </w:tcPr>
          <w:p>
            <w:pPr>
              <w:ind w:left="100"/>
              <w:spacing w:after="0"/>
              <w:rPr>
                <w:sz w:val="20"/>
                <w:szCs w:val="20"/>
                <w:color w:val="auto"/>
              </w:rPr>
            </w:pPr>
            <w:r>
              <w:rPr>
                <w:rFonts w:ascii="Arial" w:cs="Arial" w:eastAsia="Arial" w:hAnsi="Arial"/>
                <w:sz w:val="12"/>
                <w:szCs w:val="12"/>
                <w:color w:val="auto"/>
              </w:rPr>
              <w:t>Repurchase of common stock</w:t>
            </w:r>
          </w:p>
        </w:tc>
        <w:tc>
          <w:tcPr>
            <w:tcW w:w="2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(17,269)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2"/>
                <w:szCs w:val="12"/>
                <w:color w:val="auto"/>
              </w:rPr>
              <w:t>(14,231)</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(26,284)</w:t>
            </w:r>
          </w:p>
        </w:tc>
      </w:tr>
      <w:tr>
        <w:trPr>
          <w:trHeight w:val="144"/>
        </w:trPr>
        <w:tc>
          <w:tcPr>
            <w:tcW w:w="73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Share based compensation withholding obligation</w:t>
            </w:r>
          </w:p>
        </w:tc>
        <w:tc>
          <w:tcPr>
            <w:tcW w:w="26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(691)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(755)</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(882)</w:t>
            </w:r>
          </w:p>
        </w:tc>
      </w:tr>
      <w:tr>
        <w:trPr>
          <w:trHeight w:val="20"/>
        </w:trPr>
        <w:tc>
          <w:tcPr>
            <w:tcW w:w="73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7340" w:type="dxa"/>
            <w:vAlign w:val="bottom"/>
          </w:tcPr>
          <w:p>
            <w:pPr>
              <w:ind w:left="100"/>
              <w:spacing w:after="0"/>
              <w:rPr>
                <w:sz w:val="20"/>
                <w:szCs w:val="20"/>
                <w:color w:val="auto"/>
              </w:rPr>
            </w:pPr>
            <w:r>
              <w:rPr>
                <w:rFonts w:ascii="Arial" w:cs="Arial" w:eastAsia="Arial" w:hAnsi="Arial"/>
                <w:sz w:val="12"/>
                <w:szCs w:val="12"/>
                <w:color w:val="auto"/>
              </w:rPr>
              <w:t>Net Cash From Financing Activities</w:t>
            </w:r>
          </w:p>
        </w:tc>
        <w:tc>
          <w:tcPr>
            <w:tcW w:w="260" w:type="dxa"/>
            <w:vAlign w:val="bottom"/>
          </w:tcPr>
          <w:p>
            <w:pPr>
              <w:spacing w:after="0"/>
              <w:rPr>
                <w:sz w:val="12"/>
                <w:szCs w:val="12"/>
                <w:color w:val="auto"/>
              </w:rPr>
            </w:pPr>
          </w:p>
        </w:tc>
        <w:tc>
          <w:tcPr>
            <w:tcW w:w="960" w:type="dxa"/>
            <w:vAlign w:val="bottom"/>
          </w:tcPr>
          <w:p>
            <w:pPr>
              <w:jc w:val="right"/>
              <w:ind w:right="20"/>
              <w:spacing w:after="0"/>
              <w:rPr>
                <w:sz w:val="20"/>
                <w:szCs w:val="20"/>
                <w:color w:val="auto"/>
              </w:rPr>
            </w:pPr>
            <w:r>
              <w:rPr>
                <w:rFonts w:ascii="Arial" w:cs="Arial" w:eastAsia="Arial" w:hAnsi="Arial"/>
                <w:sz w:val="12"/>
                <w:szCs w:val="12"/>
                <w:color w:val="auto"/>
              </w:rPr>
              <w:t>443,678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548,625</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142,722</w:t>
            </w:r>
          </w:p>
        </w:tc>
      </w:tr>
      <w:tr>
        <w:trPr>
          <w:trHeight w:val="142"/>
        </w:trPr>
        <w:tc>
          <w:tcPr>
            <w:tcW w:w="73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Net Increase (Decrease) in Cash and Cash Equivalents</w:t>
            </w:r>
          </w:p>
        </w:tc>
        <w:tc>
          <w:tcPr>
            <w:tcW w:w="2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right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rPr>
              <w:t>(9,232)</w:t>
            </w:r>
          </w:p>
        </w:tc>
        <w:tc>
          <w:tcPr>
            <w:tcW w:w="1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53,401</w:t>
            </w:r>
          </w:p>
        </w:tc>
        <w:tc>
          <w:tcPr>
            <w:tcW w:w="2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(4,940)</w:t>
            </w:r>
          </w:p>
        </w:tc>
        <w:tc>
          <w:tcPr>
            <w:tcW w:w="120" w:type="dxa"/>
            <w:vAlign w:val="bottom"/>
            <w:shd w:val="clear" w:color="auto" w:fill="CCEEFF"/>
          </w:tcPr>
          <w:p>
            <w:pPr>
              <w:spacing w:after="0"/>
              <w:rPr>
                <w:sz w:val="12"/>
                <w:szCs w:val="12"/>
                <w:color w:val="auto"/>
              </w:rPr>
            </w:pPr>
          </w:p>
        </w:tc>
      </w:tr>
      <w:tr>
        <w:trPr>
          <w:trHeight w:val="144"/>
        </w:trPr>
        <w:tc>
          <w:tcPr>
            <w:tcW w:w="7340" w:type="dxa"/>
            <w:vAlign w:val="bottom"/>
          </w:tcPr>
          <w:p>
            <w:pPr>
              <w:spacing w:after="0"/>
              <w:rPr>
                <w:sz w:val="20"/>
                <w:szCs w:val="20"/>
                <w:color w:val="auto"/>
              </w:rPr>
            </w:pPr>
            <w:r>
              <w:rPr>
                <w:rFonts w:ascii="Arial" w:cs="Arial" w:eastAsia="Arial" w:hAnsi="Arial"/>
                <w:sz w:val="12"/>
                <w:szCs w:val="12"/>
                <w:color w:val="auto"/>
              </w:rPr>
              <w:t>Cash and Cash Equivalents at Beginning of Year</w:t>
            </w:r>
          </w:p>
        </w:tc>
        <w:tc>
          <w:tcPr>
            <w:tcW w:w="260" w:type="dxa"/>
            <w:vAlign w:val="bottom"/>
          </w:tcPr>
          <w:p>
            <w:pPr>
              <w:spacing w:after="0"/>
              <w:rPr>
                <w:sz w:val="12"/>
                <w:szCs w:val="12"/>
                <w:color w:val="auto"/>
              </w:rPr>
            </w:pPr>
          </w:p>
        </w:tc>
        <w:tc>
          <w:tcPr>
            <w:tcW w:w="960" w:type="dxa"/>
            <w:vAlign w:val="bottom"/>
          </w:tcPr>
          <w:p>
            <w:pPr>
              <w:jc w:val="right"/>
              <w:ind w:right="20"/>
              <w:spacing w:after="0"/>
              <w:rPr>
                <w:sz w:val="20"/>
                <w:szCs w:val="20"/>
                <w:color w:val="auto"/>
              </w:rPr>
            </w:pPr>
            <w:r>
              <w:rPr>
                <w:rFonts w:ascii="Arial" w:cs="Arial" w:eastAsia="Arial" w:hAnsi="Arial"/>
                <w:sz w:val="12"/>
                <w:szCs w:val="12"/>
                <w:color w:val="auto"/>
              </w:rPr>
              <w:t>118,705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65,304</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70,244</w:t>
            </w:r>
          </w:p>
        </w:tc>
      </w:tr>
      <w:tr>
        <w:trPr>
          <w:trHeight w:val="182"/>
        </w:trPr>
        <w:tc>
          <w:tcPr>
            <w:tcW w:w="7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Cash and Cash Equivalents at End of Year</w:t>
            </w:r>
          </w:p>
        </w:tc>
        <w:tc>
          <w:tcPr>
            <w:tcW w:w="2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right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rPr>
              <w:t>109,473</w:t>
            </w: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118,705</w:t>
            </w:r>
          </w:p>
        </w:tc>
        <w:tc>
          <w:tcPr>
            <w:tcW w:w="2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65,304</w:t>
            </w:r>
          </w:p>
        </w:tc>
        <w:tc>
          <w:tcPr>
            <w:tcW w:w="120" w:type="dxa"/>
            <w:vAlign w:val="bottom"/>
            <w:tcBorders>
              <w:bottom w:val="single" w:sz="8" w:color="CCEEFF"/>
            </w:tcBorders>
            <w:shd w:val="clear" w:color="auto" w:fill="CCEEFF"/>
          </w:tcPr>
          <w:p>
            <w:pPr>
              <w:spacing w:after="0"/>
              <w:rPr>
                <w:sz w:val="15"/>
                <w:szCs w:val="15"/>
                <w:color w:val="auto"/>
              </w:rPr>
            </w:pPr>
          </w:p>
        </w:tc>
      </w:tr>
      <w:tr>
        <w:trPr>
          <w:trHeight w:val="120"/>
        </w:trPr>
        <w:tc>
          <w:tcPr>
            <w:tcW w:w="7340" w:type="dxa"/>
            <w:vAlign w:val="bottom"/>
          </w:tcPr>
          <w:p>
            <w:pPr>
              <w:spacing w:after="0" w:line="120" w:lineRule="exact"/>
              <w:rPr>
                <w:sz w:val="20"/>
                <w:szCs w:val="20"/>
                <w:color w:val="auto"/>
              </w:rPr>
            </w:pPr>
            <w:r>
              <w:rPr>
                <w:rFonts w:ascii="Arial" w:cs="Arial" w:eastAsia="Arial" w:hAnsi="Arial"/>
                <w:sz w:val="12"/>
                <w:szCs w:val="12"/>
                <w:color w:val="auto"/>
              </w:rPr>
              <w:t>Cash paid during the year for</w:t>
            </w: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44"/>
        </w:trPr>
        <w:tc>
          <w:tcPr>
            <w:tcW w:w="73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Interest</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96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rPr>
              <w:t>8,419</w:t>
            </w:r>
          </w:p>
        </w:tc>
        <w:tc>
          <w:tcPr>
            <w:tcW w:w="280" w:type="dxa"/>
            <w:vAlign w:val="bottom"/>
            <w:gridSpan w:val="2"/>
            <w:shd w:val="clear" w:color="auto" w:fill="CCEEFF"/>
          </w:tcPr>
          <w:p>
            <w:pPr>
              <w:jc w:val="right"/>
              <w:ind w:right="12"/>
              <w:spacing w:after="0"/>
              <w:rPr>
                <w:sz w:val="20"/>
                <w:szCs w:val="20"/>
                <w:color w:val="auto"/>
              </w:rPr>
            </w:pPr>
            <w:r>
              <w:rPr>
                <w:rFonts w:ascii="Arial" w:cs="Arial" w:eastAsia="Arial" w:hAnsi="Arial"/>
                <w:sz w:val="12"/>
                <w:szCs w:val="12"/>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16,912</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26,697</w:t>
            </w:r>
          </w:p>
        </w:tc>
      </w:tr>
      <w:tr>
        <w:trPr>
          <w:trHeight w:val="144"/>
        </w:trPr>
        <w:tc>
          <w:tcPr>
            <w:tcW w:w="7340" w:type="dxa"/>
            <w:vAlign w:val="bottom"/>
          </w:tcPr>
          <w:p>
            <w:pPr>
              <w:ind w:left="100"/>
              <w:spacing w:after="0"/>
              <w:rPr>
                <w:sz w:val="20"/>
                <w:szCs w:val="20"/>
                <w:color w:val="auto"/>
              </w:rPr>
            </w:pPr>
            <w:r>
              <w:rPr>
                <w:rFonts w:ascii="Arial" w:cs="Arial" w:eastAsia="Arial" w:hAnsi="Arial"/>
                <w:sz w:val="12"/>
                <w:szCs w:val="12"/>
                <w:color w:val="auto"/>
              </w:rPr>
              <w:t>Income taxes</w:t>
            </w:r>
          </w:p>
        </w:tc>
        <w:tc>
          <w:tcPr>
            <w:tcW w:w="260" w:type="dxa"/>
            <w:vAlign w:val="bottom"/>
          </w:tcPr>
          <w:p>
            <w:pPr>
              <w:spacing w:after="0"/>
              <w:rPr>
                <w:sz w:val="12"/>
                <w:szCs w:val="12"/>
                <w:color w:val="auto"/>
              </w:rPr>
            </w:pPr>
          </w:p>
        </w:tc>
        <w:tc>
          <w:tcPr>
            <w:tcW w:w="960" w:type="dxa"/>
            <w:vAlign w:val="bottom"/>
          </w:tcPr>
          <w:p>
            <w:pPr>
              <w:jc w:val="right"/>
              <w:ind w:right="20"/>
              <w:spacing w:after="0"/>
              <w:rPr>
                <w:sz w:val="20"/>
                <w:szCs w:val="20"/>
                <w:color w:val="auto"/>
              </w:rPr>
            </w:pPr>
            <w:r>
              <w:rPr>
                <w:rFonts w:ascii="Arial" w:cs="Arial" w:eastAsia="Arial" w:hAnsi="Arial"/>
                <w:sz w:val="12"/>
                <w:szCs w:val="12"/>
                <w:color w:val="auto"/>
              </w:rPr>
              <w:t>14,059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15,500</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9,534</w:t>
            </w:r>
          </w:p>
        </w:tc>
      </w:tr>
      <w:tr>
        <w:trPr>
          <w:trHeight w:val="144"/>
        </w:trPr>
        <w:tc>
          <w:tcPr>
            <w:tcW w:w="7340" w:type="dxa"/>
            <w:vAlign w:val="bottom"/>
            <w:shd w:val="clear" w:color="auto" w:fill="CCEEFF"/>
          </w:tcPr>
          <w:p>
            <w:pPr>
              <w:spacing w:after="0"/>
              <w:rPr>
                <w:sz w:val="20"/>
                <w:szCs w:val="20"/>
                <w:color w:val="auto"/>
              </w:rPr>
            </w:pPr>
            <w:r>
              <w:rPr>
                <w:rFonts w:ascii="Arial" w:cs="Arial" w:eastAsia="Arial" w:hAnsi="Arial"/>
                <w:sz w:val="12"/>
                <w:szCs w:val="12"/>
                <w:color w:val="auto"/>
              </w:rPr>
              <w:t>Transfers to other real estate and repossessed assets</w:t>
            </w:r>
          </w:p>
        </w:tc>
        <w:tc>
          <w:tcPr>
            <w:tcW w:w="26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rPr>
              <w:t>253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332</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2,242</w:t>
            </w:r>
          </w:p>
        </w:tc>
      </w:tr>
      <w:tr>
        <w:trPr>
          <w:trHeight w:val="144"/>
        </w:trPr>
        <w:tc>
          <w:tcPr>
            <w:tcW w:w="7340" w:type="dxa"/>
            <w:vAlign w:val="bottom"/>
          </w:tcPr>
          <w:p>
            <w:pPr>
              <w:spacing w:after="0"/>
              <w:rPr>
                <w:sz w:val="20"/>
                <w:szCs w:val="20"/>
                <w:color w:val="auto"/>
              </w:rPr>
            </w:pPr>
            <w:r>
              <w:rPr>
                <w:rFonts w:ascii="Arial" w:cs="Arial" w:eastAsia="Arial" w:hAnsi="Arial"/>
                <w:sz w:val="12"/>
                <w:szCs w:val="12"/>
                <w:color w:val="auto"/>
              </w:rPr>
              <w:t>Transfer of mortgage loans to held for sale</w:t>
            </w:r>
          </w:p>
        </w:tc>
        <w:tc>
          <w:tcPr>
            <w:tcW w:w="260" w:type="dxa"/>
            <w:vAlign w:val="bottom"/>
          </w:tcPr>
          <w:p>
            <w:pPr>
              <w:spacing w:after="0"/>
              <w:rPr>
                <w:sz w:val="12"/>
                <w:szCs w:val="12"/>
                <w:color w:val="auto"/>
              </w:rPr>
            </w:pPr>
          </w:p>
        </w:tc>
        <w:tc>
          <w:tcPr>
            <w:tcW w:w="960" w:type="dxa"/>
            <w:vAlign w:val="bottom"/>
          </w:tcPr>
          <w:p>
            <w:pPr>
              <w:jc w:val="right"/>
              <w:ind w:right="20"/>
              <w:spacing w:after="0"/>
              <w:rPr>
                <w:sz w:val="20"/>
                <w:szCs w:val="20"/>
                <w:color w:val="auto"/>
              </w:rPr>
            </w:pPr>
            <w:r>
              <w:rPr>
                <w:rFonts w:ascii="Arial" w:cs="Arial" w:eastAsia="Arial" w:hAnsi="Arial"/>
                <w:sz w:val="12"/>
                <w:szCs w:val="12"/>
                <w:color w:val="auto"/>
              </w:rPr>
              <w:t>34,811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36,622</w:t>
            </w:r>
          </w:p>
        </w:tc>
      </w:tr>
      <w:tr>
        <w:trPr>
          <w:trHeight w:val="144"/>
        </w:trPr>
        <w:tc>
          <w:tcPr>
            <w:tcW w:w="7340" w:type="dxa"/>
            <w:vAlign w:val="bottom"/>
            <w:shd w:val="clear" w:color="auto" w:fill="CCEEFF"/>
          </w:tcPr>
          <w:p>
            <w:pPr>
              <w:spacing w:after="0"/>
              <w:rPr>
                <w:sz w:val="20"/>
                <w:szCs w:val="20"/>
                <w:color w:val="auto"/>
              </w:rPr>
            </w:pPr>
            <w:r>
              <w:rPr>
                <w:rFonts w:ascii="Arial" w:cs="Arial" w:eastAsia="Arial" w:hAnsi="Arial"/>
                <w:sz w:val="12"/>
                <w:szCs w:val="12"/>
                <w:color w:val="auto"/>
              </w:rPr>
              <w:t>Securitization of portfolio loans</w:t>
            </w:r>
          </w:p>
        </w:tc>
        <w:tc>
          <w:tcPr>
            <w:tcW w:w="26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26,324</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65,070</w:t>
            </w:r>
          </w:p>
        </w:tc>
      </w:tr>
      <w:tr>
        <w:trPr>
          <w:trHeight w:val="144"/>
        </w:trPr>
        <w:tc>
          <w:tcPr>
            <w:tcW w:w="7340" w:type="dxa"/>
            <w:vAlign w:val="bottom"/>
          </w:tcPr>
          <w:p>
            <w:pPr>
              <w:spacing w:after="0"/>
              <w:rPr>
                <w:sz w:val="20"/>
                <w:szCs w:val="20"/>
                <w:color w:val="auto"/>
              </w:rPr>
            </w:pPr>
            <w:r>
              <w:rPr>
                <w:rFonts w:ascii="Arial" w:cs="Arial" w:eastAsia="Arial" w:hAnsi="Arial"/>
                <w:sz w:val="12"/>
                <w:szCs w:val="12"/>
                <w:color w:val="auto"/>
              </w:rPr>
              <w:t>Right of use assets obtained in exchange for lease obligations</w:t>
            </w:r>
          </w:p>
        </w:tc>
        <w:tc>
          <w:tcPr>
            <w:tcW w:w="260" w:type="dxa"/>
            <w:vAlign w:val="bottom"/>
          </w:tcPr>
          <w:p>
            <w:pPr>
              <w:spacing w:after="0"/>
              <w:rPr>
                <w:sz w:val="12"/>
                <w:szCs w:val="12"/>
                <w:color w:val="auto"/>
              </w:rPr>
            </w:pPr>
          </w:p>
        </w:tc>
        <w:tc>
          <w:tcPr>
            <w:tcW w:w="960" w:type="dxa"/>
            <w:vAlign w:val="bottom"/>
          </w:tcPr>
          <w:p>
            <w:pPr>
              <w:jc w:val="right"/>
              <w:ind w:right="20"/>
              <w:spacing w:after="0"/>
              <w:rPr>
                <w:sz w:val="20"/>
                <w:szCs w:val="20"/>
                <w:color w:val="auto"/>
              </w:rPr>
            </w:pPr>
            <w:r>
              <w:rPr>
                <w:rFonts w:ascii="Arial" w:cs="Arial" w:eastAsia="Arial" w:hAnsi="Arial"/>
                <w:sz w:val="12"/>
                <w:szCs w:val="12"/>
                <w:color w:val="auto"/>
              </w:rPr>
              <w:t>283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1,587</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9,906</w:t>
            </w:r>
          </w:p>
        </w:tc>
      </w:tr>
      <w:tr>
        <w:trPr>
          <w:trHeight w:val="144"/>
        </w:trPr>
        <w:tc>
          <w:tcPr>
            <w:tcW w:w="7340" w:type="dxa"/>
            <w:vAlign w:val="bottom"/>
            <w:shd w:val="clear" w:color="auto" w:fill="CCEEFF"/>
          </w:tcPr>
          <w:p>
            <w:pPr>
              <w:spacing w:after="0"/>
              <w:rPr>
                <w:sz w:val="20"/>
                <w:szCs w:val="20"/>
                <w:color w:val="auto"/>
              </w:rPr>
            </w:pPr>
            <w:r>
              <w:rPr>
                <w:rFonts w:ascii="Arial" w:cs="Arial" w:eastAsia="Arial" w:hAnsi="Arial"/>
                <w:sz w:val="12"/>
                <w:szCs w:val="12"/>
                <w:color w:val="auto"/>
              </w:rPr>
              <w:t>Purchase of securities available for sale not yet settled</w:t>
            </w:r>
          </w:p>
        </w:tc>
        <w:tc>
          <w:tcPr>
            <w:tcW w:w="26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1,000</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(1) Beginning January 1, 2021, calculation is based on CECL methodology. Prior to January 1, 2021, calculation was based on the probable incurred loss methodology.</w:t>
      </w:r>
    </w:p>
    <w:p>
      <w:pPr>
        <w:spacing w:after="0" w:line="150" w:lineRule="exact"/>
        <w:rPr>
          <w:sz w:val="20"/>
          <w:szCs w:val="20"/>
          <w:color w:val="auto"/>
        </w:rPr>
      </w:pPr>
    </w:p>
    <w:p>
      <w:pPr>
        <w:ind w:left="4180"/>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71" w:right="299" w:bottom="1440" w:gutter="0" w:footer="0" w:header="0"/>
        </w:sectPr>
      </w:pPr>
    </w:p>
    <w:bookmarkStart w:id="63" w:name="page64"/>
    <w:bookmarkEnd w:id="63"/>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 – ACCOUNTING POLICIES</w:t>
      </w:r>
    </w:p>
    <w:p>
      <w:pPr>
        <w:spacing w:after="0" w:line="154"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The accounting and reporting policies and practices of Independent Bank Corporation and subsidiaries (‘‘IBCP’’) conform to accounting principles generally accepted in the United States of America and prevailing practices within the banking industry. Our critical accounting policies include the determination of the allowance for credit losses and the valuation of capitalized mortgage loan servicing rights. We are required to make material estimates and assumptions that are particularly susceptible to changes in the near term as we prepare the consolidated financial statements and report amounts for each of these items. Actual results may vary from these estimates.</w:t>
      </w:r>
    </w:p>
    <w:p>
      <w:pPr>
        <w:spacing w:after="0" w:line="105"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Our subsidiary, Independent Bank (‘‘Bank’’), transacts business in the single industry of commercial banking. Our Bank’s activities cover traditional phases of commercial banking, including checking and savings accounts, commercial lending, direct and indirect consumer financing and mortgage lending. Our principal markets are the rural and suburban communities across Lower Michigan that are served by our Bank’s branches and loan production offices as well as two loan productions offices we have in Ohio. At December 31, 2021, 69.0% of our Bank’s loan portfolio was secured by real estate.</w:t>
      </w:r>
    </w:p>
    <w:p>
      <w:pPr>
        <w:spacing w:after="0" w:line="122"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i w:val="1"/>
          <w:iCs w:val="1"/>
          <w:color w:val="auto"/>
        </w:rPr>
        <w:t xml:space="preserve">PRINCIPLES OF CONSOLIDATION </w:t>
      </w:r>
      <w:r>
        <w:rPr>
          <w:rFonts w:ascii="Arial" w:cs="Arial" w:eastAsia="Arial" w:hAnsi="Arial"/>
          <w:sz w:val="12"/>
          <w:szCs w:val="12"/>
          <w:color w:val="auto"/>
        </w:rPr>
        <w:t>— The consolidated financial statements include the accounts of Independent Bank Corporation and its subsidiaries. The income, expenses, assets and liabilities of the subsidiaries are included</w:t>
      </w:r>
      <w:r>
        <w:rPr>
          <w:rFonts w:ascii="Arial" w:cs="Arial" w:eastAsia="Arial" w:hAnsi="Arial"/>
          <w:sz w:val="12"/>
          <w:szCs w:val="12"/>
          <w:i w:val="1"/>
          <w:iCs w:val="1"/>
          <w:color w:val="auto"/>
        </w:rPr>
        <w:t xml:space="preserve"> </w:t>
      </w:r>
      <w:r>
        <w:rPr>
          <w:rFonts w:ascii="Arial" w:cs="Arial" w:eastAsia="Arial" w:hAnsi="Arial"/>
          <w:sz w:val="12"/>
          <w:szCs w:val="12"/>
          <w:color w:val="auto"/>
        </w:rPr>
        <w:t>in the respective accounts of the consolidated financial statements, after elimination of all intercompany accounts and transactions.</w:t>
      </w:r>
    </w:p>
    <w:p>
      <w:pPr>
        <w:spacing w:after="0" w:line="115"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i w:val="1"/>
          <w:iCs w:val="1"/>
          <w:color w:val="auto"/>
        </w:rPr>
        <w:t xml:space="preserve">STATEMENTS OF CASH FLOWS </w:t>
      </w:r>
      <w:r>
        <w:rPr>
          <w:rFonts w:ascii="Arial" w:cs="Arial" w:eastAsia="Arial" w:hAnsi="Arial"/>
          <w:sz w:val="12"/>
          <w:szCs w:val="12"/>
          <w:color w:val="auto"/>
        </w:rPr>
        <w:t>— For purposes of reporting cash flows, cash and cash equivalents include cash on hand, amounts due from banks, interest bearing deposits and federal funds sold. Generally, federal funds are</w:t>
      </w:r>
      <w:r>
        <w:rPr>
          <w:rFonts w:ascii="Arial" w:cs="Arial" w:eastAsia="Arial" w:hAnsi="Arial"/>
          <w:sz w:val="12"/>
          <w:szCs w:val="12"/>
          <w:i w:val="1"/>
          <w:iCs w:val="1"/>
          <w:color w:val="auto"/>
        </w:rPr>
        <w:t xml:space="preserve"> </w:t>
      </w:r>
      <w:r>
        <w:rPr>
          <w:rFonts w:ascii="Arial" w:cs="Arial" w:eastAsia="Arial" w:hAnsi="Arial"/>
          <w:sz w:val="12"/>
          <w:szCs w:val="12"/>
          <w:color w:val="auto"/>
        </w:rPr>
        <w:t>sold for one-day periods. We report net cash flows for customer loan and deposit transactions and for short-term borrowings.</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 xml:space="preserve">INTEREST BEARING DEPOSITS </w:t>
      </w:r>
      <w:r>
        <w:rPr>
          <w:rFonts w:ascii="Arial" w:cs="Arial" w:eastAsia="Arial" w:hAnsi="Arial"/>
          <w:sz w:val="12"/>
          <w:szCs w:val="12"/>
          <w:color w:val="auto"/>
        </w:rPr>
        <w:t>— Interest bearing deposits consist of overnight deposits with the Federal Reserve Bank.</w:t>
      </w:r>
    </w:p>
    <w:p>
      <w:pPr>
        <w:spacing w:after="0" w:line="150" w:lineRule="exact"/>
        <w:rPr>
          <w:sz w:val="20"/>
          <w:szCs w:val="20"/>
          <w:color w:val="auto"/>
        </w:rPr>
      </w:pPr>
    </w:p>
    <w:p>
      <w:pPr>
        <w:jc w:val="both"/>
        <w:ind w:firstLine="216"/>
        <w:spacing w:after="0" w:line="323" w:lineRule="auto"/>
        <w:rPr>
          <w:sz w:val="20"/>
          <w:szCs w:val="20"/>
          <w:color w:val="auto"/>
        </w:rPr>
      </w:pPr>
      <w:r>
        <w:rPr>
          <w:rFonts w:ascii="Arial" w:cs="Arial" w:eastAsia="Arial" w:hAnsi="Arial"/>
          <w:sz w:val="11"/>
          <w:szCs w:val="11"/>
          <w:i w:val="1"/>
          <w:iCs w:val="1"/>
          <w:color w:val="auto"/>
        </w:rPr>
        <w:t xml:space="preserve">LOANS HELD FOR SALE </w:t>
      </w:r>
      <w:r>
        <w:rPr>
          <w:rFonts w:ascii="Arial" w:cs="Arial" w:eastAsia="Arial" w:hAnsi="Arial"/>
          <w:sz w:val="11"/>
          <w:szCs w:val="11"/>
          <w:color w:val="auto"/>
        </w:rPr>
        <w:t>— Mortgage loans originated and intended for sale in the secondary market are carried at fair value. Fair value adjustments, as well as realized gains and losses, are recorded in current earnings. Certain</w:t>
      </w:r>
      <w:r>
        <w:rPr>
          <w:rFonts w:ascii="Arial" w:cs="Arial" w:eastAsia="Arial" w:hAnsi="Arial"/>
          <w:sz w:val="11"/>
          <w:szCs w:val="11"/>
          <w:i w:val="1"/>
          <w:iCs w:val="1"/>
          <w:color w:val="auto"/>
        </w:rPr>
        <w:t xml:space="preserve"> </w:t>
      </w:r>
      <w:r>
        <w:rPr>
          <w:rFonts w:ascii="Arial" w:cs="Arial" w:eastAsia="Arial" w:hAnsi="Arial"/>
          <w:sz w:val="11"/>
          <w:szCs w:val="11"/>
          <w:color w:val="auto"/>
        </w:rPr>
        <w:t>portfolio loans were reclassified to held for sale as of December 31, 2021, were carried at the lower of cost or fair value on an aggregate loan basis and were sold during the first quarter of 2022.</w:t>
      </w:r>
    </w:p>
    <w:p>
      <w:pPr>
        <w:spacing w:after="0" w:line="92"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i w:val="1"/>
          <w:iCs w:val="1"/>
          <w:color w:val="auto"/>
        </w:rPr>
        <w:t xml:space="preserve">OPERATING SEGMENTS </w:t>
      </w:r>
      <w:r>
        <w:rPr>
          <w:rFonts w:ascii="Arial" w:cs="Arial" w:eastAsia="Arial" w:hAnsi="Arial"/>
          <w:sz w:val="12"/>
          <w:szCs w:val="12"/>
          <w:color w:val="auto"/>
        </w:rPr>
        <w:t>— While chief decision-makers monitor the revenue streams of our various products and services, operations are managed and financial performance is evaluated as one single unit. Discrete financial</w:t>
      </w:r>
      <w:r>
        <w:rPr>
          <w:rFonts w:ascii="Arial" w:cs="Arial" w:eastAsia="Arial" w:hAnsi="Arial"/>
          <w:sz w:val="12"/>
          <w:szCs w:val="12"/>
          <w:i w:val="1"/>
          <w:iCs w:val="1"/>
          <w:color w:val="auto"/>
        </w:rPr>
        <w:t xml:space="preserve"> </w:t>
      </w:r>
      <w:r>
        <w:rPr>
          <w:rFonts w:ascii="Arial" w:cs="Arial" w:eastAsia="Arial" w:hAnsi="Arial"/>
          <w:sz w:val="12"/>
          <w:szCs w:val="12"/>
          <w:color w:val="auto"/>
        </w:rPr>
        <w:t>information is not available other than on a consolidated basis for material lines of business.</w:t>
      </w:r>
    </w:p>
    <w:p>
      <w:pPr>
        <w:spacing w:after="0" w:line="115" w:lineRule="exact"/>
        <w:rPr>
          <w:sz w:val="20"/>
          <w:szCs w:val="20"/>
          <w:color w:val="auto"/>
        </w:rPr>
      </w:pPr>
    </w:p>
    <w:p>
      <w:pPr>
        <w:jc w:val="both"/>
        <w:ind w:firstLine="216"/>
        <w:spacing w:after="0" w:line="326" w:lineRule="auto"/>
        <w:rPr>
          <w:sz w:val="20"/>
          <w:szCs w:val="20"/>
          <w:color w:val="auto"/>
        </w:rPr>
      </w:pPr>
      <w:r>
        <w:rPr>
          <w:rFonts w:ascii="Arial" w:cs="Arial" w:eastAsia="Arial" w:hAnsi="Arial"/>
          <w:sz w:val="10"/>
          <w:szCs w:val="10"/>
          <w:i w:val="1"/>
          <w:iCs w:val="1"/>
          <w:color w:val="auto"/>
        </w:rPr>
        <w:t xml:space="preserve">CAPITALIZED MORTGAGE LOAN SERVICING RIGHTS </w:t>
      </w:r>
      <w:r>
        <w:rPr>
          <w:rFonts w:ascii="Arial" w:cs="Arial" w:eastAsia="Arial" w:hAnsi="Arial"/>
          <w:sz w:val="10"/>
          <w:szCs w:val="10"/>
          <w:color w:val="auto"/>
        </w:rPr>
        <w:t>— We account for our capitalized mortgage loan servicing rights under the fair value method of accounting. We recognize as separate assets the rights to service mortgage</w:t>
      </w:r>
      <w:r>
        <w:rPr>
          <w:rFonts w:ascii="Arial" w:cs="Arial" w:eastAsia="Arial" w:hAnsi="Arial"/>
          <w:sz w:val="10"/>
          <w:szCs w:val="10"/>
          <w:i w:val="1"/>
          <w:iCs w:val="1"/>
          <w:color w:val="auto"/>
        </w:rPr>
        <w:t xml:space="preserve"> </w:t>
      </w:r>
      <w:r>
        <w:rPr>
          <w:rFonts w:ascii="Arial" w:cs="Arial" w:eastAsia="Arial" w:hAnsi="Arial"/>
          <w:sz w:val="10"/>
          <w:szCs w:val="10"/>
          <w:color w:val="auto"/>
        </w:rPr>
        <w:t>loans for others. The fair value of capitalized mortgage loan servicing rights has been determined based upon fair value indications for similar servicing. Under the fair value method we measure capitalized mortgage loan servicing rights at fair value at each reporting date and report changes in fair value of capitalized mortgage loan servicing rights in earnings in the period in which the changes occur and are included in mortgage loan servicing, net in the Consolidated Statements of Operations. The fair value of capitalized mortgage loan servicing rights are subject to significant fluctuations as a result of changes in estimated and actual prepayment speeds and default rates and losses.</w:t>
      </w:r>
    </w:p>
    <w:p>
      <w:pPr>
        <w:spacing w:after="0" w:line="95"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Mortgage loan servicing income is recorded for fees earned for servicing loans previously sold. The fees are generally based on a contractual percentage of the outstanding principal and are recorded as income when earned. Mortgage loan servicing fees, excluding fair value changes of capitalized mortgage loan servicing rights, totaled $7.9 million, $6.9 million and $6.2 million for the years ended December 31, 2021, 2020 and 2019, respectively. Late fees and ancillary fees related to loan servicing are not material.</w:t>
      </w:r>
    </w:p>
    <w:p>
      <w:pPr>
        <w:spacing w:after="0" w:line="122"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i w:val="1"/>
          <w:iCs w:val="1"/>
          <w:color w:val="auto"/>
        </w:rPr>
        <w:t xml:space="preserve">TRANSFERS OF FINANCIAL ASSETS </w:t>
      </w:r>
      <w:r>
        <w:rPr>
          <w:rFonts w:ascii="Arial" w:cs="Arial" w:eastAsia="Arial" w:hAnsi="Arial"/>
          <w:sz w:val="12"/>
          <w:szCs w:val="12"/>
          <w:color w:val="auto"/>
        </w:rPr>
        <w:t>— Transfers of financial assets are accounted for as sales when control over the assets has been relinquished. Control over transferred assets is deemed to be surrendered when the assets have</w:t>
      </w:r>
      <w:r>
        <w:rPr>
          <w:rFonts w:ascii="Arial" w:cs="Arial" w:eastAsia="Arial" w:hAnsi="Arial"/>
          <w:sz w:val="12"/>
          <w:szCs w:val="12"/>
          <w:i w:val="1"/>
          <w:iCs w:val="1"/>
          <w:color w:val="auto"/>
        </w:rPr>
        <w:t xml:space="preserve"> </w:t>
      </w:r>
      <w:r>
        <w:rPr>
          <w:rFonts w:ascii="Arial" w:cs="Arial" w:eastAsia="Arial" w:hAnsi="Arial"/>
          <w:sz w:val="12"/>
          <w:szCs w:val="12"/>
          <w:color w:val="auto"/>
        </w:rPr>
        <w:t>been isolated from us, the transferee obtains the right (free of conditions that constrain it from taking advantage of that right) to pledge or exchange the transferred assets, and we do not maintain effective control over the transferred assets through an agreement to repurchase them before their maturity.</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71" w:right="299" w:bottom="1440" w:gutter="0" w:footer="0" w:header="0"/>
        </w:sectPr>
      </w:pPr>
    </w:p>
    <w:bookmarkStart w:id="64" w:name="page65"/>
    <w:bookmarkEnd w:id="64"/>
    <w:p>
      <w:pPr>
        <w:jc w:val="center"/>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27" w:lineRule="exact"/>
        <w:rPr>
          <w:sz w:val="20"/>
          <w:szCs w:val="20"/>
          <w:color w:val="auto"/>
        </w:rPr>
      </w:pPr>
    </w:p>
    <w:p>
      <w:pPr>
        <w:jc w:val="both"/>
        <w:ind w:firstLine="216"/>
        <w:spacing w:after="0" w:line="285" w:lineRule="auto"/>
        <w:rPr>
          <w:sz w:val="20"/>
          <w:szCs w:val="20"/>
          <w:color w:val="auto"/>
        </w:rPr>
      </w:pPr>
      <w:r>
        <w:rPr>
          <w:rFonts w:ascii="Arial" w:cs="Arial" w:eastAsia="Arial" w:hAnsi="Arial"/>
          <w:sz w:val="11"/>
          <w:szCs w:val="11"/>
          <w:i w:val="1"/>
          <w:iCs w:val="1"/>
          <w:color w:val="auto"/>
        </w:rPr>
        <w:t xml:space="preserve">SECURITIES </w:t>
      </w:r>
      <w:r>
        <w:rPr>
          <w:rFonts w:ascii="Arial" w:cs="Arial" w:eastAsia="Arial" w:hAnsi="Arial"/>
          <w:sz w:val="11"/>
          <w:szCs w:val="11"/>
          <w:color w:val="auto"/>
        </w:rPr>
        <w:t>— We classify our securities as equity, trading, held to maturity or available for sale. Equity securities are investments in certain equity stocks and are reported at fair value with realized and unrealized gains and</w:t>
      </w:r>
      <w:r>
        <w:rPr>
          <w:rFonts w:ascii="Arial" w:cs="Arial" w:eastAsia="Arial" w:hAnsi="Arial"/>
          <w:sz w:val="11"/>
          <w:szCs w:val="11"/>
          <w:i w:val="1"/>
          <w:iCs w:val="1"/>
          <w:color w:val="auto"/>
        </w:rPr>
        <w:t xml:space="preserve"> </w:t>
      </w:r>
      <w:r>
        <w:rPr>
          <w:rFonts w:ascii="Arial" w:cs="Arial" w:eastAsia="Arial" w:hAnsi="Arial"/>
          <w:sz w:val="11"/>
          <w:szCs w:val="11"/>
          <w:color w:val="auto"/>
        </w:rPr>
        <w:t>losses included in earnings. Trading securities are bought and held principally for the purpose of selling them in the near term and are reported at fair value with realized and unrealized gains and losses included in earnings. Securities held to maturity represent those securities for which we have the positive intent and ability to hold until maturity and are reported at cost, adjusted for amortization of premiums and accretion of discounts computed on the level-yield method. We did not have any equity securities, trading securities or securities held to maturity at December 31, 2021 and 2020. Securities available for sale represent those securities not classified as equity, trading or held to maturity and are reported at fair value with unrealized gains and losses, net of applicable income taxes reported in other comprehensive income (loss).</w:t>
      </w:r>
    </w:p>
    <w:p>
      <w:pPr>
        <w:spacing w:after="0" w:line="113" w:lineRule="exact"/>
        <w:rPr>
          <w:sz w:val="20"/>
          <w:szCs w:val="20"/>
          <w:color w:val="auto"/>
        </w:rPr>
      </w:pPr>
    </w:p>
    <w:p>
      <w:pPr>
        <w:jc w:val="both"/>
        <w:ind w:firstLine="216"/>
        <w:spacing w:after="0" w:line="281" w:lineRule="auto"/>
        <w:rPr>
          <w:sz w:val="20"/>
          <w:szCs w:val="20"/>
          <w:color w:val="auto"/>
        </w:rPr>
      </w:pPr>
      <w:r>
        <w:rPr>
          <w:rFonts w:ascii="Arial" w:cs="Arial" w:eastAsia="Arial" w:hAnsi="Arial"/>
          <w:sz w:val="11"/>
          <w:szCs w:val="11"/>
          <w:color w:val="auto"/>
        </w:rPr>
        <w:t>Securities available for sale in unrealized loss positions are evaluated quarterly for impairment related to credit losses. For securities available for sale in an unrealized loss position, we first assess whether we intend to sell, or it is more likely than not that we will be required to sell the security before recovery of its amortized cost basis. If either of the criteria regarding intent or requirement to sell is met, the security’s amortized cost basis is written down to fair value through income. For securities available for sale that do not meet this criteria, we evaluate whether the decline in fair value has resulted from credit losses or other factors. In making this assessment, we consider the extent to which fair value is less than amortized cost, adverse conditions specifically related to the security and the issuer and the impact of changes in market interest rates on the market value of the security, among other factors. If this assessment indicates that a credit loss exists, we compare the present value of cash flows expected to be collected from the security with the amortized cost basis of the security. If the present value of cash flows expected to be collected is less than the amortized cost basis for the security, a credit loss exists and an ACL is recorded, limited to the amount that the fair value of the security is less than its amortized cost basis. Any impairment that has not been recorded through an ACL is recognized in other comprehensive income (loss), net of applicable taxes.</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Gains and losses realized on the sale of securities available for sale are determined using the specific identification method and are recognized on a trade-date basis.</w:t>
      </w:r>
    </w:p>
    <w:p>
      <w:pPr>
        <w:spacing w:after="0" w:line="150"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i w:val="1"/>
          <w:iCs w:val="1"/>
          <w:color w:val="auto"/>
        </w:rPr>
        <w:t xml:space="preserve">FEDERAL HOME LOAN BANK (‘‘FHLB’’) STOCK </w:t>
      </w:r>
      <w:r>
        <w:rPr>
          <w:rFonts w:ascii="Arial" w:cs="Arial" w:eastAsia="Arial" w:hAnsi="Arial"/>
          <w:sz w:val="12"/>
          <w:szCs w:val="12"/>
          <w:color w:val="auto"/>
        </w:rPr>
        <w:t>— Our Bank subsidiary is a member of the FHLB system. Members are required to own a certain amount of stock based on the level of borrowings and other factors, and may</w:t>
      </w:r>
      <w:r>
        <w:rPr>
          <w:rFonts w:ascii="Arial" w:cs="Arial" w:eastAsia="Arial" w:hAnsi="Arial"/>
          <w:sz w:val="12"/>
          <w:szCs w:val="12"/>
          <w:i w:val="1"/>
          <w:iCs w:val="1"/>
          <w:color w:val="auto"/>
        </w:rPr>
        <w:t xml:space="preserve"> </w:t>
      </w:r>
      <w:r>
        <w:rPr>
          <w:rFonts w:ascii="Arial" w:cs="Arial" w:eastAsia="Arial" w:hAnsi="Arial"/>
          <w:sz w:val="12"/>
          <w:szCs w:val="12"/>
          <w:color w:val="auto"/>
        </w:rPr>
        <w:t>invest in additional amounts. FHLB stock is carried at cost, classified as a restricted security, and periodically evaluated for impairment based on ultimate recovery of par value. Both cash and stock dividends are reported as income in interest income-other investments on the Consolidated Statements of Operations.</w:t>
      </w:r>
    </w:p>
    <w:p>
      <w:pPr>
        <w:spacing w:after="0" w:line="122"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i w:val="1"/>
          <w:iCs w:val="1"/>
          <w:color w:val="auto"/>
        </w:rPr>
        <w:t xml:space="preserve">FEDERAL RESERVE BANK (‘‘FRB’’) STOCK </w:t>
      </w:r>
      <w:r>
        <w:rPr>
          <w:rFonts w:ascii="Arial" w:cs="Arial" w:eastAsia="Arial" w:hAnsi="Arial"/>
          <w:sz w:val="12"/>
          <w:szCs w:val="12"/>
          <w:color w:val="auto"/>
        </w:rPr>
        <w:t>— Our Bank subsidiary is a member of its regional Federal Reserve Bank. FRB stock is carried at cost, classified as a restricted security, and periodically evaluated for impairment</w:t>
      </w:r>
      <w:r>
        <w:rPr>
          <w:rFonts w:ascii="Arial" w:cs="Arial" w:eastAsia="Arial" w:hAnsi="Arial"/>
          <w:sz w:val="12"/>
          <w:szCs w:val="12"/>
          <w:i w:val="1"/>
          <w:iCs w:val="1"/>
          <w:color w:val="auto"/>
        </w:rPr>
        <w:t xml:space="preserve"> </w:t>
      </w:r>
      <w:r>
        <w:rPr>
          <w:rFonts w:ascii="Arial" w:cs="Arial" w:eastAsia="Arial" w:hAnsi="Arial"/>
          <w:sz w:val="12"/>
          <w:szCs w:val="12"/>
          <w:color w:val="auto"/>
        </w:rPr>
        <w:t>based on ultimate recovery of par value. Both cash and stock dividends are reported as income in interest income-other investments on the Consolidated Statements of Operations.</w:t>
      </w:r>
    </w:p>
    <w:p>
      <w:pPr>
        <w:spacing w:after="0" w:line="115" w:lineRule="exact"/>
        <w:rPr>
          <w:sz w:val="20"/>
          <w:szCs w:val="20"/>
          <w:color w:val="auto"/>
        </w:rPr>
      </w:pPr>
    </w:p>
    <w:p>
      <w:pPr>
        <w:jc w:val="both"/>
        <w:ind w:firstLine="216"/>
        <w:spacing w:after="0" w:line="316" w:lineRule="auto"/>
        <w:rPr>
          <w:sz w:val="20"/>
          <w:szCs w:val="20"/>
          <w:color w:val="auto"/>
        </w:rPr>
      </w:pPr>
      <w:r>
        <w:rPr>
          <w:rFonts w:ascii="Arial" w:cs="Arial" w:eastAsia="Arial" w:hAnsi="Arial"/>
          <w:sz w:val="10"/>
          <w:szCs w:val="10"/>
          <w:i w:val="1"/>
          <w:iCs w:val="1"/>
          <w:color w:val="auto"/>
        </w:rPr>
        <w:t xml:space="preserve">LOAN REVENUE RECOGNITION </w:t>
      </w:r>
      <w:r>
        <w:rPr>
          <w:rFonts w:ascii="Arial" w:cs="Arial" w:eastAsia="Arial" w:hAnsi="Arial"/>
          <w:sz w:val="10"/>
          <w:szCs w:val="10"/>
          <w:color w:val="auto"/>
        </w:rPr>
        <w:t>— Interest on loans is accrued based on the principal amounts outstanding. In general, the accrual of interest income is discontinued when a loan becomes 90 days past due for commercial loans</w:t>
      </w:r>
      <w:r>
        <w:rPr>
          <w:rFonts w:ascii="Arial" w:cs="Arial" w:eastAsia="Arial" w:hAnsi="Arial"/>
          <w:sz w:val="10"/>
          <w:szCs w:val="10"/>
          <w:i w:val="1"/>
          <w:iCs w:val="1"/>
          <w:color w:val="auto"/>
        </w:rPr>
        <w:t xml:space="preserve"> </w:t>
      </w:r>
      <w:r>
        <w:rPr>
          <w:rFonts w:ascii="Arial" w:cs="Arial" w:eastAsia="Arial" w:hAnsi="Arial"/>
          <w:sz w:val="10"/>
          <w:szCs w:val="10"/>
          <w:color w:val="auto"/>
        </w:rPr>
        <w:t>and installment loans and when a loan misses four consecutive payments for mortgage loans and the borrower’s capacity to repay the loan and collateral values appear insufficient for each loan class. However, loans may be placed on non-accrual status regardless of whether or not such loans are considered past due if, in management’s opinion, the borrower is unable to meet payment obligations as they become due or as required by regulatory provisions. All interest accrued but not received for all loans placed on non-accrual is reversed from interest income. Payments on such loans are generally applied to the principal balance until qualifying to be returned to accrual status. A non-accrual loan may be restored to accrual status when interest and principal payments are current and the loan appears otherwise collectible. Delinquency status for all classes in the commercial and installment loan portfolio segments is based on the actual number of days past due as required by the contractual terms of the loan agreement while delinquency status for mortgage loan portfolio segment classes is based on the number of payments past due.</w:t>
      </w:r>
    </w:p>
    <w:p>
      <w:pPr>
        <w:spacing w:after="0" w:line="100"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Certain loan fees and direct loan origination costs are deferred and recognized as an adjustment of yield generally over the contractual life of the related loan. Fees received in connection with loan commitments are deferred until the loan is advanced and are then recognized generally over the contractual life of the loan as an adjustment of yield. Fees on commitments that expire unused are recognized at expiration. Fees received for letters of credit are recognized as revenue over the life of the commitment.</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65" w:name="page66"/>
    <w:bookmarkEnd w:id="65"/>
    <w:p>
      <w:pPr>
        <w:jc w:val="center"/>
        <w:ind w:right="-7"/>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27" w:lineRule="exact"/>
        <w:rPr>
          <w:sz w:val="20"/>
          <w:szCs w:val="20"/>
          <w:color w:val="auto"/>
        </w:rPr>
      </w:pPr>
    </w:p>
    <w:p>
      <w:pPr>
        <w:jc w:val="both"/>
        <w:ind w:left="8" w:firstLine="216"/>
        <w:spacing w:after="0" w:line="254" w:lineRule="auto"/>
        <w:rPr>
          <w:sz w:val="20"/>
          <w:szCs w:val="20"/>
          <w:color w:val="auto"/>
        </w:rPr>
      </w:pPr>
      <w:r>
        <w:rPr>
          <w:rFonts w:ascii="Arial" w:cs="Arial" w:eastAsia="Arial" w:hAnsi="Arial"/>
          <w:sz w:val="12"/>
          <w:szCs w:val="12"/>
          <w:i w:val="1"/>
          <w:iCs w:val="1"/>
          <w:color w:val="auto"/>
        </w:rPr>
        <w:t xml:space="preserve">ALLOWANCE FOR CREDIT LOSSES (“ACL”) </w:t>
      </w:r>
      <w:r>
        <w:rPr>
          <w:rFonts w:ascii="Arial" w:cs="Arial" w:eastAsia="Arial" w:hAnsi="Arial"/>
          <w:sz w:val="12"/>
          <w:szCs w:val="12"/>
          <w:color w:val="auto"/>
        </w:rPr>
        <w:t>— Our loan portfolio is disaggregated into segments for purposes of determining the ACL which include commercial, mortgage and installment loans. These segments are further</w:t>
      </w:r>
      <w:r>
        <w:rPr>
          <w:rFonts w:ascii="Arial" w:cs="Arial" w:eastAsia="Arial" w:hAnsi="Arial"/>
          <w:sz w:val="12"/>
          <w:szCs w:val="12"/>
          <w:i w:val="1"/>
          <w:iCs w:val="1"/>
          <w:color w:val="auto"/>
        </w:rPr>
        <w:t xml:space="preserve"> </w:t>
      </w:r>
      <w:r>
        <w:rPr>
          <w:rFonts w:ascii="Arial" w:cs="Arial" w:eastAsia="Arial" w:hAnsi="Arial"/>
          <w:sz w:val="12"/>
          <w:szCs w:val="12"/>
          <w:color w:val="auto"/>
        </w:rPr>
        <w:t>disaggregated into classes for purposes of monitoring and assessing credit quality based on certain risk characteristics. Classes within the commercial loan segment include (i) commercial and industrial and (ii) commercial real estate. Classes within the mortgage loan segment include (i) 1-4 family owner occupied - jumbo, (ii) 1-4 family owner occupied - non-jumbo, (iii) 1-4 family non-owner occupied (iv) 1-4 family - 2nd lien and (v) resort lending. Classes within the installment loan segment include (i) boat lending, (ii) recreational vehicle lending, and (iii) other. Commercial loans are subject to adverse market conditions which may impact the borrower’s ability to make repayment on the loan or could cause a decline in the value of the collateral that secures the loan. Mortgage and installment loans are subject to adverse employment conditions in the local economy which could increase default rates. In addition, mortgage loans and real estate based installment loans are subject to adverse market conditions which could cause a decline in the value of collateral that secures the loan. For an analysis of the ACL by portfolio segment and credit quality information by class, see note #4.</w:t>
      </w:r>
    </w:p>
    <w:p>
      <w:pPr>
        <w:spacing w:after="0" w:line="130" w:lineRule="exact"/>
        <w:rPr>
          <w:sz w:val="20"/>
          <w:szCs w:val="20"/>
          <w:color w:val="auto"/>
        </w:rPr>
      </w:pPr>
    </w:p>
    <w:p>
      <w:pPr>
        <w:jc w:val="both"/>
        <w:ind w:left="8" w:firstLine="216"/>
        <w:spacing w:after="0" w:line="305" w:lineRule="auto"/>
        <w:rPr>
          <w:sz w:val="20"/>
          <w:szCs w:val="20"/>
          <w:color w:val="auto"/>
        </w:rPr>
      </w:pPr>
      <w:r>
        <w:rPr>
          <w:rFonts w:ascii="Arial" w:cs="Arial" w:eastAsia="Arial" w:hAnsi="Arial"/>
          <w:sz w:val="10"/>
          <w:szCs w:val="10"/>
          <w:color w:val="auto"/>
        </w:rPr>
        <w:t>We estimate the ACL based on relevant available information from both internal and external sources, including historical loss trends, current conditions and forecasts, specific analysis of individual loans, and other relevant and appropriate factors. The allowance process is designed to provide for expected future losses based on our reasonable and supportable (“R&amp;S”) forecast as of the reporting date. Our ACL process is administered by our Risk Management group utilizing a third party software solution, with significant input and ultimate approval from our Executive Enterprise Risk Committee. Further, we have established a current expected credit loss (“CECL”) Forecast Committee, which includes a cross discipline structure with membership from Executive Management, Risk Management, and Accounting, which approves ACL model assumptions each quarter. Our ACL is comprised of three principal elements:</w:t>
      </w:r>
    </w:p>
    <w:p>
      <w:pPr>
        <w:jc w:val="both"/>
        <w:ind w:left="8" w:hanging="8"/>
        <w:spacing w:after="0" w:line="255" w:lineRule="auto"/>
        <w:tabs>
          <w:tab w:leader="none" w:pos="156" w:val="left"/>
        </w:tabs>
        <w:numPr>
          <w:ilvl w:val="0"/>
          <w:numId w:val="22"/>
        </w:numPr>
        <w:rPr>
          <w:rFonts w:ascii="Arial" w:cs="Arial" w:eastAsia="Arial" w:hAnsi="Arial"/>
          <w:sz w:val="12"/>
          <w:szCs w:val="12"/>
          <w:color w:val="auto"/>
        </w:rPr>
      </w:pPr>
      <w:r>
        <w:rPr>
          <w:rFonts w:ascii="Arial" w:cs="Arial" w:eastAsia="Arial" w:hAnsi="Arial"/>
          <w:sz w:val="12"/>
          <w:szCs w:val="12"/>
          <w:color w:val="auto"/>
        </w:rPr>
        <w:t>specific analysis of individual loans identified during the review of the loan portfolio, (ii) pooled analysis of loans with similar risk characteristics based on historical experience, adjusted for current conditions, R&amp;S forecasts, and expected prepayments, and (iii) additional allowances based on subjective factors, including local and general economic business factors and trends, portfolio concentrations and changes in the size and/or the general terms of the loan portfolio.</w:t>
      </w:r>
    </w:p>
    <w:p>
      <w:pPr>
        <w:spacing w:after="0" w:line="127" w:lineRule="exact"/>
        <w:rPr>
          <w:sz w:val="20"/>
          <w:szCs w:val="20"/>
          <w:color w:val="auto"/>
        </w:rPr>
      </w:pPr>
    </w:p>
    <w:p>
      <w:pPr>
        <w:jc w:val="both"/>
        <w:ind w:left="8" w:firstLine="216"/>
        <w:spacing w:after="0" w:line="256" w:lineRule="auto"/>
        <w:rPr>
          <w:sz w:val="20"/>
          <w:szCs w:val="20"/>
          <w:color w:val="auto"/>
        </w:rPr>
      </w:pPr>
      <w:r>
        <w:rPr>
          <w:rFonts w:ascii="Arial" w:cs="Arial" w:eastAsia="Arial" w:hAnsi="Arial"/>
          <w:sz w:val="12"/>
          <w:szCs w:val="12"/>
          <w:color w:val="auto"/>
        </w:rPr>
        <w:t>The first ACL element (specific allocations) includes loans that do not share similar risk characteristics and are evaluated on an individual basis. We will typically evaluate on an individual basis loans that are on nonaccrual; commercial loans that have been modified resulting in a concession, for which the borrower is experiencing financial difficulties, and which are considered troubled debt restructurings (“TDR”); and severely delinquent mortgage and installment loans. A loan can be removed from TDR status if it is subsequently restructured, the borrower is no longer experiencing financial difficulties, and the newly restructured agreement does not contain any concessions to the borrower. The new agreement must specify market terms, including a contractual interest rate not less than a market interest rate for a new loan with similar credit risk characteristics, and other terms no less favorable to us than those we would offer for a similar new loan.</w:t>
      </w:r>
    </w:p>
    <w:p>
      <w:pPr>
        <w:spacing w:after="0" w:line="128" w:lineRule="exact"/>
        <w:rPr>
          <w:sz w:val="20"/>
          <w:szCs w:val="20"/>
          <w:color w:val="auto"/>
        </w:rPr>
      </w:pPr>
    </w:p>
    <w:p>
      <w:pPr>
        <w:jc w:val="both"/>
        <w:ind w:left="8" w:firstLine="216"/>
        <w:spacing w:after="0" w:line="263" w:lineRule="auto"/>
        <w:rPr>
          <w:sz w:val="20"/>
          <w:szCs w:val="20"/>
          <w:color w:val="auto"/>
        </w:rPr>
      </w:pPr>
      <w:r>
        <w:rPr>
          <w:rFonts w:ascii="Arial" w:cs="Arial" w:eastAsia="Arial" w:hAnsi="Arial"/>
          <w:sz w:val="12"/>
          <w:szCs w:val="12"/>
          <w:color w:val="auto"/>
        </w:rPr>
        <w:t>For loans that we evaluate on an individual basis and we determine that foreclosure is probable or when repayment is expected to be provided substantially through the operation or sale of underlying collateral, expected credit losses are based on the fair value of the collateral at the reporting date, adjusted for estimated selling costs. For loans evaluated on an individual basis that are not determined to be collateral dependent, a discounted cash flow analysis is performed to determine expected credit losses.</w:t>
      </w:r>
    </w:p>
    <w:p>
      <w:pPr>
        <w:spacing w:after="0" w:line="122" w:lineRule="exact"/>
        <w:rPr>
          <w:sz w:val="20"/>
          <w:szCs w:val="20"/>
          <w:color w:val="auto"/>
        </w:rPr>
      </w:pPr>
    </w:p>
    <w:p>
      <w:pPr>
        <w:jc w:val="both"/>
        <w:ind w:left="8" w:firstLine="216"/>
        <w:spacing w:after="0" w:line="263" w:lineRule="auto"/>
        <w:rPr>
          <w:sz w:val="20"/>
          <w:szCs w:val="20"/>
          <w:color w:val="auto"/>
        </w:rPr>
      </w:pPr>
      <w:r>
        <w:rPr>
          <w:rFonts w:ascii="Arial" w:cs="Arial" w:eastAsia="Arial" w:hAnsi="Arial"/>
          <w:sz w:val="12"/>
          <w:szCs w:val="12"/>
          <w:color w:val="auto"/>
        </w:rPr>
        <w:t>The second ACL element (pooled analysis) includes loans with similar risk characteristics, which are broken down by segment, class, and risk metric. The Bank’s primary segments of commercial, mortgage, and installment loans are further classified by other relevant attributes, such as collateral type, lien position, occupancy status, amortization method, and balance size. Commercial classes are additionally segmented by risk rating, and mortgage and installment loan classes by credit score tier, which are updated at least semi-annually.</w:t>
      </w:r>
    </w:p>
    <w:p>
      <w:pPr>
        <w:spacing w:after="0" w:line="245" w:lineRule="exact"/>
        <w:rPr>
          <w:sz w:val="20"/>
          <w:szCs w:val="20"/>
          <w:color w:val="auto"/>
        </w:rPr>
      </w:pPr>
    </w:p>
    <w:p>
      <w:pPr>
        <w:jc w:val="center"/>
        <w:ind w:right="-7"/>
        <w:spacing w:after="0"/>
        <w:rPr>
          <w:sz w:val="20"/>
          <w:szCs w:val="20"/>
          <w:color w:val="auto"/>
        </w:rPr>
      </w:pPr>
      <w:r>
        <w:rPr>
          <w:rFonts w:ascii="Arial" w:cs="Arial" w:eastAsia="Arial" w:hAnsi="Arial"/>
          <w:sz w:val="10"/>
          <w:szCs w:val="1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78040" cy="114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7" w:right="299" w:bottom="1440" w:gutter="0" w:footer="0" w:header="0"/>
        </w:sectPr>
      </w:pPr>
    </w:p>
    <w:bookmarkStart w:id="66" w:name="page67"/>
    <w:bookmarkEnd w:id="66"/>
    <w:p>
      <w:pPr>
        <w:jc w:val="center"/>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27"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We utilize a discounted cash flow (“DCF”) model to estimate expected future losses for pooled loans. Expected future cash flows are developed from payment schedules over the contractual term, adjusted for forecasted default (probability of default), loss, and prepayment assumptions. We are not required to develop forecasts over the full contractual term of the financial asset or group of financial assets. Rather, for periods beyond which we are able to make or obtain R&amp;S forecasts of expected credit losses, we revert to the long term average on a straight line or immediate basis, as determined by our CECL Forecast Committee, and which may vary depending on the economic outlook and uncertainty.</w:t>
      </w:r>
    </w:p>
    <w:p>
      <w:pPr>
        <w:spacing w:after="0" w:line="124"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2"/>
          <w:szCs w:val="12"/>
          <w:color w:val="auto"/>
        </w:rPr>
        <w:t>The DCF model for the mortgage and installment pooled loan segments includes using probability of default (“PD”) assumptions that are derived through regression analysis with forecasted US unemployment levels by credit score tier. We review a composite forecast of approximately 50 analysts as well as the Federal Open Market Committee (“FOMC”) projections in setting the unemployment forecast for the R&amp;S period. The current ACL utilizes a one year R&amp;S forecast followed by immediate reversion to the 30 year average unemployment rate. PD assumptions for the remaining segments are based primarily on historical rates by risk metric as defaults were not strongly correlated with any economic indicator. Loss given default (“LGD”) assumptions for the mortgage loan segment are based on a two year forecast followed by a two year straight line reversion period to the longer term average, while LGD rates for the remaining segments are the historical average for the entire period. Prepayment assumptions represent average rates per segment for a period determined by the CECL Forecast Committee and as calculated through the Bank’s Asset and Liability Management program.</w:t>
      </w:r>
    </w:p>
    <w:p>
      <w:pPr>
        <w:spacing w:after="0" w:line="128" w:lineRule="exact"/>
        <w:rPr>
          <w:sz w:val="20"/>
          <w:szCs w:val="20"/>
          <w:color w:val="auto"/>
        </w:rPr>
      </w:pPr>
    </w:p>
    <w:p>
      <w:pPr>
        <w:jc w:val="both"/>
        <w:ind w:right="20" w:firstLine="216"/>
        <w:spacing w:after="0" w:line="323" w:lineRule="auto"/>
        <w:rPr>
          <w:sz w:val="20"/>
          <w:szCs w:val="20"/>
          <w:color w:val="auto"/>
        </w:rPr>
      </w:pPr>
      <w:r>
        <w:rPr>
          <w:rFonts w:ascii="Arial" w:cs="Arial" w:eastAsia="Arial" w:hAnsi="Arial"/>
          <w:sz w:val="11"/>
          <w:szCs w:val="11"/>
          <w:color w:val="auto"/>
        </w:rPr>
        <w:t>Pooled reserves for the commercial loan segment are calculated using the DCF model with assumptions generally based on historical averages by class and risk rating. Effective risk rating practices allow for strong predictability of defaults and losses over the portfolio’s expected shorter duration, relative to mortgage and installment loans. Our rating system is similar to those employed by state and federal banking regulators.</w:t>
      </w:r>
    </w:p>
    <w:p>
      <w:pPr>
        <w:spacing w:after="0" w:line="9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2"/>
          <w:szCs w:val="12"/>
          <w:color w:val="auto"/>
        </w:rPr>
        <w:t>The third ACL element (additional allocations based on subjective factors) is based on factors that cannot be associated with a specific credit or loan category and reflects our attempt to ensure that the overall ACL appropriately reflects a margin for the imprecision necessarily inherent in the estimates of expected credit losses. We adjust our quantitative model for certain qualitative factors to reflect the extent to which management expects current conditions and R&amp;S forecasts to differ from the conditions that existed for the period over which historical information was evaluated. The qualitative framework reflects changes related to relevant data, such as changes in asset quality trends, portfolio growth and composition, national and local economic factors, credit policy and administration and other factors not considered in the base quantitative model. We utilize a survey completed by business unit management throughout the Bank, as well as discussion with the CECL Forecast Committee to establish reserves under the qualitative framework. The current period’s ACL further recognizes inherent risk related to the ongoing COVID-19 pandemic; specifically to commercial loans in high risk industries and mortgage and installment borrowers with occupations in those high risk industries. Identified high risk industries include: food service, hospitality, entertainment, retail, investment real estate, assisted living, and non-owner occupied office.</w:t>
      </w:r>
    </w:p>
    <w:p>
      <w:pPr>
        <w:spacing w:after="0" w:line="13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Prior to January 1, 2021, the calculation of the allowance was based on the probable incurred loss methodology.</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1"/>
          <w:szCs w:val="11"/>
          <w:color w:val="auto"/>
        </w:rPr>
        <w:t>Increases in the ACL are recorded by a provision for credit losses charged to expense. Although we periodically allocate portions of the ACL to specific loans and loan portfolios, the entire ACL is available for losses.</w:t>
      </w:r>
    </w:p>
    <w:p>
      <w:pPr>
        <w:spacing w:after="0" w:line="162"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We generally charge-off commercial, homogenous residential mortgage and installment loans when they are deemed uncollectible or reach a predetermined number of days past due based on loan product, industry practice and other factors. Collection efforts may continue and recoveries may occur after a loan is charged against the ACL.</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1"/>
          <w:szCs w:val="11"/>
          <w:color w:val="auto"/>
        </w:rPr>
        <w:t>While we use relevant information to recognize losses on loans, additional provisions for related losses may be necessary based on changes in economic conditions, customer circumstances and other credit risk factors.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67" w:name="page68"/>
    <w:bookmarkEnd w:id="67"/>
    <w:p>
      <w:pPr>
        <w:jc w:val="center"/>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27" w:lineRule="exact"/>
        <w:rPr>
          <w:sz w:val="20"/>
          <w:szCs w:val="20"/>
          <w:color w:val="auto"/>
        </w:rPr>
      </w:pPr>
    </w:p>
    <w:p>
      <w:pPr>
        <w:jc w:val="both"/>
        <w:ind w:firstLine="216"/>
        <w:spacing w:after="0" w:line="310" w:lineRule="auto"/>
        <w:rPr>
          <w:sz w:val="20"/>
          <w:szCs w:val="20"/>
          <w:color w:val="auto"/>
        </w:rPr>
      </w:pPr>
      <w:r>
        <w:rPr>
          <w:rFonts w:ascii="Arial" w:cs="Arial" w:eastAsia="Arial" w:hAnsi="Arial"/>
          <w:sz w:val="10"/>
          <w:szCs w:val="10"/>
          <w:color w:val="auto"/>
        </w:rPr>
        <w:t>Section 4013 of the Coronavirus Aid, Relief, and Economic Security (“CARES Act”) provides temporary relief from the accounting and reporting requirements for troubled debt restructurings (“TDR”) regarding certain loan modifications for our customers. Section 4013 specified that COVID-19 related modifications on loans that were current as of December 31, 2019 are not TDRs. The provisions of Section 4013 were extended to the earlier of 60 days after the termination of the national emergency that was previously declared on March 13, 2020 or January 1, 2022 by the Economic Aid to Hard-Hit Small Businesses, Nonprofits, and Venues Act which was signed into law on December 27, 2020. Loans not covered under these provisions, which have been modified resulting in a concession, and which the borrower is experiencing financial difficulties, are considered to be TDRs. We measure our investment in a TDR loan using one of three methods: the loan’s observable market price, the fair value of the collateral or the present value of expected future cash flows discounted at the loan’s effective interest rate. Large groups of smaller balance homogeneous loans, such as those loans included in each installment and mortgage loan class, are collectively evaluated and accordingly, they are not separately identified for disclosure. TDR loans are measured at the present value of estimated future cash flows using the loan’s effective interest rate at inception of the loan. If a TDR is considered to be a collateral dependent loan, the loan is reported net, at the fair value of collateral. A loan can be removed from TDR status if it is subsequently restructured and the borrower is no longer experiencing financial difficulties and the newly restructured agreement does not contain any concessions to the borrower. The new agreement must specify market terms, including a contractual interest rate not less than a market interest rate for a new loan with similar credit risk characteristics, and other terms no less favorable to us than those we would offer for a similar new loan.</w:t>
      </w:r>
    </w:p>
    <w:p>
      <w:pPr>
        <w:spacing w:after="0" w:line="103"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i w:val="1"/>
          <w:iCs w:val="1"/>
          <w:color w:val="auto"/>
        </w:rPr>
        <w:t xml:space="preserve">PROPERTY AND EQUIPMENT </w:t>
      </w:r>
      <w:r>
        <w:rPr>
          <w:rFonts w:ascii="Arial" w:cs="Arial" w:eastAsia="Arial" w:hAnsi="Arial"/>
          <w:sz w:val="12"/>
          <w:szCs w:val="12"/>
          <w:color w:val="auto"/>
        </w:rPr>
        <w:t>— Property and equipment is stated at cost less accumulated depreciation and amortization. Depreciation and amortization is computed using the straight-line method over the estimated useful lives</w:t>
      </w:r>
      <w:r>
        <w:rPr>
          <w:rFonts w:ascii="Arial" w:cs="Arial" w:eastAsia="Arial" w:hAnsi="Arial"/>
          <w:sz w:val="12"/>
          <w:szCs w:val="12"/>
          <w:i w:val="1"/>
          <w:iCs w:val="1"/>
          <w:color w:val="auto"/>
        </w:rPr>
        <w:t xml:space="preserve"> </w:t>
      </w:r>
      <w:r>
        <w:rPr>
          <w:rFonts w:ascii="Arial" w:cs="Arial" w:eastAsia="Arial" w:hAnsi="Arial"/>
          <w:sz w:val="12"/>
          <w:szCs w:val="12"/>
          <w:color w:val="auto"/>
        </w:rPr>
        <w:t>of the related assets. Buildings are generally depreciated over a period not exceeding 39 years and equipment is generally depreciated over periods not exceeding 7 years. Leasehold improvements are depreciated over the shorter of their estimated useful life or lease period.</w:t>
      </w:r>
    </w:p>
    <w:p>
      <w:pPr>
        <w:spacing w:after="0" w:line="122"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i w:val="1"/>
          <w:iCs w:val="1"/>
          <w:color w:val="auto"/>
        </w:rPr>
        <w:t xml:space="preserve">BANK OWNED LIFE INSURANCE </w:t>
      </w:r>
      <w:r>
        <w:rPr>
          <w:rFonts w:ascii="Arial" w:cs="Arial" w:eastAsia="Arial" w:hAnsi="Arial"/>
          <w:sz w:val="12"/>
          <w:szCs w:val="12"/>
          <w:color w:val="auto"/>
        </w:rPr>
        <w:t>— We have purchased a group flexible premium non-participating variable life insurance contract on approximately 260 lives (who were salaried employees at the time we purchased the</w:t>
      </w:r>
      <w:r>
        <w:rPr>
          <w:rFonts w:ascii="Arial" w:cs="Arial" w:eastAsia="Arial" w:hAnsi="Arial"/>
          <w:sz w:val="12"/>
          <w:szCs w:val="12"/>
          <w:i w:val="1"/>
          <w:iCs w:val="1"/>
          <w:color w:val="auto"/>
        </w:rPr>
        <w:t xml:space="preserve"> </w:t>
      </w:r>
      <w:r>
        <w:rPr>
          <w:rFonts w:ascii="Arial" w:cs="Arial" w:eastAsia="Arial" w:hAnsi="Arial"/>
          <w:sz w:val="12"/>
          <w:szCs w:val="12"/>
          <w:color w:val="auto"/>
        </w:rPr>
        <w:t>contract) in order to recover the cost of providing certain employee benefits. Bank owned life insurance is recorded at its cash surrender value or the amount that can be currently realized.</w:t>
      </w:r>
    </w:p>
    <w:p>
      <w:pPr>
        <w:spacing w:after="0" w:line="115"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i w:val="1"/>
          <w:iCs w:val="1"/>
          <w:color w:val="auto"/>
        </w:rPr>
        <w:t xml:space="preserve">OTHER REAL ESTATE AND REPOSSESSED ASSETS </w:t>
      </w:r>
      <w:r>
        <w:rPr>
          <w:rFonts w:ascii="Arial" w:cs="Arial" w:eastAsia="Arial" w:hAnsi="Arial"/>
          <w:sz w:val="11"/>
          <w:szCs w:val="11"/>
          <w:color w:val="auto"/>
        </w:rPr>
        <w:t>— Other real estate at the time of acquisition is recorded at fair value, less estimated costs to sell, which becomes the property’s new basis. Fair value is typically determined</w:t>
      </w:r>
      <w:r>
        <w:rPr>
          <w:rFonts w:ascii="Arial" w:cs="Arial" w:eastAsia="Arial" w:hAnsi="Arial"/>
          <w:sz w:val="11"/>
          <w:szCs w:val="11"/>
          <w:i w:val="1"/>
          <w:iCs w:val="1"/>
          <w:color w:val="auto"/>
        </w:rPr>
        <w:t xml:space="preserve"> </w:t>
      </w:r>
      <w:r>
        <w:rPr>
          <w:rFonts w:ascii="Arial" w:cs="Arial" w:eastAsia="Arial" w:hAnsi="Arial"/>
          <w:sz w:val="11"/>
          <w:szCs w:val="11"/>
          <w:color w:val="auto"/>
        </w:rPr>
        <w:t>by a third party appraisal of the property. Any write-downs at date of acquisition are charged to the ACL. Expense incurred in maintaining other real estate and subsequent write-downs to reflect declines in value and gains or losses on the sale of other real estate are recorded in non-interest expense in the Consolidated Statements of Operations. Non-real estate repossessed assets are treated in a similar manner.</w:t>
      </w:r>
    </w:p>
    <w:p>
      <w:pPr>
        <w:spacing w:after="0" w:line="105"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i w:val="1"/>
          <w:iCs w:val="1"/>
          <w:color w:val="auto"/>
        </w:rPr>
        <w:t xml:space="preserve">OTHER INTANGIBLES </w:t>
      </w:r>
      <w:r>
        <w:rPr>
          <w:rFonts w:ascii="Arial" w:cs="Arial" w:eastAsia="Arial" w:hAnsi="Arial"/>
          <w:sz w:val="12"/>
          <w:szCs w:val="12"/>
          <w:color w:val="auto"/>
        </w:rPr>
        <w:t>— Other intangible assets consist of core deposits. They are initially measured at fair value and then are amortized on both straight-line and accelerated methods over their estimated useful lives, which</w:t>
      </w:r>
      <w:r>
        <w:rPr>
          <w:rFonts w:ascii="Arial" w:cs="Arial" w:eastAsia="Arial" w:hAnsi="Arial"/>
          <w:sz w:val="12"/>
          <w:szCs w:val="12"/>
          <w:i w:val="1"/>
          <w:iCs w:val="1"/>
          <w:color w:val="auto"/>
        </w:rPr>
        <w:t xml:space="preserve"> </w:t>
      </w:r>
      <w:r>
        <w:rPr>
          <w:rFonts w:ascii="Arial" w:cs="Arial" w:eastAsia="Arial" w:hAnsi="Arial"/>
          <w:sz w:val="12"/>
          <w:szCs w:val="12"/>
          <w:color w:val="auto"/>
        </w:rPr>
        <w:t>range from 10 to 15 years.</w:t>
      </w:r>
    </w:p>
    <w:p>
      <w:pPr>
        <w:spacing w:after="0" w:line="115"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i w:val="1"/>
          <w:iCs w:val="1"/>
          <w:color w:val="auto"/>
        </w:rPr>
        <w:t xml:space="preserve">GOODWILL </w:t>
      </w:r>
      <w:r>
        <w:rPr>
          <w:rFonts w:ascii="Arial" w:cs="Arial" w:eastAsia="Arial" w:hAnsi="Arial"/>
          <w:sz w:val="12"/>
          <w:szCs w:val="12"/>
          <w:color w:val="auto"/>
        </w:rPr>
        <w:t>— Goodwill arises from business combinations and is generally determined as the excess of the fair value of the consideration transferred over the fair value of the net assets acquired and liabilities assumed as of the</w:t>
      </w:r>
      <w:r>
        <w:rPr>
          <w:rFonts w:ascii="Arial" w:cs="Arial" w:eastAsia="Arial" w:hAnsi="Arial"/>
          <w:sz w:val="12"/>
          <w:szCs w:val="12"/>
          <w:i w:val="1"/>
          <w:iCs w:val="1"/>
          <w:color w:val="auto"/>
        </w:rPr>
        <w:t xml:space="preserve"> </w:t>
      </w:r>
      <w:r>
        <w:rPr>
          <w:rFonts w:ascii="Arial" w:cs="Arial" w:eastAsia="Arial" w:hAnsi="Arial"/>
          <w:sz w:val="12"/>
          <w:szCs w:val="12"/>
          <w:color w:val="auto"/>
        </w:rPr>
        <w:t>acquisition date. Goodwill acquired in a purchase business combination and determined to have an indefinite useful life is not amortized, but tested for impairment at least annually or more frequently if events and circumstances exists that indicate that a goodwill impairment test should be performed. We have selected December 31 as the date to perform the annual impairment test. Goodwill is the only intangible asset with an indefinite life on our Consolidated Statements of Financial Condition.</w:t>
      </w:r>
    </w:p>
    <w:p>
      <w:pPr>
        <w:spacing w:after="0" w:line="124"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i w:val="1"/>
          <w:iCs w:val="1"/>
          <w:color w:val="auto"/>
        </w:rPr>
        <w:t xml:space="preserve">INCOME TAXES </w:t>
      </w:r>
      <w:r>
        <w:rPr>
          <w:rFonts w:ascii="Arial" w:cs="Arial" w:eastAsia="Arial" w:hAnsi="Arial"/>
          <w:sz w:val="12"/>
          <w:szCs w:val="12"/>
          <w:color w:val="auto"/>
        </w:rPr>
        <w:t>— We employ the asset and liability method of accounting for income taxes. This method establishes deferred tax assets and liabilities for the temporary differences between the financial reporting basis and the</w:t>
      </w:r>
      <w:r>
        <w:rPr>
          <w:rFonts w:ascii="Arial" w:cs="Arial" w:eastAsia="Arial" w:hAnsi="Arial"/>
          <w:sz w:val="12"/>
          <w:szCs w:val="12"/>
          <w:i w:val="1"/>
          <w:iCs w:val="1"/>
          <w:color w:val="auto"/>
        </w:rPr>
        <w:t xml:space="preserve"> </w:t>
      </w:r>
      <w:r>
        <w:rPr>
          <w:rFonts w:ascii="Arial" w:cs="Arial" w:eastAsia="Arial" w:hAnsi="Arial"/>
          <w:sz w:val="12"/>
          <w:szCs w:val="12"/>
          <w:color w:val="auto"/>
        </w:rPr>
        <w:t>tax basis of our assets and liabilities at tax rates expected to be in effect when such amounts are realized or settled. Under this method, the effect of a change in tax rates is recognized in the period that includes the enactment date. The deferred tax asset is subject to a valuation allowance for that portion of the asset for which it is more likely than not that it will not be realized.</w:t>
      </w:r>
    </w:p>
    <w:p>
      <w:pPr>
        <w:spacing w:after="0" w:line="122"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A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We recognize interest and/or penalties related to income tax matters in income tax expense in the Consolidated Statements of Operations.</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We file a consolidated federal income tax return. Intercompany tax liabilities are settled as if each subsidiary filed a separate return.</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68" w:name="page69"/>
    <w:bookmarkEnd w:id="68"/>
    <w:p>
      <w:pPr>
        <w:jc w:val="center"/>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27"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2"/>
          <w:szCs w:val="12"/>
          <w:i w:val="1"/>
          <w:iCs w:val="1"/>
          <w:color w:val="auto"/>
        </w:rPr>
        <w:t xml:space="preserve">COMMITMENTS TO EXTEND CREDIT AND RELATED FINANCIAL INSTRUMENTS </w:t>
      </w:r>
      <w:r>
        <w:rPr>
          <w:rFonts w:ascii="Arial" w:cs="Arial" w:eastAsia="Arial" w:hAnsi="Arial"/>
          <w:sz w:val="12"/>
          <w:szCs w:val="12"/>
          <w:color w:val="auto"/>
        </w:rPr>
        <w:t>— Financial instruments may include commitments to extend credit and standby letters of credit. Financial instruments involve varying</w:t>
      </w:r>
      <w:r>
        <w:rPr>
          <w:rFonts w:ascii="Arial" w:cs="Arial" w:eastAsia="Arial" w:hAnsi="Arial"/>
          <w:sz w:val="12"/>
          <w:szCs w:val="12"/>
          <w:i w:val="1"/>
          <w:iCs w:val="1"/>
          <w:color w:val="auto"/>
        </w:rPr>
        <w:t xml:space="preserve"> </w:t>
      </w:r>
      <w:r>
        <w:rPr>
          <w:rFonts w:ascii="Arial" w:cs="Arial" w:eastAsia="Arial" w:hAnsi="Arial"/>
          <w:sz w:val="12"/>
          <w:szCs w:val="12"/>
          <w:color w:val="auto"/>
        </w:rPr>
        <w:t>degrees of credit and interest-rate risk in excess of amounts reflected in the Consolidated Statements of Financial Condition. Exposure to credit risk in the event of non-performance by the counterparties to the financial instruments for loan commitments to extend credit and letters of credit is represented by the contractual amounts of those instruments. In general, we use a similar methodology to estimate our liability for these off-balance sheet credit exposures as we do for our ACL. For commercial related commitments, we estimate liability using our loan rating system and for mortgage and installment commitments we estimate liability principally upon historical loss experience. Our estimated liability for off balance sheet commitments is included in accrued expenses and other liabilities in our Consolidated Statements of Financial Condition and any charge or recovery is recorded in non-interest expense – costs related to unfunded lending commitments in our Consolidated Statements of Operations.</w:t>
      </w:r>
    </w:p>
    <w:p>
      <w:pPr>
        <w:spacing w:after="0" w:line="128"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i w:val="1"/>
          <w:iCs w:val="1"/>
          <w:color w:val="auto"/>
        </w:rPr>
        <w:t xml:space="preserve">DERIVATIVE FINANCIAL INSTRUMENTS </w:t>
      </w:r>
      <w:r>
        <w:rPr>
          <w:rFonts w:ascii="Arial" w:cs="Arial" w:eastAsia="Arial" w:hAnsi="Arial"/>
          <w:sz w:val="12"/>
          <w:szCs w:val="12"/>
          <w:color w:val="auto"/>
        </w:rPr>
        <w:t>— We record derivatives on our Consolidated Statements of Financial Condition as assets and liabilities measured at their fair value. The accounting for increases and decreases in the</w:t>
      </w:r>
      <w:r>
        <w:rPr>
          <w:rFonts w:ascii="Arial" w:cs="Arial" w:eastAsia="Arial" w:hAnsi="Arial"/>
          <w:sz w:val="12"/>
          <w:szCs w:val="12"/>
          <w:i w:val="1"/>
          <w:iCs w:val="1"/>
          <w:color w:val="auto"/>
        </w:rPr>
        <w:t xml:space="preserve"> </w:t>
      </w:r>
      <w:r>
        <w:rPr>
          <w:rFonts w:ascii="Arial" w:cs="Arial" w:eastAsia="Arial" w:hAnsi="Arial"/>
          <w:sz w:val="12"/>
          <w:szCs w:val="12"/>
          <w:color w:val="auto"/>
        </w:rPr>
        <w:t>value of derivatives depends upon the use of derivatives and whether the derivatives qualify for hedge accounting.</w:t>
      </w:r>
    </w:p>
    <w:p>
      <w:pPr>
        <w:spacing w:after="0" w:line="115"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1"/>
          <w:szCs w:val="11"/>
          <w:color w:val="auto"/>
        </w:rPr>
        <w:t>At the inception of the derivative we designate the derivative as one of three types based on our intention and belief as to likely effectiveness as a hedge. These three types are (1) a hedge of the fair value of a recognized asset or liability or of an unrecognized firm commitment (‘‘Fair Value Hedge’’), (2) a hedge of a forecasted transaction or the variability of cash flows to be received or paid related to a recognized asset or liability (‘‘Cash Flow Hedge’’), or (3) an instrument with no hedging designation. For a Fair Value Hedge, the gain or loss on the derivative, as well as the offsetting loss or gain on the hedged item, are recognized in interest income in our Consolidated Statements of Operations. For a Cash Flow Hedge, the gain or loss on the derivative is reported in other comprehensive income (loss) and is reclassified into earnings in the same periods during which the hedged transaction affects earnings. For instruments with no hedging designation, the gain or loss on the derivative is reported in earnings. These free standing instruments currently consist of (i) mortgage banking related derivatives and include rate-lock loan commitments to fund mortgage loans (interest rate locks) to be sold into the secondary market and mandatory forward commitments for the future delivery of these mortgage loans, (ii) certain pay-fixed and pay-variable interest rate swap agreements related to commercial loan customers, (iii) certain purchased and written options related to a time deposit product and (iv) swaption agreement related to certain construction loans held for sale. The fair value of rate-lock mortgage loan commitments is based on agency cash window loan pricing for comparable assets and the fair value of mandatory commitments to sell mortgage loans is based on mortgage backed security pricing for comparable assets. We enter into mandatory forward commitments for the future delivery of mortgage loans generally when interest rate locks are entered into in order to hedge the change in interest rates resulting from our commitments to fund the loans. Changes in the fair values of these derivatives are included in net gains on mortgage loans in the Consolidated Statements of Operations. Fair values of the pay-fixed and pay-variable interest rate swap agreements are derived from proprietary models which utilize current market data and are included in net interest income in the Consolidated Statements of Operations. Fair values of the purchased and written options are based on prices of financial instruments with similar characteristics and are included in net interest income in the Consolidated Statements of Operations. Fair values of swaption agreements are derived from proprietary models which utilize current market data and are included in net gains on mortgage loans in the Consolidated Statements of Operations.</w:t>
      </w:r>
    </w:p>
    <w:p>
      <w:pPr>
        <w:spacing w:after="0" w:line="118"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Net cash settlements on derivatives that qualify for hedge accounting are recorded in interest expense in the Consolidated Statements of Operations. Net cash settlements on derivatives that do not qualify for hedge accounting are reported in non-interest income (mortgage banking related derivatives) or net interest income (interest rate swap agreements and options) in the Consolidated Statements of Operations. Cash flows on hedges are classified in the cash flow statement the same as the cash flows of the items being hedged.</w:t>
      </w:r>
    </w:p>
    <w:p>
      <w:pPr>
        <w:spacing w:after="0" w:line="122"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We formally document the relationship between derivatives and hedged items, as well as the risk- management objective and the strategy for undertaking hedge transactions, at the inception of the hedging relationship. This documentation includes linking Fair Value or Cash Flow Hedges to specific assets and liabilities on the Consolidated Statements of Financial Condition or to specific firm commitments or forecasted transactions. We discontinue hedge accounting when it is determined that the derivative is no longer effective in offsetting changes in the fair value or cash flows of the hedged item, the derivative is settled or terminates, a hedged forecasted transaction is no longer probable, a hedged firm commitment is no longer firm, or treatment of the derivative as a hedge is no longer appropriate or intended.</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69" w:name="page70"/>
    <w:bookmarkEnd w:id="69"/>
    <w:p>
      <w:pPr>
        <w:jc w:val="center"/>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27"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When hedge accounting is discontinued, subsequent changes in fair value of the derivative are recorded in earnings. When a Fair Value Hedge is discontinued, the hedged asset or liability is no longer adjusted for changes in fair value and the existing basis adjustment is amortized or accreted over the remaining life of the asset or liability. When a Cash Flow Hedge is discontinued but the hedged cash flows or forecasted transactions are still expected to occur, gains or losses that were accumulated in other comprehensive income (loss) are amortized into earnings over the same periods which the hedged transactions will affect earnings.</w:t>
      </w:r>
    </w:p>
    <w:p>
      <w:pPr>
        <w:spacing w:after="0" w:line="105" w:lineRule="exact"/>
        <w:rPr>
          <w:sz w:val="20"/>
          <w:szCs w:val="20"/>
          <w:color w:val="auto"/>
        </w:rPr>
      </w:pPr>
    </w:p>
    <w:p>
      <w:pPr>
        <w:ind w:left="200"/>
        <w:spacing w:after="0"/>
        <w:rPr>
          <w:sz w:val="20"/>
          <w:szCs w:val="20"/>
          <w:color w:val="auto"/>
        </w:rPr>
      </w:pPr>
      <w:r>
        <w:rPr>
          <w:rFonts w:ascii="Arial" w:cs="Arial" w:eastAsia="Arial" w:hAnsi="Arial"/>
          <w:sz w:val="11"/>
          <w:szCs w:val="11"/>
          <w:i w:val="1"/>
          <w:iCs w:val="1"/>
          <w:color w:val="auto"/>
        </w:rPr>
        <w:t xml:space="preserve">COMPREHENSIVE INCOME </w:t>
      </w:r>
      <w:r>
        <w:rPr>
          <w:rFonts w:ascii="Arial" w:cs="Arial" w:eastAsia="Arial" w:hAnsi="Arial"/>
          <w:sz w:val="11"/>
          <w:szCs w:val="11"/>
          <w:color w:val="auto"/>
        </w:rPr>
        <w:t>— Comprehensive income consists of net income and unrealized gains and losses, net of tax, on securities available for sale and derivative instruments classified as cash flow hedges.</w:t>
      </w:r>
    </w:p>
    <w:p>
      <w:pPr>
        <w:spacing w:after="0" w:line="162"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i w:val="1"/>
          <w:iCs w:val="1"/>
          <w:color w:val="auto"/>
        </w:rPr>
        <w:t xml:space="preserve">NET INCOME PER COMMON SHARE </w:t>
      </w:r>
      <w:r>
        <w:rPr>
          <w:rFonts w:ascii="Arial" w:cs="Arial" w:eastAsia="Arial" w:hAnsi="Arial"/>
          <w:sz w:val="12"/>
          <w:szCs w:val="12"/>
          <w:color w:val="auto"/>
        </w:rPr>
        <w:t>— Basic net income per common share is computed by dividing net income by the weighted average number of common shares outstanding during the period and participating share awards.</w:t>
      </w:r>
      <w:r>
        <w:rPr>
          <w:rFonts w:ascii="Arial" w:cs="Arial" w:eastAsia="Arial" w:hAnsi="Arial"/>
          <w:sz w:val="12"/>
          <w:szCs w:val="12"/>
          <w:i w:val="1"/>
          <w:iCs w:val="1"/>
          <w:color w:val="auto"/>
        </w:rPr>
        <w:t xml:space="preserve"> </w:t>
      </w:r>
      <w:r>
        <w:rPr>
          <w:rFonts w:ascii="Arial" w:cs="Arial" w:eastAsia="Arial" w:hAnsi="Arial"/>
          <w:sz w:val="12"/>
          <w:szCs w:val="12"/>
          <w:color w:val="auto"/>
        </w:rPr>
        <w:t>All outstanding unvested share-based payment awards that contain rights to nonforfeitable dividends are considered participating securities for this calculation. For diluted net income per common share, net income is divided by the weighted average number of common shares outstanding during the period plus the assumed exercise of stock options, restricted stock units, performance share units and stock units for a deferred compensation plan for non-employee directors.</w:t>
      </w:r>
    </w:p>
    <w:p>
      <w:pPr>
        <w:spacing w:after="0" w:line="124"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i w:val="1"/>
          <w:iCs w:val="1"/>
          <w:color w:val="auto"/>
        </w:rPr>
        <w:t xml:space="preserve">SHARE BASED COMPENSATION </w:t>
      </w:r>
      <w:r>
        <w:rPr>
          <w:rFonts w:ascii="Arial" w:cs="Arial" w:eastAsia="Arial" w:hAnsi="Arial"/>
          <w:sz w:val="12"/>
          <w:szCs w:val="12"/>
          <w:color w:val="auto"/>
        </w:rPr>
        <w:t>— Cost is recognized for non-vested share awards issued to employees based on the fair value of these awards at the date of grant. A simulation analysis which considers potential outcomes for a</w:t>
      </w:r>
      <w:r>
        <w:rPr>
          <w:rFonts w:ascii="Arial" w:cs="Arial" w:eastAsia="Arial" w:hAnsi="Arial"/>
          <w:sz w:val="12"/>
          <w:szCs w:val="12"/>
          <w:i w:val="1"/>
          <w:iCs w:val="1"/>
          <w:color w:val="auto"/>
        </w:rPr>
        <w:t xml:space="preserve"> </w:t>
      </w:r>
      <w:r>
        <w:rPr>
          <w:rFonts w:ascii="Arial" w:cs="Arial" w:eastAsia="Arial" w:hAnsi="Arial"/>
          <w:sz w:val="12"/>
          <w:szCs w:val="12"/>
          <w:color w:val="auto"/>
        </w:rPr>
        <w:t>large number of independent scenarios is utilized to estimate the fair value of performance share units and the market price of our common stock at the date of grant is used for other non-vested share awards. Cost is recognized over the required service period, generally defined as the vesting period. Forfeitures are recognized as they occur. Cost is also recognized for stock issued to non-employee directors. These shares vest immediately and cost is recognized during the period they are issued.</w:t>
      </w:r>
    </w:p>
    <w:p>
      <w:pPr>
        <w:spacing w:after="0" w:line="124"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i w:val="1"/>
          <w:iCs w:val="1"/>
          <w:color w:val="auto"/>
        </w:rPr>
        <w:t xml:space="preserve">COMMON STOCK </w:t>
      </w:r>
      <w:r>
        <w:rPr>
          <w:rFonts w:ascii="Arial" w:cs="Arial" w:eastAsia="Arial" w:hAnsi="Arial"/>
          <w:sz w:val="12"/>
          <w:szCs w:val="12"/>
          <w:color w:val="auto"/>
        </w:rPr>
        <w:t>— At December 31, 2021, 0.1 million shares of common stock were reserved for issuance under the dividend reinvestment plan and 0.8 million shares of common stock were reserved for issuance under our</w:t>
      </w:r>
      <w:r>
        <w:rPr>
          <w:rFonts w:ascii="Arial" w:cs="Arial" w:eastAsia="Arial" w:hAnsi="Arial"/>
          <w:sz w:val="12"/>
          <w:szCs w:val="12"/>
          <w:i w:val="1"/>
          <w:iCs w:val="1"/>
          <w:color w:val="auto"/>
        </w:rPr>
        <w:t xml:space="preserve"> </w:t>
      </w:r>
      <w:r>
        <w:rPr>
          <w:rFonts w:ascii="Arial" w:cs="Arial" w:eastAsia="Arial" w:hAnsi="Arial"/>
          <w:sz w:val="12"/>
          <w:szCs w:val="12"/>
          <w:color w:val="auto"/>
        </w:rPr>
        <w:t>long-term incentive plans.</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 xml:space="preserve">RECLASSIFICATION </w:t>
      </w:r>
      <w:r>
        <w:rPr>
          <w:rFonts w:ascii="Arial" w:cs="Arial" w:eastAsia="Arial" w:hAnsi="Arial"/>
          <w:sz w:val="12"/>
          <w:szCs w:val="12"/>
          <w:color w:val="auto"/>
        </w:rPr>
        <w:t>— Certain amounts in the 2020 and 2019 consolidated financial statements have been reclassified to conform to the 2021 presentation.</w:t>
      </w:r>
    </w:p>
    <w:p>
      <w:pPr>
        <w:spacing w:after="0" w:line="150"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i w:val="1"/>
          <w:iCs w:val="1"/>
          <w:color w:val="auto"/>
        </w:rPr>
        <w:t xml:space="preserve">ADOPTION OF NEW ACCOUNTING STANDARDS </w:t>
      </w:r>
      <w:r>
        <w:rPr>
          <w:rFonts w:ascii="Arial" w:cs="Arial" w:eastAsia="Arial" w:hAnsi="Arial"/>
          <w:sz w:val="12"/>
          <w:szCs w:val="12"/>
          <w:color w:val="auto"/>
        </w:rPr>
        <w:t>— In June 2016, the Financial Accounting Standards Board (“FASB”) issued Accounting Standards Update (“ASU”) 2016-13, ‘‘Financial Instruments — Credit Losses (Topic</w:t>
      </w:r>
      <w:r>
        <w:rPr>
          <w:rFonts w:ascii="Arial" w:cs="Arial" w:eastAsia="Arial" w:hAnsi="Arial"/>
          <w:sz w:val="12"/>
          <w:szCs w:val="12"/>
          <w:i w:val="1"/>
          <w:iCs w:val="1"/>
          <w:color w:val="auto"/>
        </w:rPr>
        <w:t xml:space="preserve"> </w:t>
      </w:r>
      <w:r>
        <w:rPr>
          <w:rFonts w:ascii="Arial" w:cs="Arial" w:eastAsia="Arial" w:hAnsi="Arial"/>
          <w:sz w:val="12"/>
          <w:szCs w:val="12"/>
          <w:color w:val="auto"/>
        </w:rPr>
        <w:t>326), Measurement of Credit Losses on Financial Instruments’’. This ASU significantly changes how entities will measure credit losses for most financial assets and certain other instruments that are not measured at fair value through net income. This ASU:</w:t>
      </w:r>
    </w:p>
    <w:p>
      <w:pPr>
        <w:spacing w:after="0" w:line="122" w:lineRule="exact"/>
        <w:rPr>
          <w:sz w:val="20"/>
          <w:szCs w:val="20"/>
          <w:color w:val="auto"/>
        </w:rPr>
      </w:pPr>
    </w:p>
    <w:p>
      <w:pPr>
        <w:ind w:left="420" w:right="20" w:hanging="212"/>
        <w:spacing w:after="0" w:line="276" w:lineRule="auto"/>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Replaces the existing incurred loss impairment guidance and establishes a single allowance framework for financial assets carried at amortized cost, which will reflect our estimate of credit losses over the full remaining expected life of the financial assets and will consider expected future changes in macroeconomic conditions.</w:t>
      </w:r>
    </w:p>
    <w:p>
      <w:pPr>
        <w:spacing w:after="0" w:line="114" w:lineRule="exact"/>
        <w:rPr>
          <w:rFonts w:ascii="Arial" w:cs="Arial" w:eastAsia="Arial" w:hAnsi="Arial"/>
          <w:sz w:val="12"/>
          <w:szCs w:val="12"/>
          <w:color w:val="auto"/>
        </w:rPr>
      </w:pPr>
    </w:p>
    <w:p>
      <w:pPr>
        <w:ind w:left="420" w:hanging="212"/>
        <w:spacing w:after="0" w:line="276" w:lineRule="auto"/>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Eliminates existing guidance for purchase credit impaired (‘‘PCI’’) loans, and requires recognition of the nonaccretable difference as an increase to the allowance for expected credit losses on financial assets purchased with more than insignificant credit deterioration since origination, which will be offset by an increase in the recorded investment of the related loans.</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Requires inclusion of expected recoveries, limited to the cumulative amount of prior write-offs, when estimating the ACL for in scope financial assets (including collateral dependent assets).</w:t>
      </w:r>
    </w:p>
    <w:p>
      <w:pPr>
        <w:spacing w:after="0" w:line="150" w:lineRule="exact"/>
        <w:rPr>
          <w:rFonts w:ascii="Arial" w:cs="Arial" w:eastAsia="Arial" w:hAnsi="Arial"/>
          <w:sz w:val="12"/>
          <w:szCs w:val="12"/>
          <w:color w:val="auto"/>
        </w:rPr>
      </w:pPr>
    </w:p>
    <w:p>
      <w:pPr>
        <w:ind w:left="420" w:hanging="212"/>
        <w:spacing w:after="0" w:line="276" w:lineRule="auto"/>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Amends existing impairment guidance for securities available for sale to incorporate an allowance, which will allow for reversals of credit impairments in the event that the credit of an issuer improves. Credit losses on securities available for sale are limited to the amount of the decline in fair value regardless of what the credit loss model would show for impairment.</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Generally requires a cumulative-effect adjustment to retained earnings as of the beginning of the reporting period of adoption.</w:t>
      </w:r>
    </w:p>
    <w:p>
      <w:pPr>
        <w:spacing w:after="0" w:line="150"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We were originally required to adopt this ASU on January 1, 2020 but section 4014 of the CARES Act allowed for temporary relief from applying this ASU. Under the amended CARES Act we were allowed to delay the adoption of this ASU until the earlier of the termination of the national emergency that was declared on March 13, 2020, or January 1, 2022. Early adoption was also allowed on either January 1, 2020 or January 1, 2021. As such, we chose to delay the adoption of this ASU during 2020 and adopted this ASU on January 1, 2021. Results for the reporting periods after January 1, 2021 are presented under this new ASU while prior period amounts continue to be reported in accordance with previously applicable accounting guidance.</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70" w:name="page71"/>
    <w:bookmarkEnd w:id="70"/>
    <w:p>
      <w:pPr>
        <w:jc w:val="center"/>
        <w:ind w:right="-59"/>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27" w:lineRule="exact"/>
        <w:rPr>
          <w:sz w:val="20"/>
          <w:szCs w:val="20"/>
          <w:color w:val="auto"/>
        </w:rPr>
      </w:pPr>
    </w:p>
    <w:p>
      <w:pPr>
        <w:jc w:val="both"/>
        <w:ind w:left="80" w:firstLine="216"/>
        <w:spacing w:after="0" w:line="263" w:lineRule="auto"/>
        <w:rPr>
          <w:sz w:val="20"/>
          <w:szCs w:val="20"/>
          <w:color w:val="auto"/>
        </w:rPr>
      </w:pPr>
      <w:r>
        <w:rPr>
          <w:rFonts w:ascii="Arial" w:cs="Arial" w:eastAsia="Arial" w:hAnsi="Arial"/>
          <w:sz w:val="12"/>
          <w:szCs w:val="12"/>
          <w:color w:val="auto"/>
        </w:rPr>
        <w:t>We adopted this ASU using the modified retrospective method for all financial assets measured at amortized cost and unfunded lending commitments. As of January 1, 2021 we increased the ACL by $11.7 million which was primarily driven by the longer contractual maturities of our mortgage and installment loan portfolio segments. In addition, we increased the allowance for losses related to unfunded loan commitments by $1.5 million. As of January 1, 2021, we recorded a cumulative-effect adjustment, net of tax, of $10.3 million to decrease retained earnings.</w:t>
      </w:r>
    </w:p>
    <w:p>
      <w:pPr>
        <w:spacing w:after="0" w:line="122" w:lineRule="exact"/>
        <w:rPr>
          <w:sz w:val="20"/>
          <w:szCs w:val="20"/>
          <w:color w:val="auto"/>
        </w:rPr>
      </w:pPr>
    </w:p>
    <w:p>
      <w:pPr>
        <w:ind w:left="280"/>
        <w:spacing w:after="0"/>
        <w:rPr>
          <w:sz w:val="20"/>
          <w:szCs w:val="20"/>
          <w:color w:val="auto"/>
        </w:rPr>
      </w:pPr>
      <w:r>
        <w:rPr>
          <w:rFonts w:ascii="Arial" w:cs="Arial" w:eastAsia="Arial" w:hAnsi="Arial"/>
          <w:sz w:val="12"/>
          <w:szCs w:val="12"/>
          <w:color w:val="auto"/>
        </w:rPr>
        <w:t>Based on our evaluation of securities available for sale, we did not record an ACL on these securities under this ASU.</w:t>
      </w:r>
    </w:p>
    <w:p>
      <w:pPr>
        <w:spacing w:after="0" w:line="150" w:lineRule="exact"/>
        <w:rPr>
          <w:sz w:val="20"/>
          <w:szCs w:val="20"/>
          <w:color w:val="auto"/>
        </w:rPr>
      </w:pPr>
    </w:p>
    <w:p>
      <w:pPr>
        <w:jc w:val="both"/>
        <w:ind w:left="80" w:firstLine="216"/>
        <w:spacing w:after="0" w:line="259" w:lineRule="auto"/>
        <w:rPr>
          <w:sz w:val="20"/>
          <w:szCs w:val="20"/>
          <w:color w:val="auto"/>
        </w:rPr>
      </w:pPr>
      <w:r>
        <w:rPr>
          <w:rFonts w:ascii="Arial" w:cs="Arial" w:eastAsia="Arial" w:hAnsi="Arial"/>
          <w:sz w:val="12"/>
          <w:szCs w:val="12"/>
          <w:color w:val="auto"/>
        </w:rPr>
        <w:t>We adopted this ASU using the prospective transition approach for financial assets purchased with credit deterioration (“PCD”) that were previously classified as PCI and accounted for under accounting standards codification (“ASC”) 310-30. In accordance with this ASU, we did not reassess whether PCI assets met the definition of PCD assets as of the date of adoption. On January 1, 2021, the amortized cost basis of the PCD assets were adjusted to reflect the addition of $0.13 million to the ACL for loans. The remaining noncredit discount in the amount of $0.34 million (based on the adjusted amortized cost basis) will be accreted into interest income at the effective interest rate as of January 1, 2021.</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0" w:type="dxa"/>
            <w:vAlign w:val="bottom"/>
          </w:tcPr>
          <w:p>
            <w:pPr>
              <w:spacing w:after="0"/>
              <w:rPr>
                <w:sz w:val="13"/>
                <w:szCs w:val="13"/>
                <w:color w:val="auto"/>
              </w:rPr>
            </w:pPr>
          </w:p>
        </w:tc>
        <w:tc>
          <w:tcPr>
            <w:tcW w:w="5160" w:type="dxa"/>
            <w:vAlign w:val="bottom"/>
          </w:tcPr>
          <w:p>
            <w:pPr>
              <w:ind w:left="200"/>
              <w:spacing w:after="0"/>
              <w:rPr>
                <w:sz w:val="20"/>
                <w:szCs w:val="20"/>
                <w:color w:val="auto"/>
              </w:rPr>
            </w:pPr>
            <w:r>
              <w:rPr>
                <w:rFonts w:ascii="Arial" w:cs="Arial" w:eastAsia="Arial" w:hAnsi="Arial"/>
                <w:sz w:val="12"/>
                <w:szCs w:val="12"/>
                <w:color w:val="auto"/>
              </w:rPr>
              <w:t>The impact of the adoption of this ASU follows:</w:t>
            </w:r>
          </w:p>
        </w:tc>
        <w:tc>
          <w:tcPr>
            <w:tcW w:w="2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9"/>
        </w:trPr>
        <w:tc>
          <w:tcPr>
            <w:tcW w:w="8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20" w:type="dxa"/>
            <w:vAlign w:val="bottom"/>
          </w:tcPr>
          <w:p>
            <w:pPr>
              <w:jc w:val="center"/>
              <w:ind w:right="120"/>
              <w:spacing w:after="0"/>
              <w:rPr>
                <w:sz w:val="20"/>
                <w:szCs w:val="20"/>
                <w:color w:val="auto"/>
              </w:rPr>
            </w:pPr>
            <w:r>
              <w:rPr>
                <w:rFonts w:ascii="Arial" w:cs="Arial" w:eastAsia="Arial" w:hAnsi="Arial"/>
                <w:sz w:val="12"/>
                <w:szCs w:val="12"/>
                <w:color w:val="auto"/>
                <w:w w:val="89"/>
              </w:rPr>
              <w:t>As Reported</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8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220" w:type="dxa"/>
            <w:vAlign w:val="bottom"/>
          </w:tcPr>
          <w:p>
            <w:pPr>
              <w:jc w:val="center"/>
              <w:ind w:right="100"/>
              <w:spacing w:after="0"/>
              <w:rPr>
                <w:sz w:val="20"/>
                <w:szCs w:val="20"/>
                <w:color w:val="auto"/>
              </w:rPr>
            </w:pPr>
            <w:r>
              <w:rPr>
                <w:rFonts w:ascii="Arial" w:cs="Arial" w:eastAsia="Arial" w:hAnsi="Arial"/>
                <w:sz w:val="12"/>
                <w:szCs w:val="12"/>
                <w:color w:val="auto"/>
                <w:w w:val="91"/>
              </w:rPr>
              <w:t>Under</w:t>
            </w:r>
          </w:p>
        </w:tc>
        <w:tc>
          <w:tcPr>
            <w:tcW w:w="160" w:type="dxa"/>
            <w:vAlign w:val="bottom"/>
          </w:tcPr>
          <w:p>
            <w:pPr>
              <w:spacing w:after="0"/>
              <w:rPr>
                <w:sz w:val="12"/>
                <w:szCs w:val="12"/>
                <w:color w:val="auto"/>
              </w:rPr>
            </w:pPr>
          </w:p>
        </w:tc>
        <w:tc>
          <w:tcPr>
            <w:tcW w:w="1180" w:type="dxa"/>
            <w:vAlign w:val="bottom"/>
          </w:tcPr>
          <w:p>
            <w:pPr>
              <w:jc w:val="center"/>
              <w:ind w:right="100"/>
              <w:spacing w:after="0"/>
              <w:rPr>
                <w:sz w:val="20"/>
                <w:szCs w:val="20"/>
                <w:color w:val="auto"/>
              </w:rPr>
            </w:pPr>
            <w:r>
              <w:rPr>
                <w:rFonts w:ascii="Arial" w:cs="Arial" w:eastAsia="Arial" w:hAnsi="Arial"/>
                <w:sz w:val="12"/>
                <w:szCs w:val="12"/>
                <w:color w:val="auto"/>
                <w:w w:val="90"/>
              </w:rPr>
              <w:t>Pre-ASU 2016-13</w:t>
            </w:r>
          </w:p>
        </w:tc>
        <w:tc>
          <w:tcPr>
            <w:tcW w:w="160" w:type="dxa"/>
            <w:vAlign w:val="bottom"/>
          </w:tcPr>
          <w:p>
            <w:pPr>
              <w:spacing w:after="0"/>
              <w:rPr>
                <w:sz w:val="12"/>
                <w:szCs w:val="12"/>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2"/>
                <w:szCs w:val="12"/>
                <w:color w:val="auto"/>
              </w:rPr>
              <w:t>Impact of</w:t>
            </w: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220" w:type="dxa"/>
            <w:vAlign w:val="bottom"/>
          </w:tcPr>
          <w:p>
            <w:pPr>
              <w:jc w:val="center"/>
              <w:ind w:right="120"/>
              <w:spacing w:after="0"/>
              <w:rPr>
                <w:sz w:val="20"/>
                <w:szCs w:val="20"/>
                <w:color w:val="auto"/>
              </w:rPr>
            </w:pPr>
            <w:r>
              <w:rPr>
                <w:rFonts w:ascii="Arial" w:cs="Arial" w:eastAsia="Arial" w:hAnsi="Arial"/>
                <w:sz w:val="12"/>
                <w:szCs w:val="12"/>
                <w:color w:val="auto"/>
                <w:w w:val="94"/>
              </w:rPr>
              <w:t>ASU 2016-13</w:t>
            </w:r>
          </w:p>
        </w:tc>
        <w:tc>
          <w:tcPr>
            <w:tcW w:w="160" w:type="dxa"/>
            <w:vAlign w:val="bottom"/>
          </w:tcPr>
          <w:p>
            <w:pPr>
              <w:spacing w:after="0"/>
              <w:rPr>
                <w:sz w:val="13"/>
                <w:szCs w:val="13"/>
                <w:color w:val="auto"/>
              </w:rPr>
            </w:pPr>
          </w:p>
        </w:tc>
        <w:tc>
          <w:tcPr>
            <w:tcW w:w="1180" w:type="dxa"/>
            <w:vAlign w:val="bottom"/>
          </w:tcPr>
          <w:p>
            <w:pPr>
              <w:jc w:val="center"/>
              <w:ind w:right="100"/>
              <w:spacing w:after="0"/>
              <w:rPr>
                <w:sz w:val="20"/>
                <w:szCs w:val="20"/>
                <w:color w:val="auto"/>
              </w:rPr>
            </w:pPr>
            <w:r>
              <w:rPr>
                <w:rFonts w:ascii="Arial" w:cs="Arial" w:eastAsia="Arial" w:hAnsi="Arial"/>
                <w:sz w:val="12"/>
                <w:szCs w:val="12"/>
                <w:color w:val="auto"/>
                <w:w w:val="97"/>
              </w:rPr>
              <w:t>Adoption</w:t>
            </w:r>
          </w:p>
        </w:tc>
        <w:tc>
          <w:tcPr>
            <w:tcW w:w="160" w:type="dxa"/>
            <w:vAlign w:val="bottom"/>
          </w:tcPr>
          <w:p>
            <w:pPr>
              <w:spacing w:after="0"/>
              <w:rPr>
                <w:sz w:val="13"/>
                <w:szCs w:val="13"/>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2"/>
                <w:szCs w:val="12"/>
                <w:color w:val="auto"/>
              </w:rPr>
              <w:t>ASU 2016-13</w:t>
            </w:r>
          </w:p>
        </w:tc>
        <w:tc>
          <w:tcPr>
            <w:tcW w:w="0" w:type="dxa"/>
            <w:vAlign w:val="bottom"/>
          </w:tcPr>
          <w:p>
            <w:pPr>
              <w:spacing w:after="0"/>
              <w:rPr>
                <w:sz w:val="1"/>
                <w:szCs w:val="1"/>
                <w:color w:val="auto"/>
              </w:rPr>
            </w:pPr>
          </w:p>
        </w:tc>
      </w:tr>
      <w:tr>
        <w:trPr>
          <w:trHeight w:val="151"/>
        </w:trPr>
        <w:tc>
          <w:tcPr>
            <w:tcW w:w="5240" w:type="dxa"/>
            <w:vAlign w:val="bottom"/>
            <w:gridSpan w:val="2"/>
            <w:vMerge w:val="restart"/>
          </w:tcPr>
          <w:p>
            <w:pPr>
              <w:spacing w:after="0"/>
              <w:rPr>
                <w:sz w:val="20"/>
                <w:szCs w:val="20"/>
                <w:color w:val="auto"/>
              </w:rPr>
            </w:pPr>
            <w:r>
              <w:rPr>
                <w:rFonts w:ascii="Arial" w:cs="Arial" w:eastAsia="Arial" w:hAnsi="Arial"/>
                <w:sz w:val="12"/>
                <w:szCs w:val="12"/>
                <w:color w:val="auto"/>
              </w:rPr>
              <w:t>Assets</w:t>
            </w:r>
          </w:p>
        </w:tc>
        <w:tc>
          <w:tcPr>
            <w:tcW w:w="2180" w:type="dxa"/>
            <w:vAlign w:val="bottom"/>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Borders>
              <w:top w:val="single" w:sz="8" w:color="auto"/>
            </w:tcBorders>
          </w:tcPr>
          <w:p>
            <w:pPr>
              <w:jc w:val="center"/>
              <w:ind w:right="100"/>
              <w:spacing w:after="0"/>
              <w:rPr>
                <w:sz w:val="20"/>
                <w:szCs w:val="20"/>
                <w:color w:val="auto"/>
              </w:rPr>
            </w:pPr>
            <w:r>
              <w:rPr>
                <w:rFonts w:ascii="Arial" w:cs="Arial" w:eastAsia="Arial" w:hAnsi="Arial"/>
                <w:sz w:val="12"/>
                <w:szCs w:val="12"/>
                <w:color w:val="auto"/>
                <w:w w:val="91"/>
              </w:rPr>
              <w:t>(In thousands)</w:t>
            </w:r>
          </w:p>
        </w:tc>
        <w:tc>
          <w:tcPr>
            <w:tcW w:w="16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5240" w:type="dxa"/>
            <w:vAlign w:val="bottom"/>
            <w:gridSpan w:val="2"/>
            <w:vMerge w:val="continue"/>
          </w:tcPr>
          <w:p>
            <w:pPr>
              <w:spacing w:after="0"/>
              <w:rPr>
                <w:sz w:val="10"/>
                <w:szCs w:val="10"/>
                <w:color w:val="auto"/>
              </w:rPr>
            </w:pPr>
          </w:p>
        </w:tc>
        <w:tc>
          <w:tcPr>
            <w:tcW w:w="2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5240" w:type="dxa"/>
            <w:vAlign w:val="bottom"/>
            <w:gridSpan w:val="2"/>
          </w:tcPr>
          <w:p>
            <w:pPr>
              <w:spacing w:after="0"/>
              <w:rPr>
                <w:sz w:val="20"/>
                <w:szCs w:val="20"/>
                <w:color w:val="auto"/>
              </w:rPr>
            </w:pPr>
            <w:r>
              <w:rPr>
                <w:rFonts w:ascii="Arial" w:cs="Arial" w:eastAsia="Arial" w:hAnsi="Arial"/>
                <w:sz w:val="12"/>
                <w:szCs w:val="12"/>
                <w:color w:val="auto"/>
              </w:rPr>
              <w:t>Loans</w:t>
            </w:r>
          </w:p>
        </w:tc>
        <w:tc>
          <w:tcPr>
            <w:tcW w:w="2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80" w:type="dxa"/>
            <w:vAlign w:val="bottom"/>
          </w:tcPr>
          <w:p>
            <w:pPr>
              <w:spacing w:after="0"/>
              <w:rPr>
                <w:sz w:val="12"/>
                <w:szCs w:val="12"/>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2"/>
                <w:szCs w:val="12"/>
                <w:color w:val="auto"/>
              </w:rPr>
              <w:t>Commercial</w:t>
            </w:r>
          </w:p>
        </w:tc>
        <w:tc>
          <w:tcPr>
            <w:tcW w:w="2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2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rPr>
              <w:t>1,242,510</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1,242,415</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95</w:t>
            </w:r>
          </w:p>
        </w:tc>
        <w:tc>
          <w:tcPr>
            <w:tcW w:w="0" w:type="dxa"/>
            <w:vAlign w:val="bottom"/>
          </w:tcPr>
          <w:p>
            <w:pPr>
              <w:spacing w:after="0"/>
              <w:rPr>
                <w:sz w:val="1"/>
                <w:szCs w:val="1"/>
                <w:color w:val="auto"/>
              </w:rPr>
            </w:pPr>
          </w:p>
        </w:tc>
      </w:tr>
      <w:tr>
        <w:trPr>
          <w:trHeight w:val="144"/>
        </w:trPr>
        <w:tc>
          <w:tcPr>
            <w:tcW w:w="80" w:type="dxa"/>
            <w:vAlign w:val="bottom"/>
          </w:tcPr>
          <w:p>
            <w:pPr>
              <w:spacing w:after="0"/>
              <w:rPr>
                <w:sz w:val="12"/>
                <w:szCs w:val="12"/>
                <w:color w:val="auto"/>
              </w:rPr>
            </w:pPr>
          </w:p>
        </w:tc>
        <w:tc>
          <w:tcPr>
            <w:tcW w:w="5160" w:type="dxa"/>
            <w:vAlign w:val="bottom"/>
          </w:tcPr>
          <w:p>
            <w:pPr>
              <w:spacing w:after="0"/>
              <w:rPr>
                <w:sz w:val="20"/>
                <w:szCs w:val="20"/>
                <w:color w:val="auto"/>
              </w:rPr>
            </w:pPr>
            <w:r>
              <w:rPr>
                <w:rFonts w:ascii="Arial" w:cs="Arial" w:eastAsia="Arial" w:hAnsi="Arial"/>
                <w:sz w:val="12"/>
                <w:szCs w:val="12"/>
                <w:color w:val="auto"/>
              </w:rPr>
              <w:t>Mortgage</w:t>
            </w:r>
          </w:p>
        </w:tc>
        <w:tc>
          <w:tcPr>
            <w:tcW w:w="2180" w:type="dxa"/>
            <w:vAlign w:val="bottom"/>
          </w:tcPr>
          <w:p>
            <w:pPr>
              <w:spacing w:after="0"/>
              <w:rPr>
                <w:sz w:val="12"/>
                <w:szCs w:val="12"/>
                <w:color w:val="auto"/>
              </w:rPr>
            </w:pPr>
          </w:p>
        </w:tc>
        <w:tc>
          <w:tcPr>
            <w:tcW w:w="1220" w:type="dxa"/>
            <w:vAlign w:val="bottom"/>
          </w:tcPr>
          <w:p>
            <w:pPr>
              <w:jc w:val="right"/>
              <w:ind w:right="20"/>
              <w:spacing w:after="0"/>
              <w:rPr>
                <w:sz w:val="20"/>
                <w:szCs w:val="20"/>
                <w:color w:val="auto"/>
              </w:rPr>
            </w:pPr>
            <w:r>
              <w:rPr>
                <w:rFonts w:ascii="Arial" w:cs="Arial" w:eastAsia="Arial" w:hAnsi="Arial"/>
                <w:sz w:val="12"/>
                <w:szCs w:val="12"/>
                <w:color w:val="auto"/>
              </w:rPr>
              <w:t>1,015,944</w:t>
            </w:r>
          </w:p>
        </w:tc>
        <w:tc>
          <w:tcPr>
            <w:tcW w:w="16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1,015,926</w:t>
            </w:r>
          </w:p>
        </w:tc>
        <w:tc>
          <w:tcPr>
            <w:tcW w:w="16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18</w:t>
            </w:r>
          </w:p>
        </w:tc>
        <w:tc>
          <w:tcPr>
            <w:tcW w:w="0" w:type="dxa"/>
            <w:vAlign w:val="bottom"/>
          </w:tcPr>
          <w:p>
            <w:pPr>
              <w:spacing w:after="0"/>
              <w:rPr>
                <w:sz w:val="1"/>
                <w:szCs w:val="1"/>
                <w:color w:val="auto"/>
              </w:rPr>
            </w:pPr>
          </w:p>
        </w:tc>
      </w:tr>
      <w:tr>
        <w:trPr>
          <w:trHeight w:val="144"/>
        </w:trPr>
        <w:tc>
          <w:tcPr>
            <w:tcW w:w="80" w:type="dxa"/>
            <w:vAlign w:val="bottom"/>
          </w:tcPr>
          <w:p>
            <w:pPr>
              <w:spacing w:after="0"/>
              <w:rPr>
                <w:sz w:val="12"/>
                <w:szCs w:val="12"/>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2"/>
                <w:szCs w:val="12"/>
                <w:color w:val="auto"/>
              </w:rPr>
              <w:t>nstallment</w:t>
            </w:r>
          </w:p>
        </w:tc>
        <w:tc>
          <w:tcPr>
            <w:tcW w:w="2180" w:type="dxa"/>
            <w:vAlign w:val="bottom"/>
            <w:shd w:val="clear" w:color="auto" w:fill="CCEEFF"/>
          </w:tcPr>
          <w:p>
            <w:pPr>
              <w:spacing w:after="0"/>
              <w:rPr>
                <w:sz w:val="12"/>
                <w:szCs w:val="12"/>
                <w:color w:val="auto"/>
              </w:rPr>
            </w:pPr>
          </w:p>
        </w:tc>
        <w:tc>
          <w:tcPr>
            <w:tcW w:w="122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rPr>
              <w:t>475,358</w:t>
            </w:r>
          </w:p>
        </w:tc>
        <w:tc>
          <w:tcPr>
            <w:tcW w:w="160" w:type="dxa"/>
            <w:vAlign w:val="bottom"/>
            <w:shd w:val="clear" w:color="auto" w:fill="CCEEFF"/>
          </w:tcPr>
          <w:p>
            <w:pPr>
              <w:spacing w:after="0"/>
              <w:rPr>
                <w:sz w:val="12"/>
                <w:szCs w:val="12"/>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475,337</w:t>
            </w: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21</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160" w:type="dxa"/>
            <w:vAlign w:val="bottom"/>
            <w:shd w:val="clear" w:color="auto" w:fill="CCEEFF"/>
          </w:tcPr>
          <w:p>
            <w:pPr>
              <w:spacing w:after="0" w:line="20" w:lineRule="exact"/>
              <w:rPr>
                <w:sz w:val="1"/>
                <w:szCs w:val="1"/>
                <w:color w:val="auto"/>
              </w:rPr>
            </w:pPr>
          </w:p>
        </w:tc>
        <w:tc>
          <w:tcPr>
            <w:tcW w:w="2180" w:type="dxa"/>
            <w:vAlign w:val="bottom"/>
            <w:shd w:val="clear" w:color="auto" w:fill="CCEEFF"/>
          </w:tcPr>
          <w:p>
            <w:pPr>
              <w:spacing w:after="0" w:line="20" w:lineRule="exact"/>
              <w:rPr>
                <w:sz w:val="1"/>
                <w:szCs w:val="1"/>
                <w:color w:val="auto"/>
              </w:rPr>
            </w:pPr>
          </w:p>
        </w:tc>
        <w:tc>
          <w:tcPr>
            <w:tcW w:w="12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240" w:type="dxa"/>
            <w:vAlign w:val="bottom"/>
            <w:gridSpan w:val="2"/>
          </w:tcPr>
          <w:p>
            <w:pPr>
              <w:spacing w:after="0"/>
              <w:rPr>
                <w:sz w:val="20"/>
                <w:szCs w:val="20"/>
                <w:color w:val="auto"/>
              </w:rPr>
            </w:pPr>
            <w:r>
              <w:rPr>
                <w:rFonts w:ascii="Arial" w:cs="Arial" w:eastAsia="Arial" w:hAnsi="Arial"/>
                <w:sz w:val="12"/>
                <w:szCs w:val="12"/>
                <w:color w:val="auto"/>
              </w:rPr>
              <w:t>Total loans</w:t>
            </w:r>
          </w:p>
        </w:tc>
        <w:tc>
          <w:tcPr>
            <w:tcW w:w="2180" w:type="dxa"/>
            <w:vAlign w:val="bottom"/>
          </w:tcPr>
          <w:p>
            <w:pPr>
              <w:spacing w:after="0"/>
              <w:rPr>
                <w:sz w:val="12"/>
                <w:szCs w:val="12"/>
                <w:color w:val="auto"/>
              </w:rPr>
            </w:pPr>
          </w:p>
        </w:tc>
        <w:tc>
          <w:tcPr>
            <w:tcW w:w="1220" w:type="dxa"/>
            <w:vAlign w:val="bottom"/>
          </w:tcPr>
          <w:p>
            <w:pPr>
              <w:jc w:val="right"/>
              <w:ind w:right="20"/>
              <w:spacing w:after="0"/>
              <w:rPr>
                <w:sz w:val="20"/>
                <w:szCs w:val="20"/>
                <w:color w:val="auto"/>
              </w:rPr>
            </w:pPr>
            <w:r>
              <w:rPr>
                <w:rFonts w:ascii="Arial" w:cs="Arial" w:eastAsia="Arial" w:hAnsi="Arial"/>
                <w:sz w:val="12"/>
                <w:szCs w:val="12"/>
                <w:color w:val="auto"/>
              </w:rPr>
              <w:t>2,733,812</w:t>
            </w:r>
          </w:p>
        </w:tc>
        <w:tc>
          <w:tcPr>
            <w:tcW w:w="16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2,733,678</w:t>
            </w:r>
          </w:p>
        </w:tc>
        <w:tc>
          <w:tcPr>
            <w:tcW w:w="16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134</w:t>
            </w:r>
          </w:p>
        </w:tc>
        <w:tc>
          <w:tcPr>
            <w:tcW w:w="0" w:type="dxa"/>
            <w:vAlign w:val="bottom"/>
          </w:tcPr>
          <w:p>
            <w:pPr>
              <w:spacing w:after="0"/>
              <w:rPr>
                <w:sz w:val="1"/>
                <w:szCs w:val="1"/>
                <w:color w:val="auto"/>
              </w:rPr>
            </w:pPr>
          </w:p>
        </w:tc>
      </w:tr>
      <w:tr>
        <w:trPr>
          <w:trHeight w:val="144"/>
        </w:trPr>
        <w:tc>
          <w:tcPr>
            <w:tcW w:w="80" w:type="dxa"/>
            <w:vAlign w:val="bottom"/>
          </w:tcPr>
          <w:p>
            <w:pPr>
              <w:spacing w:after="0"/>
              <w:rPr>
                <w:sz w:val="12"/>
                <w:szCs w:val="12"/>
                <w:color w:val="auto"/>
              </w:rPr>
            </w:pPr>
          </w:p>
        </w:tc>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Allowance for credit losses</w:t>
            </w:r>
          </w:p>
        </w:tc>
        <w:tc>
          <w:tcPr>
            <w:tcW w:w="218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auto"/>
              <w:right w:val="single" w:sz="8" w:color="CCEEFF"/>
            </w:tcBorders>
            <w:shd w:val="clear" w:color="auto" w:fill="CCEEFF"/>
          </w:tcPr>
          <w:p>
            <w:pPr>
              <w:jc w:val="right"/>
              <w:ind w:right="80"/>
              <w:spacing w:after="0"/>
              <w:rPr>
                <w:sz w:val="20"/>
                <w:szCs w:val="20"/>
                <w:color w:val="auto"/>
              </w:rPr>
            </w:pPr>
            <w:r>
              <w:rPr>
                <w:rFonts w:ascii="Arial" w:cs="Arial" w:eastAsia="Arial" w:hAnsi="Arial"/>
                <w:sz w:val="12"/>
                <w:szCs w:val="12"/>
                <w:color w:val="auto"/>
              </w:rPr>
              <w:t>(47,137)</w:t>
            </w:r>
          </w:p>
        </w:tc>
        <w:tc>
          <w:tcPr>
            <w:tcW w:w="16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auto"/>
              <w:right w:val="single" w:sz="8" w:color="CCEEFF"/>
            </w:tcBorders>
            <w:shd w:val="clear" w:color="auto" w:fill="CCEEFF"/>
          </w:tcPr>
          <w:p>
            <w:pPr>
              <w:jc w:val="right"/>
              <w:ind w:right="60"/>
              <w:spacing w:after="0"/>
              <w:rPr>
                <w:sz w:val="20"/>
                <w:szCs w:val="20"/>
                <w:color w:val="auto"/>
              </w:rPr>
            </w:pPr>
            <w:r>
              <w:rPr>
                <w:rFonts w:ascii="Arial" w:cs="Arial" w:eastAsia="Arial" w:hAnsi="Arial"/>
                <w:sz w:val="12"/>
                <w:szCs w:val="12"/>
                <w:color w:val="auto"/>
              </w:rPr>
              <w:t>(35,429)</w:t>
            </w:r>
          </w:p>
        </w:tc>
        <w:tc>
          <w:tcPr>
            <w:tcW w:w="16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(11,708)</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40" w:type="dxa"/>
            <w:vAlign w:val="bottom"/>
            <w:gridSpan w:val="2"/>
          </w:tcPr>
          <w:p>
            <w:pPr>
              <w:spacing w:after="0"/>
              <w:rPr>
                <w:sz w:val="20"/>
                <w:szCs w:val="20"/>
                <w:color w:val="auto"/>
              </w:rPr>
            </w:pPr>
            <w:r>
              <w:rPr>
                <w:rFonts w:ascii="Arial" w:cs="Arial" w:eastAsia="Arial" w:hAnsi="Arial"/>
                <w:sz w:val="12"/>
                <w:szCs w:val="12"/>
                <w:color w:val="auto"/>
              </w:rPr>
              <w:t>Net loans</w:t>
            </w:r>
          </w:p>
        </w:tc>
        <w:tc>
          <w:tcPr>
            <w:tcW w:w="218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20"/>
              <w:spacing w:after="0"/>
              <w:rPr>
                <w:sz w:val="20"/>
                <w:szCs w:val="20"/>
                <w:color w:val="auto"/>
              </w:rPr>
            </w:pPr>
            <w:r>
              <w:rPr>
                <w:rFonts w:ascii="Arial" w:cs="Arial" w:eastAsia="Arial" w:hAnsi="Arial"/>
                <w:sz w:val="12"/>
                <w:szCs w:val="12"/>
                <w:color w:val="auto"/>
              </w:rPr>
              <w:t>2,686,675</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2,698,249</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(11,574)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4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5160" w:type="dxa"/>
            <w:vAlign w:val="bottom"/>
            <w:tcBorders>
              <w:bottom w:val="single" w:sz="8" w:color="CCEEFF"/>
            </w:tcBorders>
            <w:shd w:val="clear" w:color="auto" w:fill="CCEEFF"/>
          </w:tcPr>
          <w:p>
            <w:pPr>
              <w:spacing w:after="0" w:line="120" w:lineRule="exact"/>
              <w:rPr>
                <w:sz w:val="20"/>
                <w:szCs w:val="20"/>
                <w:color w:val="auto"/>
              </w:rPr>
            </w:pPr>
            <w:r>
              <w:rPr>
                <w:rFonts w:ascii="Arial" w:cs="Arial" w:eastAsia="Arial" w:hAnsi="Arial"/>
                <w:sz w:val="12"/>
                <w:szCs w:val="12"/>
                <w:color w:val="auto"/>
              </w:rPr>
              <w:t>Deferred tax assets (1)</w:t>
            </w:r>
          </w:p>
        </w:tc>
        <w:tc>
          <w:tcPr>
            <w:tcW w:w="2180" w:type="dxa"/>
            <w:vAlign w:val="bottom"/>
            <w:tcBorders>
              <w:bottom w:val="single" w:sz="8" w:color="CCEEFF"/>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w:t>
            </w:r>
          </w:p>
        </w:tc>
        <w:tc>
          <w:tcPr>
            <w:tcW w:w="1220" w:type="dxa"/>
            <w:vAlign w:val="bottom"/>
            <w:tcBorders>
              <w:top w:val="single" w:sz="8" w:color="auto"/>
              <w:bottom w:val="single" w:sz="8" w:color="auto"/>
              <w:right w:val="single" w:sz="8" w:color="CCEEFF"/>
            </w:tcBorders>
            <w:shd w:val="clear" w:color="auto" w:fill="CCEEFF"/>
          </w:tcPr>
          <w:p>
            <w:pPr>
              <w:jc w:val="right"/>
              <w:ind w:right="20"/>
              <w:spacing w:after="0" w:line="120" w:lineRule="exact"/>
              <w:rPr>
                <w:sz w:val="20"/>
                <w:szCs w:val="20"/>
                <w:color w:val="auto"/>
              </w:rPr>
            </w:pPr>
            <w:r>
              <w:rPr>
                <w:rFonts w:ascii="Arial" w:cs="Arial" w:eastAsia="Arial" w:hAnsi="Arial"/>
                <w:sz w:val="12"/>
                <w:szCs w:val="12"/>
                <w:color w:val="auto"/>
              </w:rPr>
              <w:t>3,015</w:t>
            </w:r>
          </w:p>
        </w:tc>
        <w:tc>
          <w:tcPr>
            <w:tcW w:w="160" w:type="dxa"/>
            <w:vAlign w:val="bottom"/>
            <w:tcBorders>
              <w:bottom w:val="single" w:sz="8" w:color="CCEEFF"/>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w:t>
            </w:r>
          </w:p>
        </w:tc>
        <w:tc>
          <w:tcPr>
            <w:tcW w:w="1180" w:type="dxa"/>
            <w:vAlign w:val="bottom"/>
            <w:tcBorders>
              <w:top w:val="single" w:sz="8" w:color="auto"/>
              <w:bottom w:val="single" w:sz="8" w:color="auto"/>
              <w:right w:val="single" w:sz="8" w:color="CCEEFF"/>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275</w:t>
            </w:r>
          </w:p>
        </w:tc>
        <w:tc>
          <w:tcPr>
            <w:tcW w:w="160" w:type="dxa"/>
            <w:vAlign w:val="bottom"/>
            <w:tcBorders>
              <w:bottom w:val="single" w:sz="8" w:color="CCEEFF"/>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w:t>
            </w:r>
          </w:p>
        </w:tc>
        <w:tc>
          <w:tcPr>
            <w:tcW w:w="112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2,740</w:t>
            </w:r>
          </w:p>
        </w:tc>
        <w:tc>
          <w:tcPr>
            <w:tcW w:w="1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5240" w:type="dxa"/>
            <w:vAlign w:val="bottom"/>
            <w:gridSpan w:val="2"/>
          </w:tcPr>
          <w:p>
            <w:pPr>
              <w:spacing w:after="0" w:line="120" w:lineRule="exact"/>
              <w:rPr>
                <w:sz w:val="20"/>
                <w:szCs w:val="20"/>
                <w:color w:val="auto"/>
              </w:rPr>
            </w:pPr>
            <w:r>
              <w:rPr>
                <w:rFonts w:ascii="Arial" w:cs="Arial" w:eastAsia="Arial" w:hAnsi="Arial"/>
                <w:sz w:val="12"/>
                <w:szCs w:val="12"/>
                <w:color w:val="auto"/>
              </w:rPr>
              <w:t>Total Assets</w:t>
            </w:r>
          </w:p>
        </w:tc>
        <w:tc>
          <w:tcPr>
            <w:tcW w:w="2180" w:type="dxa"/>
            <w:vAlign w:val="bottom"/>
          </w:tcPr>
          <w:p>
            <w:pPr>
              <w:jc w:val="right"/>
              <w:spacing w:after="0" w:line="120"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20"/>
              <w:spacing w:after="0" w:line="120" w:lineRule="exact"/>
              <w:rPr>
                <w:sz w:val="20"/>
                <w:szCs w:val="20"/>
                <w:color w:val="auto"/>
              </w:rPr>
            </w:pPr>
            <w:r>
              <w:rPr>
                <w:rFonts w:ascii="Arial" w:cs="Arial" w:eastAsia="Arial" w:hAnsi="Arial"/>
                <w:sz w:val="12"/>
                <w:szCs w:val="12"/>
                <w:color w:val="auto"/>
              </w:rPr>
              <w:t>4,195,179</w:t>
            </w:r>
          </w:p>
        </w:tc>
        <w:tc>
          <w:tcPr>
            <w:tcW w:w="160" w:type="dxa"/>
            <w:vAlign w:val="bottom"/>
          </w:tcPr>
          <w:p>
            <w:pPr>
              <w:jc w:val="right"/>
              <w:spacing w:after="0" w:line="120" w:lineRule="exact"/>
              <w:rPr>
                <w:sz w:val="20"/>
                <w:szCs w:val="20"/>
                <w:color w:val="auto"/>
              </w:rPr>
            </w:pPr>
            <w:r>
              <w:rPr>
                <w:rFonts w:ascii="Arial" w:cs="Arial" w:eastAsia="Arial" w:hAnsi="Arial"/>
                <w:sz w:val="12"/>
                <w:szCs w:val="12"/>
                <w:color w:val="auto"/>
              </w:rPr>
              <w:t>$</w:t>
            </w:r>
          </w:p>
        </w:tc>
        <w:tc>
          <w:tcPr>
            <w:tcW w:w="1180" w:type="dxa"/>
            <w:vAlign w:val="bottom"/>
          </w:tcPr>
          <w:p>
            <w:pPr>
              <w:jc w:val="right"/>
              <w:spacing w:after="0" w:line="120" w:lineRule="exact"/>
              <w:rPr>
                <w:sz w:val="20"/>
                <w:szCs w:val="20"/>
                <w:color w:val="auto"/>
              </w:rPr>
            </w:pPr>
            <w:r>
              <w:rPr>
                <w:rFonts w:ascii="Arial" w:cs="Arial" w:eastAsia="Arial" w:hAnsi="Arial"/>
                <w:sz w:val="12"/>
                <w:szCs w:val="12"/>
                <w:color w:val="auto"/>
              </w:rPr>
              <w:t>4,204,013</w:t>
            </w:r>
          </w:p>
        </w:tc>
        <w:tc>
          <w:tcPr>
            <w:tcW w:w="160" w:type="dxa"/>
            <w:vAlign w:val="bottom"/>
          </w:tcPr>
          <w:p>
            <w:pPr>
              <w:jc w:val="right"/>
              <w:spacing w:after="0" w:line="120" w:lineRule="exact"/>
              <w:rPr>
                <w:sz w:val="20"/>
                <w:szCs w:val="20"/>
                <w:color w:val="auto"/>
              </w:rPr>
            </w:pPr>
            <w:r>
              <w:rPr>
                <w:rFonts w:ascii="Arial" w:cs="Arial" w:eastAsia="Arial" w:hAnsi="Arial"/>
                <w:sz w:val="12"/>
                <w:szCs w:val="12"/>
                <w:color w:val="auto"/>
              </w:rPr>
              <w:t>$</w:t>
            </w:r>
          </w:p>
        </w:tc>
        <w:tc>
          <w:tcPr>
            <w:tcW w:w="1120" w:type="dxa"/>
            <w:vAlign w:val="bottom"/>
          </w:tcPr>
          <w:p>
            <w:pPr>
              <w:jc w:val="right"/>
              <w:spacing w:after="0" w:line="120" w:lineRule="exact"/>
              <w:rPr>
                <w:sz w:val="20"/>
                <w:szCs w:val="20"/>
                <w:color w:val="auto"/>
              </w:rPr>
            </w:pPr>
            <w:r>
              <w:rPr>
                <w:rFonts w:ascii="Arial" w:cs="Arial" w:eastAsia="Arial" w:hAnsi="Arial"/>
                <w:sz w:val="12"/>
                <w:szCs w:val="12"/>
                <w:color w:val="auto"/>
              </w:rPr>
              <w:t>(8,834)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24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80" w:type="dxa"/>
            <w:vAlign w:val="bottom"/>
            <w:vMerge w:val="restart"/>
          </w:tcPr>
          <w:p>
            <w:pPr>
              <w:spacing w:after="0"/>
              <w:rPr>
                <w:sz w:val="10"/>
                <w:szCs w:val="10"/>
                <w:color w:val="auto"/>
              </w:rPr>
            </w:pPr>
          </w:p>
        </w:tc>
        <w:tc>
          <w:tcPr>
            <w:tcW w:w="5160" w:type="dxa"/>
            <w:vAlign w:val="bottom"/>
            <w:shd w:val="clear" w:color="auto" w:fill="CCEEFF"/>
          </w:tcPr>
          <w:p>
            <w:pPr>
              <w:spacing w:after="0"/>
              <w:rPr>
                <w:sz w:val="10"/>
                <w:szCs w:val="10"/>
                <w:color w:val="auto"/>
              </w:rPr>
            </w:pPr>
          </w:p>
        </w:tc>
        <w:tc>
          <w:tcPr>
            <w:tcW w:w="2180" w:type="dxa"/>
            <w:vAlign w:val="bottom"/>
            <w:shd w:val="clear" w:color="auto" w:fill="CCEEFF"/>
          </w:tcPr>
          <w:p>
            <w:pPr>
              <w:spacing w:after="0"/>
              <w:rPr>
                <w:sz w:val="10"/>
                <w:szCs w:val="10"/>
                <w:color w:val="auto"/>
              </w:rPr>
            </w:pPr>
          </w:p>
        </w:tc>
        <w:tc>
          <w:tcPr>
            <w:tcW w:w="1220" w:type="dxa"/>
            <w:vAlign w:val="bottom"/>
            <w:tcBorders>
              <w:right w:val="single" w:sz="8" w:color="CCEEFF"/>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80" w:type="dxa"/>
            <w:vAlign w:val="bottom"/>
            <w:tcBorders>
              <w:right w:val="single" w:sz="8" w:color="CCEEFF"/>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80" w:type="dxa"/>
            <w:vAlign w:val="bottom"/>
            <w:vMerge w:val="continue"/>
          </w:tcPr>
          <w:p>
            <w:pPr>
              <w:spacing w:after="0"/>
              <w:rPr>
                <w:sz w:val="12"/>
                <w:szCs w:val="12"/>
                <w:color w:val="auto"/>
              </w:rPr>
            </w:pPr>
          </w:p>
        </w:tc>
        <w:tc>
          <w:tcPr>
            <w:tcW w:w="5160" w:type="dxa"/>
            <w:vAlign w:val="bottom"/>
          </w:tcPr>
          <w:p>
            <w:pPr>
              <w:spacing w:after="0"/>
              <w:rPr>
                <w:sz w:val="20"/>
                <w:szCs w:val="20"/>
                <w:color w:val="auto"/>
              </w:rPr>
            </w:pPr>
            <w:r>
              <w:rPr>
                <w:rFonts w:ascii="Arial" w:cs="Arial" w:eastAsia="Arial" w:hAnsi="Arial"/>
                <w:sz w:val="12"/>
                <w:szCs w:val="12"/>
                <w:color w:val="auto"/>
              </w:rPr>
              <w:t>Liabilities and shareholders’ equity</w:t>
            </w:r>
          </w:p>
        </w:tc>
        <w:tc>
          <w:tcPr>
            <w:tcW w:w="2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80" w:type="dxa"/>
            <w:vAlign w:val="bottom"/>
          </w:tcPr>
          <w:p>
            <w:pPr>
              <w:spacing w:after="0"/>
              <w:rPr>
                <w:sz w:val="14"/>
                <w:szCs w:val="14"/>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2"/>
                <w:szCs w:val="12"/>
                <w:color w:val="auto"/>
              </w:rPr>
              <w:t>Allowance for credit losses on unfunded lending commitments (2)</w:t>
            </w:r>
          </w:p>
        </w:tc>
        <w:tc>
          <w:tcPr>
            <w:tcW w:w="2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2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rPr>
              <w:t>3,274</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1,805</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1,469</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16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5240" w:type="dxa"/>
            <w:vAlign w:val="bottom"/>
            <w:gridSpan w:val="2"/>
          </w:tcPr>
          <w:p>
            <w:pPr>
              <w:spacing w:after="0" w:line="120" w:lineRule="exact"/>
              <w:rPr>
                <w:sz w:val="20"/>
                <w:szCs w:val="20"/>
                <w:color w:val="auto"/>
              </w:rPr>
            </w:pPr>
            <w:r>
              <w:rPr>
                <w:rFonts w:ascii="Arial" w:cs="Arial" w:eastAsia="Arial" w:hAnsi="Arial"/>
                <w:sz w:val="12"/>
                <w:szCs w:val="12"/>
                <w:color w:val="auto"/>
              </w:rPr>
              <w:t>Total liabilities</w:t>
            </w:r>
          </w:p>
        </w:tc>
        <w:tc>
          <w:tcPr>
            <w:tcW w:w="2180" w:type="dxa"/>
            <w:vAlign w:val="bottom"/>
          </w:tcPr>
          <w:p>
            <w:pPr>
              <w:jc w:val="right"/>
              <w:spacing w:after="0" w:line="120"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20"/>
              <w:spacing w:after="0" w:line="120" w:lineRule="exact"/>
              <w:rPr>
                <w:sz w:val="20"/>
                <w:szCs w:val="20"/>
                <w:color w:val="auto"/>
              </w:rPr>
            </w:pPr>
            <w:r>
              <w:rPr>
                <w:rFonts w:ascii="Arial" w:cs="Arial" w:eastAsia="Arial" w:hAnsi="Arial"/>
                <w:sz w:val="12"/>
                <w:szCs w:val="12"/>
                <w:color w:val="auto"/>
              </w:rPr>
              <w:t>3,815,960</w:t>
            </w:r>
          </w:p>
        </w:tc>
        <w:tc>
          <w:tcPr>
            <w:tcW w:w="160" w:type="dxa"/>
            <w:vAlign w:val="bottom"/>
          </w:tcPr>
          <w:p>
            <w:pPr>
              <w:jc w:val="right"/>
              <w:spacing w:after="0" w:line="120" w:lineRule="exact"/>
              <w:rPr>
                <w:sz w:val="20"/>
                <w:szCs w:val="20"/>
                <w:color w:val="auto"/>
              </w:rPr>
            </w:pPr>
            <w:r>
              <w:rPr>
                <w:rFonts w:ascii="Arial" w:cs="Arial" w:eastAsia="Arial" w:hAnsi="Arial"/>
                <w:sz w:val="12"/>
                <w:szCs w:val="12"/>
                <w:color w:val="auto"/>
              </w:rPr>
              <w:t>$</w:t>
            </w:r>
          </w:p>
        </w:tc>
        <w:tc>
          <w:tcPr>
            <w:tcW w:w="1180" w:type="dxa"/>
            <w:vAlign w:val="bottom"/>
          </w:tcPr>
          <w:p>
            <w:pPr>
              <w:jc w:val="right"/>
              <w:spacing w:after="0" w:line="120" w:lineRule="exact"/>
              <w:rPr>
                <w:sz w:val="20"/>
                <w:szCs w:val="20"/>
                <w:color w:val="auto"/>
              </w:rPr>
            </w:pPr>
            <w:r>
              <w:rPr>
                <w:rFonts w:ascii="Arial" w:cs="Arial" w:eastAsia="Arial" w:hAnsi="Arial"/>
                <w:sz w:val="12"/>
                <w:szCs w:val="12"/>
                <w:color w:val="auto"/>
              </w:rPr>
              <w:t>3,814,491</w:t>
            </w:r>
          </w:p>
        </w:tc>
        <w:tc>
          <w:tcPr>
            <w:tcW w:w="160" w:type="dxa"/>
            <w:vAlign w:val="bottom"/>
          </w:tcPr>
          <w:p>
            <w:pPr>
              <w:jc w:val="right"/>
              <w:spacing w:after="0" w:line="120" w:lineRule="exact"/>
              <w:rPr>
                <w:sz w:val="20"/>
                <w:szCs w:val="20"/>
                <w:color w:val="auto"/>
              </w:rPr>
            </w:pPr>
            <w:r>
              <w:rPr>
                <w:rFonts w:ascii="Arial" w:cs="Arial" w:eastAsia="Arial" w:hAnsi="Arial"/>
                <w:sz w:val="12"/>
                <w:szCs w:val="12"/>
                <w:color w:val="auto"/>
              </w:rPr>
              <w:t>$</w:t>
            </w:r>
          </w:p>
        </w:tc>
        <w:tc>
          <w:tcPr>
            <w:tcW w:w="1240" w:type="dxa"/>
            <w:vAlign w:val="bottom"/>
            <w:gridSpan w:val="2"/>
          </w:tcPr>
          <w:p>
            <w:pPr>
              <w:jc w:val="right"/>
              <w:ind w:right="120"/>
              <w:spacing w:after="0" w:line="120" w:lineRule="exact"/>
              <w:rPr>
                <w:sz w:val="20"/>
                <w:szCs w:val="20"/>
                <w:color w:val="auto"/>
              </w:rPr>
            </w:pPr>
            <w:r>
              <w:rPr>
                <w:rFonts w:ascii="Arial" w:cs="Arial" w:eastAsia="Arial" w:hAnsi="Arial"/>
                <w:sz w:val="12"/>
                <w:szCs w:val="12"/>
                <w:color w:val="auto"/>
              </w:rPr>
              <w:t>1,469</w:t>
            </w:r>
          </w:p>
        </w:tc>
        <w:tc>
          <w:tcPr>
            <w:tcW w:w="0" w:type="dxa"/>
            <w:vAlign w:val="bottom"/>
          </w:tcPr>
          <w:p>
            <w:pPr>
              <w:spacing w:after="0"/>
              <w:rPr>
                <w:sz w:val="1"/>
                <w:szCs w:val="1"/>
                <w:color w:val="auto"/>
              </w:rPr>
            </w:pPr>
          </w:p>
        </w:tc>
      </w:tr>
      <w:tr>
        <w:trPr>
          <w:trHeight w:val="20"/>
        </w:trPr>
        <w:tc>
          <w:tcPr>
            <w:tcW w:w="524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5160" w:type="dxa"/>
            <w:vAlign w:val="bottom"/>
            <w:tcBorders>
              <w:bottom w:val="single" w:sz="8" w:color="CCEEFF"/>
            </w:tcBorders>
            <w:shd w:val="clear" w:color="auto" w:fill="CCEEFF"/>
          </w:tcPr>
          <w:p>
            <w:pPr>
              <w:spacing w:after="0" w:line="120" w:lineRule="exact"/>
              <w:rPr>
                <w:sz w:val="20"/>
                <w:szCs w:val="20"/>
                <w:color w:val="auto"/>
              </w:rPr>
            </w:pPr>
            <w:r>
              <w:rPr>
                <w:rFonts w:ascii="Arial" w:cs="Arial" w:eastAsia="Arial" w:hAnsi="Arial"/>
                <w:sz w:val="12"/>
                <w:szCs w:val="12"/>
                <w:color w:val="auto"/>
              </w:rPr>
              <w:t>Retained earnings</w:t>
            </w:r>
          </w:p>
        </w:tc>
        <w:tc>
          <w:tcPr>
            <w:tcW w:w="2180" w:type="dxa"/>
            <w:vAlign w:val="bottom"/>
            <w:tcBorders>
              <w:bottom w:val="single" w:sz="8" w:color="CCEEFF"/>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w:t>
            </w:r>
          </w:p>
        </w:tc>
        <w:tc>
          <w:tcPr>
            <w:tcW w:w="1220" w:type="dxa"/>
            <w:vAlign w:val="bottom"/>
            <w:tcBorders>
              <w:top w:val="single" w:sz="8" w:color="auto"/>
              <w:bottom w:val="single" w:sz="8" w:color="auto"/>
              <w:right w:val="single" w:sz="8" w:color="CCEEFF"/>
            </w:tcBorders>
            <w:shd w:val="clear" w:color="auto" w:fill="CCEEFF"/>
          </w:tcPr>
          <w:p>
            <w:pPr>
              <w:jc w:val="right"/>
              <w:ind w:right="20"/>
              <w:spacing w:after="0" w:line="120" w:lineRule="exact"/>
              <w:rPr>
                <w:sz w:val="20"/>
                <w:szCs w:val="20"/>
                <w:color w:val="auto"/>
              </w:rPr>
            </w:pPr>
            <w:r>
              <w:rPr>
                <w:rFonts w:ascii="Arial" w:cs="Arial" w:eastAsia="Arial" w:hAnsi="Arial"/>
                <w:sz w:val="12"/>
                <w:szCs w:val="12"/>
                <w:color w:val="auto"/>
              </w:rPr>
              <w:t>29,842</w:t>
            </w:r>
          </w:p>
        </w:tc>
        <w:tc>
          <w:tcPr>
            <w:tcW w:w="160" w:type="dxa"/>
            <w:vAlign w:val="bottom"/>
            <w:tcBorders>
              <w:bottom w:val="single" w:sz="8" w:color="CCEEFF"/>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w:t>
            </w:r>
          </w:p>
        </w:tc>
        <w:tc>
          <w:tcPr>
            <w:tcW w:w="1180" w:type="dxa"/>
            <w:vAlign w:val="bottom"/>
            <w:tcBorders>
              <w:top w:val="single" w:sz="8" w:color="auto"/>
              <w:bottom w:val="single" w:sz="8" w:color="auto"/>
              <w:right w:val="single" w:sz="8" w:color="CCEEFF"/>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40,145</w:t>
            </w:r>
          </w:p>
        </w:tc>
        <w:tc>
          <w:tcPr>
            <w:tcW w:w="160" w:type="dxa"/>
            <w:vAlign w:val="bottom"/>
            <w:tcBorders>
              <w:bottom w:val="single" w:sz="8" w:color="CCEEFF"/>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w:t>
            </w:r>
          </w:p>
        </w:tc>
        <w:tc>
          <w:tcPr>
            <w:tcW w:w="112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(10,303)</w:t>
            </w:r>
          </w:p>
        </w:tc>
        <w:tc>
          <w:tcPr>
            <w:tcW w:w="1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5240" w:type="dxa"/>
            <w:vAlign w:val="bottom"/>
            <w:gridSpan w:val="2"/>
          </w:tcPr>
          <w:p>
            <w:pPr>
              <w:spacing w:after="0" w:line="120" w:lineRule="exact"/>
              <w:rPr>
                <w:sz w:val="20"/>
                <w:szCs w:val="20"/>
                <w:color w:val="auto"/>
              </w:rPr>
            </w:pPr>
            <w:r>
              <w:rPr>
                <w:rFonts w:ascii="Arial" w:cs="Arial" w:eastAsia="Arial" w:hAnsi="Arial"/>
                <w:sz w:val="12"/>
                <w:szCs w:val="12"/>
                <w:color w:val="auto"/>
              </w:rPr>
              <w:t>Total shareholders’ equity</w:t>
            </w:r>
          </w:p>
        </w:tc>
        <w:tc>
          <w:tcPr>
            <w:tcW w:w="2180" w:type="dxa"/>
            <w:vAlign w:val="bottom"/>
          </w:tcPr>
          <w:p>
            <w:pPr>
              <w:jc w:val="right"/>
              <w:spacing w:after="0" w:line="120"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20"/>
              <w:spacing w:after="0" w:line="120" w:lineRule="exact"/>
              <w:rPr>
                <w:sz w:val="20"/>
                <w:szCs w:val="20"/>
                <w:color w:val="auto"/>
              </w:rPr>
            </w:pPr>
            <w:r>
              <w:rPr>
                <w:rFonts w:ascii="Arial" w:cs="Arial" w:eastAsia="Arial" w:hAnsi="Arial"/>
                <w:sz w:val="12"/>
                <w:szCs w:val="12"/>
                <w:color w:val="auto"/>
              </w:rPr>
              <w:t>379,219</w:t>
            </w:r>
          </w:p>
        </w:tc>
        <w:tc>
          <w:tcPr>
            <w:tcW w:w="160" w:type="dxa"/>
            <w:vAlign w:val="bottom"/>
          </w:tcPr>
          <w:p>
            <w:pPr>
              <w:jc w:val="right"/>
              <w:spacing w:after="0" w:line="120" w:lineRule="exact"/>
              <w:rPr>
                <w:sz w:val="20"/>
                <w:szCs w:val="20"/>
                <w:color w:val="auto"/>
              </w:rPr>
            </w:pPr>
            <w:r>
              <w:rPr>
                <w:rFonts w:ascii="Arial" w:cs="Arial" w:eastAsia="Arial" w:hAnsi="Arial"/>
                <w:sz w:val="12"/>
                <w:szCs w:val="12"/>
                <w:color w:val="auto"/>
              </w:rPr>
              <w:t>$</w:t>
            </w:r>
          </w:p>
        </w:tc>
        <w:tc>
          <w:tcPr>
            <w:tcW w:w="1180" w:type="dxa"/>
            <w:vAlign w:val="bottom"/>
          </w:tcPr>
          <w:p>
            <w:pPr>
              <w:jc w:val="right"/>
              <w:spacing w:after="0" w:line="120" w:lineRule="exact"/>
              <w:rPr>
                <w:sz w:val="20"/>
                <w:szCs w:val="20"/>
                <w:color w:val="auto"/>
              </w:rPr>
            </w:pPr>
            <w:r>
              <w:rPr>
                <w:rFonts w:ascii="Arial" w:cs="Arial" w:eastAsia="Arial" w:hAnsi="Arial"/>
                <w:sz w:val="12"/>
                <w:szCs w:val="12"/>
                <w:color w:val="auto"/>
              </w:rPr>
              <w:t>389,522</w:t>
            </w:r>
          </w:p>
        </w:tc>
        <w:tc>
          <w:tcPr>
            <w:tcW w:w="160" w:type="dxa"/>
            <w:vAlign w:val="bottom"/>
          </w:tcPr>
          <w:p>
            <w:pPr>
              <w:jc w:val="right"/>
              <w:spacing w:after="0" w:line="120" w:lineRule="exact"/>
              <w:rPr>
                <w:sz w:val="20"/>
                <w:szCs w:val="20"/>
                <w:color w:val="auto"/>
              </w:rPr>
            </w:pPr>
            <w:r>
              <w:rPr>
                <w:rFonts w:ascii="Arial" w:cs="Arial" w:eastAsia="Arial" w:hAnsi="Arial"/>
                <w:sz w:val="12"/>
                <w:szCs w:val="12"/>
                <w:color w:val="auto"/>
              </w:rPr>
              <w:t>$</w:t>
            </w:r>
          </w:p>
        </w:tc>
        <w:tc>
          <w:tcPr>
            <w:tcW w:w="1120" w:type="dxa"/>
            <w:vAlign w:val="bottom"/>
          </w:tcPr>
          <w:p>
            <w:pPr>
              <w:jc w:val="right"/>
              <w:spacing w:after="0" w:line="120" w:lineRule="exact"/>
              <w:rPr>
                <w:sz w:val="20"/>
                <w:szCs w:val="20"/>
                <w:color w:val="auto"/>
              </w:rPr>
            </w:pPr>
            <w:r>
              <w:rPr>
                <w:rFonts w:ascii="Arial" w:cs="Arial" w:eastAsia="Arial" w:hAnsi="Arial"/>
                <w:sz w:val="12"/>
                <w:szCs w:val="12"/>
                <w:color w:val="auto"/>
              </w:rPr>
              <w:t>(10,303)</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2"/>
                <w:szCs w:val="12"/>
                <w:color w:val="auto"/>
              </w:rPr>
              <w:t>Total liabilities and shareholders’ equity</w:t>
            </w:r>
          </w:p>
        </w:tc>
        <w:tc>
          <w:tcPr>
            <w:tcW w:w="21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20" w:type="dxa"/>
            <w:vAlign w:val="bottom"/>
            <w:tcBorders>
              <w:top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180" w:type="dxa"/>
            <w:vAlign w:val="bottom"/>
            <w:tcBorders>
              <w:top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1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5240" w:type="dxa"/>
            <w:vAlign w:val="bottom"/>
            <w:gridSpan w:val="2"/>
            <w:vMerge w:val="continue"/>
          </w:tcPr>
          <w:p>
            <w:pPr>
              <w:spacing w:after="0"/>
              <w:rPr>
                <w:sz w:val="10"/>
                <w:szCs w:val="10"/>
                <w:color w:val="auto"/>
              </w:rPr>
            </w:pPr>
          </w:p>
        </w:tc>
        <w:tc>
          <w:tcPr>
            <w:tcW w:w="2180" w:type="dxa"/>
            <w:vAlign w:val="bottom"/>
            <w:vMerge w:val="continue"/>
          </w:tcPr>
          <w:p>
            <w:pPr>
              <w:spacing w:after="0"/>
              <w:rPr>
                <w:sz w:val="10"/>
                <w:szCs w:val="10"/>
                <w:color w:val="auto"/>
              </w:rPr>
            </w:pPr>
          </w:p>
        </w:tc>
        <w:tc>
          <w:tcPr>
            <w:tcW w:w="1220" w:type="dxa"/>
            <w:vAlign w:val="bottom"/>
            <w:tcBorders>
              <w:top w:val="single" w:sz="8" w:color="auto"/>
              <w:bottom w:val="single" w:sz="8" w:color="auto"/>
            </w:tcBorders>
          </w:tcPr>
          <w:p>
            <w:pPr>
              <w:jc w:val="right"/>
              <w:ind w:right="20"/>
              <w:spacing w:after="0" w:line="120" w:lineRule="exact"/>
              <w:rPr>
                <w:sz w:val="20"/>
                <w:szCs w:val="20"/>
                <w:color w:val="auto"/>
              </w:rPr>
            </w:pPr>
            <w:r>
              <w:rPr>
                <w:rFonts w:ascii="Arial" w:cs="Arial" w:eastAsia="Arial" w:hAnsi="Arial"/>
                <w:sz w:val="12"/>
                <w:szCs w:val="12"/>
                <w:color w:val="auto"/>
              </w:rPr>
              <w:t>4,195,179</w:t>
            </w:r>
          </w:p>
        </w:tc>
        <w:tc>
          <w:tcPr>
            <w:tcW w:w="160" w:type="dxa"/>
            <w:vAlign w:val="bottom"/>
            <w:vMerge w:val="continue"/>
          </w:tcPr>
          <w:p>
            <w:pPr>
              <w:spacing w:after="0"/>
              <w:rPr>
                <w:sz w:val="10"/>
                <w:szCs w:val="10"/>
                <w:color w:val="auto"/>
              </w:rPr>
            </w:pPr>
          </w:p>
        </w:tc>
        <w:tc>
          <w:tcPr>
            <w:tcW w:w="1180" w:type="dxa"/>
            <w:vAlign w:val="bottom"/>
            <w:tcBorders>
              <w:top w:val="single" w:sz="8" w:color="auto"/>
              <w:bottom w:val="single" w:sz="8" w:color="auto"/>
            </w:tcBorders>
          </w:tcPr>
          <w:p>
            <w:pPr>
              <w:jc w:val="right"/>
              <w:spacing w:after="0" w:line="120" w:lineRule="exact"/>
              <w:rPr>
                <w:sz w:val="20"/>
                <w:szCs w:val="20"/>
                <w:color w:val="auto"/>
              </w:rPr>
            </w:pPr>
            <w:r>
              <w:rPr>
                <w:rFonts w:ascii="Arial" w:cs="Arial" w:eastAsia="Arial" w:hAnsi="Arial"/>
                <w:sz w:val="12"/>
                <w:szCs w:val="12"/>
                <w:color w:val="auto"/>
              </w:rPr>
              <w:t>4,204,013</w:t>
            </w:r>
          </w:p>
        </w:tc>
        <w:tc>
          <w:tcPr>
            <w:tcW w:w="160" w:type="dxa"/>
            <w:vAlign w:val="bottom"/>
            <w:vMerge w:val="continue"/>
          </w:tcPr>
          <w:p>
            <w:pPr>
              <w:spacing w:after="0"/>
              <w:rPr>
                <w:sz w:val="10"/>
                <w:szCs w:val="10"/>
                <w:color w:val="auto"/>
              </w:rPr>
            </w:pPr>
          </w:p>
        </w:tc>
        <w:tc>
          <w:tcPr>
            <w:tcW w:w="1120" w:type="dxa"/>
            <w:vAlign w:val="bottom"/>
            <w:tcBorders>
              <w:top w:val="single" w:sz="8" w:color="auto"/>
              <w:bottom w:val="single" w:sz="8" w:color="auto"/>
            </w:tcBorders>
          </w:tcPr>
          <w:p>
            <w:pPr>
              <w:jc w:val="right"/>
              <w:spacing w:after="0" w:line="120" w:lineRule="exact"/>
              <w:rPr>
                <w:sz w:val="20"/>
                <w:szCs w:val="20"/>
                <w:color w:val="auto"/>
              </w:rPr>
            </w:pPr>
            <w:r>
              <w:rPr>
                <w:rFonts w:ascii="Arial" w:cs="Arial" w:eastAsia="Arial" w:hAnsi="Arial"/>
                <w:sz w:val="12"/>
                <w:szCs w:val="12"/>
                <w:color w:val="auto"/>
              </w:rPr>
              <w:t>(8,834)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-113665</wp:posOffset>
            </wp:positionV>
            <wp:extent cx="7178040" cy="1143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6">
                      <a:extLst>
                        <a:ext uri="{28A0092B-C50C-407E-A947-70E740481C1C}"/>
                      </a:extLst>
                    </a:blip>
                    <a:srcRect/>
                    <a:stretch>
                      <a:fillRect/>
                    </a:stretch>
                  </pic:blipFill>
                  <pic:spPr bwMode="auto">
                    <a:xfrm>
                      <a:off x="0" y="0"/>
                      <a:ext cx="7178040" cy="114300"/>
                    </a:xfrm>
                    <a:prstGeom prst="rect">
                      <a:avLst/>
                    </a:prstGeom>
                    <a:noFill/>
                  </pic:spPr>
                </pic:pic>
              </a:graphicData>
            </a:graphic>
          </wp:anchor>
        </w:drawing>
      </w:r>
    </w:p>
    <w:p>
      <w:pPr>
        <w:spacing w:after="0" w:line="115" w:lineRule="exact"/>
        <w:rPr>
          <w:sz w:val="20"/>
          <w:szCs w:val="20"/>
          <w:color w:val="auto"/>
        </w:rPr>
      </w:pPr>
    </w:p>
    <w:p>
      <w:pPr>
        <w:ind w:left="640" w:hanging="352"/>
        <w:spacing w:after="0"/>
        <w:tabs>
          <w:tab w:leader="none" w:pos="640" w:val="left"/>
        </w:tabs>
        <w:numPr>
          <w:ilvl w:val="1"/>
          <w:numId w:val="24"/>
        </w:numPr>
        <w:rPr>
          <w:rFonts w:ascii="Arial" w:cs="Arial" w:eastAsia="Arial" w:hAnsi="Arial"/>
          <w:sz w:val="12"/>
          <w:szCs w:val="12"/>
          <w:color w:val="auto"/>
        </w:rPr>
      </w:pPr>
      <w:r>
        <w:rPr>
          <w:rFonts w:ascii="Arial" w:cs="Arial" w:eastAsia="Arial" w:hAnsi="Arial"/>
          <w:sz w:val="12"/>
          <w:szCs w:val="12"/>
          <w:color w:val="auto"/>
        </w:rPr>
        <w:t>Included in Accrued income and other assets in our Consolidated Statements of Financial Condition.</w:t>
      </w:r>
    </w:p>
    <w:p>
      <w:pPr>
        <w:spacing w:after="0" w:line="150" w:lineRule="exact"/>
        <w:rPr>
          <w:rFonts w:ascii="Arial" w:cs="Arial" w:eastAsia="Arial" w:hAnsi="Arial"/>
          <w:sz w:val="12"/>
          <w:szCs w:val="12"/>
          <w:color w:val="auto"/>
        </w:rPr>
      </w:pPr>
    </w:p>
    <w:p>
      <w:pPr>
        <w:ind w:left="280" w:hanging="208"/>
        <w:spacing w:after="0"/>
        <w:tabs>
          <w:tab w:leader="none" w:pos="2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Included in Accrued expenses and other liabilities in our Consolidated Statements of Financial Condition.</w:t>
      </w:r>
    </w:p>
    <w:p>
      <w:pPr>
        <w:spacing w:after="0" w:line="294" w:lineRule="exact"/>
        <w:rPr>
          <w:sz w:val="20"/>
          <w:szCs w:val="20"/>
          <w:color w:val="auto"/>
        </w:rPr>
      </w:pPr>
    </w:p>
    <w:p>
      <w:pPr>
        <w:jc w:val="both"/>
        <w:ind w:left="180" w:firstLine="216"/>
        <w:spacing w:after="0" w:line="256" w:lineRule="auto"/>
        <w:rPr>
          <w:sz w:val="20"/>
          <w:szCs w:val="20"/>
          <w:color w:val="auto"/>
        </w:rPr>
      </w:pPr>
      <w:r>
        <w:rPr>
          <w:rFonts w:ascii="Arial" w:cs="Arial" w:eastAsia="Arial" w:hAnsi="Arial"/>
          <w:sz w:val="12"/>
          <w:szCs w:val="12"/>
          <w:color w:val="auto"/>
        </w:rPr>
        <w:t>In March 2020, the FASB issued ASU 2020-04, ‘‘Reference Rate Reform (Topic 848), Facilitation of the Effects of Reference Rate Reform on Financial Reporting’’. This new ASU provides temporary optional expedients and exceptions to GAAP guidance on contract modifications and hedge accounting to ease the financial reporting burdens of the expected market transition from LIBOR and other interbank offered rates to alternative reference rates. Entities can elect not to apply certain modification accounting requirements to contracts affected by reference rate reform, if certain criteria are met. Entities that make such elections would not have to remeasure contracts at the modification date or reassess a previous accounting determination. Entities can elect various optional expedients that would allow them to continue applying hedge accounting for hedging relationships affected by reference rate reform, if certain criteria are met.</w:t>
      </w: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10"/>
          <w:szCs w:val="1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20320</wp:posOffset>
            </wp:positionV>
            <wp:extent cx="7109460" cy="114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7">
                      <a:extLst>
                        <a:ext uri="{28A0092B-C50C-407E-A947-70E740481C1C}"/>
                      </a:extLst>
                    </a:blip>
                    <a:srcRect/>
                    <a:stretch>
                      <a:fillRect/>
                    </a:stretch>
                  </pic:blipFill>
                  <pic:spPr bwMode="auto">
                    <a:xfrm>
                      <a:off x="0" y="0"/>
                      <a:ext cx="7109460" cy="11430"/>
                    </a:xfrm>
                    <a:prstGeom prst="rect">
                      <a:avLst/>
                    </a:prstGeom>
                    <a:noFill/>
                  </pic:spPr>
                </pic:pic>
              </a:graphicData>
            </a:graphic>
          </wp:anchor>
        </w:drawing>
      </w:r>
    </w:p>
    <w:p>
      <w:pPr>
        <w:sectPr>
          <w:pgSz w:w="11900" w:h="16838" w:orient="portrait"/>
          <w:cols w:equalWidth="0" w:num="1">
            <w:col w:w="11380"/>
          </w:cols>
          <w:pgMar w:left="220" w:top="127" w:right="299" w:bottom="1440" w:gutter="0" w:footer="0" w:header="0"/>
        </w:sectPr>
      </w:pPr>
    </w:p>
    <w:bookmarkStart w:id="71" w:name="page72"/>
    <w:bookmarkEnd w:id="71"/>
    <w:p>
      <w:pPr>
        <w:jc w:val="center"/>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27" w:lineRule="exact"/>
        <w:rPr>
          <w:sz w:val="20"/>
          <w:szCs w:val="20"/>
          <w:color w:val="auto"/>
        </w:rPr>
      </w:pPr>
    </w:p>
    <w:p>
      <w:pPr>
        <w:jc w:val="both"/>
        <w:ind w:left="100" w:firstLine="216"/>
        <w:spacing w:after="0" w:line="254" w:lineRule="auto"/>
        <w:rPr>
          <w:sz w:val="20"/>
          <w:szCs w:val="20"/>
          <w:color w:val="auto"/>
        </w:rPr>
      </w:pPr>
      <w:r>
        <w:rPr>
          <w:rFonts w:ascii="Arial" w:cs="Arial" w:eastAsia="Arial" w:hAnsi="Arial"/>
          <w:sz w:val="12"/>
          <w:szCs w:val="12"/>
          <w:color w:val="auto"/>
        </w:rPr>
        <w:t>We have formed a cross-functional project team to lead this transition from LIBOR to a planned adoption of reference rates which could include Secured Overnight Financing Rate (“SOFR”), amongst others. We are utilizing the timeline guidance published by the Alternative Reference Rates Committee to develop and achieve internal milestones during this transitional period. We have discontinued the use of new LIBOR-based loans and interest rate derivatives as of December 31, 2021, according to regulatory guidelines. The amended guidance under Topic 848 and our ability to elect its temporary optional expedients and exceptions are effective for us through December 31, 2022. We expect to adopt the LIBOR transition relief allowed under this standard.</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2 – RESTRICTIONS ON CASH AND DUE FROM BANKS</w:t>
      </w:r>
    </w:p>
    <w:p>
      <w:pPr>
        <w:spacing w:after="0" w:line="141"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During March 2020 the FRB, in response to the COVID-19 pandemic, reduced our Bank’s reserve balance requirements to zero. Prior to that time our Bank was required to maintain reserve balances in the form of vault cash and balances with the FRB. The average reserve balances to be maintained during 2021 and 2020 were zero and $9.2 million, respectively. We do not maintain compensating balances with correspondent banks. We may also be required to maintain reserve balances related to certain mortgage banking related derivatives not classified as hedges. These balances are held at unrelated financial institutions and totaled zero and $0.74 million at December 31, 2021 and 2020, respectively.</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560" w:type="dxa"/>
            <w:vAlign w:val="bottom"/>
          </w:tcPr>
          <w:p>
            <w:pPr>
              <w:spacing w:after="0"/>
              <w:rPr>
                <w:sz w:val="20"/>
                <w:szCs w:val="20"/>
                <w:color w:val="auto"/>
              </w:rPr>
            </w:pPr>
            <w:r>
              <w:rPr>
                <w:rFonts w:ascii="Arial" w:cs="Arial" w:eastAsia="Arial" w:hAnsi="Arial"/>
                <w:sz w:val="12"/>
                <w:szCs w:val="12"/>
                <w:b w:val="1"/>
                <w:bCs w:val="1"/>
                <w:color w:val="auto"/>
              </w:rPr>
              <w:t>NOTE 3 – SECURITIES</w:t>
            </w:r>
          </w:p>
        </w:tc>
        <w:tc>
          <w:tcPr>
            <w:tcW w:w="1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4560" w:type="dxa"/>
            <w:vAlign w:val="bottom"/>
          </w:tcPr>
          <w:p>
            <w:pPr>
              <w:ind w:left="200"/>
              <w:spacing w:after="0"/>
              <w:rPr>
                <w:sz w:val="20"/>
                <w:szCs w:val="20"/>
                <w:color w:val="auto"/>
              </w:rPr>
            </w:pPr>
            <w:r>
              <w:rPr>
                <w:rFonts w:ascii="Arial" w:cs="Arial" w:eastAsia="Arial" w:hAnsi="Arial"/>
                <w:sz w:val="12"/>
                <w:szCs w:val="12"/>
                <w:color w:val="auto"/>
              </w:rPr>
              <w:t>Securities available for sale consist of the following at December 31:</w:t>
            </w: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ind w:left="140"/>
              <w:spacing w:after="0"/>
              <w:rPr>
                <w:sz w:val="20"/>
                <w:szCs w:val="20"/>
                <w:color w:val="auto"/>
              </w:rPr>
            </w:pPr>
            <w:r>
              <w:rPr>
                <w:rFonts w:ascii="Arial" w:cs="Arial" w:eastAsia="Arial" w:hAnsi="Arial"/>
                <w:sz w:val="12"/>
                <w:szCs w:val="12"/>
                <w:color w:val="auto"/>
              </w:rPr>
              <w:t>Amortized</w:t>
            </w:r>
          </w:p>
        </w:tc>
        <w:tc>
          <w:tcPr>
            <w:tcW w:w="2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2"/>
                <w:szCs w:val="12"/>
                <w:color w:val="auto"/>
              </w:rPr>
              <w:t>Unrealized</w:t>
            </w:r>
          </w:p>
        </w:tc>
        <w:tc>
          <w:tcPr>
            <w:tcW w:w="8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color w:val="auto"/>
              </w:rPr>
              <w:t>Cost</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ind w:left="180"/>
              <w:spacing w:after="0"/>
              <w:rPr>
                <w:sz w:val="20"/>
                <w:szCs w:val="20"/>
                <w:color w:val="auto"/>
              </w:rPr>
            </w:pPr>
            <w:r>
              <w:rPr>
                <w:rFonts w:ascii="Arial" w:cs="Arial" w:eastAsia="Arial" w:hAnsi="Arial"/>
                <w:sz w:val="12"/>
                <w:szCs w:val="12"/>
                <w:color w:val="auto"/>
              </w:rPr>
              <w:t>Gains</w:t>
            </w:r>
          </w:p>
        </w:tc>
        <w:tc>
          <w:tcPr>
            <w:tcW w:w="2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Losses</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auto"/>
              </w:rPr>
              <w:t>Fair Value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4560" w:type="dxa"/>
            <w:vAlign w:val="bottom"/>
            <w:vMerge w:val="restart"/>
          </w:tcPr>
          <w:p>
            <w:pPr>
              <w:spacing w:after="0"/>
              <w:rPr>
                <w:sz w:val="20"/>
                <w:szCs w:val="20"/>
                <w:color w:val="auto"/>
              </w:rPr>
            </w:pPr>
            <w:r>
              <w:rPr>
                <w:rFonts w:ascii="Arial" w:cs="Arial" w:eastAsia="Arial" w:hAnsi="Arial"/>
                <w:sz w:val="12"/>
                <w:szCs w:val="12"/>
                <w:color w:val="auto"/>
              </w:rPr>
              <w:t>2021</w:t>
            </w:r>
          </w:p>
        </w:tc>
        <w:tc>
          <w:tcPr>
            <w:tcW w:w="1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ind w:left="620"/>
              <w:spacing w:after="0"/>
              <w:rPr>
                <w:sz w:val="20"/>
                <w:szCs w:val="20"/>
                <w:color w:val="auto"/>
              </w:rPr>
            </w:pPr>
            <w:r>
              <w:rPr>
                <w:rFonts w:ascii="Arial" w:cs="Arial" w:eastAsia="Arial" w:hAnsi="Arial"/>
                <w:sz w:val="12"/>
                <w:szCs w:val="12"/>
                <w:color w:val="auto"/>
              </w:rPr>
              <w:t>(In</w:t>
            </w:r>
          </w:p>
        </w:tc>
        <w:tc>
          <w:tcPr>
            <w:tcW w:w="520" w:type="dxa"/>
            <w:vAlign w:val="bottom"/>
            <w:gridSpan w:val="2"/>
          </w:tcPr>
          <w:p>
            <w:pPr>
              <w:jc w:val="right"/>
              <w:ind w:right="32"/>
              <w:spacing w:after="0"/>
              <w:rPr>
                <w:sz w:val="20"/>
                <w:szCs w:val="20"/>
                <w:color w:val="auto"/>
              </w:rPr>
            </w:pPr>
            <w:r>
              <w:rPr>
                <w:rFonts w:ascii="Arial" w:cs="Arial" w:eastAsia="Arial" w:hAnsi="Arial"/>
                <w:sz w:val="12"/>
                <w:szCs w:val="12"/>
                <w:color w:val="auto"/>
                <w:w w:val="70"/>
              </w:rPr>
              <w:t>thousands)</w:t>
            </w: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56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5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U.S. agency</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34,634</w:t>
            </w: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152</w:t>
            </w:r>
          </w:p>
        </w:tc>
        <w:tc>
          <w:tcPr>
            <w:tcW w:w="30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112</w:t>
            </w: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34,674</w:t>
            </w:r>
          </w:p>
        </w:tc>
        <w:tc>
          <w:tcPr>
            <w:tcW w:w="0" w:type="dxa"/>
            <w:vAlign w:val="bottom"/>
          </w:tcPr>
          <w:p>
            <w:pPr>
              <w:spacing w:after="0"/>
              <w:rPr>
                <w:sz w:val="1"/>
                <w:szCs w:val="1"/>
                <w:color w:val="auto"/>
              </w:rPr>
            </w:pPr>
          </w:p>
        </w:tc>
      </w:tr>
      <w:tr>
        <w:trPr>
          <w:trHeight w:val="144"/>
        </w:trPr>
        <w:tc>
          <w:tcPr>
            <w:tcW w:w="4560" w:type="dxa"/>
            <w:vAlign w:val="bottom"/>
          </w:tcPr>
          <w:p>
            <w:pPr>
              <w:ind w:left="100"/>
              <w:spacing w:after="0"/>
              <w:rPr>
                <w:sz w:val="20"/>
                <w:szCs w:val="20"/>
                <w:color w:val="auto"/>
              </w:rPr>
            </w:pPr>
            <w:r>
              <w:rPr>
                <w:rFonts w:ascii="Arial" w:cs="Arial" w:eastAsia="Arial" w:hAnsi="Arial"/>
                <w:sz w:val="12"/>
                <w:szCs w:val="12"/>
                <w:color w:val="auto"/>
              </w:rPr>
              <w:t>U.S. agency residential mortgage-backed</w:t>
            </w:r>
          </w:p>
        </w:tc>
        <w:tc>
          <w:tcPr>
            <w:tcW w:w="1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309,907</w:t>
            </w:r>
          </w:p>
        </w:tc>
        <w:tc>
          <w:tcPr>
            <w:tcW w:w="240" w:type="dxa"/>
            <w:vAlign w:val="bottom"/>
          </w:tcPr>
          <w:p>
            <w:pPr>
              <w:spacing w:after="0"/>
              <w:rPr>
                <w:sz w:val="12"/>
                <w:szCs w:val="1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1,952</w:t>
            </w:r>
          </w:p>
        </w:tc>
        <w:tc>
          <w:tcPr>
            <w:tcW w:w="300" w:type="dxa"/>
            <w:vAlign w:val="bottom"/>
          </w:tcPr>
          <w:p>
            <w:pPr>
              <w:spacing w:after="0"/>
              <w:rPr>
                <w:sz w:val="12"/>
                <w:szCs w:val="1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3,874</w:t>
            </w:r>
          </w:p>
        </w:tc>
        <w:tc>
          <w:tcPr>
            <w:tcW w:w="2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307,985</w:t>
            </w:r>
          </w:p>
        </w:tc>
        <w:tc>
          <w:tcPr>
            <w:tcW w:w="0" w:type="dxa"/>
            <w:vAlign w:val="bottom"/>
          </w:tcPr>
          <w:p>
            <w:pPr>
              <w:spacing w:after="0"/>
              <w:rPr>
                <w:sz w:val="1"/>
                <w:szCs w:val="1"/>
                <w:color w:val="auto"/>
              </w:rPr>
            </w:pPr>
          </w:p>
        </w:tc>
      </w:tr>
      <w:tr>
        <w:trPr>
          <w:trHeight w:val="144"/>
        </w:trPr>
        <w:tc>
          <w:tcPr>
            <w:tcW w:w="45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U.S. agency commercial mortgage-backed</w:t>
            </w:r>
          </w:p>
        </w:tc>
        <w:tc>
          <w:tcPr>
            <w:tcW w:w="1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23,066</w:t>
            </w: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84</w:t>
            </w:r>
          </w:p>
        </w:tc>
        <w:tc>
          <w:tcPr>
            <w:tcW w:w="3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224</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22,926</w:t>
            </w:r>
          </w:p>
        </w:tc>
        <w:tc>
          <w:tcPr>
            <w:tcW w:w="0" w:type="dxa"/>
            <w:vAlign w:val="bottom"/>
          </w:tcPr>
          <w:p>
            <w:pPr>
              <w:spacing w:after="0"/>
              <w:rPr>
                <w:sz w:val="1"/>
                <w:szCs w:val="1"/>
                <w:color w:val="auto"/>
              </w:rPr>
            </w:pPr>
          </w:p>
        </w:tc>
      </w:tr>
      <w:tr>
        <w:trPr>
          <w:trHeight w:val="144"/>
        </w:trPr>
        <w:tc>
          <w:tcPr>
            <w:tcW w:w="4560" w:type="dxa"/>
            <w:vAlign w:val="bottom"/>
          </w:tcPr>
          <w:p>
            <w:pPr>
              <w:ind w:left="100"/>
              <w:spacing w:after="0"/>
              <w:rPr>
                <w:sz w:val="20"/>
                <w:szCs w:val="20"/>
                <w:color w:val="auto"/>
              </w:rPr>
            </w:pPr>
            <w:r>
              <w:rPr>
                <w:rFonts w:ascii="Arial" w:cs="Arial" w:eastAsia="Arial" w:hAnsi="Arial"/>
                <w:sz w:val="12"/>
                <w:szCs w:val="12"/>
                <w:color w:val="auto"/>
              </w:rPr>
              <w:t>Private label mortgage-backed</w:t>
            </w:r>
          </w:p>
        </w:tc>
        <w:tc>
          <w:tcPr>
            <w:tcW w:w="1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102,480</w:t>
            </w:r>
          </w:p>
        </w:tc>
        <w:tc>
          <w:tcPr>
            <w:tcW w:w="240" w:type="dxa"/>
            <w:vAlign w:val="bottom"/>
          </w:tcPr>
          <w:p>
            <w:pPr>
              <w:spacing w:after="0"/>
              <w:rPr>
                <w:sz w:val="12"/>
                <w:szCs w:val="1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807</w:t>
            </w:r>
          </w:p>
        </w:tc>
        <w:tc>
          <w:tcPr>
            <w:tcW w:w="300" w:type="dxa"/>
            <w:vAlign w:val="bottom"/>
          </w:tcPr>
          <w:p>
            <w:pPr>
              <w:spacing w:after="0"/>
              <w:rPr>
                <w:sz w:val="12"/>
                <w:szCs w:val="1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672</w:t>
            </w:r>
          </w:p>
        </w:tc>
        <w:tc>
          <w:tcPr>
            <w:tcW w:w="2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102,615</w:t>
            </w:r>
          </w:p>
        </w:tc>
        <w:tc>
          <w:tcPr>
            <w:tcW w:w="0" w:type="dxa"/>
            <w:vAlign w:val="bottom"/>
          </w:tcPr>
          <w:p>
            <w:pPr>
              <w:spacing w:after="0"/>
              <w:rPr>
                <w:sz w:val="1"/>
                <w:szCs w:val="1"/>
                <w:color w:val="auto"/>
              </w:rPr>
            </w:pPr>
          </w:p>
        </w:tc>
      </w:tr>
      <w:tr>
        <w:trPr>
          <w:trHeight w:val="144"/>
        </w:trPr>
        <w:tc>
          <w:tcPr>
            <w:tcW w:w="45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Other asset backed</w:t>
            </w:r>
          </w:p>
        </w:tc>
        <w:tc>
          <w:tcPr>
            <w:tcW w:w="1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215,235</w:t>
            </w: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1,204</w:t>
            </w:r>
          </w:p>
        </w:tc>
        <w:tc>
          <w:tcPr>
            <w:tcW w:w="3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269</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216,170</w:t>
            </w:r>
          </w:p>
        </w:tc>
        <w:tc>
          <w:tcPr>
            <w:tcW w:w="0" w:type="dxa"/>
            <w:vAlign w:val="bottom"/>
          </w:tcPr>
          <w:p>
            <w:pPr>
              <w:spacing w:after="0"/>
              <w:rPr>
                <w:sz w:val="1"/>
                <w:szCs w:val="1"/>
                <w:color w:val="auto"/>
              </w:rPr>
            </w:pPr>
          </w:p>
        </w:tc>
      </w:tr>
      <w:tr>
        <w:trPr>
          <w:trHeight w:val="144"/>
        </w:trPr>
        <w:tc>
          <w:tcPr>
            <w:tcW w:w="4560" w:type="dxa"/>
            <w:vAlign w:val="bottom"/>
          </w:tcPr>
          <w:p>
            <w:pPr>
              <w:ind w:left="100"/>
              <w:spacing w:after="0"/>
              <w:rPr>
                <w:sz w:val="20"/>
                <w:szCs w:val="20"/>
                <w:color w:val="auto"/>
              </w:rPr>
            </w:pPr>
            <w:r>
              <w:rPr>
                <w:rFonts w:ascii="Arial" w:cs="Arial" w:eastAsia="Arial" w:hAnsi="Arial"/>
                <w:sz w:val="12"/>
                <w:szCs w:val="12"/>
                <w:color w:val="auto"/>
              </w:rPr>
              <w:t>Obligations of states and political subdivisions</w:t>
            </w:r>
          </w:p>
        </w:tc>
        <w:tc>
          <w:tcPr>
            <w:tcW w:w="1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568,355</w:t>
            </w:r>
          </w:p>
        </w:tc>
        <w:tc>
          <w:tcPr>
            <w:tcW w:w="240" w:type="dxa"/>
            <w:vAlign w:val="bottom"/>
          </w:tcPr>
          <w:p>
            <w:pPr>
              <w:spacing w:after="0"/>
              <w:rPr>
                <w:sz w:val="12"/>
                <w:szCs w:val="1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9,942</w:t>
            </w:r>
          </w:p>
        </w:tc>
        <w:tc>
          <w:tcPr>
            <w:tcW w:w="300" w:type="dxa"/>
            <w:vAlign w:val="bottom"/>
          </w:tcPr>
          <w:p>
            <w:pPr>
              <w:spacing w:after="0"/>
              <w:rPr>
                <w:sz w:val="12"/>
                <w:szCs w:val="1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2,221</w:t>
            </w:r>
          </w:p>
        </w:tc>
        <w:tc>
          <w:tcPr>
            <w:tcW w:w="2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576,076</w:t>
            </w:r>
          </w:p>
        </w:tc>
        <w:tc>
          <w:tcPr>
            <w:tcW w:w="0" w:type="dxa"/>
            <w:vAlign w:val="bottom"/>
          </w:tcPr>
          <w:p>
            <w:pPr>
              <w:spacing w:after="0"/>
              <w:rPr>
                <w:sz w:val="1"/>
                <w:szCs w:val="1"/>
                <w:color w:val="auto"/>
              </w:rPr>
            </w:pPr>
          </w:p>
        </w:tc>
      </w:tr>
      <w:tr>
        <w:trPr>
          <w:trHeight w:val="144"/>
        </w:trPr>
        <w:tc>
          <w:tcPr>
            <w:tcW w:w="45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Corporate</w:t>
            </w:r>
          </w:p>
        </w:tc>
        <w:tc>
          <w:tcPr>
            <w:tcW w:w="1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148,707</w:t>
            </w: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2,446</w:t>
            </w:r>
          </w:p>
        </w:tc>
        <w:tc>
          <w:tcPr>
            <w:tcW w:w="3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1,194</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149,959</w:t>
            </w:r>
          </w:p>
        </w:tc>
        <w:tc>
          <w:tcPr>
            <w:tcW w:w="0" w:type="dxa"/>
            <w:vAlign w:val="bottom"/>
          </w:tcPr>
          <w:p>
            <w:pPr>
              <w:spacing w:after="0"/>
              <w:rPr>
                <w:sz w:val="1"/>
                <w:szCs w:val="1"/>
                <w:color w:val="auto"/>
              </w:rPr>
            </w:pPr>
          </w:p>
        </w:tc>
      </w:tr>
      <w:tr>
        <w:trPr>
          <w:trHeight w:val="144"/>
        </w:trPr>
        <w:tc>
          <w:tcPr>
            <w:tcW w:w="4560" w:type="dxa"/>
            <w:vAlign w:val="bottom"/>
          </w:tcPr>
          <w:p>
            <w:pPr>
              <w:ind w:left="100"/>
              <w:spacing w:after="0"/>
              <w:rPr>
                <w:sz w:val="20"/>
                <w:szCs w:val="20"/>
                <w:color w:val="auto"/>
              </w:rPr>
            </w:pPr>
            <w:r>
              <w:rPr>
                <w:rFonts w:ascii="Arial" w:cs="Arial" w:eastAsia="Arial" w:hAnsi="Arial"/>
                <w:sz w:val="12"/>
                <w:szCs w:val="12"/>
                <w:color w:val="auto"/>
              </w:rPr>
              <w:t>Trust preferred</w:t>
            </w:r>
          </w:p>
        </w:tc>
        <w:tc>
          <w:tcPr>
            <w:tcW w:w="1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1,975</w:t>
            </w:r>
          </w:p>
        </w:tc>
        <w:tc>
          <w:tcPr>
            <w:tcW w:w="240" w:type="dxa"/>
            <w:vAlign w:val="bottom"/>
          </w:tcPr>
          <w:p>
            <w:pPr>
              <w:spacing w:after="0"/>
              <w:rPr>
                <w:sz w:val="12"/>
                <w:szCs w:val="1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56</w:t>
            </w:r>
          </w:p>
        </w:tc>
        <w:tc>
          <w:tcPr>
            <w:tcW w:w="2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1,919</w:t>
            </w:r>
          </w:p>
        </w:tc>
        <w:tc>
          <w:tcPr>
            <w:tcW w:w="0" w:type="dxa"/>
            <w:vAlign w:val="bottom"/>
          </w:tcPr>
          <w:p>
            <w:pPr>
              <w:spacing w:after="0"/>
              <w:rPr>
                <w:sz w:val="1"/>
                <w:szCs w:val="1"/>
                <w:color w:val="auto"/>
              </w:rPr>
            </w:pPr>
          </w:p>
        </w:tc>
      </w:tr>
      <w:tr>
        <w:trPr>
          <w:trHeight w:val="144"/>
        </w:trPr>
        <w:tc>
          <w:tcPr>
            <w:tcW w:w="45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Foreign government</w:t>
            </w:r>
          </w:p>
        </w:tc>
        <w:tc>
          <w:tcPr>
            <w:tcW w:w="1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499</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7</w:t>
            </w:r>
          </w:p>
        </w:tc>
        <w:tc>
          <w:tcPr>
            <w:tcW w:w="3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506</w:t>
            </w:r>
          </w:p>
        </w:tc>
        <w:tc>
          <w:tcPr>
            <w:tcW w:w="0" w:type="dxa"/>
            <w:vAlign w:val="bottom"/>
          </w:tcPr>
          <w:p>
            <w:pPr>
              <w:spacing w:after="0"/>
              <w:rPr>
                <w:sz w:val="1"/>
                <w:szCs w:val="1"/>
                <w:color w:val="auto"/>
              </w:rPr>
            </w:pPr>
          </w:p>
        </w:tc>
      </w:tr>
      <w:tr>
        <w:trPr>
          <w:trHeight w:val="20"/>
        </w:trPr>
        <w:tc>
          <w:tcPr>
            <w:tcW w:w="456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560" w:type="dxa"/>
            <w:vAlign w:val="bottom"/>
          </w:tcPr>
          <w:p>
            <w:pPr>
              <w:ind w:left="200"/>
              <w:spacing w:after="0"/>
              <w:rPr>
                <w:sz w:val="20"/>
                <w:szCs w:val="20"/>
                <w:color w:val="auto"/>
              </w:rPr>
            </w:pPr>
            <w:r>
              <w:rPr>
                <w:rFonts w:ascii="Arial" w:cs="Arial" w:eastAsia="Arial" w:hAnsi="Arial"/>
                <w:sz w:val="12"/>
                <w:szCs w:val="12"/>
                <w:color w:val="auto"/>
              </w:rPr>
              <w:t>Total</w:t>
            </w:r>
          </w:p>
        </w:tc>
        <w:tc>
          <w:tcPr>
            <w:tcW w:w="16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1,404,858</w:t>
            </w: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16,594</w:t>
            </w: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8,622</w:t>
            </w: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1,412,830</w:t>
            </w: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2"/>
                <w:szCs w:val="12"/>
                <w:color w:val="auto"/>
              </w:rPr>
              <w:t>2020</w:t>
            </w:r>
          </w:p>
        </w:tc>
        <w:tc>
          <w:tcPr>
            <w:tcW w:w="1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560" w:type="dxa"/>
            <w:vAlign w:val="bottom"/>
            <w:vMerge w:val="continue"/>
          </w:tcPr>
          <w:p>
            <w:pPr>
              <w:spacing w:after="0"/>
              <w:rPr>
                <w:sz w:val="22"/>
                <w:szCs w:val="22"/>
                <w:color w:val="auto"/>
              </w:rPr>
            </w:pPr>
          </w:p>
        </w:tc>
        <w:tc>
          <w:tcPr>
            <w:tcW w:w="1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45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U.S. agency</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10,456</w:t>
            </w: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305</w:t>
            </w:r>
          </w:p>
        </w:tc>
        <w:tc>
          <w:tcPr>
            <w:tcW w:w="30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13</w:t>
            </w: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10,748</w:t>
            </w:r>
          </w:p>
        </w:tc>
        <w:tc>
          <w:tcPr>
            <w:tcW w:w="0" w:type="dxa"/>
            <w:vAlign w:val="bottom"/>
          </w:tcPr>
          <w:p>
            <w:pPr>
              <w:spacing w:after="0"/>
              <w:rPr>
                <w:sz w:val="1"/>
                <w:szCs w:val="1"/>
                <w:color w:val="auto"/>
              </w:rPr>
            </w:pPr>
          </w:p>
        </w:tc>
      </w:tr>
      <w:tr>
        <w:trPr>
          <w:trHeight w:val="144"/>
        </w:trPr>
        <w:tc>
          <w:tcPr>
            <w:tcW w:w="4560" w:type="dxa"/>
            <w:vAlign w:val="bottom"/>
          </w:tcPr>
          <w:p>
            <w:pPr>
              <w:ind w:left="100"/>
              <w:spacing w:after="0"/>
              <w:rPr>
                <w:sz w:val="20"/>
                <w:szCs w:val="20"/>
                <w:color w:val="auto"/>
              </w:rPr>
            </w:pPr>
            <w:r>
              <w:rPr>
                <w:rFonts w:ascii="Arial" w:cs="Arial" w:eastAsia="Arial" w:hAnsi="Arial"/>
                <w:sz w:val="12"/>
                <w:szCs w:val="12"/>
                <w:color w:val="auto"/>
              </w:rPr>
              <w:t>U.S. agency residential mortgage-backed</w:t>
            </w:r>
          </w:p>
        </w:tc>
        <w:tc>
          <w:tcPr>
            <w:tcW w:w="1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340,224</w:t>
            </w:r>
          </w:p>
        </w:tc>
        <w:tc>
          <w:tcPr>
            <w:tcW w:w="240" w:type="dxa"/>
            <w:vAlign w:val="bottom"/>
          </w:tcPr>
          <w:p>
            <w:pPr>
              <w:spacing w:after="0"/>
              <w:rPr>
                <w:sz w:val="12"/>
                <w:szCs w:val="1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4,951</w:t>
            </w:r>
          </w:p>
        </w:tc>
        <w:tc>
          <w:tcPr>
            <w:tcW w:w="300" w:type="dxa"/>
            <w:vAlign w:val="bottom"/>
          </w:tcPr>
          <w:p>
            <w:pPr>
              <w:spacing w:after="0"/>
              <w:rPr>
                <w:sz w:val="12"/>
                <w:szCs w:val="1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593</w:t>
            </w:r>
          </w:p>
        </w:tc>
        <w:tc>
          <w:tcPr>
            <w:tcW w:w="2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344,582</w:t>
            </w:r>
          </w:p>
        </w:tc>
        <w:tc>
          <w:tcPr>
            <w:tcW w:w="0" w:type="dxa"/>
            <w:vAlign w:val="bottom"/>
          </w:tcPr>
          <w:p>
            <w:pPr>
              <w:spacing w:after="0"/>
              <w:rPr>
                <w:sz w:val="1"/>
                <w:szCs w:val="1"/>
                <w:color w:val="auto"/>
              </w:rPr>
            </w:pPr>
          </w:p>
        </w:tc>
      </w:tr>
      <w:tr>
        <w:trPr>
          <w:trHeight w:val="144"/>
        </w:trPr>
        <w:tc>
          <w:tcPr>
            <w:tcW w:w="45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U.S. agency commercial mortgage-backed</w:t>
            </w:r>
          </w:p>
        </w:tc>
        <w:tc>
          <w:tcPr>
            <w:tcW w:w="1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6,869</w:t>
            </w: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326</w:t>
            </w:r>
          </w:p>
        </w:tc>
        <w:tc>
          <w:tcPr>
            <w:tcW w:w="3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7,195</w:t>
            </w:r>
          </w:p>
        </w:tc>
        <w:tc>
          <w:tcPr>
            <w:tcW w:w="0" w:type="dxa"/>
            <w:vAlign w:val="bottom"/>
          </w:tcPr>
          <w:p>
            <w:pPr>
              <w:spacing w:after="0"/>
              <w:rPr>
                <w:sz w:val="1"/>
                <w:szCs w:val="1"/>
                <w:color w:val="auto"/>
              </w:rPr>
            </w:pPr>
          </w:p>
        </w:tc>
      </w:tr>
      <w:tr>
        <w:trPr>
          <w:trHeight w:val="144"/>
        </w:trPr>
        <w:tc>
          <w:tcPr>
            <w:tcW w:w="4560" w:type="dxa"/>
            <w:vAlign w:val="bottom"/>
          </w:tcPr>
          <w:p>
            <w:pPr>
              <w:ind w:left="100"/>
              <w:spacing w:after="0"/>
              <w:rPr>
                <w:sz w:val="20"/>
                <w:szCs w:val="20"/>
                <w:color w:val="auto"/>
              </w:rPr>
            </w:pPr>
            <w:r>
              <w:rPr>
                <w:rFonts w:ascii="Arial" w:cs="Arial" w:eastAsia="Arial" w:hAnsi="Arial"/>
                <w:sz w:val="12"/>
                <w:szCs w:val="12"/>
                <w:color w:val="auto"/>
              </w:rPr>
              <w:t>Private label mortgage-backed</w:t>
            </w:r>
          </w:p>
        </w:tc>
        <w:tc>
          <w:tcPr>
            <w:tcW w:w="1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41,429</w:t>
            </w:r>
          </w:p>
        </w:tc>
        <w:tc>
          <w:tcPr>
            <w:tcW w:w="240" w:type="dxa"/>
            <w:vAlign w:val="bottom"/>
          </w:tcPr>
          <w:p>
            <w:pPr>
              <w:spacing w:after="0"/>
              <w:rPr>
                <w:sz w:val="12"/>
                <w:szCs w:val="1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1,539</w:t>
            </w:r>
          </w:p>
        </w:tc>
        <w:tc>
          <w:tcPr>
            <w:tcW w:w="300" w:type="dxa"/>
            <w:vAlign w:val="bottom"/>
          </w:tcPr>
          <w:p>
            <w:pPr>
              <w:spacing w:after="0"/>
              <w:rPr>
                <w:sz w:val="12"/>
                <w:szCs w:val="1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139</w:t>
            </w:r>
          </w:p>
        </w:tc>
        <w:tc>
          <w:tcPr>
            <w:tcW w:w="2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42,829</w:t>
            </w:r>
          </w:p>
        </w:tc>
        <w:tc>
          <w:tcPr>
            <w:tcW w:w="0" w:type="dxa"/>
            <w:vAlign w:val="bottom"/>
          </w:tcPr>
          <w:p>
            <w:pPr>
              <w:spacing w:after="0"/>
              <w:rPr>
                <w:sz w:val="1"/>
                <w:szCs w:val="1"/>
                <w:color w:val="auto"/>
              </w:rPr>
            </w:pPr>
          </w:p>
        </w:tc>
      </w:tr>
      <w:tr>
        <w:trPr>
          <w:trHeight w:val="144"/>
        </w:trPr>
        <w:tc>
          <w:tcPr>
            <w:tcW w:w="45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Other asset backed</w:t>
            </w:r>
          </w:p>
        </w:tc>
        <w:tc>
          <w:tcPr>
            <w:tcW w:w="1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252,596</w:t>
            </w: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1,796</w:t>
            </w:r>
          </w:p>
        </w:tc>
        <w:tc>
          <w:tcPr>
            <w:tcW w:w="3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211</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254,181</w:t>
            </w:r>
          </w:p>
        </w:tc>
        <w:tc>
          <w:tcPr>
            <w:tcW w:w="0" w:type="dxa"/>
            <w:vAlign w:val="bottom"/>
          </w:tcPr>
          <w:p>
            <w:pPr>
              <w:spacing w:after="0"/>
              <w:rPr>
                <w:sz w:val="1"/>
                <w:szCs w:val="1"/>
                <w:color w:val="auto"/>
              </w:rPr>
            </w:pPr>
          </w:p>
        </w:tc>
      </w:tr>
      <w:tr>
        <w:trPr>
          <w:trHeight w:val="144"/>
        </w:trPr>
        <w:tc>
          <w:tcPr>
            <w:tcW w:w="4560" w:type="dxa"/>
            <w:vAlign w:val="bottom"/>
          </w:tcPr>
          <w:p>
            <w:pPr>
              <w:ind w:left="100"/>
              <w:spacing w:after="0"/>
              <w:rPr>
                <w:sz w:val="20"/>
                <w:szCs w:val="20"/>
                <w:color w:val="auto"/>
              </w:rPr>
            </w:pPr>
            <w:r>
              <w:rPr>
                <w:rFonts w:ascii="Arial" w:cs="Arial" w:eastAsia="Arial" w:hAnsi="Arial"/>
                <w:sz w:val="12"/>
                <w:szCs w:val="12"/>
                <w:color w:val="auto"/>
              </w:rPr>
              <w:t>Obligations of states and political subdivisions</w:t>
            </w:r>
          </w:p>
        </w:tc>
        <w:tc>
          <w:tcPr>
            <w:tcW w:w="1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315,780</w:t>
            </w:r>
          </w:p>
        </w:tc>
        <w:tc>
          <w:tcPr>
            <w:tcW w:w="240" w:type="dxa"/>
            <w:vAlign w:val="bottom"/>
          </w:tcPr>
          <w:p>
            <w:pPr>
              <w:spacing w:after="0"/>
              <w:rPr>
                <w:sz w:val="12"/>
                <w:szCs w:val="1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8,691</w:t>
            </w:r>
          </w:p>
        </w:tc>
        <w:tc>
          <w:tcPr>
            <w:tcW w:w="300" w:type="dxa"/>
            <w:vAlign w:val="bottom"/>
          </w:tcPr>
          <w:p>
            <w:pPr>
              <w:spacing w:after="0"/>
              <w:rPr>
                <w:sz w:val="12"/>
                <w:szCs w:val="1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178</w:t>
            </w:r>
          </w:p>
        </w:tc>
        <w:tc>
          <w:tcPr>
            <w:tcW w:w="2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324,293</w:t>
            </w:r>
          </w:p>
        </w:tc>
        <w:tc>
          <w:tcPr>
            <w:tcW w:w="0" w:type="dxa"/>
            <w:vAlign w:val="bottom"/>
          </w:tcPr>
          <w:p>
            <w:pPr>
              <w:spacing w:after="0"/>
              <w:rPr>
                <w:sz w:val="1"/>
                <w:szCs w:val="1"/>
                <w:color w:val="auto"/>
              </w:rPr>
            </w:pPr>
          </w:p>
        </w:tc>
      </w:tr>
      <w:tr>
        <w:trPr>
          <w:trHeight w:val="144"/>
        </w:trPr>
        <w:tc>
          <w:tcPr>
            <w:tcW w:w="45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Corporate</w:t>
            </w:r>
          </w:p>
        </w:tc>
        <w:tc>
          <w:tcPr>
            <w:tcW w:w="1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82,307</w:t>
            </w: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3,807</w:t>
            </w:r>
          </w:p>
        </w:tc>
        <w:tc>
          <w:tcPr>
            <w:tcW w:w="3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97</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86,017</w:t>
            </w:r>
          </w:p>
        </w:tc>
        <w:tc>
          <w:tcPr>
            <w:tcW w:w="0" w:type="dxa"/>
            <w:vAlign w:val="bottom"/>
          </w:tcPr>
          <w:p>
            <w:pPr>
              <w:spacing w:after="0"/>
              <w:rPr>
                <w:sz w:val="1"/>
                <w:szCs w:val="1"/>
                <w:color w:val="auto"/>
              </w:rPr>
            </w:pPr>
          </w:p>
        </w:tc>
      </w:tr>
      <w:tr>
        <w:trPr>
          <w:trHeight w:val="144"/>
        </w:trPr>
        <w:tc>
          <w:tcPr>
            <w:tcW w:w="4560" w:type="dxa"/>
            <w:vAlign w:val="bottom"/>
          </w:tcPr>
          <w:p>
            <w:pPr>
              <w:ind w:left="100"/>
              <w:spacing w:after="0"/>
              <w:rPr>
                <w:sz w:val="20"/>
                <w:szCs w:val="20"/>
                <w:color w:val="auto"/>
              </w:rPr>
            </w:pPr>
            <w:r>
              <w:rPr>
                <w:rFonts w:ascii="Arial" w:cs="Arial" w:eastAsia="Arial" w:hAnsi="Arial"/>
                <w:sz w:val="12"/>
                <w:szCs w:val="12"/>
                <w:color w:val="auto"/>
              </w:rPr>
              <w:t>Trust preferred</w:t>
            </w:r>
          </w:p>
        </w:tc>
        <w:tc>
          <w:tcPr>
            <w:tcW w:w="1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1,971</w:t>
            </w:r>
          </w:p>
        </w:tc>
        <w:tc>
          <w:tcPr>
            <w:tcW w:w="240" w:type="dxa"/>
            <w:vAlign w:val="bottom"/>
          </w:tcPr>
          <w:p>
            <w:pPr>
              <w:spacing w:after="0"/>
              <w:rPr>
                <w:sz w:val="12"/>
                <w:szCs w:val="1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173</w:t>
            </w:r>
          </w:p>
        </w:tc>
        <w:tc>
          <w:tcPr>
            <w:tcW w:w="2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1,798</w:t>
            </w:r>
          </w:p>
        </w:tc>
        <w:tc>
          <w:tcPr>
            <w:tcW w:w="0" w:type="dxa"/>
            <w:vAlign w:val="bottom"/>
          </w:tcPr>
          <w:p>
            <w:pPr>
              <w:spacing w:after="0"/>
              <w:rPr>
                <w:sz w:val="1"/>
                <w:szCs w:val="1"/>
                <w:color w:val="auto"/>
              </w:rPr>
            </w:pPr>
          </w:p>
        </w:tc>
      </w:tr>
      <w:tr>
        <w:trPr>
          <w:trHeight w:val="144"/>
        </w:trPr>
        <w:tc>
          <w:tcPr>
            <w:tcW w:w="45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Foreign government</w:t>
            </w:r>
          </w:p>
        </w:tc>
        <w:tc>
          <w:tcPr>
            <w:tcW w:w="1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16</w:t>
            </w:r>
          </w:p>
        </w:tc>
        <w:tc>
          <w:tcPr>
            <w:tcW w:w="3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516</w:t>
            </w:r>
          </w:p>
        </w:tc>
        <w:tc>
          <w:tcPr>
            <w:tcW w:w="0" w:type="dxa"/>
            <w:vAlign w:val="bottom"/>
          </w:tcPr>
          <w:p>
            <w:pPr>
              <w:spacing w:after="0"/>
              <w:rPr>
                <w:sz w:val="1"/>
                <w:szCs w:val="1"/>
                <w:color w:val="auto"/>
              </w:rPr>
            </w:pPr>
          </w:p>
        </w:tc>
      </w:tr>
      <w:tr>
        <w:trPr>
          <w:trHeight w:val="20"/>
        </w:trPr>
        <w:tc>
          <w:tcPr>
            <w:tcW w:w="456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560" w:type="dxa"/>
            <w:vAlign w:val="bottom"/>
          </w:tcPr>
          <w:p>
            <w:pPr>
              <w:ind w:left="200"/>
              <w:spacing w:after="0"/>
              <w:rPr>
                <w:sz w:val="20"/>
                <w:szCs w:val="20"/>
                <w:color w:val="auto"/>
              </w:rPr>
            </w:pPr>
            <w:r>
              <w:rPr>
                <w:rFonts w:ascii="Arial" w:cs="Arial" w:eastAsia="Arial" w:hAnsi="Arial"/>
                <w:sz w:val="12"/>
                <w:szCs w:val="12"/>
                <w:color w:val="auto"/>
              </w:rPr>
              <w:t>Total</w:t>
            </w:r>
          </w:p>
        </w:tc>
        <w:tc>
          <w:tcPr>
            <w:tcW w:w="16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1,052,132</w:t>
            </w: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21,431</w:t>
            </w: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1,404</w:t>
            </w: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1,072,159</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440" w:type="dxa"/>
            <w:vAlign w:val="bottom"/>
            <w:vMerge w:val="restart"/>
          </w:tcPr>
          <w:p>
            <w:pPr>
              <w:jc w:val="right"/>
              <w:ind w:right="242"/>
              <w:spacing w:after="0"/>
              <w:rPr>
                <w:sz w:val="20"/>
                <w:szCs w:val="20"/>
                <w:color w:val="auto"/>
              </w:rPr>
            </w:pPr>
            <w:r>
              <w:rPr>
                <w:rFonts w:ascii="Arial" w:cs="Arial" w:eastAsia="Arial" w:hAnsi="Arial"/>
                <w:sz w:val="10"/>
                <w:szCs w:val="10"/>
                <w:color w:val="auto"/>
              </w:rPr>
              <w:t>52</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456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5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27" w:right="299" w:bottom="1440" w:gutter="0" w:footer="0" w:header="0"/>
        </w:sectPr>
      </w:pPr>
    </w:p>
    <w:bookmarkStart w:id="72" w:name="page73"/>
    <w:bookmarkEnd w:id="72"/>
    <w:p>
      <w:pPr>
        <w:ind w:left="3700"/>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2"/>
          <w:szCs w:val="12"/>
          <w:color w:val="auto"/>
        </w:rPr>
        <w:t>Our investments’ gross unrealized losses and fair values aggregated by investment type and length of time that individual securities have been at a continuous unrealized loss position, at December 31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2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2"/>
                <w:szCs w:val="12"/>
                <w:b w:val="1"/>
                <w:bCs w:val="1"/>
                <w:color w:val="auto"/>
              </w:rPr>
              <w:t>Less Than Twelve Months</w:t>
            </w:r>
          </w:p>
        </w:tc>
        <w:tc>
          <w:tcPr>
            <w:tcW w:w="2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2"/>
                <w:szCs w:val="12"/>
                <w:b w:val="1"/>
                <w:bCs w:val="1"/>
                <w:color w:val="auto"/>
              </w:rPr>
              <w:t>Twelve Months or More</w:t>
            </w:r>
          </w:p>
        </w:tc>
        <w:tc>
          <w:tcPr>
            <w:tcW w:w="2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2"/>
                <w:szCs w:val="12"/>
                <w:b w:val="1"/>
                <w:bCs w:val="1"/>
                <w:color w:val="auto"/>
              </w:rPr>
              <w:t>Total</w:t>
            </w:r>
          </w:p>
        </w:tc>
        <w:tc>
          <w:tcPr>
            <w:tcW w:w="9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jc w:val="right"/>
              <w:spacing w:after="0" w:line="129" w:lineRule="exact"/>
              <w:rPr>
                <w:sz w:val="20"/>
                <w:szCs w:val="20"/>
                <w:color w:val="auto"/>
              </w:rPr>
            </w:pPr>
            <w:r>
              <w:rPr>
                <w:rFonts w:ascii="Arial" w:cs="Arial" w:eastAsia="Arial" w:hAnsi="Arial"/>
                <w:sz w:val="12"/>
                <w:szCs w:val="12"/>
                <w:b w:val="1"/>
                <w:bCs w:val="1"/>
                <w:color w:val="auto"/>
              </w:rPr>
              <w:t>Unrealized</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jc w:val="right"/>
              <w:ind w:right="8"/>
              <w:spacing w:after="0" w:line="129" w:lineRule="exact"/>
              <w:rPr>
                <w:sz w:val="20"/>
                <w:szCs w:val="20"/>
                <w:color w:val="auto"/>
              </w:rPr>
            </w:pPr>
            <w:r>
              <w:rPr>
                <w:rFonts w:ascii="Arial" w:cs="Arial" w:eastAsia="Arial" w:hAnsi="Arial"/>
                <w:sz w:val="12"/>
                <w:szCs w:val="12"/>
                <w:b w:val="1"/>
                <w:bCs w:val="1"/>
                <w:color w:val="auto"/>
              </w:rPr>
              <w:t>Unrealized</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center"/>
              <w:ind w:right="120"/>
              <w:spacing w:after="0" w:line="129" w:lineRule="exact"/>
              <w:rPr>
                <w:sz w:val="20"/>
                <w:szCs w:val="20"/>
                <w:color w:val="auto"/>
              </w:rPr>
            </w:pPr>
            <w:r>
              <w:rPr>
                <w:rFonts w:ascii="Arial" w:cs="Arial" w:eastAsia="Arial" w:hAnsi="Arial"/>
                <w:sz w:val="12"/>
                <w:szCs w:val="12"/>
                <w:b w:val="1"/>
                <w:bCs w:val="1"/>
                <w:color w:val="auto"/>
                <w:w w:val="92"/>
              </w:rPr>
              <w:t>Unrealized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2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Fair Value</w:t>
            </w:r>
          </w:p>
        </w:tc>
        <w:tc>
          <w:tcPr>
            <w:tcW w:w="240" w:type="dxa"/>
            <w:vAlign w:val="bottom"/>
          </w:tcPr>
          <w:p>
            <w:pPr>
              <w:spacing w:after="0"/>
              <w:rPr>
                <w:sz w:val="13"/>
                <w:szCs w:val="13"/>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2"/>
                <w:szCs w:val="12"/>
                <w:b w:val="1"/>
                <w:bCs w:val="1"/>
                <w:color w:val="auto"/>
              </w:rPr>
              <w:t>Losses</w:t>
            </w:r>
          </w:p>
        </w:tc>
        <w:tc>
          <w:tcPr>
            <w:tcW w:w="2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Fair Value</w:t>
            </w:r>
          </w:p>
        </w:tc>
        <w:tc>
          <w:tcPr>
            <w:tcW w:w="220" w:type="dxa"/>
            <w:vAlign w:val="bottom"/>
          </w:tcPr>
          <w:p>
            <w:pPr>
              <w:spacing w:after="0"/>
              <w:rPr>
                <w:sz w:val="13"/>
                <w:szCs w:val="13"/>
                <w:color w:val="auto"/>
              </w:rPr>
            </w:pP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2"/>
                <w:szCs w:val="12"/>
                <w:b w:val="1"/>
                <w:bCs w:val="1"/>
                <w:color w:val="auto"/>
              </w:rPr>
              <w:t>Losses</w:t>
            </w:r>
          </w:p>
        </w:tc>
        <w:tc>
          <w:tcPr>
            <w:tcW w:w="2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rPr>
              <w:t>Fair Value</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100"/>
              <w:spacing w:after="0"/>
              <w:rPr>
                <w:sz w:val="20"/>
                <w:szCs w:val="20"/>
                <w:color w:val="auto"/>
              </w:rPr>
            </w:pPr>
            <w:r>
              <w:rPr>
                <w:rFonts w:ascii="Arial" w:cs="Arial" w:eastAsia="Arial" w:hAnsi="Arial"/>
                <w:sz w:val="12"/>
                <w:szCs w:val="12"/>
                <w:b w:val="1"/>
                <w:bCs w:val="1"/>
                <w:color w:val="auto"/>
                <w:w w:val="82"/>
              </w:rPr>
              <w:t>Losses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280" w:type="dxa"/>
            <w:vAlign w:val="bottom"/>
            <w:vMerge w:val="restart"/>
          </w:tcPr>
          <w:p>
            <w:pPr>
              <w:spacing w:after="0"/>
              <w:rPr>
                <w:sz w:val="20"/>
                <w:szCs w:val="20"/>
                <w:color w:val="auto"/>
              </w:rPr>
            </w:pPr>
            <w:r>
              <w:rPr>
                <w:rFonts w:ascii="Arial" w:cs="Arial" w:eastAsia="Arial" w:hAnsi="Arial"/>
                <w:sz w:val="12"/>
                <w:szCs w:val="12"/>
                <w:color w:val="auto"/>
              </w:rPr>
              <w:t>2021</w:t>
            </w: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ind w:right="80"/>
              <w:spacing w:after="0"/>
              <w:rPr>
                <w:sz w:val="20"/>
                <w:szCs w:val="20"/>
                <w:color w:val="auto"/>
              </w:rPr>
            </w:pPr>
            <w:r>
              <w:rPr>
                <w:rFonts w:ascii="Arial" w:cs="Arial" w:eastAsia="Arial" w:hAnsi="Arial"/>
                <w:sz w:val="12"/>
                <w:szCs w:val="12"/>
                <w:b w:val="1"/>
                <w:bCs w:val="1"/>
                <w:color w:val="auto"/>
              </w:rPr>
              <w:t>(In</w:t>
            </w:r>
          </w:p>
        </w:tc>
        <w:tc>
          <w:tcPr>
            <w:tcW w:w="1120" w:type="dxa"/>
            <w:vAlign w:val="bottom"/>
            <w:gridSpan w:val="2"/>
          </w:tcPr>
          <w:p>
            <w:pPr>
              <w:jc w:val="right"/>
              <w:ind w:right="628"/>
              <w:spacing w:after="0"/>
              <w:rPr>
                <w:sz w:val="20"/>
                <w:szCs w:val="20"/>
                <w:color w:val="auto"/>
              </w:rPr>
            </w:pPr>
            <w:r>
              <w:rPr>
                <w:rFonts w:ascii="Arial" w:cs="Arial" w:eastAsia="Arial" w:hAnsi="Arial"/>
                <w:sz w:val="11"/>
                <w:szCs w:val="11"/>
                <w:b w:val="1"/>
                <w:bCs w:val="1"/>
                <w:color w:val="auto"/>
                <w:w w:val="70"/>
              </w:rPr>
              <w:t>thousands)</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2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2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U.S. agency</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11,986</w:t>
            </w: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748"/>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109</w:t>
            </w: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166"/>
              <w:spacing w:after="0"/>
              <w:rPr>
                <w:sz w:val="20"/>
                <w:szCs w:val="20"/>
                <w:color w:val="auto"/>
              </w:rPr>
            </w:pPr>
            <w:r>
              <w:rPr>
                <w:rFonts w:ascii="Arial" w:cs="Arial" w:eastAsia="Arial" w:hAnsi="Arial"/>
                <w:sz w:val="12"/>
                <w:szCs w:val="12"/>
                <w:color w:val="auto"/>
              </w:rPr>
              <w:t>1,286</w:t>
            </w:r>
          </w:p>
        </w:tc>
        <w:tc>
          <w:tcPr>
            <w:tcW w:w="900" w:type="dxa"/>
            <w:vAlign w:val="bottom"/>
            <w:shd w:val="clear" w:color="auto" w:fill="CCEEFF"/>
          </w:tcPr>
          <w:p>
            <w:pPr>
              <w:jc w:val="right"/>
              <w:ind w:right="788"/>
              <w:spacing w:after="0"/>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13,272</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112</w:t>
            </w:r>
          </w:p>
        </w:tc>
        <w:tc>
          <w:tcPr>
            <w:tcW w:w="0" w:type="dxa"/>
            <w:vAlign w:val="bottom"/>
          </w:tcPr>
          <w:p>
            <w:pPr>
              <w:spacing w:after="0"/>
              <w:rPr>
                <w:sz w:val="1"/>
                <w:szCs w:val="1"/>
                <w:color w:val="auto"/>
              </w:rPr>
            </w:pPr>
          </w:p>
        </w:tc>
      </w:tr>
      <w:tr>
        <w:trPr>
          <w:trHeight w:val="144"/>
        </w:trPr>
        <w:tc>
          <w:tcPr>
            <w:tcW w:w="3280" w:type="dxa"/>
            <w:vAlign w:val="bottom"/>
          </w:tcPr>
          <w:p>
            <w:pPr>
              <w:ind w:left="100"/>
              <w:spacing w:after="0"/>
              <w:rPr>
                <w:sz w:val="20"/>
                <w:szCs w:val="20"/>
                <w:color w:val="auto"/>
              </w:rPr>
            </w:pPr>
            <w:r>
              <w:rPr>
                <w:rFonts w:ascii="Arial" w:cs="Arial" w:eastAsia="Arial" w:hAnsi="Arial"/>
                <w:sz w:val="12"/>
                <w:szCs w:val="12"/>
                <w:color w:val="auto"/>
              </w:rPr>
              <w:t>U.S. agency residential mortgage-backed</w:t>
            </w:r>
          </w:p>
        </w:tc>
        <w:tc>
          <w:tcPr>
            <w:tcW w:w="1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171,398</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2"/>
                <w:szCs w:val="12"/>
                <w:color w:val="auto"/>
                <w:w w:val="86"/>
              </w:rPr>
              <w:t>3,555</w:t>
            </w:r>
          </w:p>
        </w:tc>
        <w:tc>
          <w:tcPr>
            <w:tcW w:w="160" w:type="dxa"/>
            <w:vAlign w:val="bottom"/>
          </w:tcPr>
          <w:p>
            <w:pPr>
              <w:spacing w:after="0"/>
              <w:rPr>
                <w:sz w:val="12"/>
                <w:szCs w:val="12"/>
                <w:color w:val="auto"/>
              </w:rPr>
            </w:pPr>
          </w:p>
        </w:tc>
        <w:tc>
          <w:tcPr>
            <w:tcW w:w="1180" w:type="dxa"/>
            <w:vAlign w:val="bottom"/>
            <w:gridSpan w:val="2"/>
          </w:tcPr>
          <w:p>
            <w:pPr>
              <w:jc w:val="right"/>
              <w:ind w:right="166"/>
              <w:spacing w:after="0"/>
              <w:rPr>
                <w:sz w:val="20"/>
                <w:szCs w:val="20"/>
                <w:color w:val="auto"/>
              </w:rPr>
            </w:pPr>
            <w:r>
              <w:rPr>
                <w:rFonts w:ascii="Arial" w:cs="Arial" w:eastAsia="Arial" w:hAnsi="Arial"/>
                <w:sz w:val="12"/>
                <w:szCs w:val="12"/>
                <w:color w:val="auto"/>
              </w:rPr>
              <w:t>19,024</w:t>
            </w:r>
          </w:p>
        </w:tc>
        <w:tc>
          <w:tcPr>
            <w:tcW w:w="900" w:type="dxa"/>
            <w:vAlign w:val="bottom"/>
          </w:tcPr>
          <w:p>
            <w:pPr>
              <w:spacing w:after="0"/>
              <w:rPr>
                <w:sz w:val="12"/>
                <w:szCs w:val="12"/>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2"/>
                <w:szCs w:val="12"/>
                <w:color w:val="auto"/>
                <w:w w:val="99"/>
              </w:rPr>
              <w:t>319</w:t>
            </w:r>
          </w:p>
        </w:tc>
        <w:tc>
          <w:tcPr>
            <w:tcW w:w="18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190,422</w:t>
            </w: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3,874</w:t>
            </w:r>
          </w:p>
        </w:tc>
        <w:tc>
          <w:tcPr>
            <w:tcW w:w="0" w:type="dxa"/>
            <w:vAlign w:val="bottom"/>
          </w:tcPr>
          <w:p>
            <w:pPr>
              <w:spacing w:after="0"/>
              <w:rPr>
                <w:sz w:val="1"/>
                <w:szCs w:val="1"/>
                <w:color w:val="auto"/>
              </w:rPr>
            </w:pPr>
          </w:p>
        </w:tc>
      </w:tr>
      <w:tr>
        <w:trPr>
          <w:trHeight w:val="144"/>
        </w:trPr>
        <w:tc>
          <w:tcPr>
            <w:tcW w:w="32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U.S. agency commercial mortgage-backed</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19,900</w:t>
            </w:r>
          </w:p>
        </w:tc>
        <w:tc>
          <w:tcPr>
            <w:tcW w:w="8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224</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66"/>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19,900</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224</w:t>
            </w:r>
          </w:p>
        </w:tc>
        <w:tc>
          <w:tcPr>
            <w:tcW w:w="0" w:type="dxa"/>
            <w:vAlign w:val="bottom"/>
          </w:tcPr>
          <w:p>
            <w:pPr>
              <w:spacing w:after="0"/>
              <w:rPr>
                <w:sz w:val="1"/>
                <w:szCs w:val="1"/>
                <w:color w:val="auto"/>
              </w:rPr>
            </w:pPr>
          </w:p>
        </w:tc>
      </w:tr>
      <w:tr>
        <w:trPr>
          <w:trHeight w:val="144"/>
        </w:trPr>
        <w:tc>
          <w:tcPr>
            <w:tcW w:w="3280" w:type="dxa"/>
            <w:vAlign w:val="bottom"/>
          </w:tcPr>
          <w:p>
            <w:pPr>
              <w:ind w:left="120"/>
              <w:spacing w:after="0"/>
              <w:rPr>
                <w:sz w:val="20"/>
                <w:szCs w:val="20"/>
                <w:color w:val="auto"/>
              </w:rPr>
            </w:pPr>
            <w:r>
              <w:rPr>
                <w:rFonts w:ascii="Arial" w:cs="Arial" w:eastAsia="Arial" w:hAnsi="Arial"/>
                <w:sz w:val="12"/>
                <w:szCs w:val="12"/>
                <w:color w:val="auto"/>
              </w:rPr>
              <w:t>Private label mortgage-backed</w:t>
            </w:r>
          </w:p>
        </w:tc>
        <w:tc>
          <w:tcPr>
            <w:tcW w:w="1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64,408</w:t>
            </w:r>
          </w:p>
        </w:tc>
        <w:tc>
          <w:tcPr>
            <w:tcW w:w="860" w:type="dxa"/>
            <w:vAlign w:val="bottom"/>
          </w:tcPr>
          <w:p>
            <w:pPr>
              <w:spacing w:after="0"/>
              <w:rPr>
                <w:sz w:val="12"/>
                <w:szCs w:val="1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2"/>
                <w:szCs w:val="12"/>
                <w:color w:val="auto"/>
              </w:rPr>
              <w:t>640</w:t>
            </w:r>
          </w:p>
        </w:tc>
        <w:tc>
          <w:tcPr>
            <w:tcW w:w="160" w:type="dxa"/>
            <w:vAlign w:val="bottom"/>
          </w:tcPr>
          <w:p>
            <w:pPr>
              <w:spacing w:after="0"/>
              <w:rPr>
                <w:sz w:val="12"/>
                <w:szCs w:val="12"/>
                <w:color w:val="auto"/>
              </w:rPr>
            </w:pPr>
          </w:p>
        </w:tc>
        <w:tc>
          <w:tcPr>
            <w:tcW w:w="1180" w:type="dxa"/>
            <w:vAlign w:val="bottom"/>
            <w:gridSpan w:val="2"/>
          </w:tcPr>
          <w:p>
            <w:pPr>
              <w:jc w:val="right"/>
              <w:ind w:right="166"/>
              <w:spacing w:after="0"/>
              <w:rPr>
                <w:sz w:val="20"/>
                <w:szCs w:val="20"/>
                <w:color w:val="auto"/>
              </w:rPr>
            </w:pPr>
            <w:r>
              <w:rPr>
                <w:rFonts w:ascii="Arial" w:cs="Arial" w:eastAsia="Arial" w:hAnsi="Arial"/>
                <w:sz w:val="12"/>
                <w:szCs w:val="12"/>
                <w:color w:val="auto"/>
              </w:rPr>
              <w:t>2,180</w:t>
            </w:r>
          </w:p>
        </w:tc>
        <w:tc>
          <w:tcPr>
            <w:tcW w:w="900" w:type="dxa"/>
            <w:vAlign w:val="bottom"/>
          </w:tcPr>
          <w:p>
            <w:pPr>
              <w:spacing w:after="0"/>
              <w:rPr>
                <w:sz w:val="12"/>
                <w:szCs w:val="12"/>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2"/>
                <w:szCs w:val="12"/>
                <w:color w:val="auto"/>
              </w:rPr>
              <w:t>32</w:t>
            </w:r>
          </w:p>
        </w:tc>
        <w:tc>
          <w:tcPr>
            <w:tcW w:w="18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66,588</w:t>
            </w: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672</w:t>
            </w:r>
          </w:p>
        </w:tc>
        <w:tc>
          <w:tcPr>
            <w:tcW w:w="0" w:type="dxa"/>
            <w:vAlign w:val="bottom"/>
          </w:tcPr>
          <w:p>
            <w:pPr>
              <w:spacing w:after="0"/>
              <w:rPr>
                <w:sz w:val="1"/>
                <w:szCs w:val="1"/>
                <w:color w:val="auto"/>
              </w:rPr>
            </w:pPr>
          </w:p>
        </w:tc>
      </w:tr>
      <w:tr>
        <w:trPr>
          <w:trHeight w:val="144"/>
        </w:trPr>
        <w:tc>
          <w:tcPr>
            <w:tcW w:w="32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asset backed</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86,581</w:t>
            </w:r>
          </w:p>
        </w:tc>
        <w:tc>
          <w:tcPr>
            <w:tcW w:w="8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248</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66"/>
              <w:spacing w:after="0"/>
              <w:rPr>
                <w:sz w:val="20"/>
                <w:szCs w:val="20"/>
                <w:color w:val="auto"/>
              </w:rPr>
            </w:pPr>
            <w:r>
              <w:rPr>
                <w:rFonts w:ascii="Arial" w:cs="Arial" w:eastAsia="Arial" w:hAnsi="Arial"/>
                <w:sz w:val="12"/>
                <w:szCs w:val="12"/>
                <w:color w:val="auto"/>
              </w:rPr>
              <w:t>978</w:t>
            </w:r>
          </w:p>
        </w:tc>
        <w:tc>
          <w:tcPr>
            <w:tcW w:w="9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21</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87,559</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269</w:t>
            </w:r>
          </w:p>
        </w:tc>
        <w:tc>
          <w:tcPr>
            <w:tcW w:w="0" w:type="dxa"/>
            <w:vAlign w:val="bottom"/>
          </w:tcPr>
          <w:p>
            <w:pPr>
              <w:spacing w:after="0"/>
              <w:rPr>
                <w:sz w:val="1"/>
                <w:szCs w:val="1"/>
                <w:color w:val="auto"/>
              </w:rPr>
            </w:pPr>
          </w:p>
        </w:tc>
      </w:tr>
      <w:tr>
        <w:trPr>
          <w:trHeight w:val="144"/>
        </w:trPr>
        <w:tc>
          <w:tcPr>
            <w:tcW w:w="3280" w:type="dxa"/>
            <w:vAlign w:val="bottom"/>
          </w:tcPr>
          <w:p>
            <w:pPr>
              <w:ind w:left="120"/>
              <w:spacing w:after="0"/>
              <w:rPr>
                <w:sz w:val="20"/>
                <w:szCs w:val="20"/>
                <w:color w:val="auto"/>
              </w:rPr>
            </w:pPr>
            <w:r>
              <w:rPr>
                <w:rFonts w:ascii="Arial" w:cs="Arial" w:eastAsia="Arial" w:hAnsi="Arial"/>
                <w:sz w:val="12"/>
                <w:szCs w:val="12"/>
                <w:color w:val="auto"/>
              </w:rPr>
              <w:t>Obligations of states and political subdivisions</w:t>
            </w:r>
          </w:p>
        </w:tc>
        <w:tc>
          <w:tcPr>
            <w:tcW w:w="1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178,484</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2"/>
                <w:szCs w:val="12"/>
                <w:color w:val="auto"/>
                <w:w w:val="86"/>
              </w:rPr>
              <w:t>2,151</w:t>
            </w:r>
          </w:p>
        </w:tc>
        <w:tc>
          <w:tcPr>
            <w:tcW w:w="160" w:type="dxa"/>
            <w:vAlign w:val="bottom"/>
          </w:tcPr>
          <w:p>
            <w:pPr>
              <w:spacing w:after="0"/>
              <w:rPr>
                <w:sz w:val="12"/>
                <w:szCs w:val="12"/>
                <w:color w:val="auto"/>
              </w:rPr>
            </w:pPr>
          </w:p>
        </w:tc>
        <w:tc>
          <w:tcPr>
            <w:tcW w:w="1180" w:type="dxa"/>
            <w:vAlign w:val="bottom"/>
            <w:gridSpan w:val="2"/>
          </w:tcPr>
          <w:p>
            <w:pPr>
              <w:jc w:val="right"/>
              <w:ind w:right="166"/>
              <w:spacing w:after="0"/>
              <w:rPr>
                <w:sz w:val="20"/>
                <w:szCs w:val="20"/>
                <w:color w:val="auto"/>
              </w:rPr>
            </w:pPr>
            <w:r>
              <w:rPr>
                <w:rFonts w:ascii="Arial" w:cs="Arial" w:eastAsia="Arial" w:hAnsi="Arial"/>
                <w:sz w:val="12"/>
                <w:szCs w:val="12"/>
                <w:color w:val="auto"/>
              </w:rPr>
              <w:t>7,093</w:t>
            </w:r>
          </w:p>
        </w:tc>
        <w:tc>
          <w:tcPr>
            <w:tcW w:w="900" w:type="dxa"/>
            <w:vAlign w:val="bottom"/>
          </w:tcPr>
          <w:p>
            <w:pPr>
              <w:spacing w:after="0"/>
              <w:rPr>
                <w:sz w:val="12"/>
                <w:szCs w:val="12"/>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2"/>
                <w:szCs w:val="12"/>
                <w:color w:val="auto"/>
              </w:rPr>
              <w:t>70</w:t>
            </w:r>
          </w:p>
        </w:tc>
        <w:tc>
          <w:tcPr>
            <w:tcW w:w="18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185,577</w:t>
            </w: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2,221</w:t>
            </w:r>
          </w:p>
        </w:tc>
        <w:tc>
          <w:tcPr>
            <w:tcW w:w="0" w:type="dxa"/>
            <w:vAlign w:val="bottom"/>
          </w:tcPr>
          <w:p>
            <w:pPr>
              <w:spacing w:after="0"/>
              <w:rPr>
                <w:sz w:val="1"/>
                <w:szCs w:val="1"/>
                <w:color w:val="auto"/>
              </w:rPr>
            </w:pPr>
          </w:p>
        </w:tc>
      </w:tr>
      <w:tr>
        <w:trPr>
          <w:trHeight w:val="144"/>
        </w:trPr>
        <w:tc>
          <w:tcPr>
            <w:tcW w:w="32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Corporate</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75,166</w:t>
            </w:r>
          </w:p>
        </w:tc>
        <w:tc>
          <w:tcPr>
            <w:tcW w:w="8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w w:val="86"/>
              </w:rPr>
              <w:t>1,150</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66"/>
              <w:spacing w:after="0"/>
              <w:rPr>
                <w:sz w:val="20"/>
                <w:szCs w:val="20"/>
                <w:color w:val="auto"/>
              </w:rPr>
            </w:pPr>
            <w:r>
              <w:rPr>
                <w:rFonts w:ascii="Arial" w:cs="Arial" w:eastAsia="Arial" w:hAnsi="Arial"/>
                <w:sz w:val="12"/>
                <w:szCs w:val="12"/>
                <w:color w:val="auto"/>
              </w:rPr>
              <w:t>1,050</w:t>
            </w:r>
          </w:p>
        </w:tc>
        <w:tc>
          <w:tcPr>
            <w:tcW w:w="9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44</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76,216</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1,194</w:t>
            </w:r>
          </w:p>
        </w:tc>
        <w:tc>
          <w:tcPr>
            <w:tcW w:w="0" w:type="dxa"/>
            <w:vAlign w:val="bottom"/>
          </w:tcPr>
          <w:p>
            <w:pPr>
              <w:spacing w:after="0"/>
              <w:rPr>
                <w:sz w:val="1"/>
                <w:szCs w:val="1"/>
                <w:color w:val="auto"/>
              </w:rPr>
            </w:pPr>
          </w:p>
        </w:tc>
      </w:tr>
      <w:tr>
        <w:trPr>
          <w:trHeight w:val="144"/>
        </w:trPr>
        <w:tc>
          <w:tcPr>
            <w:tcW w:w="3280" w:type="dxa"/>
            <w:vAlign w:val="bottom"/>
          </w:tcPr>
          <w:p>
            <w:pPr>
              <w:ind w:left="120"/>
              <w:spacing w:after="0"/>
              <w:rPr>
                <w:sz w:val="20"/>
                <w:szCs w:val="20"/>
                <w:color w:val="auto"/>
              </w:rPr>
            </w:pPr>
            <w:r>
              <w:rPr>
                <w:rFonts w:ascii="Arial" w:cs="Arial" w:eastAsia="Arial" w:hAnsi="Arial"/>
                <w:sz w:val="12"/>
                <w:szCs w:val="12"/>
                <w:color w:val="auto"/>
              </w:rPr>
              <w:t>Trust preferred</w:t>
            </w:r>
          </w:p>
        </w:tc>
        <w:tc>
          <w:tcPr>
            <w:tcW w:w="1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180" w:type="dxa"/>
            <w:vAlign w:val="bottom"/>
            <w:gridSpan w:val="2"/>
          </w:tcPr>
          <w:p>
            <w:pPr>
              <w:jc w:val="right"/>
              <w:ind w:right="166"/>
              <w:spacing w:after="0"/>
              <w:rPr>
                <w:sz w:val="20"/>
                <w:szCs w:val="20"/>
                <w:color w:val="auto"/>
              </w:rPr>
            </w:pPr>
            <w:r>
              <w:rPr>
                <w:rFonts w:ascii="Arial" w:cs="Arial" w:eastAsia="Arial" w:hAnsi="Arial"/>
                <w:sz w:val="12"/>
                <w:szCs w:val="12"/>
                <w:color w:val="auto"/>
              </w:rPr>
              <w:t>1,919</w:t>
            </w:r>
          </w:p>
        </w:tc>
        <w:tc>
          <w:tcPr>
            <w:tcW w:w="900" w:type="dxa"/>
            <w:vAlign w:val="bottom"/>
          </w:tcPr>
          <w:p>
            <w:pPr>
              <w:spacing w:after="0"/>
              <w:rPr>
                <w:sz w:val="12"/>
                <w:szCs w:val="12"/>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2"/>
                <w:szCs w:val="12"/>
                <w:color w:val="auto"/>
              </w:rPr>
              <w:t>56</w:t>
            </w:r>
          </w:p>
        </w:tc>
        <w:tc>
          <w:tcPr>
            <w:tcW w:w="18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1,919</w:t>
            </w: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56</w:t>
            </w:r>
          </w:p>
        </w:tc>
        <w:tc>
          <w:tcPr>
            <w:tcW w:w="0" w:type="dxa"/>
            <w:vAlign w:val="bottom"/>
          </w:tcPr>
          <w:p>
            <w:pPr>
              <w:spacing w:after="0"/>
              <w:rPr>
                <w:sz w:val="1"/>
                <w:szCs w:val="1"/>
                <w:color w:val="auto"/>
              </w:rPr>
            </w:pPr>
          </w:p>
        </w:tc>
      </w:tr>
      <w:tr>
        <w:trPr>
          <w:trHeight w:val="182"/>
        </w:trPr>
        <w:tc>
          <w:tcPr>
            <w:tcW w:w="3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Total</w:t>
            </w:r>
          </w:p>
        </w:tc>
        <w:tc>
          <w:tcPr>
            <w:tcW w:w="1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607,923</w:t>
            </w: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ind w:right="748"/>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6"/>
              </w:rPr>
              <w:t>8,077</w:t>
            </w:r>
          </w:p>
        </w:tc>
        <w:tc>
          <w:tcPr>
            <w:tcW w:w="2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33,530</w:t>
            </w:r>
          </w:p>
        </w:tc>
        <w:tc>
          <w:tcPr>
            <w:tcW w:w="2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ind w:right="788"/>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9"/>
              </w:rPr>
              <w:t>545</w:t>
            </w:r>
          </w:p>
        </w:tc>
        <w:tc>
          <w:tcPr>
            <w:tcW w:w="2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641,453</w:t>
            </w:r>
          </w:p>
        </w:tc>
        <w:tc>
          <w:tcPr>
            <w:tcW w:w="2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8,622</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3280" w:type="dxa"/>
            <w:vAlign w:val="bottom"/>
          </w:tcPr>
          <w:p>
            <w:pPr>
              <w:spacing w:after="0"/>
              <w:rPr>
                <w:sz w:val="20"/>
                <w:szCs w:val="20"/>
                <w:color w:val="auto"/>
              </w:rPr>
            </w:pPr>
            <w:r>
              <w:rPr>
                <w:rFonts w:ascii="Arial" w:cs="Arial" w:eastAsia="Arial" w:hAnsi="Arial"/>
                <w:sz w:val="12"/>
                <w:szCs w:val="12"/>
                <w:color w:val="auto"/>
              </w:rPr>
              <w:t>2020</w:t>
            </w: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32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U.S. agency</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1,469</w:t>
            </w: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748"/>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w:t>
            </w: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166"/>
              <w:spacing w:after="0"/>
              <w:rPr>
                <w:sz w:val="20"/>
                <w:szCs w:val="20"/>
                <w:color w:val="auto"/>
              </w:rPr>
            </w:pPr>
            <w:r>
              <w:rPr>
                <w:rFonts w:ascii="Arial" w:cs="Arial" w:eastAsia="Arial" w:hAnsi="Arial"/>
                <w:sz w:val="12"/>
                <w:szCs w:val="12"/>
                <w:color w:val="auto"/>
              </w:rPr>
              <w:t>2,329</w:t>
            </w:r>
          </w:p>
        </w:tc>
        <w:tc>
          <w:tcPr>
            <w:tcW w:w="900" w:type="dxa"/>
            <w:vAlign w:val="bottom"/>
            <w:shd w:val="clear" w:color="auto" w:fill="CCEEFF"/>
          </w:tcPr>
          <w:p>
            <w:pPr>
              <w:jc w:val="right"/>
              <w:ind w:right="788"/>
              <w:spacing w:after="0"/>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3,798</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144"/>
        </w:trPr>
        <w:tc>
          <w:tcPr>
            <w:tcW w:w="3280" w:type="dxa"/>
            <w:vAlign w:val="bottom"/>
          </w:tcPr>
          <w:p>
            <w:pPr>
              <w:ind w:left="120"/>
              <w:spacing w:after="0"/>
              <w:rPr>
                <w:sz w:val="20"/>
                <w:szCs w:val="20"/>
                <w:color w:val="auto"/>
              </w:rPr>
            </w:pPr>
            <w:r>
              <w:rPr>
                <w:rFonts w:ascii="Arial" w:cs="Arial" w:eastAsia="Arial" w:hAnsi="Arial"/>
                <w:sz w:val="12"/>
                <w:szCs w:val="12"/>
                <w:color w:val="auto"/>
              </w:rPr>
              <w:t>U.S. agency residential mortgage-backed</w:t>
            </w:r>
          </w:p>
        </w:tc>
        <w:tc>
          <w:tcPr>
            <w:tcW w:w="1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96,839</w:t>
            </w:r>
          </w:p>
        </w:tc>
        <w:tc>
          <w:tcPr>
            <w:tcW w:w="860" w:type="dxa"/>
            <w:vAlign w:val="bottom"/>
          </w:tcPr>
          <w:p>
            <w:pPr>
              <w:spacing w:after="0"/>
              <w:rPr>
                <w:sz w:val="12"/>
                <w:szCs w:val="1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2"/>
                <w:szCs w:val="12"/>
                <w:color w:val="auto"/>
              </w:rPr>
              <w:t>592</w:t>
            </w:r>
          </w:p>
        </w:tc>
        <w:tc>
          <w:tcPr>
            <w:tcW w:w="160" w:type="dxa"/>
            <w:vAlign w:val="bottom"/>
          </w:tcPr>
          <w:p>
            <w:pPr>
              <w:spacing w:after="0"/>
              <w:rPr>
                <w:sz w:val="12"/>
                <w:szCs w:val="12"/>
                <w:color w:val="auto"/>
              </w:rPr>
            </w:pPr>
          </w:p>
        </w:tc>
        <w:tc>
          <w:tcPr>
            <w:tcW w:w="1180" w:type="dxa"/>
            <w:vAlign w:val="bottom"/>
            <w:gridSpan w:val="2"/>
          </w:tcPr>
          <w:p>
            <w:pPr>
              <w:jc w:val="right"/>
              <w:ind w:right="166"/>
              <w:spacing w:after="0"/>
              <w:rPr>
                <w:sz w:val="20"/>
                <w:szCs w:val="20"/>
                <w:color w:val="auto"/>
              </w:rPr>
            </w:pPr>
            <w:r>
              <w:rPr>
                <w:rFonts w:ascii="Arial" w:cs="Arial" w:eastAsia="Arial" w:hAnsi="Arial"/>
                <w:sz w:val="12"/>
                <w:szCs w:val="12"/>
                <w:color w:val="auto"/>
              </w:rPr>
              <w:t>83</w:t>
            </w:r>
          </w:p>
        </w:tc>
        <w:tc>
          <w:tcPr>
            <w:tcW w:w="900" w:type="dxa"/>
            <w:vAlign w:val="bottom"/>
          </w:tcPr>
          <w:p>
            <w:pPr>
              <w:spacing w:after="0"/>
              <w:rPr>
                <w:sz w:val="12"/>
                <w:szCs w:val="12"/>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2"/>
                <w:szCs w:val="12"/>
                <w:color w:val="auto"/>
              </w:rPr>
              <w:t>1</w:t>
            </w:r>
          </w:p>
        </w:tc>
        <w:tc>
          <w:tcPr>
            <w:tcW w:w="18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96,922</w:t>
            </w: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593</w:t>
            </w:r>
          </w:p>
        </w:tc>
        <w:tc>
          <w:tcPr>
            <w:tcW w:w="0" w:type="dxa"/>
            <w:vAlign w:val="bottom"/>
          </w:tcPr>
          <w:p>
            <w:pPr>
              <w:spacing w:after="0"/>
              <w:rPr>
                <w:sz w:val="1"/>
                <w:szCs w:val="1"/>
                <w:color w:val="auto"/>
              </w:rPr>
            </w:pPr>
          </w:p>
        </w:tc>
      </w:tr>
      <w:tr>
        <w:trPr>
          <w:trHeight w:val="144"/>
        </w:trPr>
        <w:tc>
          <w:tcPr>
            <w:tcW w:w="3280" w:type="dxa"/>
            <w:vAlign w:val="bottom"/>
            <w:shd w:val="clear" w:color="auto" w:fill="CCEEFF"/>
          </w:tcPr>
          <w:p>
            <w:pPr>
              <w:ind w:left="80"/>
              <w:spacing w:after="0"/>
              <w:rPr>
                <w:sz w:val="20"/>
                <w:szCs w:val="20"/>
                <w:color w:val="auto"/>
              </w:rPr>
            </w:pPr>
            <w:r>
              <w:rPr>
                <w:rFonts w:ascii="Arial" w:cs="Arial" w:eastAsia="Arial" w:hAnsi="Arial"/>
                <w:sz w:val="12"/>
                <w:szCs w:val="12"/>
                <w:color w:val="auto"/>
              </w:rPr>
              <w:t>Private label mortgage-backed</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11,838</w:t>
            </w: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95</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66"/>
              <w:spacing w:after="0"/>
              <w:rPr>
                <w:sz w:val="20"/>
                <w:szCs w:val="20"/>
                <w:color w:val="auto"/>
              </w:rPr>
            </w:pPr>
            <w:r>
              <w:rPr>
                <w:rFonts w:ascii="Arial" w:cs="Arial" w:eastAsia="Arial" w:hAnsi="Arial"/>
                <w:sz w:val="12"/>
                <w:szCs w:val="12"/>
                <w:color w:val="auto"/>
              </w:rPr>
              <w:t>2,050</w:t>
            </w:r>
          </w:p>
        </w:tc>
        <w:tc>
          <w:tcPr>
            <w:tcW w:w="9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44</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13,888</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139</w:t>
            </w:r>
          </w:p>
        </w:tc>
        <w:tc>
          <w:tcPr>
            <w:tcW w:w="0" w:type="dxa"/>
            <w:vAlign w:val="bottom"/>
          </w:tcPr>
          <w:p>
            <w:pPr>
              <w:spacing w:after="0"/>
              <w:rPr>
                <w:sz w:val="1"/>
                <w:szCs w:val="1"/>
                <w:color w:val="auto"/>
              </w:rPr>
            </w:pPr>
          </w:p>
        </w:tc>
      </w:tr>
      <w:tr>
        <w:trPr>
          <w:trHeight w:val="144"/>
        </w:trPr>
        <w:tc>
          <w:tcPr>
            <w:tcW w:w="3280" w:type="dxa"/>
            <w:vAlign w:val="bottom"/>
          </w:tcPr>
          <w:p>
            <w:pPr>
              <w:ind w:left="120"/>
              <w:spacing w:after="0"/>
              <w:rPr>
                <w:sz w:val="20"/>
                <w:szCs w:val="20"/>
                <w:color w:val="auto"/>
              </w:rPr>
            </w:pPr>
            <w:r>
              <w:rPr>
                <w:rFonts w:ascii="Arial" w:cs="Arial" w:eastAsia="Arial" w:hAnsi="Arial"/>
                <w:sz w:val="12"/>
                <w:szCs w:val="12"/>
                <w:color w:val="auto"/>
              </w:rPr>
              <w:t>Other asset backed</w:t>
            </w:r>
          </w:p>
        </w:tc>
        <w:tc>
          <w:tcPr>
            <w:tcW w:w="1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7,142</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2"/>
                <w:szCs w:val="12"/>
                <w:color w:val="auto"/>
              </w:rPr>
              <w:t>25</w:t>
            </w:r>
          </w:p>
        </w:tc>
        <w:tc>
          <w:tcPr>
            <w:tcW w:w="160" w:type="dxa"/>
            <w:vAlign w:val="bottom"/>
          </w:tcPr>
          <w:p>
            <w:pPr>
              <w:spacing w:after="0"/>
              <w:rPr>
                <w:sz w:val="12"/>
                <w:szCs w:val="12"/>
                <w:color w:val="auto"/>
              </w:rPr>
            </w:pPr>
          </w:p>
        </w:tc>
        <w:tc>
          <w:tcPr>
            <w:tcW w:w="1180" w:type="dxa"/>
            <w:vAlign w:val="bottom"/>
            <w:gridSpan w:val="2"/>
          </w:tcPr>
          <w:p>
            <w:pPr>
              <w:jc w:val="right"/>
              <w:ind w:right="166"/>
              <w:spacing w:after="0"/>
              <w:rPr>
                <w:sz w:val="20"/>
                <w:szCs w:val="20"/>
                <w:color w:val="auto"/>
              </w:rPr>
            </w:pPr>
            <w:r>
              <w:rPr>
                <w:rFonts w:ascii="Arial" w:cs="Arial" w:eastAsia="Arial" w:hAnsi="Arial"/>
                <w:sz w:val="12"/>
                <w:szCs w:val="12"/>
                <w:color w:val="auto"/>
              </w:rPr>
              <w:t>21,197</w:t>
            </w:r>
          </w:p>
        </w:tc>
        <w:tc>
          <w:tcPr>
            <w:tcW w:w="900" w:type="dxa"/>
            <w:vAlign w:val="bottom"/>
          </w:tcPr>
          <w:p>
            <w:pPr>
              <w:spacing w:after="0"/>
              <w:rPr>
                <w:sz w:val="12"/>
                <w:szCs w:val="12"/>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2"/>
                <w:szCs w:val="12"/>
                <w:color w:val="auto"/>
                <w:w w:val="99"/>
              </w:rPr>
              <w:t>186</w:t>
            </w:r>
          </w:p>
        </w:tc>
        <w:tc>
          <w:tcPr>
            <w:tcW w:w="18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28,339</w:t>
            </w: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211</w:t>
            </w:r>
          </w:p>
        </w:tc>
        <w:tc>
          <w:tcPr>
            <w:tcW w:w="0" w:type="dxa"/>
            <w:vAlign w:val="bottom"/>
          </w:tcPr>
          <w:p>
            <w:pPr>
              <w:spacing w:after="0"/>
              <w:rPr>
                <w:sz w:val="1"/>
                <w:szCs w:val="1"/>
                <w:color w:val="auto"/>
              </w:rPr>
            </w:pPr>
          </w:p>
        </w:tc>
      </w:tr>
      <w:tr>
        <w:trPr>
          <w:trHeight w:val="144"/>
        </w:trPr>
        <w:tc>
          <w:tcPr>
            <w:tcW w:w="32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Obligations of states and political subdivisions</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28,957</w:t>
            </w:r>
          </w:p>
        </w:tc>
        <w:tc>
          <w:tcPr>
            <w:tcW w:w="8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177</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66"/>
              <w:spacing w:after="0"/>
              <w:rPr>
                <w:sz w:val="20"/>
                <w:szCs w:val="20"/>
                <w:color w:val="auto"/>
              </w:rPr>
            </w:pPr>
            <w:r>
              <w:rPr>
                <w:rFonts w:ascii="Arial" w:cs="Arial" w:eastAsia="Arial" w:hAnsi="Arial"/>
                <w:sz w:val="12"/>
                <w:szCs w:val="12"/>
                <w:color w:val="auto"/>
              </w:rPr>
              <w:t>800</w:t>
            </w:r>
          </w:p>
        </w:tc>
        <w:tc>
          <w:tcPr>
            <w:tcW w:w="9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29,757</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178</w:t>
            </w:r>
          </w:p>
        </w:tc>
        <w:tc>
          <w:tcPr>
            <w:tcW w:w="0" w:type="dxa"/>
            <w:vAlign w:val="bottom"/>
          </w:tcPr>
          <w:p>
            <w:pPr>
              <w:spacing w:after="0"/>
              <w:rPr>
                <w:sz w:val="1"/>
                <w:szCs w:val="1"/>
                <w:color w:val="auto"/>
              </w:rPr>
            </w:pPr>
          </w:p>
        </w:tc>
      </w:tr>
      <w:tr>
        <w:trPr>
          <w:trHeight w:val="144"/>
        </w:trPr>
        <w:tc>
          <w:tcPr>
            <w:tcW w:w="3280" w:type="dxa"/>
            <w:vAlign w:val="bottom"/>
          </w:tcPr>
          <w:p>
            <w:pPr>
              <w:ind w:left="120"/>
              <w:spacing w:after="0"/>
              <w:rPr>
                <w:sz w:val="20"/>
                <w:szCs w:val="20"/>
                <w:color w:val="auto"/>
              </w:rPr>
            </w:pPr>
            <w:r>
              <w:rPr>
                <w:rFonts w:ascii="Arial" w:cs="Arial" w:eastAsia="Arial" w:hAnsi="Arial"/>
                <w:sz w:val="12"/>
                <w:szCs w:val="12"/>
                <w:color w:val="auto"/>
              </w:rPr>
              <w:t>Corporate</w:t>
            </w:r>
          </w:p>
        </w:tc>
        <w:tc>
          <w:tcPr>
            <w:tcW w:w="1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1,924</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2"/>
                <w:szCs w:val="12"/>
                <w:color w:val="auto"/>
              </w:rPr>
              <w:t>97</w:t>
            </w:r>
          </w:p>
        </w:tc>
        <w:tc>
          <w:tcPr>
            <w:tcW w:w="160" w:type="dxa"/>
            <w:vAlign w:val="bottom"/>
          </w:tcPr>
          <w:p>
            <w:pPr>
              <w:spacing w:after="0"/>
              <w:rPr>
                <w:sz w:val="12"/>
                <w:szCs w:val="12"/>
                <w:color w:val="auto"/>
              </w:rPr>
            </w:pPr>
          </w:p>
        </w:tc>
        <w:tc>
          <w:tcPr>
            <w:tcW w:w="1180" w:type="dxa"/>
            <w:vAlign w:val="bottom"/>
            <w:gridSpan w:val="2"/>
          </w:tcPr>
          <w:p>
            <w:pPr>
              <w:jc w:val="right"/>
              <w:ind w:right="166"/>
              <w:spacing w:after="0"/>
              <w:rPr>
                <w:sz w:val="20"/>
                <w:szCs w:val="20"/>
                <w:color w:val="auto"/>
              </w:rPr>
            </w:pPr>
            <w:r>
              <w:rPr>
                <w:rFonts w:ascii="Arial" w:cs="Arial" w:eastAsia="Arial" w:hAnsi="Arial"/>
                <w:sz w:val="12"/>
                <w:szCs w:val="12"/>
                <w:color w:val="auto"/>
              </w:rPr>
              <w:t>-</w:t>
            </w:r>
          </w:p>
        </w:tc>
        <w:tc>
          <w:tcPr>
            <w:tcW w:w="900" w:type="dxa"/>
            <w:vAlign w:val="bottom"/>
          </w:tcPr>
          <w:p>
            <w:pPr>
              <w:spacing w:after="0"/>
              <w:rPr>
                <w:sz w:val="12"/>
                <w:szCs w:val="12"/>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1,924</w:t>
            </w: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97</w:t>
            </w:r>
          </w:p>
        </w:tc>
        <w:tc>
          <w:tcPr>
            <w:tcW w:w="0" w:type="dxa"/>
            <w:vAlign w:val="bottom"/>
          </w:tcPr>
          <w:p>
            <w:pPr>
              <w:spacing w:after="0"/>
              <w:rPr>
                <w:sz w:val="1"/>
                <w:szCs w:val="1"/>
                <w:color w:val="auto"/>
              </w:rPr>
            </w:pPr>
          </w:p>
        </w:tc>
      </w:tr>
      <w:tr>
        <w:trPr>
          <w:trHeight w:val="144"/>
        </w:trPr>
        <w:tc>
          <w:tcPr>
            <w:tcW w:w="32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Trust preferred</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66"/>
              <w:spacing w:after="0"/>
              <w:rPr>
                <w:sz w:val="20"/>
                <w:szCs w:val="20"/>
                <w:color w:val="auto"/>
              </w:rPr>
            </w:pPr>
            <w:r>
              <w:rPr>
                <w:rFonts w:ascii="Arial" w:cs="Arial" w:eastAsia="Arial" w:hAnsi="Arial"/>
                <w:sz w:val="12"/>
                <w:szCs w:val="12"/>
                <w:color w:val="auto"/>
              </w:rPr>
              <w:t>1,798</w:t>
            </w:r>
          </w:p>
        </w:tc>
        <w:tc>
          <w:tcPr>
            <w:tcW w:w="9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99"/>
              </w:rPr>
              <w:t>173</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1,798</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173</w:t>
            </w:r>
          </w:p>
        </w:tc>
        <w:tc>
          <w:tcPr>
            <w:tcW w:w="0" w:type="dxa"/>
            <w:vAlign w:val="bottom"/>
          </w:tcPr>
          <w:p>
            <w:pPr>
              <w:spacing w:after="0"/>
              <w:rPr>
                <w:sz w:val="1"/>
                <w:szCs w:val="1"/>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80" w:type="dxa"/>
            <w:vAlign w:val="bottom"/>
          </w:tcPr>
          <w:p>
            <w:pPr>
              <w:ind w:left="120"/>
              <w:spacing w:after="0"/>
              <w:rPr>
                <w:sz w:val="20"/>
                <w:szCs w:val="20"/>
                <w:color w:val="auto"/>
              </w:rPr>
            </w:pPr>
            <w:r>
              <w:rPr>
                <w:rFonts w:ascii="Arial" w:cs="Arial" w:eastAsia="Arial" w:hAnsi="Arial"/>
                <w:sz w:val="12"/>
                <w:szCs w:val="12"/>
                <w:color w:val="auto"/>
              </w:rPr>
              <w:t>Total</w:t>
            </w: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148,169</w:t>
            </w:r>
          </w:p>
        </w:tc>
        <w:tc>
          <w:tcPr>
            <w:tcW w:w="240" w:type="dxa"/>
            <w:vAlign w:val="bottom"/>
          </w:tcPr>
          <w:p>
            <w:pPr>
              <w:spacing w:after="0"/>
              <w:rPr>
                <w:sz w:val="12"/>
                <w:szCs w:val="12"/>
                <w:color w:val="auto"/>
              </w:rPr>
            </w:pPr>
          </w:p>
        </w:tc>
        <w:tc>
          <w:tcPr>
            <w:tcW w:w="860" w:type="dxa"/>
            <w:vAlign w:val="bottom"/>
          </w:tcPr>
          <w:p>
            <w:pPr>
              <w:jc w:val="right"/>
              <w:ind w:right="748"/>
              <w:spacing w:after="0"/>
              <w:rPr>
                <w:sz w:val="20"/>
                <w:szCs w:val="20"/>
                <w:color w:val="auto"/>
              </w:rPr>
            </w:pPr>
            <w:r>
              <w:rPr>
                <w:rFonts w:ascii="Arial" w:cs="Arial" w:eastAsia="Arial" w:hAnsi="Arial"/>
                <w:sz w:val="10"/>
                <w:szCs w:val="10"/>
                <w:color w:val="auto"/>
                <w:w w:val="71"/>
              </w:rPr>
              <w:t>$</w:t>
            </w:r>
          </w:p>
        </w:tc>
        <w:tc>
          <w:tcPr>
            <w:tcW w:w="280" w:type="dxa"/>
            <w:vAlign w:val="bottom"/>
          </w:tcPr>
          <w:p>
            <w:pPr>
              <w:jc w:val="right"/>
              <w:spacing w:after="0"/>
              <w:rPr>
                <w:sz w:val="20"/>
                <w:szCs w:val="20"/>
                <w:color w:val="auto"/>
              </w:rPr>
            </w:pPr>
            <w:r>
              <w:rPr>
                <w:rFonts w:ascii="Arial" w:cs="Arial" w:eastAsia="Arial" w:hAnsi="Arial"/>
                <w:sz w:val="12"/>
                <w:szCs w:val="12"/>
                <w:color w:val="auto"/>
              </w:rPr>
              <w:t>989</w:t>
            </w:r>
          </w:p>
        </w:tc>
        <w:tc>
          <w:tcPr>
            <w:tcW w:w="240" w:type="dxa"/>
            <w:vAlign w:val="bottom"/>
          </w:tcPr>
          <w:p>
            <w:pPr>
              <w:spacing w:after="0"/>
              <w:rPr>
                <w:sz w:val="12"/>
                <w:szCs w:val="12"/>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166"/>
              <w:spacing w:after="0"/>
              <w:rPr>
                <w:sz w:val="20"/>
                <w:szCs w:val="20"/>
                <w:color w:val="auto"/>
              </w:rPr>
            </w:pPr>
            <w:r>
              <w:rPr>
                <w:rFonts w:ascii="Arial" w:cs="Arial" w:eastAsia="Arial" w:hAnsi="Arial"/>
                <w:sz w:val="12"/>
                <w:szCs w:val="12"/>
                <w:color w:val="auto"/>
              </w:rPr>
              <w:t>28,257</w:t>
            </w:r>
          </w:p>
        </w:tc>
        <w:tc>
          <w:tcPr>
            <w:tcW w:w="900" w:type="dxa"/>
            <w:vAlign w:val="bottom"/>
          </w:tcPr>
          <w:p>
            <w:pPr>
              <w:jc w:val="right"/>
              <w:ind w:right="788"/>
              <w:spacing w:after="0"/>
              <w:rPr>
                <w:sz w:val="20"/>
                <w:szCs w:val="20"/>
                <w:color w:val="auto"/>
              </w:rPr>
            </w:pPr>
            <w:r>
              <w:rPr>
                <w:rFonts w:ascii="Arial" w:cs="Arial" w:eastAsia="Arial" w:hAnsi="Arial"/>
                <w:sz w:val="10"/>
                <w:szCs w:val="10"/>
                <w:color w:val="auto"/>
                <w:w w:val="71"/>
              </w:rPr>
              <w:t>$</w:t>
            </w:r>
          </w:p>
        </w:tc>
        <w:tc>
          <w:tcPr>
            <w:tcW w:w="440" w:type="dxa"/>
            <w:vAlign w:val="bottom"/>
            <w:gridSpan w:val="2"/>
          </w:tcPr>
          <w:p>
            <w:pPr>
              <w:jc w:val="right"/>
              <w:ind w:right="220"/>
              <w:spacing w:after="0"/>
              <w:rPr>
                <w:sz w:val="20"/>
                <w:szCs w:val="20"/>
                <w:color w:val="auto"/>
              </w:rPr>
            </w:pPr>
            <w:r>
              <w:rPr>
                <w:rFonts w:ascii="Arial" w:cs="Arial" w:eastAsia="Arial" w:hAnsi="Arial"/>
                <w:sz w:val="12"/>
                <w:szCs w:val="12"/>
                <w:color w:val="auto"/>
                <w:w w:val="99"/>
              </w:rPr>
              <w:t>415</w:t>
            </w: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176,426</w:t>
            </w: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1,404</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jc w:val="both"/>
        <w:ind w:firstLine="216"/>
        <w:spacing w:after="0" w:line="280" w:lineRule="auto"/>
        <w:rPr>
          <w:sz w:val="20"/>
          <w:szCs w:val="20"/>
          <w:color w:val="auto"/>
        </w:rPr>
      </w:pPr>
      <w:r>
        <w:rPr>
          <w:rFonts w:ascii="Arial" w:cs="Arial" w:eastAsia="Arial" w:hAnsi="Arial"/>
          <w:sz w:val="11"/>
          <w:szCs w:val="11"/>
          <w:color w:val="auto"/>
        </w:rPr>
        <w:t>Securities available for sale in unrealized loss positions are evaluated quarterly for impairment related to credit losses. For securities available for sale in an unrealized loss position, we first assess whether we intend to sell, or it is more likely than not that we will be required to sell, the security before recovery of its amortized cost basis. If either of the criteria regarding intent or requirement to sell is met, the security’s amortized cost basis is written down to fair value through income. For securities available for sale that do not meet this criteria, we evaluate whether the decline in fair value has resulted from credit losses or other factors. In making this assessment, we consider the extent to which fair value is less than amortized cost, adverse conditions specifically related to the security and the issuer and the impact of changes in market interest rates on the market value of the security, among other factors. If this assessment indicates that a credit loss exists, we compare the present value of cash flows expected to be collected from the security with the amortized cost basis of the security. If the present value of cash flows expected to be collected is less than the amortized cost basis for the security, a credit loss exists and an ACL is recorded, limited to the amount that the fair value of the security is less than its amortized cost basis. Any impairment that has not been recorded through an ACL is recognized in other comprehensive income (loss), net of applicable taxes. No ACL for securities available for sale was needed at December 31, 2021. Accrued interest receivable on securities available for sale totaled $6.0 million at December 31, 2021, is excluded from the estimate of credit losses and is included in accrued income and other assets in the Consolidated Statements of Financial Condition.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73" w:name="page74"/>
    <w:bookmarkEnd w:id="73"/>
    <w:p>
      <w:pPr>
        <w:jc w:val="center"/>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27"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U.S. agency, U.S. agency residential mortgage-backed and U.S. agency commercial mortgage backed securities — at December 31, 2021, we had 19 U.S. agency, 67 U.S. agency residential mortgage-backed and 23 U.S. agency commercial mortgage-backed securities whose fair value is less than amortized cost. These securities are either explicitly or implicitly guaranteed by the U.S. government, are highly rated by major credit rating agencies, and have a long history of no credit losses. The unrealized losses are largely attributed to widening spreads to Treasury bonds and/or an increase in interest rates since acquisition.</w:t>
      </w:r>
    </w:p>
    <w:p>
      <w:pPr>
        <w:spacing w:after="0" w:line="105"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Private label mortgage backed, other asset backed and corporate securities — at December 31, 2021, we had 49 private label mortgage backed, 51 other asset backed and 57 corporate securities whose fair value is less than amortized cost. The unrealized losses are primarily due to credit spread widening and/or an increase in interest rates since acquisition.</w:t>
      </w:r>
    </w:p>
    <w:p>
      <w:pPr>
        <w:spacing w:after="0" w:line="115"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Obligations of states and political subdivisions — at December 31, 2021, we had 281 municipal securities whose fair value is less than amortized cost. The unrealized losses are primarily due to an increase in interest rates since acquisition.</w:t>
      </w:r>
    </w:p>
    <w:p>
      <w:pPr>
        <w:spacing w:after="0" w:line="115"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Trust preferred securities — at December 31, 2021, we had two trust preferred securities whose fair value is less than amortized cost. Both of our trust preferred securities are single issue securities issued by a trust subsidiary of a bank holding company. The pricing of trust preferred securities has suffered from credit spread widening. One of the securities is rated by a major rating agency as investment grade while the other one is non-rated. The non-rated issue is a relatively small bank and was never rated. The issuer of this non-rated trust preferred security, which had a total amortized cost of $1.0 million and total fair value of $0.96 million as of December 31, 2021, continues to have satisfactory credit metrics and make interest payments.</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1"/>
          <w:szCs w:val="11"/>
          <w:color w:val="auto"/>
        </w:rPr>
        <w:t>At December 31, 2021 management does not intend to liquidate any of the securities discussed above and it is more likely than not that we will not be required to sell these securities prior to recovery of these unrealized losses.</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We recorded no credit related charges in our Consolidated Statements of Operations related to securities available for sale during 2021, 2020, and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340" w:type="dxa"/>
            <w:vAlign w:val="bottom"/>
          </w:tcPr>
          <w:p>
            <w:pPr>
              <w:ind w:left="200"/>
              <w:spacing w:after="0"/>
              <w:rPr>
                <w:sz w:val="20"/>
                <w:szCs w:val="20"/>
                <w:color w:val="auto"/>
              </w:rPr>
            </w:pPr>
            <w:r>
              <w:rPr>
                <w:rFonts w:ascii="Arial" w:cs="Arial" w:eastAsia="Arial" w:hAnsi="Arial"/>
                <w:sz w:val="12"/>
                <w:szCs w:val="12"/>
                <w:color w:val="auto"/>
              </w:rPr>
              <w:t>The amortized cost and fair value of securities available for sale at December 31, 2021, by contractual maturity, follow:</w:t>
            </w: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9"/>
        </w:trPr>
        <w:tc>
          <w:tcPr>
            <w:tcW w:w="7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2"/>
                <w:szCs w:val="12"/>
                <w:color w:val="auto"/>
                <w:w w:val="96"/>
              </w:rPr>
              <w:t>Amortized</w:t>
            </w:r>
          </w:p>
        </w:tc>
        <w:tc>
          <w:tcPr>
            <w:tcW w:w="320" w:type="dxa"/>
            <w:vAlign w:val="bottom"/>
          </w:tcPr>
          <w:p>
            <w:pPr>
              <w:spacing w:after="0"/>
              <w:rPr>
                <w:sz w:val="24"/>
                <w:szCs w:val="24"/>
                <w:color w:val="auto"/>
              </w:rPr>
            </w:pPr>
          </w:p>
        </w:tc>
        <w:tc>
          <w:tcPr>
            <w:tcW w:w="920" w:type="dxa"/>
            <w:vAlign w:val="bottom"/>
            <w:gridSpan w:val="2"/>
          </w:tcPr>
          <w:p>
            <w:pPr>
              <w:jc w:val="center"/>
              <w:ind w:right="440"/>
              <w:spacing w:after="0"/>
              <w:rPr>
                <w:sz w:val="20"/>
                <w:szCs w:val="20"/>
                <w:color w:val="auto"/>
              </w:rPr>
            </w:pPr>
            <w:r>
              <w:rPr>
                <w:rFonts w:ascii="Arial" w:cs="Arial" w:eastAsia="Arial" w:hAnsi="Arial"/>
                <w:sz w:val="12"/>
                <w:szCs w:val="12"/>
                <w:color w:val="auto"/>
                <w:w w:val="96"/>
              </w:rPr>
              <w:t>Fair</w:t>
            </w:r>
          </w:p>
        </w:tc>
        <w:tc>
          <w:tcPr>
            <w:tcW w:w="0" w:type="dxa"/>
            <w:vAlign w:val="bottom"/>
          </w:tcPr>
          <w:p>
            <w:pPr>
              <w:spacing w:after="0"/>
              <w:rPr>
                <w:sz w:val="1"/>
                <w:szCs w:val="1"/>
                <w:color w:val="auto"/>
              </w:rPr>
            </w:pPr>
          </w:p>
        </w:tc>
      </w:tr>
      <w:tr>
        <w:trPr>
          <w:trHeight w:val="153"/>
        </w:trPr>
        <w:tc>
          <w:tcPr>
            <w:tcW w:w="7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100"/>
              <w:spacing w:after="0"/>
              <w:rPr>
                <w:sz w:val="20"/>
                <w:szCs w:val="20"/>
                <w:color w:val="auto"/>
              </w:rPr>
            </w:pPr>
            <w:r>
              <w:rPr>
                <w:rFonts w:ascii="Arial" w:cs="Arial" w:eastAsia="Arial" w:hAnsi="Arial"/>
                <w:sz w:val="12"/>
                <w:szCs w:val="12"/>
                <w:color w:val="auto"/>
                <w:w w:val="88"/>
              </w:rPr>
              <w:t>Cost</w:t>
            </w:r>
          </w:p>
        </w:tc>
        <w:tc>
          <w:tcPr>
            <w:tcW w:w="2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260"/>
              <w:spacing w:after="0"/>
              <w:rPr>
                <w:sz w:val="20"/>
                <w:szCs w:val="20"/>
                <w:color w:val="auto"/>
              </w:rPr>
            </w:pPr>
            <w:r>
              <w:rPr>
                <w:rFonts w:ascii="Arial" w:cs="Arial" w:eastAsia="Arial" w:hAnsi="Arial"/>
                <w:sz w:val="12"/>
                <w:szCs w:val="12"/>
                <w:color w:val="auto"/>
                <w:w w:val="91"/>
              </w:rPr>
              <w:t>Value</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left="580"/>
              <w:spacing w:after="0"/>
              <w:rPr>
                <w:sz w:val="20"/>
                <w:szCs w:val="20"/>
                <w:color w:val="auto"/>
              </w:rPr>
            </w:pPr>
            <w:r>
              <w:rPr>
                <w:rFonts w:ascii="Arial" w:cs="Arial" w:eastAsia="Arial" w:hAnsi="Arial"/>
                <w:sz w:val="12"/>
                <w:szCs w:val="12"/>
                <w:color w:val="auto"/>
                <w:w w:val="99"/>
              </w:rPr>
              <w:t>(In</w:t>
            </w:r>
          </w:p>
        </w:tc>
        <w:tc>
          <w:tcPr>
            <w:tcW w:w="520" w:type="dxa"/>
            <w:vAlign w:val="bottom"/>
            <w:gridSpan w:val="2"/>
          </w:tcPr>
          <w:p>
            <w:pPr>
              <w:jc w:val="right"/>
              <w:ind w:right="32"/>
              <w:spacing w:after="0"/>
              <w:rPr>
                <w:sz w:val="20"/>
                <w:szCs w:val="20"/>
                <w:color w:val="auto"/>
              </w:rPr>
            </w:pPr>
            <w:r>
              <w:rPr>
                <w:rFonts w:ascii="Arial" w:cs="Arial" w:eastAsia="Arial" w:hAnsi="Arial"/>
                <w:sz w:val="12"/>
                <w:szCs w:val="12"/>
                <w:color w:val="auto"/>
                <w:w w:val="70"/>
              </w:rPr>
              <w:t>thousands)</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340" w:type="dxa"/>
            <w:vAlign w:val="bottom"/>
            <w:shd w:val="clear" w:color="auto" w:fill="CCEEFF"/>
          </w:tcPr>
          <w:p>
            <w:pPr>
              <w:spacing w:after="0"/>
              <w:rPr>
                <w:sz w:val="20"/>
                <w:szCs w:val="20"/>
                <w:color w:val="auto"/>
              </w:rPr>
            </w:pPr>
            <w:r>
              <w:rPr>
                <w:rFonts w:ascii="Arial" w:cs="Arial" w:eastAsia="Arial" w:hAnsi="Arial"/>
                <w:sz w:val="12"/>
                <w:szCs w:val="12"/>
                <w:color w:val="auto"/>
              </w:rPr>
              <w:t>Maturing within one year</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jc w:val="right"/>
              <w:ind w:right="48"/>
              <w:spacing w:after="0"/>
              <w:rPr>
                <w:sz w:val="20"/>
                <w:szCs w:val="20"/>
                <w:color w:val="auto"/>
              </w:rPr>
            </w:pPr>
            <w:r>
              <w:rPr>
                <w:rFonts w:ascii="Arial" w:cs="Arial" w:eastAsia="Arial" w:hAnsi="Arial"/>
                <w:sz w:val="5"/>
                <w:szCs w:val="5"/>
                <w:color w:val="auto"/>
                <w:w w:val="70"/>
              </w:rPr>
              <w:t>$</w:t>
            </w:r>
          </w:p>
        </w:tc>
        <w:tc>
          <w:tcPr>
            <w:tcW w:w="1220" w:type="dxa"/>
            <w:vAlign w:val="bottom"/>
            <w:gridSpan w:val="2"/>
            <w:shd w:val="clear" w:color="auto" w:fill="CCEEFF"/>
          </w:tcPr>
          <w:p>
            <w:pPr>
              <w:jc w:val="center"/>
              <w:ind w:left="400"/>
              <w:spacing w:after="0"/>
              <w:rPr>
                <w:sz w:val="20"/>
                <w:szCs w:val="20"/>
                <w:color w:val="auto"/>
              </w:rPr>
            </w:pPr>
            <w:r>
              <w:rPr>
                <w:rFonts w:ascii="Arial" w:cs="Arial" w:eastAsia="Arial" w:hAnsi="Arial"/>
                <w:sz w:val="12"/>
                <w:szCs w:val="12"/>
                <w:color w:val="auto"/>
                <w:w w:val="87"/>
              </w:rPr>
              <w:t>13,874</w:t>
            </w: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13,991</w:t>
            </w:r>
          </w:p>
        </w:tc>
        <w:tc>
          <w:tcPr>
            <w:tcW w:w="0" w:type="dxa"/>
            <w:vAlign w:val="bottom"/>
          </w:tcPr>
          <w:p>
            <w:pPr>
              <w:spacing w:after="0"/>
              <w:rPr>
                <w:sz w:val="1"/>
                <w:szCs w:val="1"/>
                <w:color w:val="auto"/>
              </w:rPr>
            </w:pPr>
          </w:p>
        </w:tc>
      </w:tr>
      <w:tr>
        <w:trPr>
          <w:trHeight w:val="144"/>
        </w:trPr>
        <w:tc>
          <w:tcPr>
            <w:tcW w:w="7340" w:type="dxa"/>
            <w:vAlign w:val="bottom"/>
          </w:tcPr>
          <w:p>
            <w:pPr>
              <w:spacing w:after="0"/>
              <w:rPr>
                <w:sz w:val="20"/>
                <w:szCs w:val="20"/>
                <w:color w:val="auto"/>
              </w:rPr>
            </w:pPr>
            <w:r>
              <w:rPr>
                <w:rFonts w:ascii="Arial" w:cs="Arial" w:eastAsia="Arial" w:hAnsi="Arial"/>
                <w:sz w:val="12"/>
                <w:szCs w:val="12"/>
                <w:color w:val="auto"/>
              </w:rPr>
              <w:t>Maturing after one year but within five years</w:t>
            </w: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133,681</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134,901</w:t>
            </w:r>
          </w:p>
        </w:tc>
        <w:tc>
          <w:tcPr>
            <w:tcW w:w="0" w:type="dxa"/>
            <w:vAlign w:val="bottom"/>
          </w:tcPr>
          <w:p>
            <w:pPr>
              <w:spacing w:after="0"/>
              <w:rPr>
                <w:sz w:val="1"/>
                <w:szCs w:val="1"/>
                <w:color w:val="auto"/>
              </w:rPr>
            </w:pPr>
          </w:p>
        </w:tc>
      </w:tr>
      <w:tr>
        <w:trPr>
          <w:trHeight w:val="144"/>
        </w:trPr>
        <w:tc>
          <w:tcPr>
            <w:tcW w:w="7340" w:type="dxa"/>
            <w:vAlign w:val="bottom"/>
            <w:shd w:val="clear" w:color="auto" w:fill="CCEEFF"/>
          </w:tcPr>
          <w:p>
            <w:pPr>
              <w:spacing w:after="0"/>
              <w:rPr>
                <w:sz w:val="20"/>
                <w:szCs w:val="20"/>
                <w:color w:val="auto"/>
              </w:rPr>
            </w:pPr>
            <w:r>
              <w:rPr>
                <w:rFonts w:ascii="Arial" w:cs="Arial" w:eastAsia="Arial" w:hAnsi="Arial"/>
                <w:sz w:val="12"/>
                <w:szCs w:val="12"/>
                <w:color w:val="auto"/>
              </w:rPr>
              <w:t>Maturing after five years but within ten years</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266,057</w:t>
            </w: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266,282</w:t>
            </w:r>
          </w:p>
        </w:tc>
        <w:tc>
          <w:tcPr>
            <w:tcW w:w="0" w:type="dxa"/>
            <w:vAlign w:val="bottom"/>
          </w:tcPr>
          <w:p>
            <w:pPr>
              <w:spacing w:after="0"/>
              <w:rPr>
                <w:sz w:val="1"/>
                <w:szCs w:val="1"/>
                <w:color w:val="auto"/>
              </w:rPr>
            </w:pPr>
          </w:p>
        </w:tc>
      </w:tr>
      <w:tr>
        <w:trPr>
          <w:trHeight w:val="144"/>
        </w:trPr>
        <w:tc>
          <w:tcPr>
            <w:tcW w:w="7340" w:type="dxa"/>
            <w:vAlign w:val="bottom"/>
          </w:tcPr>
          <w:p>
            <w:pPr>
              <w:spacing w:after="0"/>
              <w:rPr>
                <w:sz w:val="20"/>
                <w:szCs w:val="20"/>
                <w:color w:val="auto"/>
              </w:rPr>
            </w:pPr>
            <w:r>
              <w:rPr>
                <w:rFonts w:ascii="Arial" w:cs="Arial" w:eastAsia="Arial" w:hAnsi="Arial"/>
                <w:sz w:val="12"/>
                <w:szCs w:val="12"/>
                <w:color w:val="auto"/>
              </w:rPr>
              <w:t>Maturing after ten years</w:t>
            </w: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340,558</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347,960</w:t>
            </w:r>
          </w:p>
        </w:tc>
        <w:tc>
          <w:tcPr>
            <w:tcW w:w="0" w:type="dxa"/>
            <w:vAlign w:val="bottom"/>
          </w:tcPr>
          <w:p>
            <w:pPr>
              <w:spacing w:after="0"/>
              <w:rPr>
                <w:sz w:val="1"/>
                <w:szCs w:val="1"/>
                <w:color w:val="auto"/>
              </w:rPr>
            </w:pPr>
          </w:p>
        </w:tc>
      </w:tr>
      <w:tr>
        <w:trPr>
          <w:trHeight w:val="142"/>
        </w:trPr>
        <w:tc>
          <w:tcPr>
            <w:tcW w:w="7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754,170</w:t>
            </w:r>
          </w:p>
        </w:tc>
        <w:tc>
          <w:tcPr>
            <w:tcW w:w="200" w:type="dxa"/>
            <w:vAlign w:val="bottom"/>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763,134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340" w:type="dxa"/>
            <w:vAlign w:val="bottom"/>
          </w:tcPr>
          <w:p>
            <w:pPr>
              <w:spacing w:after="0"/>
              <w:rPr>
                <w:sz w:val="20"/>
                <w:szCs w:val="20"/>
                <w:color w:val="auto"/>
              </w:rPr>
            </w:pPr>
            <w:r>
              <w:rPr>
                <w:rFonts w:ascii="Arial" w:cs="Arial" w:eastAsia="Arial" w:hAnsi="Arial"/>
                <w:sz w:val="12"/>
                <w:szCs w:val="12"/>
                <w:color w:val="auto"/>
              </w:rPr>
              <w:t>U.S. agency residential mortgage-backed</w:t>
            </w: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309,907</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307,985</w:t>
            </w:r>
          </w:p>
        </w:tc>
        <w:tc>
          <w:tcPr>
            <w:tcW w:w="0" w:type="dxa"/>
            <w:vAlign w:val="bottom"/>
          </w:tcPr>
          <w:p>
            <w:pPr>
              <w:spacing w:after="0"/>
              <w:rPr>
                <w:sz w:val="1"/>
                <w:szCs w:val="1"/>
                <w:color w:val="auto"/>
              </w:rPr>
            </w:pPr>
          </w:p>
        </w:tc>
      </w:tr>
      <w:tr>
        <w:trPr>
          <w:trHeight w:val="144"/>
        </w:trPr>
        <w:tc>
          <w:tcPr>
            <w:tcW w:w="7340" w:type="dxa"/>
            <w:vAlign w:val="bottom"/>
            <w:shd w:val="clear" w:color="auto" w:fill="CCEEFF"/>
          </w:tcPr>
          <w:p>
            <w:pPr>
              <w:spacing w:after="0"/>
              <w:rPr>
                <w:sz w:val="20"/>
                <w:szCs w:val="20"/>
                <w:color w:val="auto"/>
              </w:rPr>
            </w:pPr>
            <w:r>
              <w:rPr>
                <w:rFonts w:ascii="Arial" w:cs="Arial" w:eastAsia="Arial" w:hAnsi="Arial"/>
                <w:sz w:val="12"/>
                <w:szCs w:val="12"/>
                <w:color w:val="auto"/>
              </w:rPr>
              <w:t>U.S. agency commercial mortgage-backed</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center"/>
              <w:ind w:left="400"/>
              <w:spacing w:after="0"/>
              <w:rPr>
                <w:sz w:val="20"/>
                <w:szCs w:val="20"/>
                <w:color w:val="auto"/>
              </w:rPr>
            </w:pPr>
            <w:r>
              <w:rPr>
                <w:rFonts w:ascii="Arial" w:cs="Arial" w:eastAsia="Arial" w:hAnsi="Arial"/>
                <w:sz w:val="12"/>
                <w:szCs w:val="12"/>
                <w:color w:val="auto"/>
                <w:w w:val="87"/>
              </w:rPr>
              <w:t>23,066</w:t>
            </w:r>
          </w:p>
        </w:tc>
        <w:tc>
          <w:tcPr>
            <w:tcW w:w="3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22,926</w:t>
            </w:r>
          </w:p>
        </w:tc>
        <w:tc>
          <w:tcPr>
            <w:tcW w:w="0" w:type="dxa"/>
            <w:vAlign w:val="bottom"/>
          </w:tcPr>
          <w:p>
            <w:pPr>
              <w:spacing w:after="0"/>
              <w:rPr>
                <w:sz w:val="1"/>
                <w:szCs w:val="1"/>
                <w:color w:val="auto"/>
              </w:rPr>
            </w:pPr>
          </w:p>
        </w:tc>
      </w:tr>
      <w:tr>
        <w:trPr>
          <w:trHeight w:val="144"/>
        </w:trPr>
        <w:tc>
          <w:tcPr>
            <w:tcW w:w="7340" w:type="dxa"/>
            <w:vAlign w:val="bottom"/>
          </w:tcPr>
          <w:p>
            <w:pPr>
              <w:spacing w:after="0"/>
              <w:rPr>
                <w:sz w:val="20"/>
                <w:szCs w:val="20"/>
                <w:color w:val="auto"/>
              </w:rPr>
            </w:pPr>
            <w:r>
              <w:rPr>
                <w:rFonts w:ascii="Arial" w:cs="Arial" w:eastAsia="Arial" w:hAnsi="Arial"/>
                <w:sz w:val="12"/>
                <w:szCs w:val="12"/>
                <w:color w:val="auto"/>
              </w:rPr>
              <w:t>Private label mortgage-backed</w:t>
            </w: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102,480</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102,615</w:t>
            </w:r>
          </w:p>
        </w:tc>
        <w:tc>
          <w:tcPr>
            <w:tcW w:w="0" w:type="dxa"/>
            <w:vAlign w:val="bottom"/>
          </w:tcPr>
          <w:p>
            <w:pPr>
              <w:spacing w:after="0"/>
              <w:rPr>
                <w:sz w:val="1"/>
                <w:szCs w:val="1"/>
                <w:color w:val="auto"/>
              </w:rPr>
            </w:pPr>
          </w:p>
        </w:tc>
      </w:tr>
      <w:tr>
        <w:trPr>
          <w:trHeight w:val="144"/>
        </w:trPr>
        <w:tc>
          <w:tcPr>
            <w:tcW w:w="7340" w:type="dxa"/>
            <w:vAlign w:val="bottom"/>
            <w:shd w:val="clear" w:color="auto" w:fill="CCEEFF"/>
          </w:tcPr>
          <w:p>
            <w:pPr>
              <w:spacing w:after="0"/>
              <w:rPr>
                <w:sz w:val="20"/>
                <w:szCs w:val="20"/>
                <w:color w:val="auto"/>
              </w:rPr>
            </w:pPr>
            <w:r>
              <w:rPr>
                <w:rFonts w:ascii="Arial" w:cs="Arial" w:eastAsia="Arial" w:hAnsi="Arial"/>
                <w:sz w:val="12"/>
                <w:szCs w:val="12"/>
                <w:color w:val="auto"/>
              </w:rPr>
              <w:t>Other asset backed</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215,235</w:t>
            </w: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216,170</w:t>
            </w:r>
          </w:p>
        </w:tc>
        <w:tc>
          <w:tcPr>
            <w:tcW w:w="0" w:type="dxa"/>
            <w:vAlign w:val="bottom"/>
          </w:tcPr>
          <w:p>
            <w:pPr>
              <w:spacing w:after="0"/>
              <w:rPr>
                <w:sz w:val="1"/>
                <w:szCs w:val="1"/>
                <w:color w:val="auto"/>
              </w:rPr>
            </w:pPr>
          </w:p>
        </w:tc>
      </w:tr>
      <w:tr>
        <w:trPr>
          <w:trHeight w:val="20"/>
        </w:trPr>
        <w:tc>
          <w:tcPr>
            <w:tcW w:w="73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340" w:type="dxa"/>
            <w:vAlign w:val="bottom"/>
          </w:tcPr>
          <w:p>
            <w:pPr>
              <w:ind w:left="80"/>
              <w:spacing w:after="0"/>
              <w:rPr>
                <w:sz w:val="20"/>
                <w:szCs w:val="20"/>
                <w:color w:val="auto"/>
              </w:rPr>
            </w:pPr>
            <w:r>
              <w:rPr>
                <w:rFonts w:ascii="Arial" w:cs="Arial" w:eastAsia="Arial" w:hAnsi="Arial"/>
                <w:sz w:val="12"/>
                <w:szCs w:val="12"/>
                <w:color w:val="auto"/>
              </w:rPr>
              <w:t>Total</w:t>
            </w: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jc w:val="right"/>
              <w:ind w:right="48"/>
              <w:spacing w:after="0"/>
              <w:rPr>
                <w:sz w:val="20"/>
                <w:szCs w:val="20"/>
                <w:color w:val="auto"/>
              </w:rPr>
            </w:pPr>
            <w:r>
              <w:rPr>
                <w:rFonts w:ascii="Arial" w:cs="Arial" w:eastAsia="Arial" w:hAnsi="Arial"/>
                <w:sz w:val="5"/>
                <w:szCs w:val="5"/>
                <w:color w:val="auto"/>
                <w:w w:val="70"/>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1,404,858</w:t>
            </w:r>
          </w:p>
        </w:tc>
        <w:tc>
          <w:tcPr>
            <w:tcW w:w="200" w:type="dxa"/>
            <w:vAlign w:val="bottom"/>
          </w:tcPr>
          <w:p>
            <w:pPr>
              <w:spacing w:after="0"/>
              <w:rPr>
                <w:sz w:val="12"/>
                <w:szCs w:val="12"/>
                <w:color w:val="auto"/>
              </w:rPr>
            </w:pPr>
          </w:p>
        </w:tc>
        <w:tc>
          <w:tcPr>
            <w:tcW w:w="320" w:type="dxa"/>
            <w:vAlign w:val="bottom"/>
          </w:tcPr>
          <w:p>
            <w:pPr>
              <w:jc w:val="right"/>
              <w:ind w:right="212"/>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1,412,830</w:t>
            </w:r>
          </w:p>
        </w:tc>
        <w:tc>
          <w:tcPr>
            <w:tcW w:w="0" w:type="dxa"/>
            <w:vAlign w:val="bottom"/>
          </w:tcPr>
          <w:p>
            <w:pPr>
              <w:spacing w:after="0"/>
              <w:rPr>
                <w:sz w:val="1"/>
                <w:szCs w:val="1"/>
                <w:color w:val="auto"/>
              </w:rPr>
            </w:pPr>
          </w:p>
        </w:tc>
      </w:tr>
      <w:tr>
        <w:trPr>
          <w:trHeight w:val="20"/>
        </w:trPr>
        <w:tc>
          <w:tcPr>
            <w:tcW w:w="8720" w:type="dxa"/>
            <w:vAlign w:val="bottom"/>
            <w:gridSpan w:val="4"/>
            <w:vMerge w:val="restart"/>
          </w:tcPr>
          <w:p>
            <w:pPr>
              <w:ind w:left="200"/>
              <w:spacing w:after="0"/>
              <w:rPr>
                <w:sz w:val="20"/>
                <w:szCs w:val="20"/>
                <w:color w:val="auto"/>
              </w:rPr>
            </w:pPr>
            <w:r>
              <w:rPr>
                <w:rFonts w:ascii="Arial" w:cs="Arial" w:eastAsia="Arial" w:hAnsi="Arial"/>
                <w:sz w:val="12"/>
                <w:szCs w:val="12"/>
                <w:color w:val="auto"/>
                <w:w w:val="95"/>
              </w:rPr>
              <w:t>The actual maturity may differ from the contractual maturity because issuers may have the right to call or prepay obligations with or without call or prepayment penalties.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720" w:type="dxa"/>
            <w:vAlign w:val="bottom"/>
            <w:gridSpan w:val="4"/>
            <w:vMerge w:val="continue"/>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7340" w:type="dxa"/>
            <w:vAlign w:val="bottom"/>
          </w:tcPr>
          <w:p>
            <w:pPr>
              <w:ind w:left="200"/>
              <w:spacing w:after="0"/>
              <w:rPr>
                <w:sz w:val="20"/>
                <w:szCs w:val="20"/>
                <w:color w:val="auto"/>
              </w:rPr>
            </w:pPr>
            <w:r>
              <w:rPr>
                <w:rFonts w:ascii="Arial" w:cs="Arial" w:eastAsia="Arial" w:hAnsi="Arial"/>
                <w:sz w:val="12"/>
                <w:szCs w:val="12"/>
                <w:color w:val="auto"/>
              </w:rPr>
              <w:t>A summary of proceeds from the sale of securities available for sale and gains and losses for the years ended December 31 follow:</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2"/>
                <w:szCs w:val="12"/>
                <w:b w:val="1"/>
                <w:bCs w:val="1"/>
                <w:color w:val="auto"/>
              </w:rPr>
              <w:t>Realized</w:t>
            </w:r>
          </w:p>
        </w:tc>
        <w:tc>
          <w:tcPr>
            <w:tcW w:w="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2"/>
                <w:szCs w:val="12"/>
                <w:b w:val="1"/>
                <w:bCs w:val="1"/>
                <w:color w:val="auto"/>
              </w:rPr>
              <w:t>Proceeds</w:t>
            </w:r>
          </w:p>
        </w:tc>
        <w:tc>
          <w:tcPr>
            <w:tcW w:w="120" w:type="dxa"/>
            <w:vAlign w:val="bottom"/>
          </w:tcPr>
          <w:p>
            <w:pPr>
              <w:spacing w:after="0"/>
              <w:rPr>
                <w:sz w:val="12"/>
                <w:szCs w:val="12"/>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9"/>
              </w:rPr>
              <w:t>Gains</w:t>
            </w:r>
          </w:p>
        </w:tc>
        <w:tc>
          <w:tcPr>
            <w:tcW w:w="320" w:type="dxa"/>
            <w:vAlign w:val="bottom"/>
          </w:tcPr>
          <w:p>
            <w:pPr>
              <w:spacing w:after="0"/>
              <w:rPr>
                <w:sz w:val="12"/>
                <w:szCs w:val="12"/>
                <w:color w:val="auto"/>
              </w:rPr>
            </w:pPr>
          </w:p>
        </w:tc>
        <w:tc>
          <w:tcPr>
            <w:tcW w:w="800" w:type="dxa"/>
            <w:vAlign w:val="bottom"/>
          </w:tcPr>
          <w:p>
            <w:pPr>
              <w:jc w:val="center"/>
              <w:ind w:right="240"/>
              <w:spacing w:after="0"/>
              <w:rPr>
                <w:sz w:val="20"/>
                <w:szCs w:val="20"/>
                <w:color w:val="auto"/>
              </w:rPr>
            </w:pPr>
            <w:r>
              <w:rPr>
                <w:rFonts w:ascii="Arial" w:cs="Arial" w:eastAsia="Arial" w:hAnsi="Arial"/>
                <w:sz w:val="12"/>
                <w:szCs w:val="12"/>
                <w:b w:val="1"/>
                <w:bCs w:val="1"/>
                <w:color w:val="auto"/>
                <w:w w:val="82"/>
              </w:rPr>
              <w:t>Losses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3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center"/>
              <w:ind w:right="100"/>
              <w:spacing w:after="0"/>
              <w:rPr>
                <w:sz w:val="20"/>
                <w:szCs w:val="20"/>
                <w:color w:val="auto"/>
              </w:rPr>
            </w:pPr>
            <w:r>
              <w:rPr>
                <w:rFonts w:ascii="Arial" w:cs="Arial" w:eastAsia="Arial" w:hAnsi="Arial"/>
                <w:sz w:val="12"/>
                <w:szCs w:val="12"/>
                <w:b w:val="1"/>
                <w:bCs w:val="1"/>
                <w:color w:val="auto"/>
                <w:w w:val="89"/>
              </w:rPr>
              <w:t>(In thousands)</w:t>
            </w:r>
          </w:p>
        </w:tc>
        <w:tc>
          <w:tcPr>
            <w:tcW w:w="2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340" w:type="dxa"/>
            <w:vAlign w:val="bottom"/>
            <w:shd w:val="clear" w:color="auto" w:fill="CCEEFF"/>
          </w:tcPr>
          <w:p>
            <w:pPr>
              <w:spacing w:after="0"/>
              <w:rPr>
                <w:sz w:val="20"/>
                <w:szCs w:val="20"/>
                <w:color w:val="auto"/>
              </w:rPr>
            </w:pPr>
            <w:r>
              <w:rPr>
                <w:rFonts w:ascii="Arial" w:cs="Arial" w:eastAsia="Arial" w:hAnsi="Arial"/>
                <w:sz w:val="12"/>
                <w:szCs w:val="12"/>
                <w:color w:val="auto"/>
              </w:rPr>
              <w:t>2021</w:t>
            </w: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1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85,371</w:t>
            </w:r>
          </w:p>
        </w:tc>
        <w:tc>
          <w:tcPr>
            <w:tcW w:w="12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1,475</w:t>
            </w: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64</w:t>
            </w:r>
          </w:p>
        </w:tc>
        <w:tc>
          <w:tcPr>
            <w:tcW w:w="0" w:type="dxa"/>
            <w:vAlign w:val="bottom"/>
          </w:tcPr>
          <w:p>
            <w:pPr>
              <w:spacing w:after="0"/>
              <w:rPr>
                <w:sz w:val="1"/>
                <w:szCs w:val="1"/>
                <w:color w:val="auto"/>
              </w:rPr>
            </w:pPr>
          </w:p>
        </w:tc>
      </w:tr>
      <w:tr>
        <w:trPr>
          <w:trHeight w:val="144"/>
        </w:trPr>
        <w:tc>
          <w:tcPr>
            <w:tcW w:w="7340" w:type="dxa"/>
            <w:vAlign w:val="bottom"/>
          </w:tcPr>
          <w:p>
            <w:pPr>
              <w:spacing w:after="0"/>
              <w:rPr>
                <w:sz w:val="20"/>
                <w:szCs w:val="20"/>
                <w:color w:val="auto"/>
              </w:rPr>
            </w:pPr>
            <w:r>
              <w:rPr>
                <w:rFonts w:ascii="Arial" w:cs="Arial" w:eastAsia="Arial" w:hAnsi="Arial"/>
                <w:sz w:val="12"/>
                <w:szCs w:val="12"/>
                <w:color w:val="auto"/>
              </w:rPr>
              <w:t>2020</w:t>
            </w: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38,095</w:t>
            </w: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271</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44"/>
        </w:trPr>
        <w:tc>
          <w:tcPr>
            <w:tcW w:w="7340" w:type="dxa"/>
            <w:vAlign w:val="bottom"/>
            <w:shd w:val="clear" w:color="auto" w:fill="CCEEFF"/>
          </w:tcPr>
          <w:p>
            <w:pPr>
              <w:spacing w:after="0"/>
              <w:rPr>
                <w:sz w:val="20"/>
                <w:szCs w:val="20"/>
                <w:color w:val="auto"/>
              </w:rPr>
            </w:pPr>
            <w:r>
              <w:rPr>
                <w:rFonts w:ascii="Arial" w:cs="Arial" w:eastAsia="Arial" w:hAnsi="Arial"/>
                <w:sz w:val="12"/>
                <w:szCs w:val="12"/>
                <w:color w:val="auto"/>
              </w:rPr>
              <w:t>2019</w:t>
            </w:r>
          </w:p>
        </w:tc>
        <w:tc>
          <w:tcPr>
            <w:tcW w:w="200" w:type="dxa"/>
            <w:vAlign w:val="bottom"/>
            <w:shd w:val="clear" w:color="auto" w:fill="CCEEFF"/>
          </w:tcPr>
          <w:p>
            <w:pPr>
              <w:spacing w:after="0"/>
              <w:rPr>
                <w:sz w:val="12"/>
                <w:szCs w:val="12"/>
                <w:color w:val="auto"/>
              </w:rPr>
            </w:pPr>
          </w:p>
        </w:tc>
        <w:tc>
          <w:tcPr>
            <w:tcW w:w="11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68,716</w:t>
            </w:r>
          </w:p>
        </w:tc>
        <w:tc>
          <w:tcPr>
            <w:tcW w:w="120" w:type="dxa"/>
            <w:vAlign w:val="bottom"/>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248</w:t>
            </w: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108</w:t>
            </w:r>
          </w:p>
        </w:tc>
        <w:tc>
          <w:tcPr>
            <w:tcW w:w="0" w:type="dxa"/>
            <w:vAlign w:val="bottom"/>
          </w:tcPr>
          <w:p>
            <w:pPr>
              <w:spacing w:after="0"/>
              <w:rPr>
                <w:sz w:val="1"/>
                <w:szCs w:val="1"/>
                <w:color w:val="auto"/>
              </w:rPr>
            </w:pPr>
          </w:p>
        </w:tc>
      </w:tr>
      <w:tr>
        <w:trPr>
          <w:trHeight w:val="379"/>
        </w:trPr>
        <w:tc>
          <w:tcPr>
            <w:tcW w:w="7340" w:type="dxa"/>
            <w:vAlign w:val="bottom"/>
          </w:tcPr>
          <w:p>
            <w:pPr>
              <w:ind w:left="5600"/>
              <w:spacing w:after="0"/>
              <w:rPr>
                <w:sz w:val="20"/>
                <w:szCs w:val="20"/>
                <w:color w:val="auto"/>
              </w:rPr>
            </w:pPr>
            <w:r>
              <w:rPr>
                <w:rFonts w:ascii="Arial" w:cs="Arial" w:eastAsia="Arial" w:hAnsi="Arial"/>
                <w:sz w:val="10"/>
                <w:szCs w:val="10"/>
                <w:color w:val="auto"/>
              </w:rPr>
              <w:t>54</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7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27" w:right="299" w:bottom="1440" w:gutter="0" w:footer="0" w:header="0"/>
        </w:sectPr>
      </w:pPr>
    </w:p>
    <w:bookmarkStart w:id="74" w:name="page75"/>
    <w:bookmarkEnd w:id="74"/>
    <w:p>
      <w:pPr>
        <w:jc w:val="center"/>
        <w:ind w:right="-7"/>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27" w:lineRule="exact"/>
        <w:rPr>
          <w:sz w:val="20"/>
          <w:szCs w:val="20"/>
          <w:color w:val="auto"/>
        </w:rPr>
      </w:pPr>
    </w:p>
    <w:p>
      <w:pPr>
        <w:jc w:val="both"/>
        <w:ind w:left="8" w:firstLine="216"/>
        <w:spacing w:after="0" w:line="276" w:lineRule="auto"/>
        <w:rPr>
          <w:sz w:val="20"/>
          <w:szCs w:val="20"/>
          <w:color w:val="auto"/>
        </w:rPr>
      </w:pPr>
      <w:r>
        <w:rPr>
          <w:rFonts w:ascii="Arial" w:cs="Arial" w:eastAsia="Arial" w:hAnsi="Arial"/>
          <w:sz w:val="12"/>
          <w:szCs w:val="12"/>
          <w:color w:val="auto"/>
        </w:rPr>
        <w:t>Certain preferred stocks which were sold during 2019 had been classified as equity securities at fair value in our Consolidated Statement of Financial Condition. During 2019 we recognized gains on these preferred stocks of $0.17 million that are included in net gains on securities in the Consolidated Statements of Operations.</w:t>
      </w:r>
    </w:p>
    <w:p>
      <w:pPr>
        <w:spacing w:after="0" w:line="115" w:lineRule="exact"/>
        <w:rPr>
          <w:sz w:val="20"/>
          <w:szCs w:val="20"/>
          <w:color w:val="auto"/>
        </w:rPr>
      </w:pPr>
    </w:p>
    <w:p>
      <w:pPr>
        <w:jc w:val="both"/>
        <w:ind w:left="8" w:firstLine="216"/>
        <w:spacing w:after="0" w:line="263" w:lineRule="auto"/>
        <w:rPr>
          <w:sz w:val="20"/>
          <w:szCs w:val="20"/>
          <w:color w:val="auto"/>
        </w:rPr>
      </w:pPr>
      <w:r>
        <w:rPr>
          <w:rFonts w:ascii="Arial" w:cs="Arial" w:eastAsia="Arial" w:hAnsi="Arial"/>
          <w:sz w:val="12"/>
          <w:szCs w:val="12"/>
          <w:color w:val="auto"/>
        </w:rPr>
        <w:t>Securities available for sale with a book value of $10.5 million and $14.0 million at December 31, 2021 and 2020, respectively, were pledged to secure borrowings, derivatives, public deposits and for other purposes as required by law. There were no investment obligations of state and political subdivisions that were payable from or secured by the same source of revenue or taxing authority that exceeded 10% of consolidated total shareholders’ equity at December 31, 2021 or 2020.</w:t>
      </w:r>
    </w:p>
    <w:p>
      <w:pPr>
        <w:spacing w:after="0" w:line="262"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8700" w:type="dxa"/>
            <w:vAlign w:val="bottom"/>
            <w:gridSpan w:val="3"/>
          </w:tcPr>
          <w:p>
            <w:pPr>
              <w:spacing w:after="0"/>
              <w:rPr>
                <w:sz w:val="20"/>
                <w:szCs w:val="20"/>
                <w:color w:val="auto"/>
              </w:rPr>
            </w:pPr>
            <w:r>
              <w:rPr>
                <w:rFonts w:ascii="Arial" w:cs="Arial" w:eastAsia="Arial" w:hAnsi="Arial"/>
                <w:sz w:val="12"/>
                <w:szCs w:val="12"/>
                <w:b w:val="1"/>
                <w:bCs w:val="1"/>
                <w:color w:val="auto"/>
              </w:rPr>
              <w:t>NOTE 4 – LOANS</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8700" w:type="dxa"/>
            <w:vAlign w:val="bottom"/>
            <w:gridSpan w:val="3"/>
          </w:tcPr>
          <w:p>
            <w:pPr>
              <w:ind w:left="200"/>
              <w:spacing w:after="0"/>
              <w:rPr>
                <w:sz w:val="20"/>
                <w:szCs w:val="20"/>
                <w:color w:val="auto"/>
              </w:rPr>
            </w:pPr>
            <w:r>
              <w:rPr>
                <w:rFonts w:ascii="Arial" w:cs="Arial" w:eastAsia="Arial" w:hAnsi="Arial"/>
                <w:sz w:val="12"/>
                <w:szCs w:val="12"/>
                <w:color w:val="auto"/>
              </w:rPr>
              <w:t>Our loan portfolios at December 31 follow:</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2021</w:t>
            </w:r>
          </w:p>
        </w:tc>
        <w:tc>
          <w:tcPr>
            <w:tcW w:w="2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8700" w:type="dxa"/>
            <w:vAlign w:val="bottom"/>
            <w:gridSpan w:val="3"/>
            <w:vMerge w:val="restart"/>
          </w:tcPr>
          <w:p>
            <w:pPr>
              <w:spacing w:after="0"/>
              <w:rPr>
                <w:sz w:val="20"/>
                <w:szCs w:val="20"/>
                <w:color w:val="auto"/>
              </w:rPr>
            </w:pPr>
            <w:r>
              <w:rPr>
                <w:rFonts w:ascii="Arial" w:cs="Arial" w:eastAsia="Arial" w:hAnsi="Arial"/>
                <w:sz w:val="12"/>
                <w:szCs w:val="12"/>
                <w:color w:val="auto"/>
              </w:rPr>
              <w:t>Real estate (1)</w:t>
            </w:r>
          </w:p>
        </w:tc>
        <w:tc>
          <w:tcPr>
            <w:tcW w:w="260" w:type="dxa"/>
            <w:vAlign w:val="bottom"/>
          </w:tcPr>
          <w:p>
            <w:pPr>
              <w:spacing w:after="0"/>
              <w:rPr>
                <w:sz w:val="13"/>
                <w:szCs w:val="13"/>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b w:val="1"/>
                <w:bCs w:val="1"/>
                <w:color w:val="auto"/>
              </w:rPr>
              <w:t>(In</w:t>
            </w:r>
          </w:p>
        </w:tc>
        <w:tc>
          <w:tcPr>
            <w:tcW w:w="58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74"/>
              </w:rPr>
              <w:t>thousands)</w:t>
            </w: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870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700" w:type="dxa"/>
            <w:vAlign w:val="bottom"/>
            <w:gridSpan w:val="3"/>
            <w:shd w:val="clear" w:color="auto" w:fill="CCEEFF"/>
          </w:tcPr>
          <w:p>
            <w:pPr>
              <w:ind w:left="80"/>
              <w:spacing w:after="0"/>
              <w:rPr>
                <w:sz w:val="20"/>
                <w:szCs w:val="20"/>
                <w:color w:val="auto"/>
              </w:rPr>
            </w:pPr>
            <w:r>
              <w:rPr>
                <w:rFonts w:ascii="Arial" w:cs="Arial" w:eastAsia="Arial" w:hAnsi="Arial"/>
                <w:sz w:val="12"/>
                <w:szCs w:val="12"/>
                <w:color w:val="auto"/>
              </w:rPr>
              <w:t>Residential first mortgages</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870,169</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jc w:val="center"/>
              <w:ind w:right="240"/>
              <w:spacing w:after="0"/>
              <w:rPr>
                <w:sz w:val="20"/>
                <w:szCs w:val="20"/>
                <w:color w:val="auto"/>
              </w:rPr>
            </w:pPr>
            <w:r>
              <w:rPr>
                <w:rFonts w:ascii="Arial" w:cs="Arial" w:eastAsia="Arial" w:hAnsi="Arial"/>
                <w:sz w:val="12"/>
                <w:szCs w:val="12"/>
                <w:color w:val="auto"/>
                <w:w w:val="8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792,762</w:t>
            </w:r>
          </w:p>
        </w:tc>
        <w:tc>
          <w:tcPr>
            <w:tcW w:w="0" w:type="dxa"/>
            <w:vAlign w:val="bottom"/>
          </w:tcPr>
          <w:p>
            <w:pPr>
              <w:spacing w:after="0"/>
              <w:rPr>
                <w:sz w:val="1"/>
                <w:szCs w:val="1"/>
                <w:color w:val="auto"/>
              </w:rPr>
            </w:pPr>
          </w:p>
        </w:tc>
      </w:tr>
      <w:tr>
        <w:trPr>
          <w:trHeight w:val="144"/>
        </w:trPr>
        <w:tc>
          <w:tcPr>
            <w:tcW w:w="8700" w:type="dxa"/>
            <w:vAlign w:val="bottom"/>
            <w:gridSpan w:val="3"/>
          </w:tcPr>
          <w:p>
            <w:pPr>
              <w:ind w:left="80"/>
              <w:spacing w:after="0"/>
              <w:rPr>
                <w:sz w:val="20"/>
                <w:szCs w:val="20"/>
                <w:color w:val="auto"/>
              </w:rPr>
            </w:pPr>
            <w:r>
              <w:rPr>
                <w:rFonts w:ascii="Arial" w:cs="Arial" w:eastAsia="Arial" w:hAnsi="Arial"/>
                <w:sz w:val="12"/>
                <w:szCs w:val="12"/>
                <w:color w:val="auto"/>
              </w:rPr>
              <w:t>Residential home equity and other junior mortgages</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128,801</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138,128</w:t>
            </w:r>
          </w:p>
        </w:tc>
        <w:tc>
          <w:tcPr>
            <w:tcW w:w="0" w:type="dxa"/>
            <w:vAlign w:val="bottom"/>
          </w:tcPr>
          <w:p>
            <w:pPr>
              <w:spacing w:after="0"/>
              <w:rPr>
                <w:sz w:val="1"/>
                <w:szCs w:val="1"/>
                <w:color w:val="auto"/>
              </w:rPr>
            </w:pPr>
          </w:p>
        </w:tc>
      </w:tr>
      <w:tr>
        <w:trPr>
          <w:trHeight w:val="144"/>
        </w:trPr>
        <w:tc>
          <w:tcPr>
            <w:tcW w:w="8700" w:type="dxa"/>
            <w:vAlign w:val="bottom"/>
            <w:gridSpan w:val="3"/>
            <w:shd w:val="clear" w:color="auto" w:fill="CCEEFF"/>
          </w:tcPr>
          <w:p>
            <w:pPr>
              <w:ind w:left="80"/>
              <w:spacing w:after="0"/>
              <w:rPr>
                <w:sz w:val="20"/>
                <w:szCs w:val="20"/>
                <w:color w:val="auto"/>
              </w:rPr>
            </w:pPr>
            <w:r>
              <w:rPr>
                <w:rFonts w:ascii="Arial" w:cs="Arial" w:eastAsia="Arial" w:hAnsi="Arial"/>
                <w:sz w:val="12"/>
                <w:szCs w:val="12"/>
                <w:color w:val="auto"/>
              </w:rPr>
              <w:t>Construction and land development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278,992</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232,693</w:t>
            </w:r>
          </w:p>
        </w:tc>
        <w:tc>
          <w:tcPr>
            <w:tcW w:w="0" w:type="dxa"/>
            <w:vAlign w:val="bottom"/>
          </w:tcPr>
          <w:p>
            <w:pPr>
              <w:spacing w:after="0"/>
              <w:rPr>
                <w:sz w:val="1"/>
                <w:szCs w:val="1"/>
                <w:color w:val="auto"/>
              </w:rPr>
            </w:pPr>
          </w:p>
        </w:tc>
      </w:tr>
      <w:tr>
        <w:trPr>
          <w:trHeight w:val="144"/>
        </w:trPr>
        <w:tc>
          <w:tcPr>
            <w:tcW w:w="8700" w:type="dxa"/>
            <w:vAlign w:val="bottom"/>
            <w:gridSpan w:val="3"/>
          </w:tcPr>
          <w:p>
            <w:pPr>
              <w:ind w:left="80"/>
              <w:spacing w:after="0"/>
              <w:rPr>
                <w:sz w:val="20"/>
                <w:szCs w:val="20"/>
                <w:color w:val="auto"/>
              </w:rPr>
            </w:pPr>
            <w:r>
              <w:rPr>
                <w:rFonts w:ascii="Arial" w:cs="Arial" w:eastAsia="Arial" w:hAnsi="Arial"/>
                <w:sz w:val="12"/>
                <w:szCs w:val="12"/>
                <w:color w:val="auto"/>
              </w:rPr>
              <w:t>Other (2)</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726,224</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669,150</w:t>
            </w:r>
          </w:p>
        </w:tc>
        <w:tc>
          <w:tcPr>
            <w:tcW w:w="0" w:type="dxa"/>
            <w:vAlign w:val="bottom"/>
          </w:tcPr>
          <w:p>
            <w:pPr>
              <w:spacing w:after="0"/>
              <w:rPr>
                <w:sz w:val="1"/>
                <w:szCs w:val="1"/>
                <w:color w:val="auto"/>
              </w:rPr>
            </w:pPr>
          </w:p>
        </w:tc>
      </w:tr>
      <w:tr>
        <w:trPr>
          <w:trHeight w:val="144"/>
        </w:trPr>
        <w:tc>
          <w:tcPr>
            <w:tcW w:w="87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Consumer</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339,785</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468,090</w:t>
            </w:r>
          </w:p>
        </w:tc>
        <w:tc>
          <w:tcPr>
            <w:tcW w:w="0" w:type="dxa"/>
            <w:vAlign w:val="bottom"/>
          </w:tcPr>
          <w:p>
            <w:pPr>
              <w:spacing w:after="0"/>
              <w:rPr>
                <w:sz w:val="1"/>
                <w:szCs w:val="1"/>
                <w:color w:val="auto"/>
              </w:rPr>
            </w:pPr>
          </w:p>
        </w:tc>
      </w:tr>
      <w:tr>
        <w:trPr>
          <w:trHeight w:val="144"/>
        </w:trPr>
        <w:tc>
          <w:tcPr>
            <w:tcW w:w="8700" w:type="dxa"/>
            <w:vAlign w:val="bottom"/>
            <w:gridSpan w:val="3"/>
          </w:tcPr>
          <w:p>
            <w:pPr>
              <w:spacing w:after="0"/>
              <w:rPr>
                <w:sz w:val="20"/>
                <w:szCs w:val="20"/>
                <w:color w:val="auto"/>
              </w:rPr>
            </w:pPr>
            <w:r>
              <w:rPr>
                <w:rFonts w:ascii="Arial" w:cs="Arial" w:eastAsia="Arial" w:hAnsi="Arial"/>
                <w:sz w:val="12"/>
                <w:szCs w:val="12"/>
                <w:color w:val="auto"/>
              </w:rPr>
              <w:t>Commercial</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555,696</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429,011</w:t>
            </w:r>
          </w:p>
        </w:tc>
        <w:tc>
          <w:tcPr>
            <w:tcW w:w="0" w:type="dxa"/>
            <w:vAlign w:val="bottom"/>
          </w:tcPr>
          <w:p>
            <w:pPr>
              <w:spacing w:after="0"/>
              <w:rPr>
                <w:sz w:val="1"/>
                <w:szCs w:val="1"/>
                <w:color w:val="auto"/>
              </w:rPr>
            </w:pPr>
          </w:p>
        </w:tc>
      </w:tr>
      <w:tr>
        <w:trPr>
          <w:trHeight w:val="144"/>
        </w:trPr>
        <w:tc>
          <w:tcPr>
            <w:tcW w:w="87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Agricultural</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5,378</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3,844</w:t>
            </w:r>
          </w:p>
        </w:tc>
        <w:tc>
          <w:tcPr>
            <w:tcW w:w="0" w:type="dxa"/>
            <w:vAlign w:val="bottom"/>
          </w:tcPr>
          <w:p>
            <w:pPr>
              <w:spacing w:after="0"/>
              <w:rPr>
                <w:sz w:val="1"/>
                <w:szCs w:val="1"/>
                <w:color w:val="auto"/>
              </w:rPr>
            </w:pPr>
          </w:p>
        </w:tc>
      </w:tr>
      <w:tr>
        <w:trPr>
          <w:trHeight w:val="20"/>
        </w:trPr>
        <w:tc>
          <w:tcPr>
            <w:tcW w:w="4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7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700" w:type="dxa"/>
            <w:vAlign w:val="bottom"/>
            <w:gridSpan w:val="3"/>
          </w:tcPr>
          <w:p>
            <w:pPr>
              <w:ind w:left="80"/>
              <w:spacing w:after="0"/>
              <w:rPr>
                <w:sz w:val="20"/>
                <w:szCs w:val="20"/>
                <w:color w:val="auto"/>
              </w:rPr>
            </w:pPr>
            <w:r>
              <w:rPr>
                <w:rFonts w:ascii="Arial" w:cs="Arial" w:eastAsia="Arial" w:hAnsi="Arial"/>
                <w:sz w:val="12"/>
                <w:szCs w:val="12"/>
                <w:color w:val="auto"/>
              </w:rPr>
              <w:t>Total loans</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2,905,045</w:t>
            </w:r>
          </w:p>
        </w:tc>
        <w:tc>
          <w:tcPr>
            <w:tcW w:w="220" w:type="dxa"/>
            <w:vAlign w:val="bottom"/>
          </w:tcPr>
          <w:p>
            <w:pPr>
              <w:spacing w:after="0"/>
              <w:rPr>
                <w:sz w:val="12"/>
                <w:szCs w:val="12"/>
                <w:color w:val="auto"/>
              </w:rPr>
            </w:pPr>
          </w:p>
        </w:tc>
        <w:tc>
          <w:tcPr>
            <w:tcW w:w="360" w:type="dxa"/>
            <w:vAlign w:val="bottom"/>
          </w:tcPr>
          <w:p>
            <w:pPr>
              <w:jc w:val="center"/>
              <w:ind w:right="240"/>
              <w:spacing w:after="0"/>
              <w:rPr>
                <w:sz w:val="20"/>
                <w:szCs w:val="20"/>
                <w:color w:val="auto"/>
              </w:rPr>
            </w:pPr>
            <w:r>
              <w:rPr>
                <w:rFonts w:ascii="Arial" w:cs="Arial" w:eastAsia="Arial" w:hAnsi="Arial"/>
                <w:sz w:val="12"/>
                <w:szCs w:val="12"/>
                <w:color w:val="auto"/>
                <w:w w:val="89"/>
              </w:rPr>
              <w:t>$</w:t>
            </w: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2,733,678</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7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08" w:hanging="208"/>
        <w:spacing w:after="0"/>
        <w:tabs>
          <w:tab w:leader="none" w:pos="208" w:val="left"/>
        </w:tabs>
        <w:numPr>
          <w:ilvl w:val="0"/>
          <w:numId w:val="26"/>
        </w:numPr>
        <w:rPr>
          <w:rFonts w:ascii="Arial" w:cs="Arial" w:eastAsia="Arial" w:hAnsi="Arial"/>
          <w:sz w:val="12"/>
          <w:szCs w:val="12"/>
          <w:color w:val="auto"/>
        </w:rPr>
      </w:pPr>
      <w:r>
        <w:rPr>
          <w:rFonts w:ascii="Arial" w:cs="Arial" w:eastAsia="Arial" w:hAnsi="Arial"/>
          <w:sz w:val="12"/>
          <w:szCs w:val="12"/>
          <w:color w:val="auto"/>
        </w:rPr>
        <w:t>Includes both residential and non-residential commercial loans secured by real estate.</w:t>
      </w:r>
    </w:p>
    <w:p>
      <w:pPr>
        <w:spacing w:after="0" w:line="14" w:lineRule="exact"/>
        <w:rPr>
          <w:rFonts w:ascii="Arial" w:cs="Arial" w:eastAsia="Arial" w:hAnsi="Arial"/>
          <w:sz w:val="12"/>
          <w:szCs w:val="12"/>
          <w:color w:val="auto"/>
        </w:rPr>
      </w:pPr>
    </w:p>
    <w:p>
      <w:pPr>
        <w:ind w:left="208" w:hanging="208"/>
        <w:spacing w:after="0"/>
        <w:tabs>
          <w:tab w:leader="none" w:pos="208" w:val="left"/>
        </w:tabs>
        <w:numPr>
          <w:ilvl w:val="0"/>
          <w:numId w:val="26"/>
        </w:numPr>
        <w:rPr>
          <w:rFonts w:ascii="Arial" w:cs="Arial" w:eastAsia="Arial" w:hAnsi="Arial"/>
          <w:sz w:val="12"/>
          <w:szCs w:val="12"/>
          <w:color w:val="auto"/>
        </w:rPr>
      </w:pPr>
      <w:r>
        <w:rPr>
          <w:rFonts w:ascii="Arial" w:cs="Arial" w:eastAsia="Arial" w:hAnsi="Arial"/>
          <w:sz w:val="12"/>
          <w:szCs w:val="12"/>
          <w:color w:val="auto"/>
        </w:rPr>
        <w:t>Includes loans secured by multi-family residential and non-farm, non-residential property.</w:t>
      </w:r>
    </w:p>
    <w:p>
      <w:pPr>
        <w:spacing w:after="0" w:line="141" w:lineRule="exact"/>
        <w:rPr>
          <w:rFonts w:ascii="Arial" w:cs="Arial" w:eastAsia="Arial" w:hAnsi="Arial"/>
          <w:sz w:val="12"/>
          <w:szCs w:val="12"/>
          <w:color w:val="auto"/>
        </w:rPr>
      </w:pPr>
    </w:p>
    <w:p>
      <w:pPr>
        <w:ind w:left="208"/>
        <w:spacing w:after="0"/>
        <w:rPr>
          <w:rFonts w:ascii="Arial" w:cs="Arial" w:eastAsia="Arial" w:hAnsi="Arial"/>
          <w:sz w:val="12"/>
          <w:szCs w:val="12"/>
          <w:color w:val="auto"/>
        </w:rPr>
      </w:pPr>
      <w:r>
        <w:rPr>
          <w:rFonts w:ascii="Arial" w:cs="Arial" w:eastAsia="Arial" w:hAnsi="Arial"/>
          <w:sz w:val="12"/>
          <w:szCs w:val="12"/>
          <w:color w:val="auto"/>
        </w:rPr>
        <w:t>Loans include net deferred loan costs of $22.4 million and $14.6 million at December 31, 2021 and 2020, respectively.</w:t>
      </w:r>
    </w:p>
    <w:p>
      <w:pPr>
        <w:spacing w:after="0" w:line="150" w:lineRule="exact"/>
        <w:rPr>
          <w:sz w:val="20"/>
          <w:szCs w:val="20"/>
          <w:color w:val="auto"/>
        </w:rPr>
      </w:pPr>
    </w:p>
    <w:p>
      <w:pPr>
        <w:jc w:val="both"/>
        <w:ind w:left="8" w:firstLine="240"/>
        <w:spacing w:after="0" w:line="285" w:lineRule="auto"/>
        <w:rPr>
          <w:sz w:val="20"/>
          <w:szCs w:val="20"/>
          <w:color w:val="auto"/>
        </w:rPr>
      </w:pPr>
      <w:r>
        <w:rPr>
          <w:rFonts w:ascii="Arial" w:cs="Arial" w:eastAsia="Arial" w:hAnsi="Arial"/>
          <w:sz w:val="11"/>
          <w:szCs w:val="11"/>
          <w:color w:val="auto"/>
        </w:rPr>
        <w:t>During 2021, we sold $9.6 million of portfolio residential fixed rate mortgage loans servicing retained into the secondary market and recognized a gain on sale of $0.45 million. During 2020, we securitized $26.3 million of portfolio residential fixed rate mortgage loans servicing retained with Freddie Mac and recognized a gain on sale of $0.72 million. We also sold $2.4 million of portfolio residential fixed rate mortgage loans servicing retained into the secondary market and recognized a gain on sale of $0.07 million. During 2019, we sold $40.6 million of residential adjustable rate mortgage loans servicing released to another financial institution and recognized a gain on sale of $0.01 million. We also securitized $65.1 million of portfolio residential fixed rate mortgage loans servicing retained with Freddie Mac and recognized a gain on sale of $1.7 million. In addition, we sold $9.9 million of residential fixed and adjustable rate portfolio mortgage loans servicing retained to another financial institution and recognized a gain on sale of $0.07 million. These loan sale transactions were done primarily for asset/liability management purposes.</w:t>
      </w:r>
    </w:p>
    <w:p>
      <w:pPr>
        <w:spacing w:after="0" w:line="226" w:lineRule="exact"/>
        <w:rPr>
          <w:sz w:val="20"/>
          <w:szCs w:val="20"/>
          <w:color w:val="auto"/>
        </w:rPr>
      </w:pPr>
    </w:p>
    <w:p>
      <w:pPr>
        <w:jc w:val="center"/>
        <w:ind w:right="-207"/>
        <w:spacing w:after="0"/>
        <w:rPr>
          <w:sz w:val="20"/>
          <w:szCs w:val="20"/>
          <w:color w:val="auto"/>
        </w:rPr>
      </w:pPr>
      <w:r>
        <w:rPr>
          <w:rFonts w:ascii="Arial" w:cs="Arial" w:eastAsia="Arial" w:hAnsi="Arial"/>
          <w:sz w:val="10"/>
          <w:szCs w:val="1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78040" cy="114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7" w:right="299" w:bottom="1440" w:gutter="0" w:footer="0" w:header="0"/>
        </w:sectPr>
      </w:pPr>
    </w:p>
    <w:bookmarkStart w:id="75" w:name="page76"/>
    <w:bookmarkEnd w:id="75"/>
    <w:tbl>
      <w:tblPr>
        <w:tblLayout w:type="fixed"/>
        <w:tblInd w:w="8" w:type="dxa"/>
        <w:tblCellMar>
          <w:top w:w="0" w:type="dxa"/>
          <w:left w:w="0" w:type="dxa"/>
          <w:bottom w:w="0" w:type="dxa"/>
          <w:right w:w="0" w:type="dxa"/>
        </w:tblCellMar>
      </w:tblPr>
      <w:tr>
        <w:trPr>
          <w:trHeight w:val="157"/>
        </w:trPr>
        <w:tc>
          <w:tcPr>
            <w:tcW w:w="13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5240" w:type="dxa"/>
            <w:vAlign w:val="bottom"/>
            <w:gridSpan w:val="10"/>
          </w:tcPr>
          <w:p>
            <w:pPr>
              <w:jc w:val="right"/>
              <w:ind w:right="1020"/>
              <w:spacing w:after="0"/>
              <w:rPr>
                <w:sz w:val="20"/>
                <w:szCs w:val="20"/>
                <w:color w:val="auto"/>
              </w:rPr>
            </w:pPr>
            <w:r>
              <w:rPr>
                <w:rFonts w:ascii="Arial" w:cs="Arial" w:eastAsia="Arial" w:hAnsi="Arial"/>
                <w:sz w:val="12"/>
                <w:szCs w:val="12"/>
                <w:b w:val="1"/>
                <w:bCs w:val="1"/>
                <w:color w:val="auto"/>
              </w:rPr>
              <w:t>NOTES TO CONSOLIDATED FINANCIAL STATEMENTS − (Continued)</w:t>
            </w: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5"/>
        </w:trPr>
        <w:tc>
          <w:tcPr>
            <w:tcW w:w="4800" w:type="dxa"/>
            <w:vAlign w:val="bottom"/>
            <w:gridSpan w:val="4"/>
          </w:tcPr>
          <w:p>
            <w:pPr>
              <w:ind w:left="200"/>
              <w:spacing w:after="0"/>
              <w:rPr>
                <w:sz w:val="20"/>
                <w:szCs w:val="20"/>
                <w:color w:val="auto"/>
              </w:rPr>
            </w:pPr>
            <w:r>
              <w:rPr>
                <w:rFonts w:ascii="Arial" w:cs="Arial" w:eastAsia="Arial" w:hAnsi="Arial"/>
                <w:sz w:val="12"/>
                <w:szCs w:val="12"/>
                <w:color w:val="auto"/>
                <w:w w:val="99"/>
              </w:rPr>
              <w:t>An analysis of the ACL by portfolio segment for the years ended December 31 follows:</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130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2"/>
                <w:szCs w:val="12"/>
                <w:b w:val="1"/>
                <w:bCs w:val="1"/>
                <w:color w:val="auto"/>
              </w:rPr>
              <w:t>Subjective</w:t>
            </w: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7"/>
        </w:trPr>
        <w:tc>
          <w:tcPr>
            <w:tcW w:w="13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2"/>
                <w:szCs w:val="12"/>
                <w:b w:val="1"/>
                <w:bCs w:val="1"/>
                <w:color w:val="auto"/>
              </w:rPr>
              <w:t>Commercial</w:t>
            </w:r>
          </w:p>
        </w:tc>
        <w:tc>
          <w:tcPr>
            <w:tcW w:w="180" w:type="dxa"/>
            <w:vAlign w:val="bottom"/>
          </w:tcPr>
          <w:p>
            <w:pPr>
              <w:spacing w:after="0"/>
              <w:rPr>
                <w:sz w:val="13"/>
                <w:szCs w:val="13"/>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2"/>
                <w:szCs w:val="12"/>
                <w:b w:val="1"/>
                <w:bCs w:val="1"/>
                <w:color w:val="auto"/>
              </w:rPr>
              <w:t>Mortgage</w:t>
            </w:r>
          </w:p>
        </w:tc>
        <w:tc>
          <w:tcPr>
            <w:tcW w:w="120" w:type="dxa"/>
            <w:vAlign w:val="bottom"/>
          </w:tcPr>
          <w:p>
            <w:pPr>
              <w:spacing w:after="0"/>
              <w:rPr>
                <w:sz w:val="13"/>
                <w:szCs w:val="13"/>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2"/>
                <w:szCs w:val="12"/>
                <w:b w:val="1"/>
                <w:bCs w:val="1"/>
                <w:color w:val="auto"/>
              </w:rPr>
              <w:t>Installment</w:t>
            </w:r>
          </w:p>
        </w:tc>
        <w:tc>
          <w:tcPr>
            <w:tcW w:w="180" w:type="dxa"/>
            <w:vAlign w:val="bottom"/>
          </w:tcPr>
          <w:p>
            <w:pPr>
              <w:spacing w:after="0"/>
              <w:rPr>
                <w:sz w:val="13"/>
                <w:szCs w:val="13"/>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Allocation</w:t>
            </w:r>
          </w:p>
        </w:tc>
        <w:tc>
          <w:tcPr>
            <w:tcW w:w="240" w:type="dxa"/>
            <w:vAlign w:val="bottom"/>
          </w:tcPr>
          <w:p>
            <w:pPr>
              <w:spacing w:after="0"/>
              <w:rPr>
                <w:sz w:val="13"/>
                <w:szCs w:val="13"/>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5"/>
        </w:trPr>
        <w:tc>
          <w:tcPr>
            <w:tcW w:w="1300" w:type="dxa"/>
            <w:vAlign w:val="bottom"/>
            <w:vMerge w:val="restart"/>
          </w:tcPr>
          <w:p>
            <w:pPr>
              <w:spacing w:after="0"/>
              <w:rPr>
                <w:sz w:val="20"/>
                <w:szCs w:val="20"/>
                <w:color w:val="auto"/>
              </w:rPr>
            </w:pPr>
            <w:r>
              <w:rPr>
                <w:rFonts w:ascii="Arial" w:cs="Arial" w:eastAsia="Arial" w:hAnsi="Arial"/>
                <w:sz w:val="12"/>
                <w:szCs w:val="12"/>
                <w:color w:val="auto"/>
              </w:rPr>
              <w:t>2021</w:t>
            </w:r>
          </w:p>
        </w:tc>
        <w:tc>
          <w:tcPr>
            <w:tcW w:w="2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160"/>
              <w:spacing w:after="0"/>
              <w:rPr>
                <w:sz w:val="20"/>
                <w:szCs w:val="20"/>
                <w:color w:val="auto"/>
              </w:rPr>
            </w:pPr>
            <w:r>
              <w:rPr>
                <w:rFonts w:ascii="Arial" w:cs="Arial" w:eastAsia="Arial" w:hAnsi="Arial"/>
                <w:sz w:val="12"/>
                <w:szCs w:val="12"/>
                <w:b w:val="1"/>
                <w:bCs w:val="1"/>
                <w:color w:val="auto"/>
                <w:w w:val="91"/>
              </w:rPr>
              <w:t>(In thousands)</w:t>
            </w: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300" w:type="dxa"/>
            <w:vAlign w:val="bottom"/>
            <w:vMerge w:val="continue"/>
          </w:tcPr>
          <w:p>
            <w:pPr>
              <w:spacing w:after="0"/>
              <w:rPr>
                <w:sz w:val="11"/>
                <w:szCs w:val="11"/>
                <w:color w:val="auto"/>
              </w:rPr>
            </w:pPr>
          </w:p>
        </w:tc>
        <w:tc>
          <w:tcPr>
            <w:tcW w:w="2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48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Balance at beginning of period</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7,401</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6,998</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1,112</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19,918</w:t>
            </w: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35,429</w:t>
            </w:r>
          </w:p>
        </w:tc>
        <w:tc>
          <w:tcPr>
            <w:tcW w:w="0" w:type="dxa"/>
            <w:vAlign w:val="bottom"/>
          </w:tcPr>
          <w:p>
            <w:pPr>
              <w:spacing w:after="0"/>
              <w:rPr>
                <w:sz w:val="1"/>
                <w:szCs w:val="1"/>
                <w:color w:val="auto"/>
              </w:rPr>
            </w:pPr>
          </w:p>
        </w:tc>
      </w:tr>
      <w:tr>
        <w:trPr>
          <w:trHeight w:val="144"/>
        </w:trPr>
        <w:tc>
          <w:tcPr>
            <w:tcW w:w="1300" w:type="dxa"/>
            <w:vAlign w:val="bottom"/>
          </w:tcPr>
          <w:p>
            <w:pPr>
              <w:ind w:left="80"/>
              <w:spacing w:after="0"/>
              <w:rPr>
                <w:sz w:val="20"/>
                <w:szCs w:val="20"/>
                <w:color w:val="auto"/>
              </w:rPr>
            </w:pPr>
            <w:r>
              <w:rPr>
                <w:rFonts w:ascii="Arial" w:cs="Arial" w:eastAsia="Arial" w:hAnsi="Arial"/>
                <w:sz w:val="12"/>
                <w:szCs w:val="12"/>
                <w:color w:val="auto"/>
              </w:rPr>
              <w:t>Additions (deductions)</w:t>
            </w:r>
          </w:p>
        </w:tc>
        <w:tc>
          <w:tcPr>
            <w:tcW w:w="2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8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Impact of adoption of CECL</w:t>
            </w:r>
          </w:p>
        </w:tc>
        <w:tc>
          <w:tcPr>
            <w:tcW w:w="1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2,551</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12,000</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3,052</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(6,029)</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11,574</w:t>
            </w:r>
          </w:p>
        </w:tc>
        <w:tc>
          <w:tcPr>
            <w:tcW w:w="0" w:type="dxa"/>
            <w:vAlign w:val="bottom"/>
          </w:tcPr>
          <w:p>
            <w:pPr>
              <w:spacing w:after="0"/>
              <w:rPr>
                <w:sz w:val="1"/>
                <w:szCs w:val="1"/>
                <w:color w:val="auto"/>
              </w:rPr>
            </w:pPr>
          </w:p>
        </w:tc>
      </w:tr>
      <w:tr>
        <w:trPr>
          <w:trHeight w:val="144"/>
        </w:trPr>
        <w:tc>
          <w:tcPr>
            <w:tcW w:w="3480" w:type="dxa"/>
            <w:vAlign w:val="bottom"/>
            <w:gridSpan w:val="2"/>
          </w:tcPr>
          <w:p>
            <w:pPr>
              <w:ind w:left="200"/>
              <w:spacing w:after="0"/>
              <w:rPr>
                <w:sz w:val="20"/>
                <w:szCs w:val="20"/>
                <w:color w:val="auto"/>
              </w:rPr>
            </w:pPr>
            <w:r>
              <w:rPr>
                <w:rFonts w:ascii="Arial" w:cs="Arial" w:eastAsia="Arial" w:hAnsi="Arial"/>
                <w:sz w:val="12"/>
                <w:szCs w:val="12"/>
                <w:color w:val="auto"/>
              </w:rPr>
              <w:t>Provision for credit losses</w:t>
            </w: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2"/>
                <w:szCs w:val="12"/>
                <w:color w:val="auto"/>
              </w:rPr>
              <w:t>(1,135)</w:t>
            </w:r>
          </w:p>
        </w:tc>
        <w:tc>
          <w:tcPr>
            <w:tcW w:w="180" w:type="dxa"/>
            <w:vAlign w:val="bottom"/>
          </w:tcPr>
          <w:p>
            <w:pPr>
              <w:spacing w:after="0"/>
              <w:rPr>
                <w:sz w:val="12"/>
                <w:szCs w:val="1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2"/>
                <w:szCs w:val="12"/>
                <w:color w:val="auto"/>
              </w:rPr>
              <w:t>(266)</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599</w:t>
            </w:r>
          </w:p>
        </w:tc>
        <w:tc>
          <w:tcPr>
            <w:tcW w:w="180" w:type="dxa"/>
            <w:vAlign w:val="bottom"/>
          </w:tcPr>
          <w:p>
            <w:pPr>
              <w:spacing w:after="0"/>
              <w:rPr>
                <w:sz w:val="12"/>
                <w:szCs w:val="12"/>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2"/>
                <w:szCs w:val="12"/>
                <w:color w:val="auto"/>
              </w:rPr>
              <w:t>(1,126)</w:t>
            </w: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(1,928)</w:t>
            </w:r>
          </w:p>
        </w:tc>
        <w:tc>
          <w:tcPr>
            <w:tcW w:w="0" w:type="dxa"/>
            <w:vAlign w:val="bottom"/>
          </w:tcPr>
          <w:p>
            <w:pPr>
              <w:spacing w:after="0"/>
              <w:rPr>
                <w:sz w:val="1"/>
                <w:szCs w:val="1"/>
                <w:color w:val="auto"/>
              </w:rPr>
            </w:pPr>
          </w:p>
        </w:tc>
      </w:tr>
      <w:tr>
        <w:trPr>
          <w:trHeight w:val="144"/>
        </w:trPr>
        <w:tc>
          <w:tcPr>
            <w:tcW w:w="348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Initial allowance on loans purchased with credit deterioration</w:t>
            </w:r>
          </w:p>
        </w:tc>
        <w:tc>
          <w:tcPr>
            <w:tcW w:w="1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18</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21</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134</w:t>
            </w:r>
          </w:p>
        </w:tc>
        <w:tc>
          <w:tcPr>
            <w:tcW w:w="0" w:type="dxa"/>
            <w:vAlign w:val="bottom"/>
          </w:tcPr>
          <w:p>
            <w:pPr>
              <w:spacing w:after="0"/>
              <w:rPr>
                <w:sz w:val="1"/>
                <w:szCs w:val="1"/>
                <w:color w:val="auto"/>
              </w:rPr>
            </w:pPr>
          </w:p>
        </w:tc>
      </w:tr>
      <w:tr>
        <w:trPr>
          <w:trHeight w:val="144"/>
        </w:trPr>
        <w:tc>
          <w:tcPr>
            <w:tcW w:w="1300" w:type="dxa"/>
            <w:vAlign w:val="bottom"/>
          </w:tcPr>
          <w:p>
            <w:pPr>
              <w:ind w:left="200"/>
              <w:spacing w:after="0"/>
              <w:rPr>
                <w:sz w:val="20"/>
                <w:szCs w:val="20"/>
                <w:color w:val="auto"/>
              </w:rPr>
            </w:pPr>
            <w:r>
              <w:rPr>
                <w:rFonts w:ascii="Arial" w:cs="Arial" w:eastAsia="Arial" w:hAnsi="Arial"/>
                <w:sz w:val="12"/>
                <w:szCs w:val="12"/>
                <w:color w:val="auto"/>
                <w:w w:val="90"/>
              </w:rPr>
              <w:t>Recoveries credited to</w:t>
            </w:r>
          </w:p>
        </w:tc>
        <w:tc>
          <w:tcPr>
            <w:tcW w:w="2180" w:type="dxa"/>
            <w:vAlign w:val="bottom"/>
          </w:tcPr>
          <w:p>
            <w:pPr>
              <w:ind w:left="40"/>
              <w:spacing w:after="0"/>
              <w:rPr>
                <w:sz w:val="20"/>
                <w:szCs w:val="20"/>
                <w:color w:val="auto"/>
              </w:rPr>
            </w:pPr>
            <w:r>
              <w:rPr>
                <w:rFonts w:ascii="Arial" w:cs="Arial" w:eastAsia="Arial" w:hAnsi="Arial"/>
                <w:sz w:val="12"/>
                <w:szCs w:val="12"/>
                <w:color w:val="auto"/>
              </w:rPr>
              <w:t>allowance</w:t>
            </w: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2,607</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846</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1,024</w:t>
            </w:r>
          </w:p>
        </w:tc>
        <w:tc>
          <w:tcPr>
            <w:tcW w:w="18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4,477</w:t>
            </w:r>
          </w:p>
        </w:tc>
        <w:tc>
          <w:tcPr>
            <w:tcW w:w="0" w:type="dxa"/>
            <w:vAlign w:val="bottom"/>
          </w:tcPr>
          <w:p>
            <w:pPr>
              <w:spacing w:after="0"/>
              <w:rPr>
                <w:sz w:val="1"/>
                <w:szCs w:val="1"/>
                <w:color w:val="auto"/>
              </w:rPr>
            </w:pPr>
          </w:p>
        </w:tc>
      </w:tr>
      <w:tr>
        <w:trPr>
          <w:trHeight w:val="144"/>
        </w:trPr>
        <w:tc>
          <w:tcPr>
            <w:tcW w:w="1300" w:type="dxa"/>
            <w:vAlign w:val="bottom"/>
            <w:shd w:val="clear" w:color="auto" w:fill="CCEEFF"/>
          </w:tcPr>
          <w:p>
            <w:pPr>
              <w:ind w:left="200"/>
              <w:spacing w:after="0"/>
              <w:rPr>
                <w:sz w:val="20"/>
                <w:szCs w:val="20"/>
                <w:color w:val="auto"/>
              </w:rPr>
            </w:pPr>
            <w:r>
              <w:rPr>
                <w:rFonts w:ascii="Arial" w:cs="Arial" w:eastAsia="Arial" w:hAnsi="Arial"/>
                <w:sz w:val="12"/>
                <w:szCs w:val="12"/>
                <w:color w:val="auto"/>
                <w:w w:val="88"/>
              </w:rPr>
              <w:t>Loans charged against</w:t>
            </w:r>
          </w:p>
        </w:tc>
        <w:tc>
          <w:tcPr>
            <w:tcW w:w="2180" w:type="dxa"/>
            <w:vAlign w:val="bottom"/>
            <w:shd w:val="clear" w:color="auto" w:fill="CCEEFF"/>
          </w:tcPr>
          <w:p>
            <w:pPr>
              <w:ind w:left="40"/>
              <w:spacing w:after="0"/>
              <w:rPr>
                <w:sz w:val="20"/>
                <w:szCs w:val="20"/>
                <w:color w:val="auto"/>
              </w:rPr>
            </w:pPr>
            <w:r>
              <w:rPr>
                <w:rFonts w:ascii="Arial" w:cs="Arial" w:eastAsia="Arial" w:hAnsi="Arial"/>
                <w:sz w:val="12"/>
                <w:szCs w:val="12"/>
                <w:color w:val="auto"/>
              </w:rPr>
              <w:t>the allowance</w:t>
            </w:r>
          </w:p>
        </w:tc>
        <w:tc>
          <w:tcPr>
            <w:tcW w:w="1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(375)</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(2,059)</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(2,434)</w:t>
            </w:r>
          </w:p>
        </w:tc>
        <w:tc>
          <w:tcPr>
            <w:tcW w:w="0" w:type="dxa"/>
            <w:vAlign w:val="bottom"/>
          </w:tcPr>
          <w:p>
            <w:pPr>
              <w:spacing w:after="0"/>
              <w:rPr>
                <w:sz w:val="1"/>
                <w:szCs w:val="1"/>
                <w:color w:val="auto"/>
              </w:rPr>
            </w:pPr>
          </w:p>
        </w:tc>
      </w:tr>
      <w:tr>
        <w:trPr>
          <w:trHeight w:val="20"/>
        </w:trPr>
        <w:tc>
          <w:tcPr>
            <w:tcW w:w="1300" w:type="dxa"/>
            <w:vAlign w:val="bottom"/>
            <w:shd w:val="clear" w:color="auto" w:fill="CCEEFF"/>
          </w:tcPr>
          <w:p>
            <w:pPr>
              <w:spacing w:after="0" w:line="20" w:lineRule="exact"/>
              <w:rPr>
                <w:sz w:val="1"/>
                <w:szCs w:val="1"/>
                <w:color w:val="auto"/>
              </w:rPr>
            </w:pPr>
          </w:p>
        </w:tc>
        <w:tc>
          <w:tcPr>
            <w:tcW w:w="218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300" w:type="dxa"/>
            <w:vAlign w:val="bottom"/>
          </w:tcPr>
          <w:p>
            <w:pPr>
              <w:ind w:left="80"/>
              <w:spacing w:after="0"/>
              <w:rPr>
                <w:sz w:val="20"/>
                <w:szCs w:val="20"/>
                <w:color w:val="auto"/>
              </w:rPr>
            </w:pPr>
            <w:r>
              <w:rPr>
                <w:rFonts w:ascii="Arial" w:cs="Arial" w:eastAsia="Arial" w:hAnsi="Arial"/>
                <w:sz w:val="12"/>
                <w:szCs w:val="12"/>
                <w:color w:val="auto"/>
                <w:w w:val="92"/>
              </w:rPr>
              <w:t>Balance at end of period</w:t>
            </w:r>
          </w:p>
        </w:tc>
        <w:tc>
          <w:tcPr>
            <w:tcW w:w="2180" w:type="dxa"/>
            <w:vAlign w:val="bottom"/>
          </w:tcPr>
          <w:p>
            <w:pPr>
              <w:spacing w:after="0"/>
              <w:rPr>
                <w:sz w:val="12"/>
                <w:szCs w:val="12"/>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11,519</w:t>
            </w:r>
          </w:p>
        </w:tc>
        <w:tc>
          <w:tcPr>
            <w:tcW w:w="240" w:type="dxa"/>
            <w:vAlign w:val="bottom"/>
          </w:tcPr>
          <w:p>
            <w:pPr>
              <w:spacing w:after="0"/>
              <w:rPr>
                <w:sz w:val="12"/>
                <w:szCs w:val="12"/>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19,221</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3,749</w:t>
            </w: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12,763</w:t>
            </w: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47,252</w:t>
            </w:r>
          </w:p>
        </w:tc>
        <w:tc>
          <w:tcPr>
            <w:tcW w:w="0" w:type="dxa"/>
            <w:vAlign w:val="bottom"/>
          </w:tcPr>
          <w:p>
            <w:pPr>
              <w:spacing w:after="0"/>
              <w:rPr>
                <w:sz w:val="1"/>
                <w:szCs w:val="1"/>
                <w:color w:val="auto"/>
              </w:rPr>
            </w:pPr>
          </w:p>
        </w:tc>
      </w:tr>
      <w:tr>
        <w:trPr>
          <w:trHeight w:val="20"/>
        </w:trPr>
        <w:tc>
          <w:tcPr>
            <w:tcW w:w="1300" w:type="dxa"/>
            <w:vAlign w:val="bottom"/>
            <w:vMerge w:val="restart"/>
          </w:tcPr>
          <w:p>
            <w:pPr>
              <w:spacing w:after="0"/>
              <w:rPr>
                <w:sz w:val="20"/>
                <w:szCs w:val="20"/>
                <w:color w:val="auto"/>
              </w:rPr>
            </w:pPr>
            <w:r>
              <w:rPr>
                <w:rFonts w:ascii="Arial" w:cs="Arial" w:eastAsia="Arial" w:hAnsi="Arial"/>
                <w:sz w:val="12"/>
                <w:szCs w:val="12"/>
                <w:color w:val="auto"/>
              </w:rPr>
              <w:t>2020</w:t>
            </w:r>
          </w:p>
        </w:tc>
        <w:tc>
          <w:tcPr>
            <w:tcW w:w="2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300" w:type="dxa"/>
            <w:vAlign w:val="bottom"/>
            <w:vMerge w:val="continue"/>
          </w:tcPr>
          <w:p>
            <w:pPr>
              <w:spacing w:after="0"/>
              <w:rPr>
                <w:sz w:val="22"/>
                <w:szCs w:val="22"/>
                <w:color w:val="auto"/>
              </w:rPr>
            </w:pPr>
          </w:p>
        </w:tc>
        <w:tc>
          <w:tcPr>
            <w:tcW w:w="2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348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Balance at beginning of period</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7,922</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8,216</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1,283</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8,727</w:t>
            </w: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26,148</w:t>
            </w:r>
          </w:p>
        </w:tc>
        <w:tc>
          <w:tcPr>
            <w:tcW w:w="0" w:type="dxa"/>
            <w:vAlign w:val="bottom"/>
          </w:tcPr>
          <w:p>
            <w:pPr>
              <w:spacing w:after="0"/>
              <w:rPr>
                <w:sz w:val="1"/>
                <w:szCs w:val="1"/>
                <w:color w:val="auto"/>
              </w:rPr>
            </w:pPr>
          </w:p>
        </w:tc>
      </w:tr>
      <w:tr>
        <w:trPr>
          <w:trHeight w:val="144"/>
        </w:trPr>
        <w:tc>
          <w:tcPr>
            <w:tcW w:w="1300" w:type="dxa"/>
            <w:vAlign w:val="bottom"/>
          </w:tcPr>
          <w:p>
            <w:pPr>
              <w:ind w:left="80"/>
              <w:spacing w:after="0"/>
              <w:rPr>
                <w:sz w:val="20"/>
                <w:szCs w:val="20"/>
                <w:color w:val="auto"/>
              </w:rPr>
            </w:pPr>
            <w:r>
              <w:rPr>
                <w:rFonts w:ascii="Arial" w:cs="Arial" w:eastAsia="Arial" w:hAnsi="Arial"/>
                <w:sz w:val="12"/>
                <w:szCs w:val="12"/>
                <w:color w:val="auto"/>
              </w:rPr>
              <w:t>Additions (deductions)</w:t>
            </w:r>
          </w:p>
        </w:tc>
        <w:tc>
          <w:tcPr>
            <w:tcW w:w="2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8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Provision for credit losses (1)</w:t>
            </w:r>
          </w:p>
        </w:tc>
        <w:tc>
          <w:tcPr>
            <w:tcW w:w="1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1,751</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(915)</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436</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11,191</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12,463</w:t>
            </w:r>
          </w:p>
        </w:tc>
        <w:tc>
          <w:tcPr>
            <w:tcW w:w="0" w:type="dxa"/>
            <w:vAlign w:val="bottom"/>
          </w:tcPr>
          <w:p>
            <w:pPr>
              <w:spacing w:after="0"/>
              <w:rPr>
                <w:sz w:val="1"/>
                <w:szCs w:val="1"/>
                <w:color w:val="auto"/>
              </w:rPr>
            </w:pPr>
          </w:p>
        </w:tc>
      </w:tr>
      <w:tr>
        <w:trPr>
          <w:trHeight w:val="144"/>
        </w:trPr>
        <w:tc>
          <w:tcPr>
            <w:tcW w:w="1300" w:type="dxa"/>
            <w:vAlign w:val="bottom"/>
          </w:tcPr>
          <w:p>
            <w:pPr>
              <w:ind w:left="200"/>
              <w:spacing w:after="0"/>
              <w:rPr>
                <w:sz w:val="20"/>
                <w:szCs w:val="20"/>
                <w:color w:val="auto"/>
              </w:rPr>
            </w:pPr>
            <w:r>
              <w:rPr>
                <w:rFonts w:ascii="Arial" w:cs="Arial" w:eastAsia="Arial" w:hAnsi="Arial"/>
                <w:sz w:val="12"/>
                <w:szCs w:val="12"/>
                <w:color w:val="auto"/>
                <w:w w:val="90"/>
              </w:rPr>
              <w:t>Recoveries credited to</w:t>
            </w:r>
          </w:p>
        </w:tc>
        <w:tc>
          <w:tcPr>
            <w:tcW w:w="2180" w:type="dxa"/>
            <w:vAlign w:val="bottom"/>
          </w:tcPr>
          <w:p>
            <w:pPr>
              <w:ind w:left="40"/>
              <w:spacing w:after="0"/>
              <w:rPr>
                <w:sz w:val="20"/>
                <w:szCs w:val="20"/>
                <w:color w:val="auto"/>
              </w:rPr>
            </w:pPr>
            <w:r>
              <w:rPr>
                <w:rFonts w:ascii="Arial" w:cs="Arial" w:eastAsia="Arial" w:hAnsi="Arial"/>
                <w:sz w:val="12"/>
                <w:szCs w:val="12"/>
                <w:color w:val="auto"/>
              </w:rPr>
              <w:t>allowance</w:t>
            </w: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1,804</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513</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752</w:t>
            </w:r>
          </w:p>
        </w:tc>
        <w:tc>
          <w:tcPr>
            <w:tcW w:w="18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3,069</w:t>
            </w:r>
          </w:p>
        </w:tc>
        <w:tc>
          <w:tcPr>
            <w:tcW w:w="0" w:type="dxa"/>
            <w:vAlign w:val="bottom"/>
          </w:tcPr>
          <w:p>
            <w:pPr>
              <w:spacing w:after="0"/>
              <w:rPr>
                <w:sz w:val="1"/>
                <w:szCs w:val="1"/>
                <w:color w:val="auto"/>
              </w:rPr>
            </w:pPr>
          </w:p>
        </w:tc>
      </w:tr>
      <w:tr>
        <w:trPr>
          <w:trHeight w:val="144"/>
        </w:trPr>
        <w:tc>
          <w:tcPr>
            <w:tcW w:w="1300" w:type="dxa"/>
            <w:vAlign w:val="bottom"/>
            <w:shd w:val="clear" w:color="auto" w:fill="CCEEFF"/>
          </w:tcPr>
          <w:p>
            <w:pPr>
              <w:ind w:left="200"/>
              <w:spacing w:after="0"/>
              <w:rPr>
                <w:sz w:val="20"/>
                <w:szCs w:val="20"/>
                <w:color w:val="auto"/>
              </w:rPr>
            </w:pPr>
            <w:r>
              <w:rPr>
                <w:rFonts w:ascii="Arial" w:cs="Arial" w:eastAsia="Arial" w:hAnsi="Arial"/>
                <w:sz w:val="12"/>
                <w:szCs w:val="12"/>
                <w:color w:val="auto"/>
                <w:w w:val="88"/>
              </w:rPr>
              <w:t>Loans charged against</w:t>
            </w:r>
          </w:p>
        </w:tc>
        <w:tc>
          <w:tcPr>
            <w:tcW w:w="2180" w:type="dxa"/>
            <w:vAlign w:val="bottom"/>
            <w:shd w:val="clear" w:color="auto" w:fill="CCEEFF"/>
          </w:tcPr>
          <w:p>
            <w:pPr>
              <w:ind w:left="40"/>
              <w:spacing w:after="0"/>
              <w:rPr>
                <w:sz w:val="20"/>
                <w:szCs w:val="20"/>
                <w:color w:val="auto"/>
              </w:rPr>
            </w:pPr>
            <w:r>
              <w:rPr>
                <w:rFonts w:ascii="Arial" w:cs="Arial" w:eastAsia="Arial" w:hAnsi="Arial"/>
                <w:sz w:val="12"/>
                <w:szCs w:val="12"/>
                <w:color w:val="auto"/>
              </w:rPr>
              <w:t>the allowance</w:t>
            </w:r>
          </w:p>
        </w:tc>
        <w:tc>
          <w:tcPr>
            <w:tcW w:w="1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(4,076)</w:t>
            </w: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(816)</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(1,359)</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(6,251)</w:t>
            </w:r>
          </w:p>
        </w:tc>
        <w:tc>
          <w:tcPr>
            <w:tcW w:w="0" w:type="dxa"/>
            <w:vAlign w:val="bottom"/>
          </w:tcPr>
          <w:p>
            <w:pPr>
              <w:spacing w:after="0"/>
              <w:rPr>
                <w:sz w:val="1"/>
                <w:szCs w:val="1"/>
                <w:color w:val="auto"/>
              </w:rPr>
            </w:pPr>
          </w:p>
        </w:tc>
      </w:tr>
      <w:tr>
        <w:trPr>
          <w:trHeight w:val="20"/>
        </w:trPr>
        <w:tc>
          <w:tcPr>
            <w:tcW w:w="1300" w:type="dxa"/>
            <w:vAlign w:val="bottom"/>
            <w:shd w:val="clear" w:color="auto" w:fill="CCEEFF"/>
          </w:tcPr>
          <w:p>
            <w:pPr>
              <w:spacing w:after="0" w:line="20" w:lineRule="exact"/>
              <w:rPr>
                <w:sz w:val="1"/>
                <w:szCs w:val="1"/>
                <w:color w:val="auto"/>
              </w:rPr>
            </w:pPr>
          </w:p>
        </w:tc>
        <w:tc>
          <w:tcPr>
            <w:tcW w:w="218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300" w:type="dxa"/>
            <w:vAlign w:val="bottom"/>
          </w:tcPr>
          <w:p>
            <w:pPr>
              <w:ind w:left="80"/>
              <w:spacing w:after="0"/>
              <w:rPr>
                <w:sz w:val="20"/>
                <w:szCs w:val="20"/>
                <w:color w:val="auto"/>
              </w:rPr>
            </w:pPr>
            <w:r>
              <w:rPr>
                <w:rFonts w:ascii="Arial" w:cs="Arial" w:eastAsia="Arial" w:hAnsi="Arial"/>
                <w:sz w:val="12"/>
                <w:szCs w:val="12"/>
                <w:color w:val="auto"/>
                <w:w w:val="92"/>
              </w:rPr>
              <w:t>Balance at end of period</w:t>
            </w:r>
          </w:p>
        </w:tc>
        <w:tc>
          <w:tcPr>
            <w:tcW w:w="2180" w:type="dxa"/>
            <w:vAlign w:val="bottom"/>
          </w:tcPr>
          <w:p>
            <w:pPr>
              <w:spacing w:after="0"/>
              <w:rPr>
                <w:sz w:val="12"/>
                <w:szCs w:val="12"/>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7,401</w:t>
            </w:r>
          </w:p>
        </w:tc>
        <w:tc>
          <w:tcPr>
            <w:tcW w:w="240" w:type="dxa"/>
            <w:vAlign w:val="bottom"/>
          </w:tcPr>
          <w:p>
            <w:pPr>
              <w:spacing w:after="0"/>
              <w:rPr>
                <w:sz w:val="12"/>
                <w:szCs w:val="12"/>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6,998</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1,112</w:t>
            </w: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19,918</w:t>
            </w: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35,429</w:t>
            </w:r>
          </w:p>
        </w:tc>
        <w:tc>
          <w:tcPr>
            <w:tcW w:w="0" w:type="dxa"/>
            <w:vAlign w:val="bottom"/>
          </w:tcPr>
          <w:p>
            <w:pPr>
              <w:spacing w:after="0"/>
              <w:rPr>
                <w:sz w:val="1"/>
                <w:szCs w:val="1"/>
                <w:color w:val="auto"/>
              </w:rPr>
            </w:pPr>
          </w:p>
        </w:tc>
      </w:tr>
      <w:tr>
        <w:trPr>
          <w:trHeight w:val="20"/>
        </w:trPr>
        <w:tc>
          <w:tcPr>
            <w:tcW w:w="1300" w:type="dxa"/>
            <w:vAlign w:val="bottom"/>
            <w:vMerge w:val="restart"/>
          </w:tcPr>
          <w:p>
            <w:pPr>
              <w:spacing w:after="0"/>
              <w:rPr>
                <w:sz w:val="20"/>
                <w:szCs w:val="20"/>
                <w:color w:val="auto"/>
              </w:rPr>
            </w:pPr>
            <w:r>
              <w:rPr>
                <w:rFonts w:ascii="Arial" w:cs="Arial" w:eastAsia="Arial" w:hAnsi="Arial"/>
                <w:sz w:val="12"/>
                <w:szCs w:val="12"/>
                <w:color w:val="auto"/>
              </w:rPr>
              <w:t>2019</w:t>
            </w:r>
          </w:p>
        </w:tc>
        <w:tc>
          <w:tcPr>
            <w:tcW w:w="2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300" w:type="dxa"/>
            <w:vAlign w:val="bottom"/>
            <w:vMerge w:val="continue"/>
          </w:tcPr>
          <w:p>
            <w:pPr>
              <w:spacing w:after="0"/>
              <w:rPr>
                <w:sz w:val="22"/>
                <w:szCs w:val="22"/>
                <w:color w:val="auto"/>
              </w:rPr>
            </w:pPr>
          </w:p>
        </w:tc>
        <w:tc>
          <w:tcPr>
            <w:tcW w:w="2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348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Balance at beginning of period</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7,090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7,978</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895</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8,925</w:t>
            </w: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24,888</w:t>
            </w:r>
          </w:p>
        </w:tc>
        <w:tc>
          <w:tcPr>
            <w:tcW w:w="0" w:type="dxa"/>
            <w:vAlign w:val="bottom"/>
          </w:tcPr>
          <w:p>
            <w:pPr>
              <w:spacing w:after="0"/>
              <w:rPr>
                <w:sz w:val="1"/>
                <w:szCs w:val="1"/>
                <w:color w:val="auto"/>
              </w:rPr>
            </w:pPr>
          </w:p>
        </w:tc>
      </w:tr>
      <w:tr>
        <w:trPr>
          <w:trHeight w:val="144"/>
        </w:trPr>
        <w:tc>
          <w:tcPr>
            <w:tcW w:w="1300" w:type="dxa"/>
            <w:vAlign w:val="bottom"/>
          </w:tcPr>
          <w:p>
            <w:pPr>
              <w:ind w:left="80"/>
              <w:spacing w:after="0"/>
              <w:rPr>
                <w:sz w:val="20"/>
                <w:szCs w:val="20"/>
                <w:color w:val="auto"/>
              </w:rPr>
            </w:pPr>
            <w:r>
              <w:rPr>
                <w:rFonts w:ascii="Arial" w:cs="Arial" w:eastAsia="Arial" w:hAnsi="Arial"/>
                <w:sz w:val="12"/>
                <w:szCs w:val="12"/>
                <w:color w:val="auto"/>
              </w:rPr>
              <w:t>Additions (deductions)</w:t>
            </w:r>
          </w:p>
        </w:tc>
        <w:tc>
          <w:tcPr>
            <w:tcW w:w="2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8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Provision for credit losses (1)</w:t>
            </w:r>
          </w:p>
        </w:tc>
        <w:tc>
          <w:tcPr>
            <w:tcW w:w="1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(651)</w:t>
            </w: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526</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1,147</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(198)</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824</w:t>
            </w:r>
          </w:p>
        </w:tc>
        <w:tc>
          <w:tcPr>
            <w:tcW w:w="0" w:type="dxa"/>
            <w:vAlign w:val="bottom"/>
          </w:tcPr>
          <w:p>
            <w:pPr>
              <w:spacing w:after="0"/>
              <w:rPr>
                <w:sz w:val="1"/>
                <w:szCs w:val="1"/>
                <w:color w:val="auto"/>
              </w:rPr>
            </w:pPr>
          </w:p>
        </w:tc>
      </w:tr>
      <w:tr>
        <w:trPr>
          <w:trHeight w:val="144"/>
        </w:trPr>
        <w:tc>
          <w:tcPr>
            <w:tcW w:w="1300" w:type="dxa"/>
            <w:vAlign w:val="bottom"/>
          </w:tcPr>
          <w:p>
            <w:pPr>
              <w:ind w:left="200"/>
              <w:spacing w:after="0"/>
              <w:rPr>
                <w:sz w:val="20"/>
                <w:szCs w:val="20"/>
                <w:color w:val="auto"/>
              </w:rPr>
            </w:pPr>
            <w:r>
              <w:rPr>
                <w:rFonts w:ascii="Arial" w:cs="Arial" w:eastAsia="Arial" w:hAnsi="Arial"/>
                <w:sz w:val="12"/>
                <w:szCs w:val="12"/>
                <w:color w:val="auto"/>
                <w:w w:val="90"/>
              </w:rPr>
              <w:t>Recoveries credited to</w:t>
            </w:r>
          </w:p>
        </w:tc>
        <w:tc>
          <w:tcPr>
            <w:tcW w:w="2180" w:type="dxa"/>
            <w:vAlign w:val="bottom"/>
          </w:tcPr>
          <w:p>
            <w:pPr>
              <w:ind w:left="40"/>
              <w:spacing w:after="0"/>
              <w:rPr>
                <w:sz w:val="20"/>
                <w:szCs w:val="20"/>
                <w:color w:val="auto"/>
              </w:rPr>
            </w:pPr>
            <w:r>
              <w:rPr>
                <w:rFonts w:ascii="Arial" w:cs="Arial" w:eastAsia="Arial" w:hAnsi="Arial"/>
                <w:sz w:val="12"/>
                <w:szCs w:val="12"/>
                <w:color w:val="auto"/>
              </w:rPr>
              <w:t>allowance</w:t>
            </w: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2,165</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933</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863</w:t>
            </w:r>
          </w:p>
        </w:tc>
        <w:tc>
          <w:tcPr>
            <w:tcW w:w="18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3,961</w:t>
            </w:r>
          </w:p>
        </w:tc>
        <w:tc>
          <w:tcPr>
            <w:tcW w:w="0" w:type="dxa"/>
            <w:vAlign w:val="bottom"/>
          </w:tcPr>
          <w:p>
            <w:pPr>
              <w:spacing w:after="0"/>
              <w:rPr>
                <w:sz w:val="1"/>
                <w:szCs w:val="1"/>
                <w:color w:val="auto"/>
              </w:rPr>
            </w:pPr>
          </w:p>
        </w:tc>
      </w:tr>
      <w:tr>
        <w:trPr>
          <w:trHeight w:val="144"/>
        </w:trPr>
        <w:tc>
          <w:tcPr>
            <w:tcW w:w="1300" w:type="dxa"/>
            <w:vAlign w:val="bottom"/>
            <w:shd w:val="clear" w:color="auto" w:fill="CCEEFF"/>
          </w:tcPr>
          <w:p>
            <w:pPr>
              <w:ind w:left="200"/>
              <w:spacing w:after="0"/>
              <w:rPr>
                <w:sz w:val="20"/>
                <w:szCs w:val="20"/>
                <w:color w:val="auto"/>
              </w:rPr>
            </w:pPr>
            <w:r>
              <w:rPr>
                <w:rFonts w:ascii="Arial" w:cs="Arial" w:eastAsia="Arial" w:hAnsi="Arial"/>
                <w:sz w:val="12"/>
                <w:szCs w:val="12"/>
                <w:color w:val="auto"/>
                <w:w w:val="88"/>
              </w:rPr>
              <w:t>Loans charged against</w:t>
            </w:r>
          </w:p>
        </w:tc>
        <w:tc>
          <w:tcPr>
            <w:tcW w:w="2180" w:type="dxa"/>
            <w:vAlign w:val="bottom"/>
            <w:shd w:val="clear" w:color="auto" w:fill="CCEEFF"/>
          </w:tcPr>
          <w:p>
            <w:pPr>
              <w:ind w:left="40"/>
              <w:spacing w:after="0"/>
              <w:rPr>
                <w:sz w:val="20"/>
                <w:szCs w:val="20"/>
                <w:color w:val="auto"/>
              </w:rPr>
            </w:pPr>
            <w:r>
              <w:rPr>
                <w:rFonts w:ascii="Arial" w:cs="Arial" w:eastAsia="Arial" w:hAnsi="Arial"/>
                <w:sz w:val="12"/>
                <w:szCs w:val="12"/>
                <w:color w:val="auto"/>
              </w:rPr>
              <w:t>the allowance</w:t>
            </w:r>
          </w:p>
        </w:tc>
        <w:tc>
          <w:tcPr>
            <w:tcW w:w="1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(682)</w:t>
            </w: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(1,221)</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(1,622)</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(3,525)</w:t>
            </w:r>
          </w:p>
        </w:tc>
        <w:tc>
          <w:tcPr>
            <w:tcW w:w="0" w:type="dxa"/>
            <w:vAlign w:val="bottom"/>
          </w:tcPr>
          <w:p>
            <w:pPr>
              <w:spacing w:after="0"/>
              <w:rPr>
                <w:sz w:val="1"/>
                <w:szCs w:val="1"/>
                <w:color w:val="auto"/>
              </w:rPr>
            </w:pPr>
          </w:p>
        </w:tc>
      </w:tr>
      <w:tr>
        <w:trPr>
          <w:trHeight w:val="20"/>
        </w:trPr>
        <w:tc>
          <w:tcPr>
            <w:tcW w:w="1300" w:type="dxa"/>
            <w:vAlign w:val="bottom"/>
            <w:shd w:val="clear" w:color="auto" w:fill="CCEEFF"/>
          </w:tcPr>
          <w:p>
            <w:pPr>
              <w:spacing w:after="0" w:line="20" w:lineRule="exact"/>
              <w:rPr>
                <w:sz w:val="1"/>
                <w:szCs w:val="1"/>
                <w:color w:val="auto"/>
              </w:rPr>
            </w:pPr>
          </w:p>
        </w:tc>
        <w:tc>
          <w:tcPr>
            <w:tcW w:w="218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300" w:type="dxa"/>
            <w:vAlign w:val="bottom"/>
          </w:tcPr>
          <w:p>
            <w:pPr>
              <w:ind w:left="80"/>
              <w:spacing w:after="0"/>
              <w:rPr>
                <w:sz w:val="20"/>
                <w:szCs w:val="20"/>
                <w:color w:val="auto"/>
              </w:rPr>
            </w:pPr>
            <w:r>
              <w:rPr>
                <w:rFonts w:ascii="Arial" w:cs="Arial" w:eastAsia="Arial" w:hAnsi="Arial"/>
                <w:sz w:val="12"/>
                <w:szCs w:val="12"/>
                <w:color w:val="auto"/>
                <w:w w:val="92"/>
              </w:rPr>
              <w:t>Balance at end of period</w:t>
            </w:r>
          </w:p>
        </w:tc>
        <w:tc>
          <w:tcPr>
            <w:tcW w:w="2180" w:type="dxa"/>
            <w:vAlign w:val="bottom"/>
          </w:tcPr>
          <w:p>
            <w:pPr>
              <w:spacing w:after="0"/>
              <w:rPr>
                <w:sz w:val="12"/>
                <w:szCs w:val="12"/>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7,922</w:t>
            </w:r>
          </w:p>
        </w:tc>
        <w:tc>
          <w:tcPr>
            <w:tcW w:w="240" w:type="dxa"/>
            <w:vAlign w:val="bottom"/>
          </w:tcPr>
          <w:p>
            <w:pPr>
              <w:spacing w:after="0"/>
              <w:rPr>
                <w:sz w:val="12"/>
                <w:szCs w:val="12"/>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8,216</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1,283</w:t>
            </w: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8,727</w:t>
            </w: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26,148</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left="208" w:right="3220" w:hanging="208"/>
        <w:spacing w:after="0" w:line="500" w:lineRule="auto"/>
        <w:tabs>
          <w:tab w:leader="none" w:pos="208" w:val="left"/>
        </w:tabs>
        <w:numPr>
          <w:ilvl w:val="0"/>
          <w:numId w:val="27"/>
        </w:numPr>
        <w:rPr>
          <w:rFonts w:ascii="Arial" w:cs="Arial" w:eastAsia="Arial" w:hAnsi="Arial"/>
          <w:sz w:val="12"/>
          <w:szCs w:val="12"/>
          <w:color w:val="auto"/>
        </w:rPr>
      </w:pPr>
      <w:r>
        <w:rPr>
          <w:rFonts w:ascii="Arial" w:cs="Arial" w:eastAsia="Arial" w:hAnsi="Arial"/>
          <w:sz w:val="12"/>
          <w:szCs w:val="12"/>
          <w:color w:val="auto"/>
        </w:rPr>
        <w:t>Beginning January 1, 2021, calculation is based on CECL methodology. Prior to January 1, 2021, calculation was based on the probable incurred loss methodology. The allocation of the ACL by portfolio segment at December 31 follows:</w:t>
      </w:r>
    </w:p>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60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2021</w:t>
            </w:r>
          </w:p>
        </w:tc>
        <w:tc>
          <w:tcPr>
            <w:tcW w:w="10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2020</w:t>
            </w:r>
          </w:p>
        </w:tc>
        <w:tc>
          <w:tcPr>
            <w:tcW w:w="10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33"/>
        </w:trPr>
        <w:tc>
          <w:tcPr>
            <w:tcW w:w="6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jc w:val="center"/>
              <w:ind w:right="460"/>
              <w:spacing w:after="0" w:line="133" w:lineRule="exact"/>
              <w:rPr>
                <w:sz w:val="20"/>
                <w:szCs w:val="20"/>
                <w:color w:val="auto"/>
              </w:rPr>
            </w:pPr>
            <w:r>
              <w:rPr>
                <w:rFonts w:ascii="Arial" w:cs="Arial" w:eastAsia="Arial" w:hAnsi="Arial"/>
                <w:sz w:val="12"/>
                <w:szCs w:val="12"/>
                <w:color w:val="auto"/>
                <w:w w:val="95"/>
              </w:rPr>
              <w:t>Allowance</w:t>
            </w:r>
          </w:p>
        </w:tc>
        <w:tc>
          <w:tcPr>
            <w:tcW w:w="1060" w:type="dxa"/>
            <w:vAlign w:val="bottom"/>
          </w:tcPr>
          <w:p>
            <w:pPr>
              <w:jc w:val="center"/>
              <w:ind w:right="40"/>
              <w:spacing w:after="0" w:line="133" w:lineRule="exact"/>
              <w:rPr>
                <w:sz w:val="20"/>
                <w:szCs w:val="20"/>
                <w:color w:val="auto"/>
              </w:rPr>
            </w:pPr>
            <w:r>
              <w:rPr>
                <w:rFonts w:ascii="Arial" w:cs="Arial" w:eastAsia="Arial" w:hAnsi="Arial"/>
                <w:sz w:val="12"/>
                <w:szCs w:val="12"/>
                <w:color w:val="auto"/>
                <w:w w:val="86"/>
              </w:rPr>
              <w:t>Percent</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ind w:right="440"/>
              <w:spacing w:after="0" w:line="133" w:lineRule="exact"/>
              <w:rPr>
                <w:sz w:val="20"/>
                <w:szCs w:val="20"/>
                <w:color w:val="auto"/>
              </w:rPr>
            </w:pPr>
            <w:r>
              <w:rPr>
                <w:rFonts w:ascii="Arial" w:cs="Arial" w:eastAsia="Arial" w:hAnsi="Arial"/>
                <w:sz w:val="12"/>
                <w:szCs w:val="12"/>
                <w:color w:val="auto"/>
                <w:w w:val="95"/>
              </w:rPr>
              <w:t>Allowance</w:t>
            </w:r>
          </w:p>
        </w:tc>
        <w:tc>
          <w:tcPr>
            <w:tcW w:w="1020" w:type="dxa"/>
            <w:vAlign w:val="bottom"/>
          </w:tcPr>
          <w:p>
            <w:pPr>
              <w:jc w:val="center"/>
              <w:ind w:right="40"/>
              <w:spacing w:after="0" w:line="133" w:lineRule="exact"/>
              <w:rPr>
                <w:sz w:val="20"/>
                <w:szCs w:val="20"/>
                <w:color w:val="auto"/>
              </w:rPr>
            </w:pPr>
            <w:r>
              <w:rPr>
                <w:rFonts w:ascii="Arial" w:cs="Arial" w:eastAsia="Arial" w:hAnsi="Arial"/>
                <w:sz w:val="12"/>
                <w:szCs w:val="12"/>
                <w:color w:val="auto"/>
                <w:w w:val="86"/>
              </w:rPr>
              <w:t>Percent</w:t>
            </w:r>
          </w:p>
        </w:tc>
        <w:tc>
          <w:tcPr>
            <w:tcW w:w="120" w:type="dxa"/>
            <w:vAlign w:val="bottom"/>
          </w:tcPr>
          <w:p>
            <w:pPr>
              <w:spacing w:after="0"/>
              <w:rPr>
                <w:sz w:val="11"/>
                <w:szCs w:val="11"/>
                <w:color w:val="auto"/>
              </w:rPr>
            </w:pPr>
          </w:p>
        </w:tc>
      </w:tr>
      <w:tr>
        <w:trPr>
          <w:trHeight w:val="144"/>
        </w:trPr>
        <w:tc>
          <w:tcPr>
            <w:tcW w:w="6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ind w:right="440"/>
              <w:spacing w:after="0"/>
              <w:rPr>
                <w:sz w:val="20"/>
                <w:szCs w:val="20"/>
                <w:color w:val="auto"/>
              </w:rPr>
            </w:pPr>
            <w:r>
              <w:rPr>
                <w:rFonts w:ascii="Arial" w:cs="Arial" w:eastAsia="Arial" w:hAnsi="Arial"/>
                <w:sz w:val="12"/>
                <w:szCs w:val="12"/>
                <w:color w:val="auto"/>
                <w:w w:val="93"/>
              </w:rPr>
              <w:t>for Credit</w:t>
            </w:r>
          </w:p>
        </w:tc>
        <w:tc>
          <w:tcPr>
            <w:tcW w:w="1260" w:type="dxa"/>
            <w:vAlign w:val="bottom"/>
            <w:gridSpan w:val="2"/>
          </w:tcPr>
          <w:p>
            <w:pPr>
              <w:jc w:val="center"/>
              <w:ind w:right="300"/>
              <w:spacing w:after="0"/>
              <w:rPr>
                <w:sz w:val="20"/>
                <w:szCs w:val="20"/>
                <w:color w:val="auto"/>
              </w:rPr>
            </w:pPr>
            <w:r>
              <w:rPr>
                <w:rFonts w:ascii="Arial" w:cs="Arial" w:eastAsia="Arial" w:hAnsi="Arial"/>
                <w:sz w:val="12"/>
                <w:szCs w:val="12"/>
                <w:color w:val="auto"/>
                <w:w w:val="95"/>
              </w:rPr>
              <w:t>of Loans</w:t>
            </w:r>
          </w:p>
        </w:tc>
        <w:tc>
          <w:tcPr>
            <w:tcW w:w="180" w:type="dxa"/>
            <w:vAlign w:val="bottom"/>
          </w:tcPr>
          <w:p>
            <w:pPr>
              <w:spacing w:after="0"/>
              <w:rPr>
                <w:sz w:val="12"/>
                <w:szCs w:val="12"/>
                <w:color w:val="auto"/>
              </w:rPr>
            </w:pPr>
          </w:p>
        </w:tc>
        <w:tc>
          <w:tcPr>
            <w:tcW w:w="1260" w:type="dxa"/>
            <w:vAlign w:val="bottom"/>
          </w:tcPr>
          <w:p>
            <w:pPr>
              <w:jc w:val="center"/>
              <w:ind w:right="440"/>
              <w:spacing w:after="0"/>
              <w:rPr>
                <w:sz w:val="20"/>
                <w:szCs w:val="20"/>
                <w:color w:val="auto"/>
              </w:rPr>
            </w:pPr>
            <w:r>
              <w:rPr>
                <w:rFonts w:ascii="Arial" w:cs="Arial" w:eastAsia="Arial" w:hAnsi="Arial"/>
                <w:sz w:val="12"/>
                <w:szCs w:val="12"/>
                <w:color w:val="auto"/>
                <w:w w:val="97"/>
              </w:rPr>
              <w:t>for Credit</w:t>
            </w:r>
          </w:p>
        </w:tc>
        <w:tc>
          <w:tcPr>
            <w:tcW w:w="1140" w:type="dxa"/>
            <w:vAlign w:val="bottom"/>
            <w:gridSpan w:val="2"/>
          </w:tcPr>
          <w:p>
            <w:pPr>
              <w:jc w:val="center"/>
              <w:ind w:right="200"/>
              <w:spacing w:after="0"/>
              <w:rPr>
                <w:sz w:val="20"/>
                <w:szCs w:val="20"/>
                <w:color w:val="auto"/>
              </w:rPr>
            </w:pPr>
            <w:r>
              <w:rPr>
                <w:rFonts w:ascii="Arial" w:cs="Arial" w:eastAsia="Arial" w:hAnsi="Arial"/>
                <w:sz w:val="12"/>
                <w:szCs w:val="12"/>
                <w:color w:val="auto"/>
                <w:w w:val="91"/>
              </w:rPr>
              <w:t>of Loans</w:t>
            </w:r>
          </w:p>
        </w:tc>
      </w:tr>
      <w:tr>
        <w:trPr>
          <w:trHeight w:val="144"/>
        </w:trPr>
        <w:tc>
          <w:tcPr>
            <w:tcW w:w="6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ind w:right="460"/>
              <w:spacing w:after="0"/>
              <w:rPr>
                <w:sz w:val="20"/>
                <w:szCs w:val="20"/>
                <w:color w:val="auto"/>
              </w:rPr>
            </w:pPr>
            <w:r>
              <w:rPr>
                <w:rFonts w:ascii="Arial" w:cs="Arial" w:eastAsia="Arial" w:hAnsi="Arial"/>
                <w:sz w:val="12"/>
                <w:szCs w:val="12"/>
                <w:color w:val="auto"/>
                <w:w w:val="84"/>
              </w:rPr>
              <w:t>Losses</w:t>
            </w:r>
          </w:p>
        </w:tc>
        <w:tc>
          <w:tcPr>
            <w:tcW w:w="1260" w:type="dxa"/>
            <w:vAlign w:val="bottom"/>
            <w:gridSpan w:val="2"/>
          </w:tcPr>
          <w:p>
            <w:pPr>
              <w:jc w:val="center"/>
              <w:ind w:right="300"/>
              <w:spacing w:after="0"/>
              <w:rPr>
                <w:sz w:val="20"/>
                <w:szCs w:val="20"/>
                <w:color w:val="auto"/>
              </w:rPr>
            </w:pPr>
            <w:r>
              <w:rPr>
                <w:rFonts w:ascii="Arial" w:cs="Arial" w:eastAsia="Arial" w:hAnsi="Arial"/>
                <w:sz w:val="12"/>
                <w:szCs w:val="12"/>
                <w:color w:val="auto"/>
                <w:w w:val="89"/>
              </w:rPr>
              <w:t>to Total</w:t>
            </w:r>
          </w:p>
        </w:tc>
        <w:tc>
          <w:tcPr>
            <w:tcW w:w="180" w:type="dxa"/>
            <w:vAlign w:val="bottom"/>
          </w:tcPr>
          <w:p>
            <w:pPr>
              <w:spacing w:after="0"/>
              <w:rPr>
                <w:sz w:val="12"/>
                <w:szCs w:val="12"/>
                <w:color w:val="auto"/>
              </w:rPr>
            </w:pPr>
          </w:p>
        </w:tc>
        <w:tc>
          <w:tcPr>
            <w:tcW w:w="1260" w:type="dxa"/>
            <w:vAlign w:val="bottom"/>
          </w:tcPr>
          <w:p>
            <w:pPr>
              <w:jc w:val="center"/>
              <w:ind w:right="440"/>
              <w:spacing w:after="0"/>
              <w:rPr>
                <w:sz w:val="20"/>
                <w:szCs w:val="20"/>
                <w:color w:val="auto"/>
              </w:rPr>
            </w:pPr>
            <w:r>
              <w:rPr>
                <w:rFonts w:ascii="Arial" w:cs="Arial" w:eastAsia="Arial" w:hAnsi="Arial"/>
                <w:sz w:val="12"/>
                <w:szCs w:val="12"/>
                <w:color w:val="auto"/>
                <w:w w:val="84"/>
              </w:rPr>
              <w:t>Losses</w:t>
            </w:r>
          </w:p>
        </w:tc>
        <w:tc>
          <w:tcPr>
            <w:tcW w:w="1140" w:type="dxa"/>
            <w:vAlign w:val="bottom"/>
            <w:gridSpan w:val="2"/>
          </w:tcPr>
          <w:p>
            <w:pPr>
              <w:jc w:val="center"/>
              <w:ind w:right="220"/>
              <w:spacing w:after="0"/>
              <w:rPr>
                <w:sz w:val="20"/>
                <w:szCs w:val="20"/>
                <w:color w:val="auto"/>
              </w:rPr>
            </w:pPr>
            <w:r>
              <w:rPr>
                <w:rFonts w:ascii="Arial" w:cs="Arial" w:eastAsia="Arial" w:hAnsi="Arial"/>
                <w:sz w:val="12"/>
                <w:szCs w:val="12"/>
                <w:color w:val="auto"/>
                <w:w w:val="89"/>
              </w:rPr>
              <w:t>to Total</w:t>
            </w:r>
          </w:p>
        </w:tc>
      </w:tr>
      <w:tr>
        <w:trPr>
          <w:trHeight w:val="153"/>
        </w:trPr>
        <w:tc>
          <w:tcPr>
            <w:tcW w:w="60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ind w:right="440"/>
              <w:spacing w:after="0"/>
              <w:rPr>
                <w:sz w:val="20"/>
                <w:szCs w:val="20"/>
                <w:color w:val="auto"/>
              </w:rPr>
            </w:pPr>
            <w:r>
              <w:rPr>
                <w:rFonts w:ascii="Arial" w:cs="Arial" w:eastAsia="Arial" w:hAnsi="Arial"/>
                <w:sz w:val="12"/>
                <w:szCs w:val="12"/>
                <w:color w:val="auto"/>
                <w:w w:val="91"/>
              </w:rPr>
              <w:t>Amount</w:t>
            </w:r>
          </w:p>
        </w:tc>
        <w:tc>
          <w:tcPr>
            <w:tcW w:w="1060" w:type="dxa"/>
            <w:vAlign w:val="bottom"/>
            <w:tcBorders>
              <w:bottom w:val="single" w:sz="8" w:color="auto"/>
            </w:tcBorders>
          </w:tcPr>
          <w:p>
            <w:pPr>
              <w:jc w:val="center"/>
              <w:ind w:right="40"/>
              <w:spacing w:after="0"/>
              <w:rPr>
                <w:sz w:val="20"/>
                <w:szCs w:val="20"/>
                <w:color w:val="auto"/>
              </w:rPr>
            </w:pPr>
            <w:r>
              <w:rPr>
                <w:rFonts w:ascii="Arial" w:cs="Arial" w:eastAsia="Arial" w:hAnsi="Arial"/>
                <w:sz w:val="12"/>
                <w:szCs w:val="12"/>
                <w:color w:val="auto"/>
                <w:w w:val="94"/>
              </w:rPr>
              <w:t>Portfolio Loans</w:t>
            </w:r>
          </w:p>
        </w:tc>
        <w:tc>
          <w:tcPr>
            <w:tcW w:w="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center"/>
              <w:ind w:right="440"/>
              <w:spacing w:after="0"/>
              <w:rPr>
                <w:sz w:val="20"/>
                <w:szCs w:val="20"/>
                <w:color w:val="auto"/>
              </w:rPr>
            </w:pPr>
            <w:r>
              <w:rPr>
                <w:rFonts w:ascii="Arial" w:cs="Arial" w:eastAsia="Arial" w:hAnsi="Arial"/>
                <w:sz w:val="12"/>
                <w:szCs w:val="12"/>
                <w:color w:val="auto"/>
                <w:w w:val="94"/>
              </w:rPr>
              <w:t>Amount (1)</w:t>
            </w:r>
          </w:p>
        </w:tc>
        <w:tc>
          <w:tcPr>
            <w:tcW w:w="1020" w:type="dxa"/>
            <w:vAlign w:val="bottom"/>
            <w:tcBorders>
              <w:bottom w:val="single" w:sz="8" w:color="auto"/>
            </w:tcBorders>
          </w:tcPr>
          <w:p>
            <w:pPr>
              <w:jc w:val="center"/>
              <w:ind w:right="20"/>
              <w:spacing w:after="0"/>
              <w:rPr>
                <w:sz w:val="20"/>
                <w:szCs w:val="20"/>
                <w:color w:val="auto"/>
              </w:rPr>
            </w:pPr>
            <w:r>
              <w:rPr>
                <w:rFonts w:ascii="Arial" w:cs="Arial" w:eastAsia="Arial" w:hAnsi="Arial"/>
                <w:sz w:val="12"/>
                <w:szCs w:val="12"/>
                <w:color w:val="auto"/>
                <w:w w:val="92"/>
              </w:rPr>
              <w:t>Portfolio Loans</w:t>
            </w:r>
          </w:p>
        </w:tc>
        <w:tc>
          <w:tcPr>
            <w:tcW w:w="120" w:type="dxa"/>
            <w:vAlign w:val="bottom"/>
          </w:tcPr>
          <w:p>
            <w:pPr>
              <w:spacing w:after="0"/>
              <w:rPr>
                <w:sz w:val="13"/>
                <w:szCs w:val="13"/>
                <w:color w:val="auto"/>
              </w:rPr>
            </w:pPr>
          </w:p>
        </w:tc>
      </w:tr>
      <w:tr>
        <w:trPr>
          <w:trHeight w:val="142"/>
        </w:trPr>
        <w:tc>
          <w:tcPr>
            <w:tcW w:w="6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700" w:type="dxa"/>
            <w:vAlign w:val="bottom"/>
            <w:gridSpan w:val="4"/>
          </w:tcPr>
          <w:p>
            <w:pPr>
              <w:jc w:val="right"/>
              <w:ind w:right="980"/>
              <w:spacing w:after="0"/>
              <w:rPr>
                <w:sz w:val="20"/>
                <w:szCs w:val="20"/>
                <w:color w:val="auto"/>
              </w:rPr>
            </w:pPr>
            <w:r>
              <w:rPr>
                <w:rFonts w:ascii="Arial" w:cs="Arial" w:eastAsia="Arial" w:hAnsi="Arial"/>
                <w:sz w:val="12"/>
                <w:szCs w:val="12"/>
                <w:color w:val="auto"/>
              </w:rPr>
              <w:t>(Dollars in thousands)</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Commercial</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11,519</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41.5%</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7,401</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45.4%</w:t>
            </w:r>
          </w:p>
        </w:tc>
      </w:tr>
      <w:tr>
        <w:trPr>
          <w:trHeight w:val="144"/>
        </w:trPr>
        <w:tc>
          <w:tcPr>
            <w:tcW w:w="6000" w:type="dxa"/>
            <w:vAlign w:val="bottom"/>
          </w:tcPr>
          <w:p>
            <w:pPr>
              <w:spacing w:after="0"/>
              <w:rPr>
                <w:sz w:val="20"/>
                <w:szCs w:val="20"/>
                <w:color w:val="auto"/>
              </w:rPr>
            </w:pPr>
            <w:r>
              <w:rPr>
                <w:rFonts w:ascii="Arial" w:cs="Arial" w:eastAsia="Arial" w:hAnsi="Arial"/>
                <w:sz w:val="12"/>
                <w:szCs w:val="12"/>
                <w:color w:val="auto"/>
              </w:rPr>
              <w:t>Mortgage</w:t>
            </w:r>
          </w:p>
        </w:tc>
        <w:tc>
          <w:tcPr>
            <w:tcW w:w="180" w:type="dxa"/>
            <w:vAlign w:val="bottom"/>
          </w:tcPr>
          <w:p>
            <w:pPr>
              <w:spacing w:after="0"/>
              <w:rPr>
                <w:sz w:val="12"/>
                <w:szCs w:val="12"/>
                <w:color w:val="auto"/>
              </w:rPr>
            </w:pPr>
          </w:p>
        </w:tc>
        <w:tc>
          <w:tcPr>
            <w:tcW w:w="1280" w:type="dxa"/>
            <w:vAlign w:val="bottom"/>
          </w:tcPr>
          <w:p>
            <w:pPr>
              <w:jc w:val="right"/>
              <w:ind w:right="260"/>
              <w:spacing w:after="0"/>
              <w:rPr>
                <w:sz w:val="20"/>
                <w:szCs w:val="20"/>
                <w:color w:val="auto"/>
              </w:rPr>
            </w:pPr>
            <w:r>
              <w:rPr>
                <w:rFonts w:ascii="Arial" w:cs="Arial" w:eastAsia="Arial" w:hAnsi="Arial"/>
                <w:sz w:val="12"/>
                <w:szCs w:val="12"/>
                <w:color w:val="auto"/>
              </w:rPr>
              <w:t>19,221</w:t>
            </w: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39.2</w:t>
            </w:r>
          </w:p>
        </w:tc>
        <w:tc>
          <w:tcPr>
            <w:tcW w:w="180" w:type="dxa"/>
            <w:vAlign w:val="bottom"/>
          </w:tcPr>
          <w:p>
            <w:pPr>
              <w:spacing w:after="0"/>
              <w:rPr>
                <w:sz w:val="12"/>
                <w:szCs w:val="12"/>
                <w:color w:val="auto"/>
              </w:rPr>
            </w:pPr>
          </w:p>
        </w:tc>
        <w:tc>
          <w:tcPr>
            <w:tcW w:w="1260" w:type="dxa"/>
            <w:vAlign w:val="bottom"/>
          </w:tcPr>
          <w:p>
            <w:pPr>
              <w:jc w:val="right"/>
              <w:ind w:right="260"/>
              <w:spacing w:after="0"/>
              <w:rPr>
                <w:sz w:val="20"/>
                <w:szCs w:val="20"/>
                <w:color w:val="auto"/>
              </w:rPr>
            </w:pPr>
            <w:r>
              <w:rPr>
                <w:rFonts w:ascii="Arial" w:cs="Arial" w:eastAsia="Arial" w:hAnsi="Arial"/>
                <w:sz w:val="12"/>
                <w:szCs w:val="12"/>
                <w:color w:val="auto"/>
              </w:rPr>
              <w:t>6,998</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37.2</w:t>
            </w:r>
          </w:p>
        </w:tc>
      </w:tr>
      <w:tr>
        <w:trPr>
          <w:trHeight w:val="144"/>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Installment</w:t>
            </w: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3,749</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19.3</w:t>
            </w:r>
          </w:p>
        </w:tc>
        <w:tc>
          <w:tcPr>
            <w:tcW w:w="18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1,112</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17.4</w:t>
            </w:r>
          </w:p>
        </w:tc>
      </w:tr>
      <w:tr>
        <w:trPr>
          <w:trHeight w:val="144"/>
        </w:trPr>
        <w:tc>
          <w:tcPr>
            <w:tcW w:w="6000" w:type="dxa"/>
            <w:vAlign w:val="bottom"/>
          </w:tcPr>
          <w:p>
            <w:pPr>
              <w:spacing w:after="0"/>
              <w:rPr>
                <w:sz w:val="20"/>
                <w:szCs w:val="20"/>
                <w:color w:val="auto"/>
              </w:rPr>
            </w:pPr>
            <w:r>
              <w:rPr>
                <w:rFonts w:ascii="Arial" w:cs="Arial" w:eastAsia="Arial" w:hAnsi="Arial"/>
                <w:sz w:val="12"/>
                <w:szCs w:val="12"/>
                <w:color w:val="auto"/>
              </w:rPr>
              <w:t>Subjective allocation</w:t>
            </w:r>
          </w:p>
        </w:tc>
        <w:tc>
          <w:tcPr>
            <w:tcW w:w="180" w:type="dxa"/>
            <w:vAlign w:val="bottom"/>
          </w:tcPr>
          <w:p>
            <w:pPr>
              <w:spacing w:after="0"/>
              <w:rPr>
                <w:sz w:val="12"/>
                <w:szCs w:val="12"/>
                <w:color w:val="auto"/>
              </w:rPr>
            </w:pPr>
          </w:p>
        </w:tc>
        <w:tc>
          <w:tcPr>
            <w:tcW w:w="1280" w:type="dxa"/>
            <w:vAlign w:val="bottom"/>
          </w:tcPr>
          <w:p>
            <w:pPr>
              <w:jc w:val="right"/>
              <w:ind w:right="260"/>
              <w:spacing w:after="0"/>
              <w:rPr>
                <w:sz w:val="20"/>
                <w:szCs w:val="20"/>
                <w:color w:val="auto"/>
              </w:rPr>
            </w:pPr>
            <w:r>
              <w:rPr>
                <w:rFonts w:ascii="Arial" w:cs="Arial" w:eastAsia="Arial" w:hAnsi="Arial"/>
                <w:sz w:val="12"/>
                <w:szCs w:val="12"/>
                <w:color w:val="auto"/>
              </w:rPr>
              <w:t>12,763</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right"/>
              <w:ind w:right="260"/>
              <w:spacing w:after="0"/>
              <w:rPr>
                <w:sz w:val="20"/>
                <w:szCs w:val="20"/>
                <w:color w:val="auto"/>
              </w:rPr>
            </w:pPr>
            <w:r>
              <w:rPr>
                <w:rFonts w:ascii="Arial" w:cs="Arial" w:eastAsia="Arial" w:hAnsi="Arial"/>
                <w:sz w:val="12"/>
                <w:szCs w:val="12"/>
                <w:color w:val="auto"/>
              </w:rPr>
              <w:t>19,918</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20"/>
        </w:trPr>
        <w:tc>
          <w:tcPr>
            <w:tcW w:w="60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2"/>
        </w:trPr>
        <w:tc>
          <w:tcPr>
            <w:tcW w:w="60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Total</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47,252</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100.0%</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35,429</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100.0%</w:t>
            </w:r>
          </w:p>
        </w:tc>
      </w:tr>
      <w:tr>
        <w:trPr>
          <w:trHeight w:val="20"/>
        </w:trPr>
        <w:tc>
          <w:tcPr>
            <w:tcW w:w="60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35" w:lineRule="exact"/>
        <w:rPr>
          <w:sz w:val="20"/>
          <w:szCs w:val="20"/>
          <w:color w:val="auto"/>
        </w:rPr>
      </w:pPr>
    </w:p>
    <w:p>
      <w:pPr>
        <w:ind w:left="8"/>
        <w:spacing w:after="0"/>
        <w:rPr>
          <w:sz w:val="20"/>
          <w:szCs w:val="20"/>
          <w:color w:val="auto"/>
        </w:rPr>
      </w:pPr>
      <w:r>
        <w:rPr>
          <w:rFonts w:ascii="Arial" w:cs="Arial" w:eastAsia="Arial" w:hAnsi="Arial"/>
          <w:sz w:val="12"/>
          <w:szCs w:val="12"/>
          <w:color w:val="auto"/>
        </w:rPr>
        <w:t>(1) Beginning January 1, 2021, calculation is based on CECL methodology. Prior to January 1, 2021, calculation was based on the probable incurred loss methodology.</w:t>
      </w:r>
    </w:p>
    <w:p>
      <w:pPr>
        <w:spacing w:after="0" w:line="272" w:lineRule="exact"/>
        <w:rPr>
          <w:sz w:val="20"/>
          <w:szCs w:val="20"/>
          <w:color w:val="auto"/>
        </w:rPr>
      </w:pPr>
    </w:p>
    <w:p>
      <w:pPr>
        <w:jc w:val="center"/>
        <w:ind w:right="-7"/>
        <w:spacing w:after="0"/>
        <w:rPr>
          <w:sz w:val="20"/>
          <w:szCs w:val="20"/>
          <w:color w:val="auto"/>
        </w:rPr>
      </w:pPr>
      <w:r>
        <w:rPr>
          <w:rFonts w:ascii="Arial" w:cs="Arial" w:eastAsia="Arial" w:hAnsi="Arial"/>
          <w:sz w:val="10"/>
          <w:szCs w:val="1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78040" cy="114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7" w:right="29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57"/>
        </w:trPr>
        <w:tc>
          <w:tcPr>
            <w:tcW w:w="3100" w:type="dxa"/>
            <w:vAlign w:val="bottom"/>
          </w:tcPr>
          <w:p>
            <w:pPr>
              <w:spacing w:after="0"/>
              <w:rPr>
                <w:sz w:val="13"/>
                <w:szCs w:val="13"/>
                <w:color w:val="auto"/>
              </w:rPr>
            </w:pPr>
          </w:p>
        </w:tc>
        <w:tc>
          <w:tcPr>
            <w:tcW w:w="5620" w:type="dxa"/>
            <w:vAlign w:val="bottom"/>
            <w:gridSpan w:val="10"/>
          </w:tcPr>
          <w:p>
            <w:pPr>
              <w:jc w:val="right"/>
              <w:ind w:right="1120"/>
              <w:spacing w:after="0"/>
              <w:rPr>
                <w:sz w:val="20"/>
                <w:szCs w:val="20"/>
                <w:color w:val="auto"/>
              </w:rPr>
            </w:pPr>
            <w:r>
              <w:rPr>
                <w:rFonts w:ascii="Arial" w:cs="Arial" w:eastAsia="Arial" w:hAnsi="Arial"/>
                <w:sz w:val="12"/>
                <w:szCs w:val="12"/>
                <w:b w:val="1"/>
                <w:bCs w:val="1"/>
                <w:color w:val="auto"/>
              </w:rPr>
              <w:t>NOTES TO CONSOLIDATED FINANCIAL STATEMENTS − (Continued)</w:t>
            </w: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4840" w:type="dxa"/>
            <w:vAlign w:val="bottom"/>
            <w:gridSpan w:val="3"/>
          </w:tcPr>
          <w:p>
            <w:pPr>
              <w:ind w:left="200"/>
              <w:spacing w:after="0"/>
              <w:rPr>
                <w:sz w:val="20"/>
                <w:szCs w:val="20"/>
                <w:color w:val="auto"/>
              </w:rPr>
            </w:pPr>
            <w:r>
              <w:rPr>
                <w:rFonts w:ascii="Arial" w:cs="Arial" w:eastAsia="Arial" w:hAnsi="Arial"/>
                <w:sz w:val="12"/>
                <w:szCs w:val="12"/>
                <w:color w:val="auto"/>
                <w:w w:val="92"/>
              </w:rPr>
              <w:t>ACL and recorded investment in loans by portfolio segment at December 31, 2020 follows (1):</w:t>
            </w:r>
          </w:p>
        </w:tc>
        <w:tc>
          <w:tcPr>
            <w:tcW w:w="9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3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2"/>
                <w:szCs w:val="12"/>
                <w:b w:val="1"/>
                <w:bCs w:val="1"/>
                <w:color w:val="auto"/>
              </w:rPr>
              <w:t>Subjective</w:t>
            </w: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7"/>
        </w:trPr>
        <w:tc>
          <w:tcPr>
            <w:tcW w:w="3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Commercial</w:t>
            </w:r>
          </w:p>
        </w:tc>
        <w:tc>
          <w:tcPr>
            <w:tcW w:w="180" w:type="dxa"/>
            <w:vAlign w:val="bottom"/>
          </w:tcPr>
          <w:p>
            <w:pPr>
              <w:spacing w:after="0"/>
              <w:rPr>
                <w:sz w:val="13"/>
                <w:szCs w:val="13"/>
                <w:color w:val="auto"/>
              </w:rPr>
            </w:pPr>
          </w:p>
        </w:tc>
        <w:tc>
          <w:tcPr>
            <w:tcW w:w="1180" w:type="dxa"/>
            <w:vAlign w:val="bottom"/>
            <w:gridSpan w:val="2"/>
          </w:tcPr>
          <w:p>
            <w:pPr>
              <w:ind w:left="140"/>
              <w:spacing w:after="0"/>
              <w:rPr>
                <w:sz w:val="20"/>
                <w:szCs w:val="20"/>
                <w:color w:val="auto"/>
              </w:rPr>
            </w:pPr>
            <w:r>
              <w:rPr>
                <w:rFonts w:ascii="Arial" w:cs="Arial" w:eastAsia="Arial" w:hAnsi="Arial"/>
                <w:sz w:val="12"/>
                <w:szCs w:val="12"/>
                <w:b w:val="1"/>
                <w:bCs w:val="1"/>
                <w:color w:val="auto"/>
              </w:rPr>
              <w:t>Mortgage</w:t>
            </w:r>
          </w:p>
        </w:tc>
        <w:tc>
          <w:tcPr>
            <w:tcW w:w="120" w:type="dxa"/>
            <w:vAlign w:val="bottom"/>
          </w:tcPr>
          <w:p>
            <w:pPr>
              <w:spacing w:after="0"/>
              <w:rPr>
                <w:sz w:val="13"/>
                <w:szCs w:val="13"/>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2"/>
                <w:szCs w:val="12"/>
                <w:b w:val="1"/>
                <w:bCs w:val="1"/>
                <w:color w:val="auto"/>
              </w:rPr>
              <w:t>Installment</w:t>
            </w:r>
          </w:p>
        </w:tc>
        <w:tc>
          <w:tcPr>
            <w:tcW w:w="180" w:type="dxa"/>
            <w:vAlign w:val="bottom"/>
          </w:tcPr>
          <w:p>
            <w:pPr>
              <w:spacing w:after="0"/>
              <w:rPr>
                <w:sz w:val="13"/>
                <w:szCs w:val="13"/>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Allocation</w:t>
            </w:r>
          </w:p>
        </w:tc>
        <w:tc>
          <w:tcPr>
            <w:tcW w:w="240" w:type="dxa"/>
            <w:vAlign w:val="bottom"/>
          </w:tcPr>
          <w:p>
            <w:pPr>
              <w:spacing w:after="0"/>
              <w:rPr>
                <w:sz w:val="13"/>
                <w:szCs w:val="13"/>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5"/>
        </w:trPr>
        <w:tc>
          <w:tcPr>
            <w:tcW w:w="3100" w:type="dxa"/>
            <w:vAlign w:val="bottom"/>
            <w:vMerge w:val="restart"/>
          </w:tcPr>
          <w:p>
            <w:pPr>
              <w:spacing w:after="0"/>
              <w:rPr>
                <w:sz w:val="20"/>
                <w:szCs w:val="20"/>
                <w:color w:val="auto"/>
              </w:rPr>
            </w:pPr>
            <w:r>
              <w:rPr>
                <w:rFonts w:ascii="Arial" w:cs="Arial" w:eastAsia="Arial" w:hAnsi="Arial"/>
                <w:sz w:val="12"/>
                <w:szCs w:val="12"/>
                <w:color w:val="auto"/>
              </w:rPr>
              <w:t>December 31, 2020</w:t>
            </w:r>
          </w:p>
        </w:tc>
        <w:tc>
          <w:tcPr>
            <w:tcW w:w="15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160"/>
              <w:spacing w:after="0"/>
              <w:rPr>
                <w:sz w:val="20"/>
                <w:szCs w:val="20"/>
                <w:color w:val="auto"/>
              </w:rPr>
            </w:pPr>
            <w:r>
              <w:rPr>
                <w:rFonts w:ascii="Arial" w:cs="Arial" w:eastAsia="Arial" w:hAnsi="Arial"/>
                <w:sz w:val="12"/>
                <w:szCs w:val="12"/>
                <w:b w:val="1"/>
                <w:bCs w:val="1"/>
                <w:color w:val="auto"/>
                <w:w w:val="91"/>
              </w:rPr>
              <w:t>(In thousands)</w:t>
            </w: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100" w:type="dxa"/>
            <w:vAlign w:val="bottom"/>
            <w:vMerge w:val="continue"/>
          </w:tcPr>
          <w:p>
            <w:pPr>
              <w:spacing w:after="0"/>
              <w:rPr>
                <w:sz w:val="10"/>
                <w:szCs w:val="10"/>
                <w:color w:val="auto"/>
              </w:rPr>
            </w:pPr>
          </w:p>
        </w:tc>
        <w:tc>
          <w:tcPr>
            <w:tcW w:w="1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tcPr>
          <w:p>
            <w:pPr>
              <w:ind w:left="120"/>
              <w:spacing w:after="0"/>
              <w:rPr>
                <w:sz w:val="20"/>
                <w:szCs w:val="20"/>
                <w:color w:val="auto"/>
              </w:rPr>
            </w:pPr>
            <w:r>
              <w:rPr>
                <w:rFonts w:ascii="Arial" w:cs="Arial" w:eastAsia="Arial" w:hAnsi="Arial"/>
                <w:sz w:val="12"/>
                <w:szCs w:val="12"/>
                <w:color w:val="auto"/>
              </w:rPr>
              <w:t>ACL:</w:t>
            </w:r>
          </w:p>
        </w:tc>
        <w:tc>
          <w:tcPr>
            <w:tcW w:w="1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1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Individually evaluated for impairment</w:t>
            </w: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1,266</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4,124</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191</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5,581</w:t>
            </w:r>
          </w:p>
        </w:tc>
        <w:tc>
          <w:tcPr>
            <w:tcW w:w="0" w:type="dxa"/>
            <w:vAlign w:val="bottom"/>
          </w:tcPr>
          <w:p>
            <w:pPr>
              <w:spacing w:after="0"/>
              <w:rPr>
                <w:sz w:val="1"/>
                <w:szCs w:val="1"/>
                <w:color w:val="auto"/>
              </w:rPr>
            </w:pPr>
          </w:p>
        </w:tc>
      </w:tr>
      <w:tr>
        <w:trPr>
          <w:trHeight w:val="144"/>
        </w:trPr>
        <w:tc>
          <w:tcPr>
            <w:tcW w:w="3100" w:type="dxa"/>
            <w:vAlign w:val="bottom"/>
          </w:tcPr>
          <w:p>
            <w:pPr>
              <w:ind w:left="200"/>
              <w:spacing w:after="0"/>
              <w:rPr>
                <w:sz w:val="20"/>
                <w:szCs w:val="20"/>
                <w:color w:val="auto"/>
              </w:rPr>
            </w:pPr>
            <w:r>
              <w:rPr>
                <w:rFonts w:ascii="Arial" w:cs="Arial" w:eastAsia="Arial" w:hAnsi="Arial"/>
                <w:sz w:val="12"/>
                <w:szCs w:val="12"/>
                <w:color w:val="auto"/>
              </w:rPr>
              <w:t>Collectively evaluated for impairment</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6,135</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2,874</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921</w:t>
            </w:r>
          </w:p>
        </w:tc>
        <w:tc>
          <w:tcPr>
            <w:tcW w:w="18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19,918</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29,848</w:t>
            </w:r>
          </w:p>
        </w:tc>
        <w:tc>
          <w:tcPr>
            <w:tcW w:w="0" w:type="dxa"/>
            <w:vAlign w:val="bottom"/>
          </w:tcPr>
          <w:p>
            <w:pPr>
              <w:spacing w:after="0"/>
              <w:rPr>
                <w:sz w:val="1"/>
                <w:szCs w:val="1"/>
                <w:color w:val="auto"/>
              </w:rPr>
            </w:pPr>
          </w:p>
        </w:tc>
      </w:tr>
      <w:tr>
        <w:trPr>
          <w:trHeight w:val="144"/>
        </w:trPr>
        <w:tc>
          <w:tcPr>
            <w:tcW w:w="31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Loans acquired with deteriorated credit quality</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310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00" w:type="dxa"/>
            <w:vAlign w:val="bottom"/>
          </w:tcPr>
          <w:p>
            <w:pPr>
              <w:ind w:left="120"/>
              <w:spacing w:after="0"/>
              <w:rPr>
                <w:sz w:val="20"/>
                <w:szCs w:val="20"/>
                <w:color w:val="auto"/>
              </w:rPr>
            </w:pPr>
            <w:r>
              <w:rPr>
                <w:rFonts w:ascii="Arial" w:cs="Arial" w:eastAsia="Arial" w:hAnsi="Arial"/>
                <w:sz w:val="12"/>
                <w:szCs w:val="12"/>
                <w:color w:val="auto"/>
              </w:rPr>
              <w:t>Total ending ACL</w:t>
            </w:r>
          </w:p>
        </w:tc>
        <w:tc>
          <w:tcPr>
            <w:tcW w:w="1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7,401</w:t>
            </w:r>
          </w:p>
        </w:tc>
        <w:tc>
          <w:tcPr>
            <w:tcW w:w="240" w:type="dxa"/>
            <w:vAlign w:val="bottom"/>
          </w:tcPr>
          <w:p>
            <w:pPr>
              <w:spacing w:after="0"/>
              <w:rPr>
                <w:sz w:val="12"/>
                <w:szCs w:val="12"/>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6,998</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1,112</w:t>
            </w: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19,918</w:t>
            </w: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35,429</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3100" w:type="dxa"/>
            <w:vAlign w:val="bottom"/>
            <w:shd w:val="clear" w:color="auto" w:fill="CCEEFF"/>
          </w:tcPr>
          <w:p>
            <w:pPr>
              <w:spacing w:after="0"/>
              <w:rPr>
                <w:sz w:val="10"/>
                <w:szCs w:val="10"/>
                <w:color w:val="auto"/>
              </w:rPr>
            </w:pPr>
          </w:p>
        </w:tc>
        <w:tc>
          <w:tcPr>
            <w:tcW w:w="1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100" w:type="dxa"/>
            <w:vAlign w:val="bottom"/>
          </w:tcPr>
          <w:p>
            <w:pPr>
              <w:ind w:left="120"/>
              <w:spacing w:after="0"/>
              <w:rPr>
                <w:sz w:val="20"/>
                <w:szCs w:val="20"/>
                <w:color w:val="auto"/>
              </w:rPr>
            </w:pPr>
            <w:r>
              <w:rPr>
                <w:rFonts w:ascii="Arial" w:cs="Arial" w:eastAsia="Arial" w:hAnsi="Arial"/>
                <w:sz w:val="12"/>
                <w:szCs w:val="12"/>
                <w:color w:val="auto"/>
              </w:rPr>
              <w:t>Loans</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Individually evaluated for impairment</w:t>
            </w: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9,431</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39,245</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1,996</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50,672</w:t>
            </w:r>
          </w:p>
        </w:tc>
        <w:tc>
          <w:tcPr>
            <w:tcW w:w="0" w:type="dxa"/>
            <w:vAlign w:val="bottom"/>
          </w:tcPr>
          <w:p>
            <w:pPr>
              <w:spacing w:after="0"/>
              <w:rPr>
                <w:sz w:val="1"/>
                <w:szCs w:val="1"/>
                <w:color w:val="auto"/>
              </w:rPr>
            </w:pPr>
          </w:p>
        </w:tc>
      </w:tr>
      <w:tr>
        <w:trPr>
          <w:trHeight w:val="144"/>
        </w:trPr>
        <w:tc>
          <w:tcPr>
            <w:tcW w:w="3100" w:type="dxa"/>
            <w:vAlign w:val="bottom"/>
          </w:tcPr>
          <w:p>
            <w:pPr>
              <w:ind w:left="200"/>
              <w:spacing w:after="0"/>
              <w:rPr>
                <w:sz w:val="20"/>
                <w:szCs w:val="20"/>
                <w:color w:val="auto"/>
              </w:rPr>
            </w:pPr>
            <w:r>
              <w:rPr>
                <w:rFonts w:ascii="Arial" w:cs="Arial" w:eastAsia="Arial" w:hAnsi="Arial"/>
                <w:sz w:val="12"/>
                <w:szCs w:val="12"/>
                <w:color w:val="auto"/>
              </w:rPr>
              <w:t>Collectively evaluated for impairment</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1,236,052</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980,449</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474,379</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2,690,880</w:t>
            </w:r>
          </w:p>
        </w:tc>
        <w:tc>
          <w:tcPr>
            <w:tcW w:w="0" w:type="dxa"/>
            <w:vAlign w:val="bottom"/>
          </w:tcPr>
          <w:p>
            <w:pPr>
              <w:spacing w:after="0"/>
              <w:rPr>
                <w:sz w:val="1"/>
                <w:szCs w:val="1"/>
                <w:color w:val="auto"/>
              </w:rPr>
            </w:pPr>
          </w:p>
        </w:tc>
      </w:tr>
      <w:tr>
        <w:trPr>
          <w:trHeight w:val="144"/>
        </w:trPr>
        <w:tc>
          <w:tcPr>
            <w:tcW w:w="31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Loans acquired with deteriorated credit quality</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468</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410</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147</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1,025</w:t>
            </w:r>
          </w:p>
        </w:tc>
        <w:tc>
          <w:tcPr>
            <w:tcW w:w="0" w:type="dxa"/>
            <w:vAlign w:val="bottom"/>
          </w:tcPr>
          <w:p>
            <w:pPr>
              <w:spacing w:after="0"/>
              <w:rPr>
                <w:sz w:val="1"/>
                <w:szCs w:val="1"/>
                <w:color w:val="auto"/>
              </w:rPr>
            </w:pPr>
          </w:p>
        </w:tc>
      </w:tr>
      <w:tr>
        <w:trPr>
          <w:trHeight w:val="20"/>
        </w:trPr>
        <w:tc>
          <w:tcPr>
            <w:tcW w:w="310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00" w:type="dxa"/>
            <w:vAlign w:val="bottom"/>
          </w:tcPr>
          <w:p>
            <w:pPr>
              <w:ind w:left="120"/>
              <w:spacing w:after="0"/>
              <w:rPr>
                <w:sz w:val="20"/>
                <w:szCs w:val="20"/>
                <w:color w:val="auto"/>
              </w:rPr>
            </w:pPr>
            <w:r>
              <w:rPr>
                <w:rFonts w:ascii="Arial" w:cs="Arial" w:eastAsia="Arial" w:hAnsi="Arial"/>
                <w:sz w:val="12"/>
                <w:szCs w:val="12"/>
                <w:color w:val="auto"/>
              </w:rPr>
              <w:t>Total loans recorded investment</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1,245,951</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1,020,104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476,522</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2,742,577</w:t>
            </w:r>
          </w:p>
        </w:tc>
        <w:tc>
          <w:tcPr>
            <w:tcW w:w="0" w:type="dxa"/>
            <w:vAlign w:val="bottom"/>
          </w:tcPr>
          <w:p>
            <w:pPr>
              <w:spacing w:after="0"/>
              <w:rPr>
                <w:sz w:val="1"/>
                <w:szCs w:val="1"/>
                <w:color w:val="auto"/>
              </w:rPr>
            </w:pPr>
          </w:p>
        </w:tc>
      </w:tr>
      <w:tr>
        <w:trPr>
          <w:trHeight w:val="144"/>
        </w:trPr>
        <w:tc>
          <w:tcPr>
            <w:tcW w:w="3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Accrued interest included in recorded investment</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3,536</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4,178</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1,185</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8,899</w:t>
            </w:r>
          </w:p>
        </w:tc>
        <w:tc>
          <w:tcPr>
            <w:tcW w:w="0" w:type="dxa"/>
            <w:vAlign w:val="bottom"/>
          </w:tcPr>
          <w:p>
            <w:pPr>
              <w:spacing w:after="0"/>
              <w:rPr>
                <w:sz w:val="1"/>
                <w:szCs w:val="1"/>
                <w:color w:val="auto"/>
              </w:rPr>
            </w:pPr>
          </w:p>
        </w:tc>
      </w:tr>
      <w:tr>
        <w:trPr>
          <w:trHeight w:val="20"/>
        </w:trPr>
        <w:tc>
          <w:tcPr>
            <w:tcW w:w="310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00" w:type="dxa"/>
            <w:vAlign w:val="bottom"/>
          </w:tcPr>
          <w:p>
            <w:pPr>
              <w:ind w:left="120"/>
              <w:spacing w:after="0"/>
              <w:rPr>
                <w:sz w:val="20"/>
                <w:szCs w:val="20"/>
                <w:color w:val="auto"/>
              </w:rPr>
            </w:pPr>
            <w:r>
              <w:rPr>
                <w:rFonts w:ascii="Arial" w:cs="Arial" w:eastAsia="Arial" w:hAnsi="Arial"/>
                <w:sz w:val="12"/>
                <w:szCs w:val="12"/>
                <w:color w:val="auto"/>
              </w:rPr>
              <w:t>Total loans</w:t>
            </w:r>
          </w:p>
        </w:tc>
        <w:tc>
          <w:tcPr>
            <w:tcW w:w="1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1,242,415</w:t>
            </w:r>
          </w:p>
        </w:tc>
        <w:tc>
          <w:tcPr>
            <w:tcW w:w="240" w:type="dxa"/>
            <w:vAlign w:val="bottom"/>
          </w:tcPr>
          <w:p>
            <w:pPr>
              <w:spacing w:after="0"/>
              <w:rPr>
                <w:sz w:val="12"/>
                <w:szCs w:val="12"/>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1,015,926</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475,337</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2,733,678</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(1) Beginning January 1, 2021, calculation is based on CECL methodology. Prior to January 1, 2021, calculation was based on the probable incurred loss methodology.</w:t>
      </w:r>
    </w:p>
    <w:p>
      <w:pPr>
        <w:spacing w:after="0" w:line="128" w:lineRule="exact"/>
        <w:rPr>
          <w:sz w:val="20"/>
          <w:szCs w:val="20"/>
          <w:color w:val="auto"/>
        </w:rPr>
      </w:pPr>
    </w:p>
    <w:p>
      <w:pPr>
        <w:ind w:left="5600"/>
        <w:spacing w:after="0"/>
        <w:rPr>
          <w:sz w:val="20"/>
          <w:szCs w:val="20"/>
          <w:color w:val="auto"/>
        </w:rPr>
      </w:pPr>
      <w:r>
        <w:rPr>
          <w:rFonts w:ascii="Arial" w:cs="Arial" w:eastAsia="Arial" w:hAnsi="Arial"/>
          <w:sz w:val="10"/>
          <w:szCs w:val="1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77" w:name="page78"/>
    <w:bookmarkEnd w:id="77"/>
    <w:tbl>
      <w:tblPr>
        <w:tblLayout w:type="fixed"/>
        <w:tblInd w:w="8" w:type="dxa"/>
        <w:tblCellMar>
          <w:top w:w="0" w:type="dxa"/>
          <w:left w:w="0" w:type="dxa"/>
          <w:bottom w:w="0" w:type="dxa"/>
          <w:right w:w="0" w:type="dxa"/>
        </w:tblCellMar>
      </w:tblPr>
      <w:tr>
        <w:trPr>
          <w:trHeight w:val="157"/>
        </w:trPr>
        <w:tc>
          <w:tcPr>
            <w:tcW w:w="2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780" w:type="dxa"/>
            <w:vAlign w:val="bottom"/>
            <w:gridSpan w:val="9"/>
          </w:tcPr>
          <w:p>
            <w:pPr>
              <w:jc w:val="right"/>
              <w:ind w:right="240"/>
              <w:spacing w:after="0"/>
              <w:rPr>
                <w:sz w:val="20"/>
                <w:szCs w:val="20"/>
                <w:color w:val="auto"/>
              </w:rPr>
            </w:pPr>
            <w:r>
              <w:rPr>
                <w:rFonts w:ascii="Arial" w:cs="Arial" w:eastAsia="Arial" w:hAnsi="Arial"/>
                <w:sz w:val="12"/>
                <w:szCs w:val="12"/>
                <w:b w:val="1"/>
                <w:bCs w:val="1"/>
                <w:color w:val="auto"/>
              </w:rPr>
              <w:t>NOTES TO CONSOLIDATED FINANCIAL STATEMENTS − (Continued)</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5"/>
        </w:trPr>
        <w:tc>
          <w:tcPr>
            <w:tcW w:w="5620" w:type="dxa"/>
            <w:vAlign w:val="bottom"/>
            <w:gridSpan w:val="7"/>
          </w:tcPr>
          <w:p>
            <w:pPr>
              <w:ind w:left="200"/>
              <w:spacing w:after="0"/>
              <w:rPr>
                <w:sz w:val="20"/>
                <w:szCs w:val="20"/>
                <w:color w:val="auto"/>
              </w:rPr>
            </w:pPr>
            <w:r>
              <w:rPr>
                <w:rFonts w:ascii="Arial" w:cs="Arial" w:eastAsia="Arial" w:hAnsi="Arial"/>
                <w:sz w:val="12"/>
                <w:szCs w:val="12"/>
                <w:color w:val="auto"/>
                <w:w w:val="90"/>
              </w:rPr>
              <w:t>Loans on non-accrual status and past due more than 90 days (‘‘Non-performing Loans’’) at December 31 follow:</w:t>
            </w: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8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ind w:left="140"/>
              <w:spacing w:after="0"/>
              <w:rPr>
                <w:sz w:val="20"/>
                <w:szCs w:val="20"/>
                <w:color w:val="auto"/>
              </w:rPr>
            </w:pPr>
            <w:r>
              <w:rPr>
                <w:rFonts w:ascii="Arial" w:cs="Arial" w:eastAsia="Arial" w:hAnsi="Arial"/>
                <w:sz w:val="12"/>
                <w:szCs w:val="12"/>
                <w:color w:val="auto"/>
              </w:rPr>
              <w:t>December 31, 2021</w:t>
            </w: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tcPr>
          <w:p>
            <w:pPr>
              <w:jc w:val="center"/>
              <w:ind w:right="580"/>
              <w:spacing w:after="0" w:line="133" w:lineRule="exact"/>
              <w:rPr>
                <w:sz w:val="20"/>
                <w:szCs w:val="20"/>
                <w:color w:val="auto"/>
              </w:rPr>
            </w:pPr>
            <w:r>
              <w:rPr>
                <w:rFonts w:ascii="Arial" w:cs="Arial" w:eastAsia="Arial" w:hAnsi="Arial"/>
                <w:sz w:val="12"/>
                <w:szCs w:val="12"/>
                <w:color w:val="auto"/>
                <w:w w:val="99"/>
              </w:rPr>
              <w:t>Non-</w:t>
            </w:r>
          </w:p>
        </w:tc>
        <w:tc>
          <w:tcPr>
            <w:tcW w:w="280" w:type="dxa"/>
            <w:vAlign w:val="bottom"/>
          </w:tcPr>
          <w:p>
            <w:pPr>
              <w:spacing w:after="0"/>
              <w:rPr>
                <w:sz w:val="11"/>
                <w:szCs w:val="11"/>
                <w:color w:val="auto"/>
              </w:rPr>
            </w:pPr>
          </w:p>
        </w:tc>
        <w:tc>
          <w:tcPr>
            <w:tcW w:w="1100" w:type="dxa"/>
            <w:vAlign w:val="bottom"/>
            <w:gridSpan w:val="2"/>
          </w:tcPr>
          <w:p>
            <w:pPr>
              <w:jc w:val="center"/>
              <w:ind w:right="580"/>
              <w:spacing w:after="0" w:line="133" w:lineRule="exact"/>
              <w:rPr>
                <w:sz w:val="20"/>
                <w:szCs w:val="20"/>
                <w:color w:val="auto"/>
              </w:rPr>
            </w:pPr>
            <w:r>
              <w:rPr>
                <w:rFonts w:ascii="Arial" w:cs="Arial" w:eastAsia="Arial" w:hAnsi="Arial"/>
                <w:sz w:val="12"/>
                <w:szCs w:val="12"/>
                <w:color w:val="auto"/>
                <w:w w:val="92"/>
              </w:rPr>
              <w:t>Non-</w:t>
            </w: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center"/>
              <w:ind w:right="580"/>
              <w:spacing w:after="0"/>
              <w:rPr>
                <w:sz w:val="20"/>
                <w:szCs w:val="20"/>
                <w:color w:val="auto"/>
              </w:rPr>
            </w:pPr>
            <w:r>
              <w:rPr>
                <w:rFonts w:ascii="Arial" w:cs="Arial" w:eastAsia="Arial" w:hAnsi="Arial"/>
                <w:sz w:val="12"/>
                <w:szCs w:val="12"/>
                <w:color w:val="auto"/>
                <w:w w:val="94"/>
              </w:rPr>
              <w:t>Accrual</w:t>
            </w:r>
          </w:p>
        </w:tc>
        <w:tc>
          <w:tcPr>
            <w:tcW w:w="280" w:type="dxa"/>
            <w:vAlign w:val="bottom"/>
          </w:tcPr>
          <w:p>
            <w:pPr>
              <w:spacing w:after="0"/>
              <w:rPr>
                <w:sz w:val="12"/>
                <w:szCs w:val="12"/>
                <w:color w:val="auto"/>
              </w:rPr>
            </w:pPr>
          </w:p>
        </w:tc>
        <w:tc>
          <w:tcPr>
            <w:tcW w:w="1100" w:type="dxa"/>
            <w:vAlign w:val="bottom"/>
            <w:gridSpan w:val="2"/>
          </w:tcPr>
          <w:p>
            <w:pPr>
              <w:jc w:val="center"/>
              <w:ind w:right="560"/>
              <w:spacing w:after="0"/>
              <w:rPr>
                <w:sz w:val="20"/>
                <w:szCs w:val="20"/>
                <w:color w:val="auto"/>
              </w:rPr>
            </w:pPr>
            <w:r>
              <w:rPr>
                <w:rFonts w:ascii="Arial" w:cs="Arial" w:eastAsia="Arial" w:hAnsi="Arial"/>
                <w:sz w:val="12"/>
                <w:szCs w:val="12"/>
                <w:color w:val="auto"/>
                <w:w w:val="94"/>
              </w:rPr>
              <w:t>Accrual</w:t>
            </w: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2"/>
                <w:szCs w:val="12"/>
                <w:color w:val="auto"/>
                <w:w w:val="90"/>
              </w:rPr>
              <w:t>December 31,</w:t>
            </w:r>
          </w:p>
        </w:tc>
        <w:tc>
          <w:tcPr>
            <w:tcW w:w="0" w:type="dxa"/>
            <w:vAlign w:val="bottom"/>
          </w:tcPr>
          <w:p>
            <w:pPr>
              <w:spacing w:after="0"/>
              <w:rPr>
                <w:sz w:val="1"/>
                <w:szCs w:val="1"/>
                <w:color w:val="auto"/>
              </w:rPr>
            </w:pPr>
          </w:p>
        </w:tc>
      </w:tr>
      <w:tr>
        <w:trPr>
          <w:trHeight w:val="144"/>
        </w:trPr>
        <w:tc>
          <w:tcPr>
            <w:tcW w:w="2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center"/>
              <w:ind w:right="580"/>
              <w:spacing w:after="0"/>
              <w:rPr>
                <w:sz w:val="20"/>
                <w:szCs w:val="20"/>
                <w:color w:val="auto"/>
              </w:rPr>
            </w:pPr>
            <w:r>
              <w:rPr>
                <w:rFonts w:ascii="Arial" w:cs="Arial" w:eastAsia="Arial" w:hAnsi="Arial"/>
                <w:sz w:val="12"/>
                <w:szCs w:val="12"/>
                <w:color w:val="auto"/>
                <w:w w:val="99"/>
              </w:rPr>
              <w:t>with no</w:t>
            </w:r>
          </w:p>
        </w:tc>
        <w:tc>
          <w:tcPr>
            <w:tcW w:w="280" w:type="dxa"/>
            <w:vAlign w:val="bottom"/>
          </w:tcPr>
          <w:p>
            <w:pPr>
              <w:spacing w:after="0"/>
              <w:rPr>
                <w:sz w:val="12"/>
                <w:szCs w:val="12"/>
                <w:color w:val="auto"/>
              </w:rPr>
            </w:pPr>
          </w:p>
        </w:tc>
        <w:tc>
          <w:tcPr>
            <w:tcW w:w="1100" w:type="dxa"/>
            <w:vAlign w:val="bottom"/>
            <w:gridSpan w:val="2"/>
          </w:tcPr>
          <w:p>
            <w:pPr>
              <w:jc w:val="center"/>
              <w:ind w:right="580"/>
              <w:spacing w:after="0"/>
              <w:rPr>
                <w:sz w:val="20"/>
                <w:szCs w:val="20"/>
                <w:color w:val="auto"/>
              </w:rPr>
            </w:pPr>
            <w:r>
              <w:rPr>
                <w:rFonts w:ascii="Arial" w:cs="Arial" w:eastAsia="Arial" w:hAnsi="Arial"/>
                <w:sz w:val="12"/>
                <w:szCs w:val="12"/>
                <w:color w:val="auto"/>
                <w:w w:val="94"/>
              </w:rPr>
              <w:t>with an</w:t>
            </w: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center"/>
              <w:ind w:right="40"/>
              <w:spacing w:after="0"/>
              <w:rPr>
                <w:sz w:val="20"/>
                <w:szCs w:val="20"/>
                <w:color w:val="auto"/>
              </w:rPr>
            </w:pPr>
            <w:r>
              <w:rPr>
                <w:rFonts w:ascii="Arial" w:cs="Arial" w:eastAsia="Arial" w:hAnsi="Arial"/>
                <w:sz w:val="12"/>
                <w:szCs w:val="12"/>
                <w:color w:val="auto"/>
                <w:w w:val="89"/>
              </w:rPr>
              <w:t>2020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center"/>
              <w:ind w:right="600"/>
              <w:spacing w:after="0"/>
              <w:rPr>
                <w:sz w:val="20"/>
                <w:szCs w:val="20"/>
                <w:color w:val="auto"/>
              </w:rPr>
            </w:pPr>
            <w:r>
              <w:rPr>
                <w:rFonts w:ascii="Arial" w:cs="Arial" w:eastAsia="Arial" w:hAnsi="Arial"/>
                <w:sz w:val="12"/>
                <w:szCs w:val="12"/>
                <w:color w:val="auto"/>
                <w:w w:val="95"/>
              </w:rPr>
              <w:t>Allowance</w:t>
            </w:r>
          </w:p>
        </w:tc>
        <w:tc>
          <w:tcPr>
            <w:tcW w:w="280" w:type="dxa"/>
            <w:vAlign w:val="bottom"/>
          </w:tcPr>
          <w:p>
            <w:pPr>
              <w:spacing w:after="0"/>
              <w:rPr>
                <w:sz w:val="12"/>
                <w:szCs w:val="12"/>
                <w:color w:val="auto"/>
              </w:rPr>
            </w:pPr>
          </w:p>
        </w:tc>
        <w:tc>
          <w:tcPr>
            <w:tcW w:w="1100" w:type="dxa"/>
            <w:vAlign w:val="bottom"/>
            <w:gridSpan w:val="2"/>
          </w:tcPr>
          <w:p>
            <w:pPr>
              <w:jc w:val="center"/>
              <w:ind w:right="580"/>
              <w:spacing w:after="0"/>
              <w:rPr>
                <w:sz w:val="20"/>
                <w:szCs w:val="20"/>
                <w:color w:val="auto"/>
              </w:rPr>
            </w:pPr>
            <w:r>
              <w:rPr>
                <w:rFonts w:ascii="Arial" w:cs="Arial" w:eastAsia="Arial" w:hAnsi="Arial"/>
                <w:sz w:val="12"/>
                <w:szCs w:val="12"/>
                <w:color w:val="auto"/>
                <w:w w:val="95"/>
              </w:rPr>
              <w:t>Allowance</w:t>
            </w:r>
          </w:p>
        </w:tc>
        <w:tc>
          <w:tcPr>
            <w:tcW w:w="320" w:type="dxa"/>
            <w:vAlign w:val="bottom"/>
          </w:tcPr>
          <w:p>
            <w:pPr>
              <w:spacing w:after="0"/>
              <w:rPr>
                <w:sz w:val="12"/>
                <w:szCs w:val="12"/>
                <w:color w:val="auto"/>
              </w:rPr>
            </w:pPr>
          </w:p>
        </w:tc>
        <w:tc>
          <w:tcPr>
            <w:tcW w:w="1080" w:type="dxa"/>
            <w:vAlign w:val="bottom"/>
            <w:gridSpan w:val="2"/>
          </w:tcPr>
          <w:p>
            <w:pPr>
              <w:jc w:val="center"/>
              <w:ind w:right="600"/>
              <w:spacing w:after="0"/>
              <w:rPr>
                <w:sz w:val="20"/>
                <w:szCs w:val="20"/>
                <w:color w:val="auto"/>
              </w:rPr>
            </w:pPr>
            <w:r>
              <w:rPr>
                <w:rFonts w:ascii="Arial" w:cs="Arial" w:eastAsia="Arial" w:hAnsi="Arial"/>
                <w:sz w:val="12"/>
                <w:szCs w:val="12"/>
                <w:color w:val="auto"/>
                <w:w w:val="89"/>
              </w:rPr>
              <w:t>Total</w:t>
            </w:r>
          </w:p>
        </w:tc>
        <w:tc>
          <w:tcPr>
            <w:tcW w:w="880" w:type="dxa"/>
            <w:vAlign w:val="bottom"/>
          </w:tcPr>
          <w:p>
            <w:pPr>
              <w:jc w:val="center"/>
              <w:ind w:left="260"/>
              <w:spacing w:after="0"/>
              <w:rPr>
                <w:sz w:val="20"/>
                <w:szCs w:val="20"/>
                <w:color w:val="auto"/>
              </w:rPr>
            </w:pPr>
            <w:r>
              <w:rPr>
                <w:rFonts w:ascii="Arial" w:cs="Arial" w:eastAsia="Arial" w:hAnsi="Arial"/>
                <w:sz w:val="12"/>
                <w:szCs w:val="12"/>
                <w:color w:val="auto"/>
                <w:w w:val="91"/>
              </w:rPr>
              <w:t>90+ and</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center"/>
              <w:ind w:right="560"/>
              <w:spacing w:after="0"/>
              <w:rPr>
                <w:sz w:val="20"/>
                <w:szCs w:val="20"/>
                <w:color w:val="auto"/>
              </w:rPr>
            </w:pPr>
            <w:r>
              <w:rPr>
                <w:rFonts w:ascii="Arial" w:cs="Arial" w:eastAsia="Arial" w:hAnsi="Arial"/>
                <w:sz w:val="12"/>
                <w:szCs w:val="12"/>
                <w:color w:val="auto"/>
                <w:w w:val="92"/>
              </w:rPr>
              <w:t>Total Non-</w:t>
            </w:r>
          </w:p>
        </w:tc>
        <w:tc>
          <w:tcPr>
            <w:tcW w:w="320" w:type="dxa"/>
            <w:vAlign w:val="bottom"/>
          </w:tcPr>
          <w:p>
            <w:pPr>
              <w:spacing w:after="0"/>
              <w:rPr>
                <w:sz w:val="12"/>
                <w:szCs w:val="12"/>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2"/>
                <w:szCs w:val="12"/>
                <w:color w:val="auto"/>
                <w:w w:val="92"/>
              </w:rPr>
              <w:t>Total Non-</w:t>
            </w:r>
          </w:p>
        </w:tc>
        <w:tc>
          <w:tcPr>
            <w:tcW w:w="0" w:type="dxa"/>
            <w:vAlign w:val="bottom"/>
          </w:tcPr>
          <w:p>
            <w:pPr>
              <w:spacing w:after="0"/>
              <w:rPr>
                <w:sz w:val="1"/>
                <w:szCs w:val="1"/>
                <w:color w:val="auto"/>
              </w:rPr>
            </w:pPr>
          </w:p>
        </w:tc>
      </w:tr>
      <w:tr>
        <w:trPr>
          <w:trHeight w:val="144"/>
        </w:trPr>
        <w:tc>
          <w:tcPr>
            <w:tcW w:w="2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center"/>
              <w:ind w:right="580"/>
              <w:spacing w:after="0"/>
              <w:rPr>
                <w:sz w:val="20"/>
                <w:szCs w:val="20"/>
                <w:color w:val="auto"/>
              </w:rPr>
            </w:pPr>
            <w:r>
              <w:rPr>
                <w:rFonts w:ascii="Arial" w:cs="Arial" w:eastAsia="Arial" w:hAnsi="Arial"/>
                <w:sz w:val="12"/>
                <w:szCs w:val="12"/>
                <w:color w:val="auto"/>
                <w:w w:val="93"/>
              </w:rPr>
              <w:t>for Credit</w:t>
            </w:r>
          </w:p>
        </w:tc>
        <w:tc>
          <w:tcPr>
            <w:tcW w:w="280" w:type="dxa"/>
            <w:vAlign w:val="bottom"/>
          </w:tcPr>
          <w:p>
            <w:pPr>
              <w:spacing w:after="0"/>
              <w:rPr>
                <w:sz w:val="12"/>
                <w:szCs w:val="12"/>
                <w:color w:val="auto"/>
              </w:rPr>
            </w:pPr>
          </w:p>
        </w:tc>
        <w:tc>
          <w:tcPr>
            <w:tcW w:w="1100" w:type="dxa"/>
            <w:vAlign w:val="bottom"/>
            <w:gridSpan w:val="2"/>
          </w:tcPr>
          <w:p>
            <w:pPr>
              <w:jc w:val="center"/>
              <w:ind w:right="580"/>
              <w:spacing w:after="0"/>
              <w:rPr>
                <w:sz w:val="20"/>
                <w:szCs w:val="20"/>
                <w:color w:val="auto"/>
              </w:rPr>
            </w:pPr>
            <w:r>
              <w:rPr>
                <w:rFonts w:ascii="Arial" w:cs="Arial" w:eastAsia="Arial" w:hAnsi="Arial"/>
                <w:sz w:val="12"/>
                <w:szCs w:val="12"/>
                <w:color w:val="auto"/>
                <w:w w:val="97"/>
              </w:rPr>
              <w:t>for Credit</w:t>
            </w:r>
          </w:p>
        </w:tc>
        <w:tc>
          <w:tcPr>
            <w:tcW w:w="320" w:type="dxa"/>
            <w:vAlign w:val="bottom"/>
          </w:tcPr>
          <w:p>
            <w:pPr>
              <w:spacing w:after="0"/>
              <w:rPr>
                <w:sz w:val="12"/>
                <w:szCs w:val="12"/>
                <w:color w:val="auto"/>
              </w:rPr>
            </w:pPr>
          </w:p>
        </w:tc>
        <w:tc>
          <w:tcPr>
            <w:tcW w:w="1080" w:type="dxa"/>
            <w:vAlign w:val="bottom"/>
            <w:gridSpan w:val="2"/>
          </w:tcPr>
          <w:p>
            <w:pPr>
              <w:jc w:val="center"/>
              <w:ind w:right="600"/>
              <w:spacing w:after="0"/>
              <w:rPr>
                <w:sz w:val="20"/>
                <w:szCs w:val="20"/>
                <w:color w:val="auto"/>
              </w:rPr>
            </w:pPr>
            <w:r>
              <w:rPr>
                <w:rFonts w:ascii="Arial" w:cs="Arial" w:eastAsia="Arial" w:hAnsi="Arial"/>
                <w:sz w:val="12"/>
                <w:szCs w:val="12"/>
                <w:color w:val="auto"/>
                <w:w w:val="92"/>
              </w:rPr>
              <w:t>Non-</w:t>
            </w:r>
          </w:p>
        </w:tc>
        <w:tc>
          <w:tcPr>
            <w:tcW w:w="880" w:type="dxa"/>
            <w:vAlign w:val="bottom"/>
          </w:tcPr>
          <w:p>
            <w:pPr>
              <w:jc w:val="center"/>
              <w:ind w:left="260"/>
              <w:spacing w:after="0"/>
              <w:rPr>
                <w:sz w:val="20"/>
                <w:szCs w:val="20"/>
                <w:color w:val="auto"/>
              </w:rPr>
            </w:pPr>
            <w:r>
              <w:rPr>
                <w:rFonts w:ascii="Arial" w:cs="Arial" w:eastAsia="Arial" w:hAnsi="Arial"/>
                <w:sz w:val="12"/>
                <w:szCs w:val="12"/>
                <w:color w:val="auto"/>
              </w:rPr>
              <w:t>Still</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center"/>
              <w:ind w:right="540"/>
              <w:spacing w:after="0"/>
              <w:rPr>
                <w:sz w:val="20"/>
                <w:szCs w:val="20"/>
                <w:color w:val="auto"/>
              </w:rPr>
            </w:pPr>
            <w:r>
              <w:rPr>
                <w:rFonts w:ascii="Arial" w:cs="Arial" w:eastAsia="Arial" w:hAnsi="Arial"/>
                <w:sz w:val="12"/>
                <w:szCs w:val="12"/>
                <w:color w:val="auto"/>
                <w:w w:val="91"/>
              </w:rPr>
              <w:t>Performing</w:t>
            </w:r>
          </w:p>
        </w:tc>
        <w:tc>
          <w:tcPr>
            <w:tcW w:w="320" w:type="dxa"/>
            <w:vAlign w:val="bottom"/>
          </w:tcPr>
          <w:p>
            <w:pPr>
              <w:spacing w:after="0"/>
              <w:rPr>
                <w:sz w:val="12"/>
                <w:szCs w:val="12"/>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2"/>
                <w:szCs w:val="12"/>
                <w:color w:val="auto"/>
                <w:w w:val="91"/>
              </w:rPr>
              <w:t>Performing</w:t>
            </w:r>
          </w:p>
        </w:tc>
        <w:tc>
          <w:tcPr>
            <w:tcW w:w="0" w:type="dxa"/>
            <w:vAlign w:val="bottom"/>
          </w:tcPr>
          <w:p>
            <w:pPr>
              <w:spacing w:after="0"/>
              <w:rPr>
                <w:sz w:val="1"/>
                <w:szCs w:val="1"/>
                <w:color w:val="auto"/>
              </w:rPr>
            </w:pPr>
          </w:p>
        </w:tc>
      </w:tr>
      <w:tr>
        <w:trPr>
          <w:trHeight w:val="153"/>
        </w:trPr>
        <w:tc>
          <w:tcPr>
            <w:tcW w:w="2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gridSpan w:val="2"/>
          </w:tcPr>
          <w:p>
            <w:pPr>
              <w:jc w:val="center"/>
              <w:ind w:right="580"/>
              <w:spacing w:after="0"/>
              <w:rPr>
                <w:sz w:val="20"/>
                <w:szCs w:val="20"/>
                <w:color w:val="auto"/>
              </w:rPr>
            </w:pPr>
            <w:r>
              <w:rPr>
                <w:rFonts w:ascii="Arial" w:cs="Arial" w:eastAsia="Arial" w:hAnsi="Arial"/>
                <w:sz w:val="12"/>
                <w:szCs w:val="12"/>
                <w:color w:val="auto"/>
                <w:w w:val="86"/>
              </w:rPr>
              <w:t>Loss</w:t>
            </w:r>
          </w:p>
        </w:tc>
        <w:tc>
          <w:tcPr>
            <w:tcW w:w="280" w:type="dxa"/>
            <w:vAlign w:val="bottom"/>
          </w:tcPr>
          <w:p>
            <w:pPr>
              <w:spacing w:after="0"/>
              <w:rPr>
                <w:sz w:val="13"/>
                <w:szCs w:val="13"/>
                <w:color w:val="auto"/>
              </w:rPr>
            </w:pPr>
          </w:p>
        </w:tc>
        <w:tc>
          <w:tcPr>
            <w:tcW w:w="1100" w:type="dxa"/>
            <w:vAlign w:val="bottom"/>
            <w:gridSpan w:val="2"/>
          </w:tcPr>
          <w:p>
            <w:pPr>
              <w:jc w:val="center"/>
              <w:ind w:right="560"/>
              <w:spacing w:after="0"/>
              <w:rPr>
                <w:sz w:val="20"/>
                <w:szCs w:val="20"/>
                <w:color w:val="auto"/>
              </w:rPr>
            </w:pPr>
            <w:r>
              <w:rPr>
                <w:rFonts w:ascii="Arial" w:cs="Arial" w:eastAsia="Arial" w:hAnsi="Arial"/>
                <w:sz w:val="12"/>
                <w:szCs w:val="12"/>
                <w:color w:val="auto"/>
                <w:w w:val="86"/>
              </w:rPr>
              <w:t>Loss</w:t>
            </w:r>
          </w:p>
        </w:tc>
        <w:tc>
          <w:tcPr>
            <w:tcW w:w="320" w:type="dxa"/>
            <w:vAlign w:val="bottom"/>
          </w:tcPr>
          <w:p>
            <w:pPr>
              <w:spacing w:after="0"/>
              <w:rPr>
                <w:sz w:val="13"/>
                <w:szCs w:val="13"/>
                <w:color w:val="auto"/>
              </w:rPr>
            </w:pPr>
          </w:p>
        </w:tc>
        <w:tc>
          <w:tcPr>
            <w:tcW w:w="1080" w:type="dxa"/>
            <w:vAlign w:val="bottom"/>
            <w:gridSpan w:val="2"/>
          </w:tcPr>
          <w:p>
            <w:pPr>
              <w:jc w:val="center"/>
              <w:ind w:right="620"/>
              <w:spacing w:after="0"/>
              <w:rPr>
                <w:sz w:val="20"/>
                <w:szCs w:val="20"/>
                <w:color w:val="auto"/>
              </w:rPr>
            </w:pPr>
            <w:r>
              <w:rPr>
                <w:rFonts w:ascii="Arial" w:cs="Arial" w:eastAsia="Arial" w:hAnsi="Arial"/>
                <w:sz w:val="12"/>
                <w:szCs w:val="12"/>
                <w:color w:val="auto"/>
                <w:w w:val="94"/>
              </w:rPr>
              <w:t>Accrual</w:t>
            </w:r>
          </w:p>
        </w:tc>
        <w:tc>
          <w:tcPr>
            <w:tcW w:w="880" w:type="dxa"/>
            <w:vAlign w:val="bottom"/>
          </w:tcPr>
          <w:p>
            <w:pPr>
              <w:jc w:val="center"/>
              <w:ind w:left="260"/>
              <w:spacing w:after="0"/>
              <w:rPr>
                <w:sz w:val="20"/>
                <w:szCs w:val="20"/>
                <w:color w:val="auto"/>
              </w:rPr>
            </w:pPr>
            <w:r>
              <w:rPr>
                <w:rFonts w:ascii="Arial" w:cs="Arial" w:eastAsia="Arial" w:hAnsi="Arial"/>
                <w:sz w:val="12"/>
                <w:szCs w:val="12"/>
                <w:color w:val="auto"/>
                <w:w w:val="94"/>
              </w:rPr>
              <w:t>Accruing</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gridSpan w:val="2"/>
          </w:tcPr>
          <w:p>
            <w:pPr>
              <w:jc w:val="center"/>
              <w:ind w:right="540"/>
              <w:spacing w:after="0"/>
              <w:rPr>
                <w:sz w:val="20"/>
                <w:szCs w:val="20"/>
                <w:color w:val="auto"/>
              </w:rPr>
            </w:pPr>
            <w:r>
              <w:rPr>
                <w:rFonts w:ascii="Arial" w:cs="Arial" w:eastAsia="Arial" w:hAnsi="Arial"/>
                <w:sz w:val="12"/>
                <w:szCs w:val="12"/>
                <w:color w:val="auto"/>
                <w:w w:val="91"/>
              </w:rPr>
              <w:t>Loans</w:t>
            </w:r>
          </w:p>
        </w:tc>
        <w:tc>
          <w:tcPr>
            <w:tcW w:w="320" w:type="dxa"/>
            <w:vAlign w:val="bottom"/>
          </w:tcPr>
          <w:p>
            <w:pPr>
              <w:spacing w:after="0"/>
              <w:rPr>
                <w:sz w:val="13"/>
                <w:szCs w:val="13"/>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2"/>
                <w:szCs w:val="12"/>
                <w:color w:val="auto"/>
                <w:w w:val="90"/>
              </w:rPr>
              <w:t>Loans (1)</w:t>
            </w:r>
          </w:p>
        </w:tc>
        <w:tc>
          <w:tcPr>
            <w:tcW w:w="0" w:type="dxa"/>
            <w:vAlign w:val="bottom"/>
          </w:tcPr>
          <w:p>
            <w:pPr>
              <w:spacing w:after="0"/>
              <w:rPr>
                <w:sz w:val="1"/>
                <w:szCs w:val="1"/>
                <w:color w:val="auto"/>
              </w:rPr>
            </w:pPr>
          </w:p>
        </w:tc>
      </w:tr>
      <w:tr>
        <w:trPr>
          <w:trHeight w:val="151"/>
        </w:trPr>
        <w:tc>
          <w:tcPr>
            <w:tcW w:w="2840" w:type="dxa"/>
            <w:vAlign w:val="bottom"/>
            <w:vMerge w:val="restart"/>
          </w:tcPr>
          <w:p>
            <w:pPr>
              <w:ind w:left="200"/>
              <w:spacing w:after="0"/>
              <w:rPr>
                <w:sz w:val="20"/>
                <w:szCs w:val="20"/>
                <w:color w:val="auto"/>
              </w:rPr>
            </w:pPr>
            <w:r>
              <w:rPr>
                <w:rFonts w:ascii="Arial" w:cs="Arial" w:eastAsia="Arial" w:hAnsi="Arial"/>
                <w:sz w:val="12"/>
                <w:szCs w:val="12"/>
                <w:color w:val="auto"/>
              </w:rPr>
              <w:t>Commercial</w:t>
            </w:r>
          </w:p>
        </w:tc>
        <w:tc>
          <w:tcPr>
            <w:tcW w:w="2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2"/>
                <w:szCs w:val="12"/>
                <w:color w:val="auto"/>
              </w:rPr>
              <w:t>(In thousands)</w:t>
            </w:r>
          </w:p>
        </w:tc>
        <w:tc>
          <w:tcPr>
            <w:tcW w:w="50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84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840" w:type="dxa"/>
            <w:vAlign w:val="bottom"/>
            <w:shd w:val="clear" w:color="auto" w:fill="CCEEFF"/>
          </w:tcPr>
          <w:p>
            <w:pPr>
              <w:ind w:left="320"/>
              <w:spacing w:after="0"/>
              <w:rPr>
                <w:sz w:val="20"/>
                <w:szCs w:val="20"/>
                <w:color w:val="auto"/>
              </w:rPr>
            </w:pPr>
            <w:r>
              <w:rPr>
                <w:rFonts w:ascii="Arial" w:cs="Arial" w:eastAsia="Arial" w:hAnsi="Arial"/>
                <w:sz w:val="12"/>
                <w:szCs w:val="12"/>
                <w:color w:val="auto"/>
              </w:rPr>
              <w:t>Commercial and industrial (2)</w:t>
            </w: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15</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15</w:t>
            </w:r>
          </w:p>
        </w:tc>
        <w:tc>
          <w:tcPr>
            <w:tcW w:w="880" w:type="dxa"/>
            <w:vAlign w:val="bottom"/>
            <w:shd w:val="clear" w:color="auto" w:fill="CCEEFF"/>
          </w:tcPr>
          <w:p>
            <w:pPr>
              <w:jc w:val="right"/>
              <w:ind w:right="54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15</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1,387</w:t>
            </w:r>
          </w:p>
        </w:tc>
        <w:tc>
          <w:tcPr>
            <w:tcW w:w="0" w:type="dxa"/>
            <w:vAlign w:val="bottom"/>
          </w:tcPr>
          <w:p>
            <w:pPr>
              <w:spacing w:after="0"/>
              <w:rPr>
                <w:sz w:val="1"/>
                <w:szCs w:val="1"/>
                <w:color w:val="auto"/>
              </w:rPr>
            </w:pPr>
          </w:p>
        </w:tc>
      </w:tr>
      <w:tr>
        <w:trPr>
          <w:trHeight w:val="144"/>
        </w:trPr>
        <w:tc>
          <w:tcPr>
            <w:tcW w:w="2840" w:type="dxa"/>
            <w:vAlign w:val="bottom"/>
          </w:tcPr>
          <w:p>
            <w:pPr>
              <w:ind w:left="320"/>
              <w:spacing w:after="0"/>
              <w:rPr>
                <w:sz w:val="20"/>
                <w:szCs w:val="20"/>
                <w:color w:val="auto"/>
              </w:rPr>
            </w:pPr>
            <w:r>
              <w:rPr>
                <w:rFonts w:ascii="Arial" w:cs="Arial" w:eastAsia="Arial" w:hAnsi="Arial"/>
                <w:sz w:val="12"/>
                <w:szCs w:val="12"/>
                <w:color w:val="auto"/>
              </w:rPr>
              <w:t>Commercial real estate</w:t>
            </w:r>
          </w:p>
        </w:tc>
        <w:tc>
          <w:tcPr>
            <w:tcW w:w="2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880" w:type="dxa"/>
            <w:vAlign w:val="bottom"/>
          </w:tcPr>
          <w:p>
            <w:pPr>
              <w:spacing w:after="0"/>
              <w:rPr>
                <w:sz w:val="12"/>
                <w:szCs w:val="12"/>
                <w:color w:val="auto"/>
              </w:rPr>
            </w:pPr>
          </w:p>
        </w:tc>
        <w:tc>
          <w:tcPr>
            <w:tcW w:w="60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840" w:type="dxa"/>
            <w:vAlign w:val="bottom"/>
            <w:shd w:val="clear" w:color="auto" w:fill="CCEEFF"/>
          </w:tcPr>
          <w:p>
            <w:pPr>
              <w:ind w:left="200"/>
              <w:spacing w:after="0"/>
              <w:rPr>
                <w:sz w:val="20"/>
                <w:szCs w:val="20"/>
                <w:color w:val="auto"/>
              </w:rPr>
            </w:pPr>
            <w:r>
              <w:rPr>
                <w:rFonts w:ascii="Arial" w:cs="Arial" w:eastAsia="Arial" w:hAnsi="Arial"/>
                <w:sz w:val="12"/>
                <w:szCs w:val="12"/>
                <w:color w:val="auto"/>
              </w:rPr>
              <w:t>Mortgage</w:t>
            </w: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40" w:type="dxa"/>
            <w:vAlign w:val="bottom"/>
          </w:tcPr>
          <w:p>
            <w:pPr>
              <w:ind w:left="320"/>
              <w:spacing w:after="0"/>
              <w:rPr>
                <w:sz w:val="20"/>
                <w:szCs w:val="20"/>
                <w:color w:val="auto"/>
              </w:rPr>
            </w:pPr>
            <w:r>
              <w:rPr>
                <w:rFonts w:ascii="Arial" w:cs="Arial" w:eastAsia="Arial" w:hAnsi="Arial"/>
                <w:sz w:val="12"/>
                <w:szCs w:val="12"/>
                <w:color w:val="auto"/>
              </w:rPr>
              <w:t>1-4 family owner occupied - jumbo</w:t>
            </w:r>
          </w:p>
        </w:tc>
        <w:tc>
          <w:tcPr>
            <w:tcW w:w="2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607</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2"/>
                <w:szCs w:val="12"/>
                <w:color w:val="auto"/>
              </w:rPr>
              <w:t>607</w:t>
            </w:r>
          </w:p>
        </w:tc>
        <w:tc>
          <w:tcPr>
            <w:tcW w:w="880" w:type="dxa"/>
            <w:vAlign w:val="bottom"/>
          </w:tcPr>
          <w:p>
            <w:pPr>
              <w:spacing w:after="0"/>
              <w:rPr>
                <w:sz w:val="12"/>
                <w:szCs w:val="12"/>
                <w:color w:val="auto"/>
              </w:rPr>
            </w:pPr>
          </w:p>
        </w:tc>
        <w:tc>
          <w:tcPr>
            <w:tcW w:w="60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2"/>
                <w:szCs w:val="12"/>
                <w:color w:val="auto"/>
              </w:rPr>
              <w:t>607</w:t>
            </w:r>
          </w:p>
        </w:tc>
        <w:tc>
          <w:tcPr>
            <w:tcW w:w="320" w:type="dxa"/>
            <w:vAlign w:val="bottom"/>
          </w:tcPr>
          <w:p>
            <w:pPr>
              <w:spacing w:after="0"/>
              <w:rPr>
                <w:sz w:val="12"/>
                <w:szCs w:val="1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2"/>
                <w:szCs w:val="12"/>
                <w:color w:val="auto"/>
              </w:rPr>
              <w:t>623</w:t>
            </w:r>
          </w:p>
        </w:tc>
        <w:tc>
          <w:tcPr>
            <w:tcW w:w="0" w:type="dxa"/>
            <w:vAlign w:val="bottom"/>
          </w:tcPr>
          <w:p>
            <w:pPr>
              <w:spacing w:after="0"/>
              <w:rPr>
                <w:sz w:val="1"/>
                <w:szCs w:val="1"/>
                <w:color w:val="auto"/>
              </w:rPr>
            </w:pPr>
          </w:p>
        </w:tc>
      </w:tr>
      <w:tr>
        <w:trPr>
          <w:trHeight w:val="144"/>
        </w:trPr>
        <w:tc>
          <w:tcPr>
            <w:tcW w:w="2840" w:type="dxa"/>
            <w:vAlign w:val="bottom"/>
            <w:shd w:val="clear" w:color="auto" w:fill="CCEEFF"/>
          </w:tcPr>
          <w:p>
            <w:pPr>
              <w:ind w:left="320"/>
              <w:spacing w:after="0"/>
              <w:rPr>
                <w:sz w:val="20"/>
                <w:szCs w:val="20"/>
                <w:color w:val="auto"/>
              </w:rPr>
            </w:pPr>
            <w:r>
              <w:rPr>
                <w:rFonts w:ascii="Arial" w:cs="Arial" w:eastAsia="Arial" w:hAnsi="Arial"/>
                <w:sz w:val="12"/>
                <w:szCs w:val="12"/>
                <w:color w:val="auto"/>
              </w:rPr>
              <w:t>1-4 family owner occupied - non-jumbo (3)</w:t>
            </w: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137</w:t>
            </w: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1,815</w:t>
            </w:r>
          </w:p>
        </w:tc>
        <w:tc>
          <w:tcPr>
            <w:tcW w:w="3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1,952</w:t>
            </w:r>
          </w:p>
        </w:tc>
        <w:tc>
          <w:tcPr>
            <w:tcW w:w="8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1,952</w:t>
            </w:r>
          </w:p>
        </w:tc>
        <w:tc>
          <w:tcPr>
            <w:tcW w:w="3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2,281</w:t>
            </w:r>
          </w:p>
        </w:tc>
        <w:tc>
          <w:tcPr>
            <w:tcW w:w="0" w:type="dxa"/>
            <w:vAlign w:val="bottom"/>
          </w:tcPr>
          <w:p>
            <w:pPr>
              <w:spacing w:after="0"/>
              <w:rPr>
                <w:sz w:val="1"/>
                <w:szCs w:val="1"/>
                <w:color w:val="auto"/>
              </w:rPr>
            </w:pPr>
          </w:p>
        </w:tc>
      </w:tr>
      <w:tr>
        <w:trPr>
          <w:trHeight w:val="144"/>
        </w:trPr>
        <w:tc>
          <w:tcPr>
            <w:tcW w:w="2840" w:type="dxa"/>
            <w:vAlign w:val="bottom"/>
          </w:tcPr>
          <w:p>
            <w:pPr>
              <w:ind w:left="320"/>
              <w:spacing w:after="0"/>
              <w:rPr>
                <w:sz w:val="20"/>
                <w:szCs w:val="20"/>
                <w:color w:val="auto"/>
              </w:rPr>
            </w:pPr>
            <w:r>
              <w:rPr>
                <w:rFonts w:ascii="Arial" w:cs="Arial" w:eastAsia="Arial" w:hAnsi="Arial"/>
                <w:sz w:val="12"/>
                <w:szCs w:val="12"/>
                <w:color w:val="auto"/>
              </w:rPr>
              <w:t>1-4 family non-owner occupied</w:t>
            </w:r>
          </w:p>
        </w:tc>
        <w:tc>
          <w:tcPr>
            <w:tcW w:w="2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275</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2"/>
                <w:szCs w:val="12"/>
                <w:color w:val="auto"/>
              </w:rPr>
              <w:t>592</w:t>
            </w:r>
          </w:p>
        </w:tc>
        <w:tc>
          <w:tcPr>
            <w:tcW w:w="320" w:type="dxa"/>
            <w:vAlign w:val="bottom"/>
          </w:tcPr>
          <w:p>
            <w:pPr>
              <w:spacing w:after="0"/>
              <w:rPr>
                <w:sz w:val="12"/>
                <w:szCs w:val="12"/>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2"/>
                <w:szCs w:val="12"/>
                <w:color w:val="auto"/>
              </w:rPr>
              <w:t>867</w:t>
            </w:r>
          </w:p>
        </w:tc>
        <w:tc>
          <w:tcPr>
            <w:tcW w:w="880" w:type="dxa"/>
            <w:vAlign w:val="bottom"/>
          </w:tcPr>
          <w:p>
            <w:pPr>
              <w:spacing w:after="0"/>
              <w:rPr>
                <w:sz w:val="12"/>
                <w:szCs w:val="12"/>
                <w:color w:val="auto"/>
              </w:rPr>
            </w:pPr>
          </w:p>
        </w:tc>
        <w:tc>
          <w:tcPr>
            <w:tcW w:w="60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2"/>
                <w:szCs w:val="12"/>
                <w:color w:val="auto"/>
              </w:rPr>
              <w:t>867</w:t>
            </w:r>
          </w:p>
        </w:tc>
        <w:tc>
          <w:tcPr>
            <w:tcW w:w="320" w:type="dxa"/>
            <w:vAlign w:val="bottom"/>
          </w:tcPr>
          <w:p>
            <w:pPr>
              <w:spacing w:after="0"/>
              <w:rPr>
                <w:sz w:val="12"/>
                <w:szCs w:val="1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2"/>
                <w:szCs w:val="12"/>
                <w:color w:val="auto"/>
              </w:rPr>
              <w:t>1,112</w:t>
            </w:r>
          </w:p>
        </w:tc>
        <w:tc>
          <w:tcPr>
            <w:tcW w:w="0" w:type="dxa"/>
            <w:vAlign w:val="bottom"/>
          </w:tcPr>
          <w:p>
            <w:pPr>
              <w:spacing w:after="0"/>
              <w:rPr>
                <w:sz w:val="1"/>
                <w:szCs w:val="1"/>
                <w:color w:val="auto"/>
              </w:rPr>
            </w:pPr>
          </w:p>
        </w:tc>
      </w:tr>
      <w:tr>
        <w:trPr>
          <w:trHeight w:val="144"/>
        </w:trPr>
        <w:tc>
          <w:tcPr>
            <w:tcW w:w="2840" w:type="dxa"/>
            <w:vAlign w:val="bottom"/>
            <w:shd w:val="clear" w:color="auto" w:fill="CCEEFF"/>
          </w:tcPr>
          <w:p>
            <w:pPr>
              <w:ind w:left="320"/>
              <w:spacing w:after="0"/>
              <w:rPr>
                <w:sz w:val="20"/>
                <w:szCs w:val="20"/>
                <w:color w:val="auto"/>
              </w:rPr>
            </w:pPr>
            <w:r>
              <w:rPr>
                <w:rFonts w:ascii="Arial" w:cs="Arial" w:eastAsia="Arial" w:hAnsi="Arial"/>
                <w:sz w:val="12"/>
                <w:szCs w:val="12"/>
                <w:color w:val="auto"/>
              </w:rPr>
              <w:t>1-4 family - 2nd lien</w:t>
            </w: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182</w:t>
            </w: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681</w:t>
            </w:r>
          </w:p>
        </w:tc>
        <w:tc>
          <w:tcPr>
            <w:tcW w:w="3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863</w:t>
            </w:r>
          </w:p>
        </w:tc>
        <w:tc>
          <w:tcPr>
            <w:tcW w:w="8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863</w:t>
            </w:r>
          </w:p>
        </w:tc>
        <w:tc>
          <w:tcPr>
            <w:tcW w:w="3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1,344</w:t>
            </w:r>
          </w:p>
        </w:tc>
        <w:tc>
          <w:tcPr>
            <w:tcW w:w="0" w:type="dxa"/>
            <w:vAlign w:val="bottom"/>
          </w:tcPr>
          <w:p>
            <w:pPr>
              <w:spacing w:after="0"/>
              <w:rPr>
                <w:sz w:val="1"/>
                <w:szCs w:val="1"/>
                <w:color w:val="auto"/>
              </w:rPr>
            </w:pPr>
          </w:p>
        </w:tc>
      </w:tr>
      <w:tr>
        <w:trPr>
          <w:trHeight w:val="144"/>
        </w:trPr>
        <w:tc>
          <w:tcPr>
            <w:tcW w:w="2840" w:type="dxa"/>
            <w:vAlign w:val="bottom"/>
          </w:tcPr>
          <w:p>
            <w:pPr>
              <w:ind w:left="320"/>
              <w:spacing w:after="0"/>
              <w:rPr>
                <w:sz w:val="20"/>
                <w:szCs w:val="20"/>
                <w:color w:val="auto"/>
              </w:rPr>
            </w:pPr>
            <w:r>
              <w:rPr>
                <w:rFonts w:ascii="Arial" w:cs="Arial" w:eastAsia="Arial" w:hAnsi="Arial"/>
                <w:sz w:val="12"/>
                <w:szCs w:val="12"/>
                <w:color w:val="auto"/>
              </w:rPr>
              <w:t>Resort lending</w:t>
            </w:r>
          </w:p>
        </w:tc>
        <w:tc>
          <w:tcPr>
            <w:tcW w:w="280" w:type="dxa"/>
            <w:vAlign w:val="bottom"/>
          </w:tcPr>
          <w:p>
            <w:pPr>
              <w:spacing w:after="0"/>
              <w:rPr>
                <w:sz w:val="12"/>
                <w:szCs w:val="12"/>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2"/>
                <w:szCs w:val="12"/>
                <w:color w:val="auto"/>
              </w:rPr>
              <w:t>118</w:t>
            </w:r>
          </w:p>
        </w:tc>
        <w:tc>
          <w:tcPr>
            <w:tcW w:w="280" w:type="dxa"/>
            <w:vAlign w:val="bottom"/>
          </w:tcPr>
          <w:p>
            <w:pPr>
              <w:spacing w:after="0"/>
              <w:rPr>
                <w:sz w:val="12"/>
                <w:szCs w:val="12"/>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2"/>
                <w:szCs w:val="12"/>
                <w:color w:val="auto"/>
              </w:rPr>
              <w:t>119</w:t>
            </w:r>
          </w:p>
        </w:tc>
        <w:tc>
          <w:tcPr>
            <w:tcW w:w="320" w:type="dxa"/>
            <w:vAlign w:val="bottom"/>
          </w:tcPr>
          <w:p>
            <w:pPr>
              <w:spacing w:after="0"/>
              <w:rPr>
                <w:sz w:val="12"/>
                <w:szCs w:val="12"/>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2"/>
                <w:szCs w:val="12"/>
                <w:color w:val="auto"/>
              </w:rPr>
              <w:t>237</w:t>
            </w:r>
          </w:p>
        </w:tc>
        <w:tc>
          <w:tcPr>
            <w:tcW w:w="880" w:type="dxa"/>
            <w:vAlign w:val="bottom"/>
          </w:tcPr>
          <w:p>
            <w:pPr>
              <w:spacing w:after="0"/>
              <w:rPr>
                <w:sz w:val="12"/>
                <w:szCs w:val="12"/>
                <w:color w:val="auto"/>
              </w:rPr>
            </w:pPr>
          </w:p>
        </w:tc>
        <w:tc>
          <w:tcPr>
            <w:tcW w:w="60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2"/>
                <w:szCs w:val="12"/>
                <w:color w:val="auto"/>
              </w:rPr>
              <w:t>237</w:t>
            </w:r>
          </w:p>
        </w:tc>
        <w:tc>
          <w:tcPr>
            <w:tcW w:w="320" w:type="dxa"/>
            <w:vAlign w:val="bottom"/>
          </w:tcPr>
          <w:p>
            <w:pPr>
              <w:spacing w:after="0"/>
              <w:rPr>
                <w:sz w:val="12"/>
                <w:szCs w:val="1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2"/>
                <w:szCs w:val="12"/>
                <w:color w:val="auto"/>
              </w:rPr>
              <w:t>607</w:t>
            </w:r>
          </w:p>
        </w:tc>
        <w:tc>
          <w:tcPr>
            <w:tcW w:w="0" w:type="dxa"/>
            <w:vAlign w:val="bottom"/>
          </w:tcPr>
          <w:p>
            <w:pPr>
              <w:spacing w:after="0"/>
              <w:rPr>
                <w:sz w:val="1"/>
                <w:szCs w:val="1"/>
                <w:color w:val="auto"/>
              </w:rPr>
            </w:pPr>
          </w:p>
        </w:tc>
      </w:tr>
      <w:tr>
        <w:trPr>
          <w:trHeight w:val="144"/>
        </w:trPr>
        <w:tc>
          <w:tcPr>
            <w:tcW w:w="2840" w:type="dxa"/>
            <w:vAlign w:val="bottom"/>
            <w:shd w:val="clear" w:color="auto" w:fill="CCEEFF"/>
          </w:tcPr>
          <w:p>
            <w:pPr>
              <w:ind w:left="200"/>
              <w:spacing w:after="0"/>
              <w:rPr>
                <w:sz w:val="20"/>
                <w:szCs w:val="20"/>
                <w:color w:val="auto"/>
              </w:rPr>
            </w:pPr>
            <w:r>
              <w:rPr>
                <w:rFonts w:ascii="Arial" w:cs="Arial" w:eastAsia="Arial" w:hAnsi="Arial"/>
                <w:sz w:val="12"/>
                <w:szCs w:val="12"/>
                <w:color w:val="auto"/>
              </w:rPr>
              <w:t>Installment</w:t>
            </w: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40" w:type="dxa"/>
            <w:vAlign w:val="bottom"/>
          </w:tcPr>
          <w:p>
            <w:pPr>
              <w:ind w:left="320"/>
              <w:spacing w:after="0"/>
              <w:rPr>
                <w:sz w:val="20"/>
                <w:szCs w:val="20"/>
                <w:color w:val="auto"/>
              </w:rPr>
            </w:pPr>
            <w:r>
              <w:rPr>
                <w:rFonts w:ascii="Arial" w:cs="Arial" w:eastAsia="Arial" w:hAnsi="Arial"/>
                <w:sz w:val="12"/>
                <w:szCs w:val="12"/>
                <w:color w:val="auto"/>
              </w:rPr>
              <w:t>Boat lending</w:t>
            </w:r>
          </w:p>
        </w:tc>
        <w:tc>
          <w:tcPr>
            <w:tcW w:w="2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2"/>
                <w:szCs w:val="12"/>
                <w:color w:val="auto"/>
              </w:rPr>
              <w:t>210</w:t>
            </w:r>
          </w:p>
        </w:tc>
        <w:tc>
          <w:tcPr>
            <w:tcW w:w="320" w:type="dxa"/>
            <w:vAlign w:val="bottom"/>
          </w:tcPr>
          <w:p>
            <w:pPr>
              <w:spacing w:after="0"/>
              <w:rPr>
                <w:sz w:val="12"/>
                <w:szCs w:val="12"/>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2"/>
                <w:szCs w:val="12"/>
                <w:color w:val="auto"/>
              </w:rPr>
              <w:t>210</w:t>
            </w:r>
          </w:p>
        </w:tc>
        <w:tc>
          <w:tcPr>
            <w:tcW w:w="880" w:type="dxa"/>
            <w:vAlign w:val="bottom"/>
          </w:tcPr>
          <w:p>
            <w:pPr>
              <w:spacing w:after="0"/>
              <w:rPr>
                <w:sz w:val="12"/>
                <w:szCs w:val="12"/>
                <w:color w:val="auto"/>
              </w:rPr>
            </w:pPr>
          </w:p>
        </w:tc>
        <w:tc>
          <w:tcPr>
            <w:tcW w:w="60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2"/>
                <w:szCs w:val="12"/>
                <w:color w:val="auto"/>
              </w:rPr>
              <w:t>210</w:t>
            </w:r>
          </w:p>
        </w:tc>
        <w:tc>
          <w:tcPr>
            <w:tcW w:w="320" w:type="dxa"/>
            <w:vAlign w:val="bottom"/>
          </w:tcPr>
          <w:p>
            <w:pPr>
              <w:spacing w:after="0"/>
              <w:rPr>
                <w:sz w:val="12"/>
                <w:szCs w:val="1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2"/>
                <w:szCs w:val="12"/>
                <w:color w:val="auto"/>
              </w:rPr>
              <w:t>52</w:t>
            </w:r>
          </w:p>
        </w:tc>
        <w:tc>
          <w:tcPr>
            <w:tcW w:w="0" w:type="dxa"/>
            <w:vAlign w:val="bottom"/>
          </w:tcPr>
          <w:p>
            <w:pPr>
              <w:spacing w:after="0"/>
              <w:rPr>
                <w:sz w:val="1"/>
                <w:szCs w:val="1"/>
                <w:color w:val="auto"/>
              </w:rPr>
            </w:pPr>
          </w:p>
        </w:tc>
      </w:tr>
      <w:tr>
        <w:trPr>
          <w:trHeight w:val="144"/>
        </w:trPr>
        <w:tc>
          <w:tcPr>
            <w:tcW w:w="2840" w:type="dxa"/>
            <w:vAlign w:val="bottom"/>
            <w:shd w:val="clear" w:color="auto" w:fill="CCEEFF"/>
          </w:tcPr>
          <w:p>
            <w:pPr>
              <w:ind w:left="320"/>
              <w:spacing w:after="0"/>
              <w:rPr>
                <w:sz w:val="20"/>
                <w:szCs w:val="20"/>
                <w:color w:val="auto"/>
              </w:rPr>
            </w:pPr>
            <w:r>
              <w:rPr>
                <w:rFonts w:ascii="Arial" w:cs="Arial" w:eastAsia="Arial" w:hAnsi="Arial"/>
                <w:sz w:val="12"/>
                <w:szCs w:val="12"/>
                <w:color w:val="auto"/>
              </w:rPr>
              <w:t>Recreational vehicle lending</w:t>
            </w: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177</w:t>
            </w:r>
          </w:p>
        </w:tc>
        <w:tc>
          <w:tcPr>
            <w:tcW w:w="3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177</w:t>
            </w:r>
          </w:p>
        </w:tc>
        <w:tc>
          <w:tcPr>
            <w:tcW w:w="8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177</w:t>
            </w:r>
          </w:p>
        </w:tc>
        <w:tc>
          <w:tcPr>
            <w:tcW w:w="3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74</w:t>
            </w:r>
          </w:p>
        </w:tc>
        <w:tc>
          <w:tcPr>
            <w:tcW w:w="0" w:type="dxa"/>
            <w:vAlign w:val="bottom"/>
          </w:tcPr>
          <w:p>
            <w:pPr>
              <w:spacing w:after="0"/>
              <w:rPr>
                <w:sz w:val="1"/>
                <w:szCs w:val="1"/>
                <w:color w:val="auto"/>
              </w:rPr>
            </w:pPr>
          </w:p>
        </w:tc>
      </w:tr>
      <w:tr>
        <w:trPr>
          <w:trHeight w:val="144"/>
        </w:trPr>
        <w:tc>
          <w:tcPr>
            <w:tcW w:w="2840" w:type="dxa"/>
            <w:vAlign w:val="bottom"/>
          </w:tcPr>
          <w:p>
            <w:pPr>
              <w:ind w:left="320"/>
              <w:spacing w:after="0"/>
              <w:rPr>
                <w:sz w:val="20"/>
                <w:szCs w:val="20"/>
                <w:color w:val="auto"/>
              </w:rPr>
            </w:pPr>
            <w:r>
              <w:rPr>
                <w:rFonts w:ascii="Arial" w:cs="Arial" w:eastAsia="Arial" w:hAnsi="Arial"/>
                <w:sz w:val="12"/>
                <w:szCs w:val="12"/>
                <w:color w:val="auto"/>
              </w:rPr>
              <w:t>Other</w:t>
            </w:r>
          </w:p>
        </w:tc>
        <w:tc>
          <w:tcPr>
            <w:tcW w:w="2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2"/>
                <w:szCs w:val="12"/>
                <w:color w:val="auto"/>
              </w:rPr>
              <w:t>182</w:t>
            </w:r>
          </w:p>
        </w:tc>
        <w:tc>
          <w:tcPr>
            <w:tcW w:w="320" w:type="dxa"/>
            <w:vAlign w:val="bottom"/>
          </w:tcPr>
          <w:p>
            <w:pPr>
              <w:spacing w:after="0"/>
              <w:rPr>
                <w:sz w:val="12"/>
                <w:szCs w:val="12"/>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2"/>
                <w:szCs w:val="12"/>
                <w:color w:val="auto"/>
              </w:rPr>
              <w:t>182</w:t>
            </w:r>
          </w:p>
        </w:tc>
        <w:tc>
          <w:tcPr>
            <w:tcW w:w="880" w:type="dxa"/>
            <w:vAlign w:val="bottom"/>
          </w:tcPr>
          <w:p>
            <w:pPr>
              <w:spacing w:after="0"/>
              <w:rPr>
                <w:sz w:val="12"/>
                <w:szCs w:val="12"/>
                <w:color w:val="auto"/>
              </w:rPr>
            </w:pPr>
          </w:p>
        </w:tc>
        <w:tc>
          <w:tcPr>
            <w:tcW w:w="60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2"/>
                <w:szCs w:val="12"/>
                <w:color w:val="auto"/>
              </w:rPr>
              <w:t>182</w:t>
            </w:r>
          </w:p>
        </w:tc>
        <w:tc>
          <w:tcPr>
            <w:tcW w:w="320" w:type="dxa"/>
            <w:vAlign w:val="bottom"/>
          </w:tcPr>
          <w:p>
            <w:pPr>
              <w:spacing w:after="0"/>
              <w:rPr>
                <w:sz w:val="12"/>
                <w:szCs w:val="1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2"/>
                <w:szCs w:val="12"/>
                <w:color w:val="auto"/>
              </w:rPr>
              <w:t>393</w:t>
            </w:r>
          </w:p>
        </w:tc>
        <w:tc>
          <w:tcPr>
            <w:tcW w:w="0" w:type="dxa"/>
            <w:vAlign w:val="bottom"/>
          </w:tcPr>
          <w:p>
            <w:pPr>
              <w:spacing w:after="0"/>
              <w:rPr>
                <w:sz w:val="1"/>
                <w:szCs w:val="1"/>
                <w:color w:val="auto"/>
              </w:rPr>
            </w:pPr>
          </w:p>
        </w:tc>
      </w:tr>
      <w:tr>
        <w:trPr>
          <w:trHeight w:val="182"/>
        </w:trPr>
        <w:tc>
          <w:tcPr>
            <w:tcW w:w="28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2"/>
                <w:szCs w:val="12"/>
                <w:color w:val="auto"/>
              </w:rPr>
              <w:t>Total</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1,319</w:t>
            </w:r>
          </w:p>
        </w:tc>
        <w:tc>
          <w:tcPr>
            <w:tcW w:w="5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3,791</w:t>
            </w:r>
          </w:p>
        </w:tc>
        <w:tc>
          <w:tcPr>
            <w:tcW w:w="5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5,110</w:t>
            </w:r>
          </w:p>
        </w:tc>
        <w:tc>
          <w:tcPr>
            <w:tcW w:w="5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ind w:right="540"/>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5,110</w:t>
            </w:r>
          </w:p>
        </w:tc>
        <w:tc>
          <w:tcPr>
            <w:tcW w:w="5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7,873</w:t>
            </w:r>
          </w:p>
        </w:tc>
        <w:tc>
          <w:tcPr>
            <w:tcW w:w="2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gridSpan w:val="2"/>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gridSpan w:val="2"/>
          </w:tcPr>
          <w:p>
            <w:pPr>
              <w:spacing w:after="0"/>
              <w:rPr>
                <w:sz w:val="10"/>
                <w:szCs w:val="10"/>
                <w:color w:val="auto"/>
              </w:rPr>
            </w:pPr>
          </w:p>
        </w:tc>
        <w:tc>
          <w:tcPr>
            <w:tcW w:w="880" w:type="dxa"/>
            <w:vAlign w:val="bottom"/>
          </w:tcPr>
          <w:p>
            <w:pPr>
              <w:spacing w:after="0"/>
              <w:rPr>
                <w:sz w:val="10"/>
                <w:szCs w:val="10"/>
                <w:color w:val="auto"/>
              </w:rPr>
            </w:pPr>
          </w:p>
        </w:tc>
        <w:tc>
          <w:tcPr>
            <w:tcW w:w="600" w:type="dxa"/>
            <w:vAlign w:val="bottom"/>
            <w:gridSpan w:val="2"/>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gridSpan w:val="2"/>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840" w:type="dxa"/>
            <w:vAlign w:val="bottom"/>
            <w:shd w:val="clear" w:color="auto" w:fill="CCEEFF"/>
          </w:tcPr>
          <w:p>
            <w:pPr>
              <w:ind w:left="200"/>
              <w:spacing w:after="0"/>
              <w:rPr>
                <w:sz w:val="20"/>
                <w:szCs w:val="20"/>
                <w:color w:val="auto"/>
              </w:rPr>
            </w:pPr>
            <w:r>
              <w:rPr>
                <w:rFonts w:ascii="Arial" w:cs="Arial" w:eastAsia="Arial" w:hAnsi="Arial"/>
                <w:sz w:val="12"/>
                <w:szCs w:val="12"/>
                <w:color w:val="auto"/>
              </w:rPr>
              <w:t>Accrued interest excluded from total</w:t>
            </w: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54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left="208" w:hanging="208"/>
        <w:spacing w:after="0"/>
        <w:tabs>
          <w:tab w:leader="none" w:pos="208" w:val="left"/>
        </w:tabs>
        <w:numPr>
          <w:ilvl w:val="0"/>
          <w:numId w:val="28"/>
        </w:numPr>
        <w:rPr>
          <w:rFonts w:ascii="Arial" w:cs="Arial" w:eastAsia="Arial" w:hAnsi="Arial"/>
          <w:sz w:val="12"/>
          <w:szCs w:val="12"/>
          <w:color w:val="auto"/>
        </w:rPr>
      </w:pPr>
      <w:r>
        <w:rPr>
          <w:rFonts w:ascii="Arial" w:cs="Arial" w:eastAsia="Arial" w:hAnsi="Arial"/>
          <w:sz w:val="12"/>
          <w:szCs w:val="12"/>
          <w:color w:val="auto"/>
        </w:rPr>
        <w:t>Non-performing loans exclude purchase credit impaired loans.</w:t>
      </w:r>
    </w:p>
    <w:p>
      <w:pPr>
        <w:spacing w:after="0" w:line="14" w:lineRule="exact"/>
        <w:rPr>
          <w:rFonts w:ascii="Arial" w:cs="Arial" w:eastAsia="Arial" w:hAnsi="Arial"/>
          <w:sz w:val="12"/>
          <w:szCs w:val="12"/>
          <w:color w:val="auto"/>
        </w:rPr>
      </w:pPr>
    </w:p>
    <w:p>
      <w:pPr>
        <w:ind w:left="208" w:hanging="208"/>
        <w:spacing w:after="0"/>
        <w:tabs>
          <w:tab w:leader="none" w:pos="208" w:val="left"/>
        </w:tabs>
        <w:numPr>
          <w:ilvl w:val="0"/>
          <w:numId w:val="28"/>
        </w:numPr>
        <w:rPr>
          <w:rFonts w:ascii="Arial" w:cs="Arial" w:eastAsia="Arial" w:hAnsi="Arial"/>
          <w:sz w:val="12"/>
          <w:szCs w:val="12"/>
          <w:color w:val="auto"/>
        </w:rPr>
      </w:pPr>
      <w:r>
        <w:rPr>
          <w:rFonts w:ascii="Arial" w:cs="Arial" w:eastAsia="Arial" w:hAnsi="Arial"/>
          <w:sz w:val="12"/>
          <w:szCs w:val="12"/>
          <w:color w:val="auto"/>
        </w:rPr>
        <w:t>Non-performing commercial and industrial loans exclude $0.047 million and $0.053 million of government guaranteed loans at December 31, 2021 and 2020, respectively.</w:t>
      </w:r>
    </w:p>
    <w:p>
      <w:pPr>
        <w:spacing w:after="0" w:line="6" w:lineRule="exact"/>
        <w:rPr>
          <w:rFonts w:ascii="Arial" w:cs="Arial" w:eastAsia="Arial" w:hAnsi="Arial"/>
          <w:sz w:val="12"/>
          <w:szCs w:val="12"/>
          <w:color w:val="auto"/>
        </w:rPr>
      </w:pPr>
    </w:p>
    <w:p>
      <w:pPr>
        <w:ind w:left="208" w:hanging="208"/>
        <w:spacing w:after="0"/>
        <w:tabs>
          <w:tab w:leader="none" w:pos="208" w:val="left"/>
        </w:tabs>
        <w:numPr>
          <w:ilvl w:val="0"/>
          <w:numId w:val="28"/>
        </w:numPr>
        <w:rPr>
          <w:rFonts w:ascii="Arial" w:cs="Arial" w:eastAsia="Arial" w:hAnsi="Arial"/>
          <w:sz w:val="12"/>
          <w:szCs w:val="12"/>
          <w:color w:val="auto"/>
        </w:rPr>
      </w:pPr>
      <w:r>
        <w:rPr>
          <w:rFonts w:ascii="Arial" w:cs="Arial" w:eastAsia="Arial" w:hAnsi="Arial"/>
          <w:sz w:val="12"/>
          <w:szCs w:val="12"/>
          <w:color w:val="auto"/>
        </w:rPr>
        <w:t>Non-performing 1-4 family owner occupied – non jumbo loans exclude $0.388 million and $0.386 million of government guaranteed loans at December 31, 2021 and 2020, respectively.</w:t>
      </w:r>
    </w:p>
    <w:p>
      <w:pPr>
        <w:spacing w:after="0" w:line="141" w:lineRule="exact"/>
        <w:rPr>
          <w:sz w:val="20"/>
          <w:szCs w:val="20"/>
          <w:color w:val="auto"/>
        </w:rPr>
      </w:pPr>
    </w:p>
    <w:p>
      <w:pPr>
        <w:ind w:left="8" w:firstLine="216"/>
        <w:spacing w:after="0" w:line="276" w:lineRule="auto"/>
        <w:rPr>
          <w:sz w:val="20"/>
          <w:szCs w:val="20"/>
          <w:color w:val="auto"/>
        </w:rPr>
      </w:pPr>
      <w:r>
        <w:rPr>
          <w:rFonts w:ascii="Arial" w:cs="Arial" w:eastAsia="Arial" w:hAnsi="Arial"/>
          <w:sz w:val="12"/>
          <w:szCs w:val="12"/>
          <w:color w:val="auto"/>
        </w:rPr>
        <w:t>If non-performing loans had continued to accrue interest in accordance with their original terms, approximately $0.2 million, $0.5 million and $0.4 million of interest income would have been recognized in each of the years ended 2021, 2020 and 2019, respectively. Interest income recorded on these loans was approximately zero during each of the years ended 2021, 2020 and 2019.</w:t>
      </w:r>
    </w:p>
    <w:p>
      <w:pPr>
        <w:spacing w:after="0" w:line="237" w:lineRule="exact"/>
        <w:rPr>
          <w:sz w:val="20"/>
          <w:szCs w:val="20"/>
          <w:color w:val="auto"/>
        </w:rPr>
      </w:pPr>
    </w:p>
    <w:p>
      <w:pPr>
        <w:jc w:val="center"/>
        <w:ind w:right="-207"/>
        <w:spacing w:after="0"/>
        <w:rPr>
          <w:sz w:val="20"/>
          <w:szCs w:val="20"/>
          <w:color w:val="auto"/>
        </w:rPr>
      </w:pPr>
      <w:r>
        <w:rPr>
          <w:rFonts w:ascii="Arial" w:cs="Arial" w:eastAsia="Arial" w:hAnsi="Arial"/>
          <w:sz w:val="10"/>
          <w:szCs w:val="1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78040" cy="114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7" w:right="299" w:bottom="1440" w:gutter="0" w:footer="0" w:header="0"/>
        </w:sectPr>
      </w:pPr>
    </w:p>
    <w:bookmarkStart w:id="78" w:name="page79"/>
    <w:bookmarkEnd w:id="78"/>
    <w:p>
      <w:pPr>
        <w:jc w:val="center"/>
        <w:ind w:right="-199"/>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27"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The following table provides collateral information by class of loan for collateral-dependent loans with a specific reserve. A loan is considered to be collateral dependent when the borrower is experiencing financial difficulty and the repayment is expected to be provided substantially through the operation or sale of collateral.</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500" w:type="dxa"/>
            <w:vAlign w:val="bottom"/>
          </w:tcPr>
          <w:p>
            <w:pPr>
              <w:ind w:left="200"/>
              <w:spacing w:after="0"/>
              <w:rPr>
                <w:sz w:val="20"/>
                <w:szCs w:val="20"/>
                <w:color w:val="auto"/>
              </w:rPr>
            </w:pPr>
            <w:r>
              <w:rPr>
                <w:rFonts w:ascii="Arial" w:cs="Arial" w:eastAsia="Arial" w:hAnsi="Arial"/>
                <w:sz w:val="12"/>
                <w:szCs w:val="12"/>
                <w:color w:val="auto"/>
              </w:rPr>
              <w:t>The amortized cost of collateral-dependent loans by class follows:</w:t>
            </w:r>
          </w:p>
        </w:tc>
        <w:tc>
          <w:tcPr>
            <w:tcW w:w="1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45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ind w:left="740"/>
              <w:spacing w:after="0"/>
              <w:rPr>
                <w:sz w:val="20"/>
                <w:szCs w:val="20"/>
                <w:color w:val="auto"/>
              </w:rPr>
            </w:pPr>
            <w:r>
              <w:rPr>
                <w:rFonts w:ascii="Arial" w:cs="Arial" w:eastAsia="Arial" w:hAnsi="Arial"/>
                <w:sz w:val="12"/>
                <w:szCs w:val="12"/>
                <w:color w:val="auto"/>
                <w:w w:val="89"/>
              </w:rPr>
              <w:t>Collateral Type</w:t>
            </w: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2"/>
                <w:szCs w:val="12"/>
                <w:color w:val="auto"/>
                <w:w w:val="95"/>
              </w:rPr>
              <w:t>Allowance</w:t>
            </w:r>
          </w:p>
        </w:tc>
        <w:tc>
          <w:tcPr>
            <w:tcW w:w="0" w:type="dxa"/>
            <w:vAlign w:val="bottom"/>
          </w:tcPr>
          <w:p>
            <w:pPr>
              <w:spacing w:after="0"/>
              <w:rPr>
                <w:sz w:val="1"/>
                <w:szCs w:val="1"/>
                <w:color w:val="auto"/>
              </w:rPr>
            </w:pPr>
          </w:p>
        </w:tc>
      </w:tr>
      <w:tr>
        <w:trPr>
          <w:trHeight w:val="133"/>
        </w:trPr>
        <w:tc>
          <w:tcPr>
            <w:tcW w:w="45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80" w:type="dxa"/>
            <w:vAlign w:val="bottom"/>
            <w:gridSpan w:val="3"/>
          </w:tcPr>
          <w:p>
            <w:pPr>
              <w:jc w:val="center"/>
              <w:ind w:right="900"/>
              <w:spacing w:after="0" w:line="133" w:lineRule="exact"/>
              <w:rPr>
                <w:sz w:val="20"/>
                <w:szCs w:val="20"/>
                <w:color w:val="auto"/>
              </w:rPr>
            </w:pPr>
            <w:r>
              <w:rPr>
                <w:rFonts w:ascii="Arial" w:cs="Arial" w:eastAsia="Arial" w:hAnsi="Arial"/>
                <w:sz w:val="12"/>
                <w:szCs w:val="12"/>
                <w:color w:val="auto"/>
                <w:w w:val="88"/>
              </w:rPr>
              <w:t>Real</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gridSpan w:val="2"/>
          </w:tcPr>
          <w:p>
            <w:pPr>
              <w:jc w:val="center"/>
              <w:ind w:right="400"/>
              <w:spacing w:after="0" w:line="133" w:lineRule="exact"/>
              <w:rPr>
                <w:sz w:val="20"/>
                <w:szCs w:val="20"/>
                <w:color w:val="auto"/>
              </w:rPr>
            </w:pPr>
            <w:r>
              <w:rPr>
                <w:rFonts w:ascii="Arial" w:cs="Arial" w:eastAsia="Arial" w:hAnsi="Arial"/>
                <w:sz w:val="12"/>
                <w:szCs w:val="12"/>
                <w:color w:val="auto"/>
                <w:w w:val="99"/>
              </w:rPr>
              <w:t>for</w:t>
            </w:r>
          </w:p>
        </w:tc>
        <w:tc>
          <w:tcPr>
            <w:tcW w:w="0" w:type="dxa"/>
            <w:vAlign w:val="bottom"/>
          </w:tcPr>
          <w:p>
            <w:pPr>
              <w:spacing w:after="0"/>
              <w:rPr>
                <w:sz w:val="1"/>
                <w:szCs w:val="1"/>
                <w:color w:val="auto"/>
              </w:rPr>
            </w:pPr>
          </w:p>
        </w:tc>
      </w:tr>
      <w:tr>
        <w:trPr>
          <w:trHeight w:val="153"/>
        </w:trPr>
        <w:tc>
          <w:tcPr>
            <w:tcW w:w="45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80" w:type="dxa"/>
            <w:vAlign w:val="bottom"/>
            <w:gridSpan w:val="3"/>
          </w:tcPr>
          <w:p>
            <w:pPr>
              <w:jc w:val="center"/>
              <w:ind w:right="920"/>
              <w:spacing w:after="0"/>
              <w:rPr>
                <w:sz w:val="20"/>
                <w:szCs w:val="20"/>
                <w:color w:val="auto"/>
              </w:rPr>
            </w:pPr>
            <w:r>
              <w:rPr>
                <w:rFonts w:ascii="Arial" w:cs="Arial" w:eastAsia="Arial" w:hAnsi="Arial"/>
                <w:sz w:val="12"/>
                <w:szCs w:val="12"/>
                <w:color w:val="auto"/>
                <w:w w:val="82"/>
              </w:rPr>
              <w:t>Estate</w:t>
            </w:r>
          </w:p>
        </w:tc>
        <w:tc>
          <w:tcPr>
            <w:tcW w:w="120" w:type="dxa"/>
            <w:vAlign w:val="bottom"/>
          </w:tcPr>
          <w:p>
            <w:pPr>
              <w:spacing w:after="0"/>
              <w:rPr>
                <w:sz w:val="13"/>
                <w:szCs w:val="13"/>
                <w:color w:val="auto"/>
              </w:rPr>
            </w:pPr>
          </w:p>
        </w:tc>
        <w:tc>
          <w:tcPr>
            <w:tcW w:w="1340" w:type="dxa"/>
            <w:vAlign w:val="bottom"/>
            <w:gridSpan w:val="2"/>
          </w:tcPr>
          <w:p>
            <w:pPr>
              <w:jc w:val="right"/>
              <w:ind w:right="840"/>
              <w:spacing w:after="0"/>
              <w:rPr>
                <w:sz w:val="20"/>
                <w:szCs w:val="20"/>
                <w:color w:val="auto"/>
              </w:rPr>
            </w:pPr>
            <w:r>
              <w:rPr>
                <w:rFonts w:ascii="Arial" w:cs="Arial" w:eastAsia="Arial" w:hAnsi="Arial"/>
                <w:sz w:val="12"/>
                <w:szCs w:val="12"/>
                <w:color w:val="auto"/>
              </w:rPr>
              <w:t>Other</w:t>
            </w:r>
          </w:p>
        </w:tc>
        <w:tc>
          <w:tcPr>
            <w:tcW w:w="360" w:type="dxa"/>
            <w:vAlign w:val="bottom"/>
          </w:tcPr>
          <w:p>
            <w:pPr>
              <w:spacing w:after="0"/>
              <w:rPr>
                <w:sz w:val="13"/>
                <w:szCs w:val="13"/>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2"/>
                <w:szCs w:val="12"/>
                <w:color w:val="auto"/>
                <w:w w:val="89"/>
              </w:rPr>
              <w:t>Credit Losses</w:t>
            </w:r>
          </w:p>
        </w:tc>
        <w:tc>
          <w:tcPr>
            <w:tcW w:w="0" w:type="dxa"/>
            <w:vAlign w:val="bottom"/>
          </w:tcPr>
          <w:p>
            <w:pPr>
              <w:spacing w:after="0"/>
              <w:rPr>
                <w:sz w:val="1"/>
                <w:szCs w:val="1"/>
                <w:color w:val="auto"/>
              </w:rPr>
            </w:pPr>
          </w:p>
        </w:tc>
      </w:tr>
      <w:tr>
        <w:trPr>
          <w:trHeight w:val="151"/>
        </w:trPr>
        <w:tc>
          <w:tcPr>
            <w:tcW w:w="4500" w:type="dxa"/>
            <w:vAlign w:val="bottom"/>
            <w:vMerge w:val="restart"/>
          </w:tcPr>
          <w:p>
            <w:pPr>
              <w:ind w:left="200"/>
              <w:spacing w:after="0"/>
              <w:rPr>
                <w:sz w:val="20"/>
                <w:szCs w:val="20"/>
                <w:color w:val="auto"/>
              </w:rPr>
            </w:pPr>
            <w:r>
              <w:rPr>
                <w:rFonts w:ascii="Arial" w:cs="Arial" w:eastAsia="Arial" w:hAnsi="Arial"/>
                <w:sz w:val="12"/>
                <w:szCs w:val="12"/>
                <w:color w:val="auto"/>
              </w:rPr>
              <w:t>December 31, 2021</w:t>
            </w:r>
          </w:p>
        </w:tc>
        <w:tc>
          <w:tcPr>
            <w:tcW w:w="190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20"/>
              <w:spacing w:after="0"/>
              <w:rPr>
                <w:sz w:val="20"/>
                <w:szCs w:val="20"/>
                <w:color w:val="auto"/>
              </w:rPr>
            </w:pPr>
            <w:r>
              <w:rPr>
                <w:rFonts w:ascii="Arial" w:cs="Arial" w:eastAsia="Arial" w:hAnsi="Arial"/>
                <w:sz w:val="12"/>
                <w:szCs w:val="12"/>
                <w:color w:val="auto"/>
                <w:w w:val="96"/>
              </w:rPr>
              <w:t>(In thousands)</w:t>
            </w:r>
          </w:p>
        </w:tc>
        <w:tc>
          <w:tcPr>
            <w:tcW w:w="5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4500" w:type="dxa"/>
            <w:vAlign w:val="bottom"/>
            <w:vMerge w:val="continue"/>
          </w:tcPr>
          <w:p>
            <w:pPr>
              <w:spacing w:after="0"/>
              <w:rPr>
                <w:sz w:val="10"/>
                <w:szCs w:val="10"/>
                <w:color w:val="auto"/>
              </w:rPr>
            </w:pPr>
          </w:p>
        </w:tc>
        <w:tc>
          <w:tcPr>
            <w:tcW w:w="19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500" w:type="dxa"/>
            <w:vAlign w:val="bottom"/>
          </w:tcPr>
          <w:p>
            <w:pPr>
              <w:ind w:left="320"/>
              <w:spacing w:after="0"/>
              <w:rPr>
                <w:sz w:val="20"/>
                <w:szCs w:val="20"/>
                <w:color w:val="auto"/>
              </w:rPr>
            </w:pPr>
            <w:r>
              <w:rPr>
                <w:rFonts w:ascii="Arial" w:cs="Arial" w:eastAsia="Arial" w:hAnsi="Arial"/>
                <w:sz w:val="12"/>
                <w:szCs w:val="12"/>
                <w:color w:val="auto"/>
              </w:rPr>
              <w:t>Commercial</w:t>
            </w:r>
          </w:p>
        </w:tc>
        <w:tc>
          <w:tcPr>
            <w:tcW w:w="1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500" w:type="dxa"/>
            <w:vAlign w:val="bottom"/>
            <w:shd w:val="clear" w:color="auto" w:fill="CCEEFF"/>
          </w:tcPr>
          <w:p>
            <w:pPr>
              <w:ind w:left="320"/>
              <w:spacing w:after="0"/>
              <w:rPr>
                <w:sz w:val="20"/>
                <w:szCs w:val="20"/>
                <w:color w:val="auto"/>
              </w:rPr>
            </w:pPr>
            <w:r>
              <w:rPr>
                <w:rFonts w:ascii="Arial" w:cs="Arial" w:eastAsia="Arial" w:hAnsi="Arial"/>
                <w:sz w:val="12"/>
                <w:szCs w:val="12"/>
                <w:color w:val="auto"/>
              </w:rPr>
              <w:t>Commercial and industrial</w:t>
            </w:r>
          </w:p>
        </w:tc>
        <w:tc>
          <w:tcPr>
            <w:tcW w:w="23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245</w:t>
            </w:r>
          </w:p>
        </w:tc>
        <w:tc>
          <w:tcPr>
            <w:tcW w:w="3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51</w:t>
            </w:r>
          </w:p>
        </w:tc>
        <w:tc>
          <w:tcPr>
            <w:tcW w:w="0" w:type="dxa"/>
            <w:vAlign w:val="bottom"/>
          </w:tcPr>
          <w:p>
            <w:pPr>
              <w:spacing w:after="0"/>
              <w:rPr>
                <w:sz w:val="1"/>
                <w:szCs w:val="1"/>
                <w:color w:val="auto"/>
              </w:rPr>
            </w:pPr>
          </w:p>
        </w:tc>
      </w:tr>
      <w:tr>
        <w:trPr>
          <w:trHeight w:val="144"/>
        </w:trPr>
        <w:tc>
          <w:tcPr>
            <w:tcW w:w="4500" w:type="dxa"/>
            <w:vAlign w:val="bottom"/>
          </w:tcPr>
          <w:p>
            <w:pPr>
              <w:ind w:left="320"/>
              <w:spacing w:after="0"/>
              <w:rPr>
                <w:sz w:val="20"/>
                <w:szCs w:val="20"/>
                <w:color w:val="auto"/>
              </w:rPr>
            </w:pPr>
            <w:r>
              <w:rPr>
                <w:rFonts w:ascii="Arial" w:cs="Arial" w:eastAsia="Arial" w:hAnsi="Arial"/>
                <w:sz w:val="12"/>
                <w:szCs w:val="12"/>
                <w:color w:val="auto"/>
              </w:rPr>
              <w:t>Commercial real estate</w:t>
            </w:r>
          </w:p>
        </w:tc>
        <w:tc>
          <w:tcPr>
            <w:tcW w:w="1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84</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2"/>
                <w:szCs w:val="1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2"/>
                <w:szCs w:val="12"/>
                <w:color w:val="auto"/>
              </w:rPr>
              <w:t>19</w:t>
            </w:r>
          </w:p>
        </w:tc>
        <w:tc>
          <w:tcPr>
            <w:tcW w:w="0" w:type="dxa"/>
            <w:vAlign w:val="bottom"/>
          </w:tcPr>
          <w:p>
            <w:pPr>
              <w:spacing w:after="0"/>
              <w:rPr>
                <w:sz w:val="1"/>
                <w:szCs w:val="1"/>
                <w:color w:val="auto"/>
              </w:rPr>
            </w:pPr>
          </w:p>
        </w:tc>
      </w:tr>
      <w:tr>
        <w:trPr>
          <w:trHeight w:val="144"/>
        </w:trPr>
        <w:tc>
          <w:tcPr>
            <w:tcW w:w="45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Mortgage</w:t>
            </w:r>
          </w:p>
        </w:tc>
        <w:tc>
          <w:tcPr>
            <w:tcW w:w="19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500" w:type="dxa"/>
            <w:vAlign w:val="bottom"/>
          </w:tcPr>
          <w:p>
            <w:pPr>
              <w:ind w:left="320"/>
              <w:spacing w:after="0"/>
              <w:rPr>
                <w:sz w:val="20"/>
                <w:szCs w:val="20"/>
                <w:color w:val="auto"/>
              </w:rPr>
            </w:pPr>
            <w:r>
              <w:rPr>
                <w:rFonts w:ascii="Arial" w:cs="Arial" w:eastAsia="Arial" w:hAnsi="Arial"/>
                <w:sz w:val="12"/>
                <w:szCs w:val="12"/>
                <w:color w:val="auto"/>
              </w:rPr>
              <w:t>1-4 family owner occupied - jumbo</w:t>
            </w:r>
          </w:p>
        </w:tc>
        <w:tc>
          <w:tcPr>
            <w:tcW w:w="1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607</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2"/>
                <w:szCs w:val="1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4500" w:type="dxa"/>
            <w:vAlign w:val="bottom"/>
            <w:shd w:val="clear" w:color="auto" w:fill="CCEEFF"/>
          </w:tcPr>
          <w:p>
            <w:pPr>
              <w:ind w:left="320"/>
              <w:spacing w:after="0"/>
              <w:rPr>
                <w:sz w:val="20"/>
                <w:szCs w:val="20"/>
                <w:color w:val="auto"/>
              </w:rPr>
            </w:pPr>
            <w:r>
              <w:rPr>
                <w:rFonts w:ascii="Arial" w:cs="Arial" w:eastAsia="Arial" w:hAnsi="Arial"/>
                <w:sz w:val="12"/>
                <w:szCs w:val="12"/>
                <w:color w:val="auto"/>
              </w:rPr>
              <w:t>1-4 family owner occupied - non-jumbo</w:t>
            </w:r>
          </w:p>
        </w:tc>
        <w:tc>
          <w:tcPr>
            <w:tcW w:w="19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940</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286</w:t>
            </w:r>
          </w:p>
        </w:tc>
        <w:tc>
          <w:tcPr>
            <w:tcW w:w="0" w:type="dxa"/>
            <w:vAlign w:val="bottom"/>
          </w:tcPr>
          <w:p>
            <w:pPr>
              <w:spacing w:after="0"/>
              <w:rPr>
                <w:sz w:val="1"/>
                <w:szCs w:val="1"/>
                <w:color w:val="auto"/>
              </w:rPr>
            </w:pPr>
          </w:p>
        </w:tc>
      </w:tr>
      <w:tr>
        <w:trPr>
          <w:trHeight w:val="144"/>
        </w:trPr>
        <w:tc>
          <w:tcPr>
            <w:tcW w:w="4500" w:type="dxa"/>
            <w:vAlign w:val="bottom"/>
          </w:tcPr>
          <w:p>
            <w:pPr>
              <w:ind w:left="320"/>
              <w:spacing w:after="0"/>
              <w:rPr>
                <w:sz w:val="20"/>
                <w:szCs w:val="20"/>
                <w:color w:val="auto"/>
              </w:rPr>
            </w:pPr>
            <w:r>
              <w:rPr>
                <w:rFonts w:ascii="Arial" w:cs="Arial" w:eastAsia="Arial" w:hAnsi="Arial"/>
                <w:sz w:val="12"/>
                <w:szCs w:val="12"/>
                <w:color w:val="auto"/>
              </w:rPr>
              <w:t>1-4 family non-owner occupied</w:t>
            </w:r>
          </w:p>
        </w:tc>
        <w:tc>
          <w:tcPr>
            <w:tcW w:w="1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477</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2"/>
                <w:szCs w:val="1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2"/>
                <w:szCs w:val="12"/>
                <w:color w:val="auto"/>
              </w:rPr>
              <w:t>72</w:t>
            </w:r>
          </w:p>
        </w:tc>
        <w:tc>
          <w:tcPr>
            <w:tcW w:w="0" w:type="dxa"/>
            <w:vAlign w:val="bottom"/>
          </w:tcPr>
          <w:p>
            <w:pPr>
              <w:spacing w:after="0"/>
              <w:rPr>
                <w:sz w:val="1"/>
                <w:szCs w:val="1"/>
                <w:color w:val="auto"/>
              </w:rPr>
            </w:pPr>
          </w:p>
        </w:tc>
      </w:tr>
      <w:tr>
        <w:trPr>
          <w:trHeight w:val="144"/>
        </w:trPr>
        <w:tc>
          <w:tcPr>
            <w:tcW w:w="4500" w:type="dxa"/>
            <w:vAlign w:val="bottom"/>
            <w:shd w:val="clear" w:color="auto" w:fill="CCEEFF"/>
          </w:tcPr>
          <w:p>
            <w:pPr>
              <w:ind w:left="320"/>
              <w:spacing w:after="0"/>
              <w:rPr>
                <w:sz w:val="20"/>
                <w:szCs w:val="20"/>
                <w:color w:val="auto"/>
              </w:rPr>
            </w:pPr>
            <w:r>
              <w:rPr>
                <w:rFonts w:ascii="Arial" w:cs="Arial" w:eastAsia="Arial" w:hAnsi="Arial"/>
                <w:sz w:val="12"/>
                <w:szCs w:val="12"/>
                <w:color w:val="auto"/>
              </w:rPr>
              <w:t>1-4 family - 2nd lien</w:t>
            </w:r>
          </w:p>
        </w:tc>
        <w:tc>
          <w:tcPr>
            <w:tcW w:w="19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370</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67</w:t>
            </w:r>
          </w:p>
        </w:tc>
        <w:tc>
          <w:tcPr>
            <w:tcW w:w="0" w:type="dxa"/>
            <w:vAlign w:val="bottom"/>
          </w:tcPr>
          <w:p>
            <w:pPr>
              <w:spacing w:after="0"/>
              <w:rPr>
                <w:sz w:val="1"/>
                <w:szCs w:val="1"/>
                <w:color w:val="auto"/>
              </w:rPr>
            </w:pPr>
          </w:p>
        </w:tc>
      </w:tr>
      <w:tr>
        <w:trPr>
          <w:trHeight w:val="144"/>
        </w:trPr>
        <w:tc>
          <w:tcPr>
            <w:tcW w:w="4500" w:type="dxa"/>
            <w:vAlign w:val="bottom"/>
          </w:tcPr>
          <w:p>
            <w:pPr>
              <w:ind w:left="320"/>
              <w:spacing w:after="0"/>
              <w:rPr>
                <w:sz w:val="20"/>
                <w:szCs w:val="20"/>
                <w:color w:val="auto"/>
              </w:rPr>
            </w:pPr>
            <w:r>
              <w:rPr>
                <w:rFonts w:ascii="Arial" w:cs="Arial" w:eastAsia="Arial" w:hAnsi="Arial"/>
                <w:sz w:val="12"/>
                <w:szCs w:val="12"/>
                <w:color w:val="auto"/>
              </w:rPr>
              <w:t>Resort lending</w:t>
            </w:r>
          </w:p>
        </w:tc>
        <w:tc>
          <w:tcPr>
            <w:tcW w:w="1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237</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2"/>
                <w:szCs w:val="1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2"/>
                <w:szCs w:val="12"/>
                <w:color w:val="auto"/>
              </w:rPr>
              <w:t>42</w:t>
            </w:r>
          </w:p>
        </w:tc>
        <w:tc>
          <w:tcPr>
            <w:tcW w:w="0" w:type="dxa"/>
            <w:vAlign w:val="bottom"/>
          </w:tcPr>
          <w:p>
            <w:pPr>
              <w:spacing w:after="0"/>
              <w:rPr>
                <w:sz w:val="1"/>
                <w:szCs w:val="1"/>
                <w:color w:val="auto"/>
              </w:rPr>
            </w:pPr>
          </w:p>
        </w:tc>
      </w:tr>
      <w:tr>
        <w:trPr>
          <w:trHeight w:val="144"/>
        </w:trPr>
        <w:tc>
          <w:tcPr>
            <w:tcW w:w="45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Installment</w:t>
            </w:r>
          </w:p>
        </w:tc>
        <w:tc>
          <w:tcPr>
            <w:tcW w:w="19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500" w:type="dxa"/>
            <w:vAlign w:val="bottom"/>
          </w:tcPr>
          <w:p>
            <w:pPr>
              <w:ind w:left="320"/>
              <w:spacing w:after="0"/>
              <w:rPr>
                <w:sz w:val="20"/>
                <w:szCs w:val="20"/>
                <w:color w:val="auto"/>
              </w:rPr>
            </w:pPr>
            <w:r>
              <w:rPr>
                <w:rFonts w:ascii="Arial" w:cs="Arial" w:eastAsia="Arial" w:hAnsi="Arial"/>
                <w:sz w:val="12"/>
                <w:szCs w:val="12"/>
                <w:color w:val="auto"/>
              </w:rPr>
              <w:t>Boat lending</w:t>
            </w:r>
          </w:p>
        </w:tc>
        <w:tc>
          <w:tcPr>
            <w:tcW w:w="1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2"/>
                <w:szCs w:val="12"/>
                <w:color w:val="auto"/>
              </w:rPr>
              <w:t>80</w:t>
            </w:r>
          </w:p>
        </w:tc>
        <w:tc>
          <w:tcPr>
            <w:tcW w:w="360" w:type="dxa"/>
            <w:vAlign w:val="bottom"/>
          </w:tcPr>
          <w:p>
            <w:pPr>
              <w:spacing w:after="0"/>
              <w:rPr>
                <w:sz w:val="12"/>
                <w:szCs w:val="1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2"/>
                <w:szCs w:val="12"/>
                <w:color w:val="auto"/>
              </w:rPr>
              <w:t>29</w:t>
            </w:r>
          </w:p>
        </w:tc>
        <w:tc>
          <w:tcPr>
            <w:tcW w:w="0" w:type="dxa"/>
            <w:vAlign w:val="bottom"/>
          </w:tcPr>
          <w:p>
            <w:pPr>
              <w:spacing w:after="0"/>
              <w:rPr>
                <w:sz w:val="1"/>
                <w:szCs w:val="1"/>
                <w:color w:val="auto"/>
              </w:rPr>
            </w:pPr>
          </w:p>
        </w:tc>
      </w:tr>
      <w:tr>
        <w:trPr>
          <w:trHeight w:val="144"/>
        </w:trPr>
        <w:tc>
          <w:tcPr>
            <w:tcW w:w="4500" w:type="dxa"/>
            <w:vAlign w:val="bottom"/>
            <w:shd w:val="clear" w:color="auto" w:fill="CCEEFF"/>
          </w:tcPr>
          <w:p>
            <w:pPr>
              <w:ind w:left="320"/>
              <w:spacing w:after="0"/>
              <w:rPr>
                <w:sz w:val="20"/>
                <w:szCs w:val="20"/>
                <w:color w:val="auto"/>
              </w:rPr>
            </w:pPr>
            <w:r>
              <w:rPr>
                <w:rFonts w:ascii="Arial" w:cs="Arial" w:eastAsia="Arial" w:hAnsi="Arial"/>
                <w:sz w:val="12"/>
                <w:szCs w:val="12"/>
                <w:color w:val="auto"/>
              </w:rPr>
              <w:t>Recreational vehicle lending</w:t>
            </w:r>
          </w:p>
        </w:tc>
        <w:tc>
          <w:tcPr>
            <w:tcW w:w="19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121</w:t>
            </w:r>
          </w:p>
        </w:tc>
        <w:tc>
          <w:tcPr>
            <w:tcW w:w="3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44</w:t>
            </w:r>
          </w:p>
        </w:tc>
        <w:tc>
          <w:tcPr>
            <w:tcW w:w="0" w:type="dxa"/>
            <w:vAlign w:val="bottom"/>
          </w:tcPr>
          <w:p>
            <w:pPr>
              <w:spacing w:after="0"/>
              <w:rPr>
                <w:sz w:val="1"/>
                <w:szCs w:val="1"/>
                <w:color w:val="auto"/>
              </w:rPr>
            </w:pPr>
          </w:p>
        </w:tc>
      </w:tr>
      <w:tr>
        <w:trPr>
          <w:trHeight w:val="144"/>
        </w:trPr>
        <w:tc>
          <w:tcPr>
            <w:tcW w:w="4500" w:type="dxa"/>
            <w:vAlign w:val="bottom"/>
          </w:tcPr>
          <w:p>
            <w:pPr>
              <w:ind w:left="320"/>
              <w:spacing w:after="0"/>
              <w:rPr>
                <w:sz w:val="20"/>
                <w:szCs w:val="20"/>
                <w:color w:val="auto"/>
              </w:rPr>
            </w:pPr>
            <w:r>
              <w:rPr>
                <w:rFonts w:ascii="Arial" w:cs="Arial" w:eastAsia="Arial" w:hAnsi="Arial"/>
                <w:sz w:val="12"/>
                <w:szCs w:val="12"/>
                <w:color w:val="auto"/>
              </w:rPr>
              <w:t>Other</w:t>
            </w:r>
          </w:p>
        </w:tc>
        <w:tc>
          <w:tcPr>
            <w:tcW w:w="1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2"/>
                <w:szCs w:val="12"/>
                <w:color w:val="auto"/>
              </w:rPr>
              <w:t>70</w:t>
            </w:r>
          </w:p>
        </w:tc>
        <w:tc>
          <w:tcPr>
            <w:tcW w:w="360" w:type="dxa"/>
            <w:vAlign w:val="bottom"/>
          </w:tcPr>
          <w:p>
            <w:pPr>
              <w:spacing w:after="0"/>
              <w:rPr>
                <w:sz w:val="12"/>
                <w:szCs w:val="1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2"/>
                <w:szCs w:val="12"/>
                <w:color w:val="auto"/>
              </w:rPr>
              <w:t>25</w:t>
            </w:r>
          </w:p>
        </w:tc>
        <w:tc>
          <w:tcPr>
            <w:tcW w:w="0" w:type="dxa"/>
            <w:vAlign w:val="bottom"/>
          </w:tcPr>
          <w:p>
            <w:pPr>
              <w:spacing w:after="0"/>
              <w:rPr>
                <w:sz w:val="1"/>
                <w:szCs w:val="1"/>
                <w:color w:val="auto"/>
              </w:rPr>
            </w:pPr>
          </w:p>
        </w:tc>
      </w:tr>
      <w:tr>
        <w:trPr>
          <w:trHeight w:val="182"/>
        </w:trPr>
        <w:tc>
          <w:tcPr>
            <w:tcW w:w="45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2"/>
                <w:szCs w:val="12"/>
                <w:color w:val="auto"/>
              </w:rPr>
              <w:t>Total</w:t>
            </w:r>
          </w:p>
        </w:tc>
        <w:tc>
          <w:tcPr>
            <w:tcW w:w="19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2,795</w:t>
            </w:r>
          </w:p>
        </w:tc>
        <w:tc>
          <w:tcPr>
            <w:tcW w:w="5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516</w:t>
            </w:r>
          </w:p>
        </w:tc>
        <w:tc>
          <w:tcPr>
            <w:tcW w:w="5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635</w:t>
            </w:r>
          </w:p>
        </w:tc>
        <w:tc>
          <w:tcPr>
            <w:tcW w:w="2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4500" w:type="dxa"/>
            <w:vAlign w:val="bottom"/>
          </w:tcPr>
          <w:p>
            <w:pPr>
              <w:spacing w:after="0"/>
              <w:rPr>
                <w:sz w:val="10"/>
                <w:szCs w:val="10"/>
                <w:color w:val="auto"/>
              </w:rPr>
            </w:pPr>
          </w:p>
        </w:tc>
        <w:tc>
          <w:tcPr>
            <w:tcW w:w="2320" w:type="dxa"/>
            <w:vAlign w:val="bottom"/>
            <w:gridSpan w:val="2"/>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gridSpan w:val="2"/>
          </w:tcPr>
          <w:p>
            <w:pPr>
              <w:spacing w:after="0"/>
              <w:rPr>
                <w:sz w:val="10"/>
                <w:szCs w:val="10"/>
                <w:color w:val="auto"/>
              </w:rPr>
            </w:pPr>
          </w:p>
        </w:tc>
        <w:tc>
          <w:tcPr>
            <w:tcW w:w="3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4500" w:type="dxa"/>
            <w:vAlign w:val="bottom"/>
            <w:shd w:val="clear" w:color="auto" w:fill="CCEEFF"/>
          </w:tcPr>
          <w:p>
            <w:pPr>
              <w:ind w:left="320"/>
              <w:spacing w:after="0"/>
              <w:rPr>
                <w:sz w:val="20"/>
                <w:szCs w:val="20"/>
                <w:color w:val="auto"/>
              </w:rPr>
            </w:pPr>
            <w:r>
              <w:rPr>
                <w:rFonts w:ascii="Arial" w:cs="Arial" w:eastAsia="Arial" w:hAnsi="Arial"/>
                <w:sz w:val="12"/>
                <w:szCs w:val="12"/>
                <w:color w:val="auto"/>
              </w:rPr>
              <w:t>Accrued interest excluded from total</w:t>
            </w:r>
          </w:p>
        </w:tc>
        <w:tc>
          <w:tcPr>
            <w:tcW w:w="23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1</w:t>
            </w:r>
          </w:p>
        </w:tc>
        <w:tc>
          <w:tcPr>
            <w:tcW w:w="3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55"/>
        </w:trPr>
        <w:tc>
          <w:tcPr>
            <w:tcW w:w="4500" w:type="dxa"/>
            <w:vAlign w:val="bottom"/>
            <w:tcBorders>
              <w:top w:val="single" w:sz="8" w:color="CCEEFF"/>
            </w:tcBorders>
          </w:tcPr>
          <w:p>
            <w:pPr>
              <w:spacing w:after="0"/>
              <w:rPr>
                <w:sz w:val="24"/>
                <w:szCs w:val="24"/>
                <w:color w:val="auto"/>
              </w:rPr>
            </w:pPr>
          </w:p>
        </w:tc>
        <w:tc>
          <w:tcPr>
            <w:tcW w:w="1900" w:type="dxa"/>
            <w:vAlign w:val="bottom"/>
            <w:tcBorders>
              <w:top w:val="single" w:sz="8" w:color="CCEEFF"/>
            </w:tcBorders>
          </w:tcPr>
          <w:p>
            <w:pPr>
              <w:jc w:val="right"/>
              <w:ind w:right="644"/>
              <w:spacing w:after="0"/>
              <w:rPr>
                <w:sz w:val="20"/>
                <w:szCs w:val="20"/>
                <w:color w:val="auto"/>
              </w:rPr>
            </w:pPr>
            <w:r>
              <w:rPr>
                <w:rFonts w:ascii="Arial" w:cs="Arial" w:eastAsia="Arial" w:hAnsi="Arial"/>
                <w:sz w:val="10"/>
                <w:szCs w:val="10"/>
                <w:color w:val="auto"/>
              </w:rPr>
              <w:t>59</w:t>
            </w:r>
          </w:p>
        </w:tc>
        <w:tc>
          <w:tcPr>
            <w:tcW w:w="4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5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27" w:right="299" w:bottom="1440" w:gutter="0" w:footer="0" w:header="0"/>
        </w:sectPr>
      </w:pPr>
    </w:p>
    <w:bookmarkStart w:id="79" w:name="page80"/>
    <w:bookmarkEnd w:id="7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40" w:type="dxa"/>
            <w:vAlign w:val="bottom"/>
            <w:gridSpan w:val="9"/>
          </w:tcPr>
          <w:p>
            <w:pPr>
              <w:jc w:val="right"/>
              <w:ind w:right="52"/>
              <w:spacing w:after="0"/>
              <w:rPr>
                <w:sz w:val="20"/>
                <w:szCs w:val="20"/>
                <w:color w:val="auto"/>
              </w:rPr>
            </w:pPr>
            <w:r>
              <w:rPr>
                <w:rFonts w:ascii="Arial" w:cs="Arial" w:eastAsia="Arial" w:hAnsi="Arial"/>
                <w:sz w:val="12"/>
                <w:szCs w:val="12"/>
                <w:b w:val="1"/>
                <w:bCs w:val="1"/>
                <w:color w:val="auto"/>
              </w:rPr>
              <w:t>NOTES TO CONSOLIDATED FINANCIAL STATEMENTS − (Continued)</w:t>
            </w: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3280" w:type="dxa"/>
            <w:vAlign w:val="bottom"/>
          </w:tcPr>
          <w:p>
            <w:pPr>
              <w:ind w:left="200"/>
              <w:spacing w:after="0"/>
              <w:rPr>
                <w:sz w:val="20"/>
                <w:szCs w:val="20"/>
                <w:color w:val="auto"/>
              </w:rPr>
            </w:pPr>
            <w:r>
              <w:rPr>
                <w:rFonts w:ascii="Arial" w:cs="Arial" w:eastAsia="Arial" w:hAnsi="Arial"/>
                <w:sz w:val="12"/>
                <w:szCs w:val="12"/>
                <w:color w:val="auto"/>
                <w:w w:val="96"/>
              </w:rPr>
              <w:t>An aging analysis of loans by class at December 31 follows:</w:t>
            </w: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3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2"/>
                <w:szCs w:val="12"/>
                <w:color w:val="auto"/>
              </w:rPr>
              <w:t>Loans Past Due</w:t>
            </w: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2"/>
                <w:szCs w:val="12"/>
                <w:color w:val="auto"/>
              </w:rPr>
              <w:t>Loans not</w:t>
            </w:r>
          </w:p>
        </w:tc>
        <w:tc>
          <w:tcPr>
            <w:tcW w:w="240" w:type="dxa"/>
            <w:vAlign w:val="bottom"/>
          </w:tcPr>
          <w:p>
            <w:pPr>
              <w:spacing w:after="0"/>
              <w:rPr>
                <w:sz w:val="24"/>
                <w:szCs w:val="24"/>
                <w:color w:val="auto"/>
              </w:rPr>
            </w:pPr>
          </w:p>
        </w:tc>
        <w:tc>
          <w:tcPr>
            <w:tcW w:w="1000" w:type="dxa"/>
            <w:vAlign w:val="bottom"/>
            <w:gridSpan w:val="2"/>
          </w:tcPr>
          <w:p>
            <w:pPr>
              <w:jc w:val="right"/>
              <w:ind w:right="560"/>
              <w:spacing w:after="0"/>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color w:val="auto"/>
              </w:rPr>
              <w:t>30-59 days</w:t>
            </w:r>
          </w:p>
        </w:tc>
        <w:tc>
          <w:tcPr>
            <w:tcW w:w="2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color w:val="auto"/>
              </w:rPr>
              <w:t>60-89 days</w:t>
            </w: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color w:val="auto"/>
                <w:w w:val="97"/>
              </w:rPr>
              <w:t>90+ days</w:t>
            </w:r>
          </w:p>
        </w:tc>
        <w:tc>
          <w:tcPr>
            <w:tcW w:w="2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rPr>
              <w:t>Total</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color w:val="auto"/>
              </w:rPr>
              <w:t>Past Due</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color w:val="auto"/>
              </w:rPr>
              <w:t>Loans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3280" w:type="dxa"/>
            <w:vAlign w:val="bottom"/>
            <w:vMerge w:val="restart"/>
          </w:tcPr>
          <w:p>
            <w:pPr>
              <w:spacing w:after="0"/>
              <w:rPr>
                <w:sz w:val="20"/>
                <w:szCs w:val="20"/>
                <w:color w:val="auto"/>
              </w:rPr>
            </w:pPr>
            <w:r>
              <w:rPr>
                <w:rFonts w:ascii="Arial" w:cs="Arial" w:eastAsia="Arial" w:hAnsi="Arial"/>
                <w:sz w:val="12"/>
                <w:szCs w:val="12"/>
                <w:color w:val="auto"/>
              </w:rPr>
              <w:t>2021</w:t>
            </w: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jc w:val="right"/>
              <w:ind w:right="80"/>
              <w:spacing w:after="0"/>
              <w:rPr>
                <w:sz w:val="20"/>
                <w:szCs w:val="20"/>
                <w:color w:val="auto"/>
              </w:rPr>
            </w:pPr>
            <w:r>
              <w:rPr>
                <w:rFonts w:ascii="Arial" w:cs="Arial" w:eastAsia="Arial" w:hAnsi="Arial"/>
                <w:sz w:val="12"/>
                <w:szCs w:val="12"/>
                <w:color w:val="auto"/>
              </w:rPr>
              <w:t>(In</w:t>
            </w:r>
          </w:p>
        </w:tc>
        <w:tc>
          <w:tcPr>
            <w:tcW w:w="540" w:type="dxa"/>
            <w:vAlign w:val="bottom"/>
            <w:gridSpan w:val="2"/>
          </w:tcPr>
          <w:p>
            <w:pPr>
              <w:jc w:val="right"/>
              <w:ind w:right="72"/>
              <w:spacing w:after="0"/>
              <w:rPr>
                <w:sz w:val="20"/>
                <w:szCs w:val="20"/>
                <w:color w:val="auto"/>
              </w:rPr>
            </w:pPr>
            <w:r>
              <w:rPr>
                <w:rFonts w:ascii="Arial" w:cs="Arial" w:eastAsia="Arial" w:hAnsi="Arial"/>
                <w:sz w:val="11"/>
                <w:szCs w:val="11"/>
                <w:color w:val="auto"/>
                <w:w w:val="73"/>
              </w:rPr>
              <w:t>thousands)</w:t>
            </w: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32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280" w:type="dxa"/>
            <w:vAlign w:val="bottom"/>
          </w:tcPr>
          <w:p>
            <w:pPr>
              <w:ind w:left="80"/>
              <w:spacing w:after="0"/>
              <w:rPr>
                <w:sz w:val="20"/>
                <w:szCs w:val="20"/>
                <w:color w:val="auto"/>
              </w:rPr>
            </w:pPr>
            <w:r>
              <w:rPr>
                <w:rFonts w:ascii="Arial" w:cs="Arial" w:eastAsia="Arial" w:hAnsi="Arial"/>
                <w:sz w:val="12"/>
                <w:szCs w:val="12"/>
                <w:color w:val="auto"/>
              </w:rPr>
              <w:t>Commercial</w:t>
            </w: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Commercial and industrial</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w:t>
            </w: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66"/>
              <w:spacing w:after="0"/>
              <w:rPr>
                <w:sz w:val="20"/>
                <w:szCs w:val="20"/>
                <w:color w:val="auto"/>
              </w:rPr>
            </w:pPr>
            <w:r>
              <w:rPr>
                <w:rFonts w:ascii="Arial" w:cs="Arial" w:eastAsia="Arial" w:hAnsi="Arial"/>
                <w:sz w:val="12"/>
                <w:szCs w:val="12"/>
                <w:color w:val="auto"/>
              </w:rPr>
              <w:t>62</w:t>
            </w: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64</w:t>
            </w: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593,048</w:t>
            </w: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593,112</w:t>
            </w:r>
          </w:p>
        </w:tc>
        <w:tc>
          <w:tcPr>
            <w:tcW w:w="0" w:type="dxa"/>
            <w:vAlign w:val="bottom"/>
          </w:tcPr>
          <w:p>
            <w:pPr>
              <w:spacing w:after="0"/>
              <w:rPr>
                <w:sz w:val="1"/>
                <w:szCs w:val="1"/>
                <w:color w:val="auto"/>
              </w:rPr>
            </w:pPr>
          </w:p>
        </w:tc>
      </w:tr>
      <w:tr>
        <w:trPr>
          <w:trHeight w:val="144"/>
        </w:trPr>
        <w:tc>
          <w:tcPr>
            <w:tcW w:w="3280" w:type="dxa"/>
            <w:vAlign w:val="bottom"/>
          </w:tcPr>
          <w:p>
            <w:pPr>
              <w:ind w:left="200"/>
              <w:spacing w:after="0"/>
              <w:rPr>
                <w:sz w:val="20"/>
                <w:szCs w:val="20"/>
                <w:color w:val="auto"/>
              </w:rPr>
            </w:pPr>
            <w:r>
              <w:rPr>
                <w:rFonts w:ascii="Arial" w:cs="Arial" w:eastAsia="Arial" w:hAnsi="Arial"/>
                <w:sz w:val="12"/>
                <w:szCs w:val="12"/>
                <w:color w:val="auto"/>
              </w:rPr>
              <w:t>Commercial real estate</w:t>
            </w:r>
          </w:p>
        </w:tc>
        <w:tc>
          <w:tcPr>
            <w:tcW w:w="1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1060" w:type="dxa"/>
            <w:vAlign w:val="bottom"/>
            <w:gridSpan w:val="2"/>
          </w:tcPr>
          <w:p>
            <w:pPr>
              <w:jc w:val="right"/>
              <w:ind w:right="166"/>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610,469</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610,469</w:t>
            </w:r>
          </w:p>
        </w:tc>
        <w:tc>
          <w:tcPr>
            <w:tcW w:w="0" w:type="dxa"/>
            <w:vAlign w:val="bottom"/>
          </w:tcPr>
          <w:p>
            <w:pPr>
              <w:spacing w:after="0"/>
              <w:rPr>
                <w:sz w:val="1"/>
                <w:szCs w:val="1"/>
                <w:color w:val="auto"/>
              </w:rPr>
            </w:pPr>
          </w:p>
        </w:tc>
      </w:tr>
      <w:tr>
        <w:trPr>
          <w:trHeight w:val="144"/>
        </w:trPr>
        <w:tc>
          <w:tcPr>
            <w:tcW w:w="3280" w:type="dxa"/>
            <w:vAlign w:val="bottom"/>
            <w:shd w:val="clear" w:color="auto" w:fill="CCEEFF"/>
          </w:tcPr>
          <w:p>
            <w:pPr>
              <w:ind w:left="80"/>
              <w:spacing w:after="0"/>
              <w:rPr>
                <w:sz w:val="20"/>
                <w:szCs w:val="20"/>
                <w:color w:val="auto"/>
              </w:rPr>
            </w:pPr>
            <w:r>
              <w:rPr>
                <w:rFonts w:ascii="Arial" w:cs="Arial" w:eastAsia="Arial" w:hAnsi="Arial"/>
                <w:sz w:val="12"/>
                <w:szCs w:val="12"/>
                <w:color w:val="auto"/>
              </w:rPr>
              <w:t>Mortgage</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80" w:type="dxa"/>
            <w:vAlign w:val="bottom"/>
          </w:tcPr>
          <w:p>
            <w:pPr>
              <w:ind w:left="200"/>
              <w:spacing w:after="0"/>
              <w:rPr>
                <w:sz w:val="20"/>
                <w:szCs w:val="20"/>
                <w:color w:val="auto"/>
              </w:rPr>
            </w:pPr>
            <w:r>
              <w:rPr>
                <w:rFonts w:ascii="Arial" w:cs="Arial" w:eastAsia="Arial" w:hAnsi="Arial"/>
                <w:sz w:val="12"/>
                <w:szCs w:val="12"/>
                <w:color w:val="auto"/>
              </w:rPr>
              <w:t>1-4 family owner occupied - jumbo</w:t>
            </w:r>
          </w:p>
        </w:tc>
        <w:tc>
          <w:tcPr>
            <w:tcW w:w="1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1060" w:type="dxa"/>
            <w:vAlign w:val="bottom"/>
            <w:gridSpan w:val="2"/>
          </w:tcPr>
          <w:p>
            <w:pPr>
              <w:jc w:val="right"/>
              <w:ind w:right="166"/>
              <w:spacing w:after="0"/>
              <w:rPr>
                <w:sz w:val="20"/>
                <w:szCs w:val="20"/>
                <w:color w:val="auto"/>
              </w:rPr>
            </w:pPr>
            <w:r>
              <w:rPr>
                <w:rFonts w:ascii="Arial" w:cs="Arial" w:eastAsia="Arial" w:hAnsi="Arial"/>
                <w:sz w:val="12"/>
                <w:szCs w:val="12"/>
                <w:color w:val="auto"/>
              </w:rPr>
              <w:t>607</w:t>
            </w:r>
          </w:p>
        </w:tc>
        <w:tc>
          <w:tcPr>
            <w:tcW w:w="32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607</w:t>
            </w:r>
          </w:p>
        </w:tc>
        <w:tc>
          <w:tcPr>
            <w:tcW w:w="20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540,416</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541,023</w:t>
            </w:r>
          </w:p>
        </w:tc>
        <w:tc>
          <w:tcPr>
            <w:tcW w:w="0" w:type="dxa"/>
            <w:vAlign w:val="bottom"/>
          </w:tcPr>
          <w:p>
            <w:pPr>
              <w:spacing w:after="0"/>
              <w:rPr>
                <w:sz w:val="1"/>
                <w:szCs w:val="1"/>
                <w:color w:val="auto"/>
              </w:rPr>
            </w:pPr>
          </w:p>
        </w:tc>
      </w:tr>
      <w:tr>
        <w:trPr>
          <w:trHeight w:val="144"/>
        </w:trPr>
        <w:tc>
          <w:tcPr>
            <w:tcW w:w="32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1-4 family owner occupied - non-jumbo</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774</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408</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66"/>
              <w:spacing w:after="0"/>
              <w:rPr>
                <w:sz w:val="20"/>
                <w:szCs w:val="20"/>
                <w:color w:val="auto"/>
              </w:rPr>
            </w:pPr>
            <w:r>
              <w:rPr>
                <w:rFonts w:ascii="Arial" w:cs="Arial" w:eastAsia="Arial" w:hAnsi="Arial"/>
                <w:sz w:val="12"/>
                <w:szCs w:val="12"/>
                <w:color w:val="auto"/>
              </w:rPr>
              <w:t>657</w:t>
            </w:r>
          </w:p>
        </w:tc>
        <w:tc>
          <w:tcPr>
            <w:tcW w:w="3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1,839</w:t>
            </w: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264,571</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266,410</w:t>
            </w:r>
          </w:p>
        </w:tc>
        <w:tc>
          <w:tcPr>
            <w:tcW w:w="0" w:type="dxa"/>
            <w:vAlign w:val="bottom"/>
          </w:tcPr>
          <w:p>
            <w:pPr>
              <w:spacing w:after="0"/>
              <w:rPr>
                <w:sz w:val="1"/>
                <w:szCs w:val="1"/>
                <w:color w:val="auto"/>
              </w:rPr>
            </w:pPr>
          </w:p>
        </w:tc>
      </w:tr>
      <w:tr>
        <w:trPr>
          <w:trHeight w:val="144"/>
        </w:trPr>
        <w:tc>
          <w:tcPr>
            <w:tcW w:w="3280" w:type="dxa"/>
            <w:vAlign w:val="bottom"/>
          </w:tcPr>
          <w:p>
            <w:pPr>
              <w:ind w:left="200"/>
              <w:spacing w:after="0"/>
              <w:rPr>
                <w:sz w:val="20"/>
                <w:szCs w:val="20"/>
                <w:color w:val="auto"/>
              </w:rPr>
            </w:pPr>
            <w:r>
              <w:rPr>
                <w:rFonts w:ascii="Arial" w:cs="Arial" w:eastAsia="Arial" w:hAnsi="Arial"/>
                <w:sz w:val="12"/>
                <w:szCs w:val="12"/>
                <w:color w:val="auto"/>
              </w:rPr>
              <w:t>1-4 family non-owner occupied</w:t>
            </w:r>
          </w:p>
        </w:tc>
        <w:tc>
          <w:tcPr>
            <w:tcW w:w="1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87</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26</w:t>
            </w:r>
          </w:p>
        </w:tc>
        <w:tc>
          <w:tcPr>
            <w:tcW w:w="280" w:type="dxa"/>
            <w:vAlign w:val="bottom"/>
          </w:tcPr>
          <w:p>
            <w:pPr>
              <w:spacing w:after="0"/>
              <w:rPr>
                <w:sz w:val="12"/>
                <w:szCs w:val="12"/>
                <w:color w:val="auto"/>
              </w:rPr>
            </w:pPr>
          </w:p>
        </w:tc>
        <w:tc>
          <w:tcPr>
            <w:tcW w:w="1060" w:type="dxa"/>
            <w:vAlign w:val="bottom"/>
            <w:gridSpan w:val="2"/>
          </w:tcPr>
          <w:p>
            <w:pPr>
              <w:jc w:val="right"/>
              <w:ind w:right="166"/>
              <w:spacing w:after="0"/>
              <w:rPr>
                <w:sz w:val="20"/>
                <w:szCs w:val="20"/>
                <w:color w:val="auto"/>
              </w:rPr>
            </w:pPr>
            <w:r>
              <w:rPr>
                <w:rFonts w:ascii="Arial" w:cs="Arial" w:eastAsia="Arial" w:hAnsi="Arial"/>
                <w:sz w:val="12"/>
                <w:szCs w:val="12"/>
                <w:color w:val="auto"/>
              </w:rPr>
              <w:t>462</w:t>
            </w:r>
          </w:p>
        </w:tc>
        <w:tc>
          <w:tcPr>
            <w:tcW w:w="32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575</w:t>
            </w:r>
          </w:p>
        </w:tc>
        <w:tc>
          <w:tcPr>
            <w:tcW w:w="20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194,277</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194,852</w:t>
            </w:r>
          </w:p>
        </w:tc>
        <w:tc>
          <w:tcPr>
            <w:tcW w:w="0" w:type="dxa"/>
            <w:vAlign w:val="bottom"/>
          </w:tcPr>
          <w:p>
            <w:pPr>
              <w:spacing w:after="0"/>
              <w:rPr>
                <w:sz w:val="1"/>
                <w:szCs w:val="1"/>
                <w:color w:val="auto"/>
              </w:rPr>
            </w:pPr>
          </w:p>
        </w:tc>
      </w:tr>
      <w:tr>
        <w:trPr>
          <w:trHeight w:val="144"/>
        </w:trPr>
        <w:tc>
          <w:tcPr>
            <w:tcW w:w="32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1-4 family - 2nd lien</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422</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60</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66"/>
              <w:spacing w:after="0"/>
              <w:rPr>
                <w:sz w:val="20"/>
                <w:szCs w:val="20"/>
                <w:color w:val="auto"/>
              </w:rPr>
            </w:pPr>
            <w:r>
              <w:rPr>
                <w:rFonts w:ascii="Arial" w:cs="Arial" w:eastAsia="Arial" w:hAnsi="Arial"/>
                <w:sz w:val="12"/>
                <w:szCs w:val="12"/>
                <w:color w:val="auto"/>
              </w:rPr>
              <w:t>289</w:t>
            </w:r>
          </w:p>
        </w:tc>
        <w:tc>
          <w:tcPr>
            <w:tcW w:w="3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771</w:t>
            </w: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87,958</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88,729</w:t>
            </w:r>
          </w:p>
        </w:tc>
        <w:tc>
          <w:tcPr>
            <w:tcW w:w="0" w:type="dxa"/>
            <w:vAlign w:val="bottom"/>
          </w:tcPr>
          <w:p>
            <w:pPr>
              <w:spacing w:after="0"/>
              <w:rPr>
                <w:sz w:val="1"/>
                <w:szCs w:val="1"/>
                <w:color w:val="auto"/>
              </w:rPr>
            </w:pPr>
          </w:p>
        </w:tc>
      </w:tr>
      <w:tr>
        <w:trPr>
          <w:trHeight w:val="144"/>
        </w:trPr>
        <w:tc>
          <w:tcPr>
            <w:tcW w:w="3280" w:type="dxa"/>
            <w:vAlign w:val="bottom"/>
          </w:tcPr>
          <w:p>
            <w:pPr>
              <w:ind w:left="200"/>
              <w:spacing w:after="0"/>
              <w:rPr>
                <w:sz w:val="20"/>
                <w:szCs w:val="20"/>
                <w:color w:val="auto"/>
              </w:rPr>
            </w:pPr>
            <w:r>
              <w:rPr>
                <w:rFonts w:ascii="Arial" w:cs="Arial" w:eastAsia="Arial" w:hAnsi="Arial"/>
                <w:sz w:val="12"/>
                <w:szCs w:val="12"/>
                <w:color w:val="auto"/>
              </w:rPr>
              <w:t>Resort lending</w:t>
            </w:r>
          </w:p>
        </w:tc>
        <w:tc>
          <w:tcPr>
            <w:tcW w:w="1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1060" w:type="dxa"/>
            <w:vAlign w:val="bottom"/>
            <w:gridSpan w:val="2"/>
          </w:tcPr>
          <w:p>
            <w:pPr>
              <w:jc w:val="right"/>
              <w:ind w:right="166"/>
              <w:spacing w:after="0"/>
              <w:rPr>
                <w:sz w:val="20"/>
                <w:szCs w:val="20"/>
                <w:color w:val="auto"/>
              </w:rPr>
            </w:pPr>
            <w:r>
              <w:rPr>
                <w:rFonts w:ascii="Arial" w:cs="Arial" w:eastAsia="Arial" w:hAnsi="Arial"/>
                <w:sz w:val="12"/>
                <w:szCs w:val="12"/>
                <w:color w:val="auto"/>
              </w:rPr>
              <w:t>237</w:t>
            </w:r>
          </w:p>
        </w:tc>
        <w:tc>
          <w:tcPr>
            <w:tcW w:w="32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237</w:t>
            </w:r>
          </w:p>
        </w:tc>
        <w:tc>
          <w:tcPr>
            <w:tcW w:w="20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48,408</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48,645</w:t>
            </w:r>
          </w:p>
        </w:tc>
        <w:tc>
          <w:tcPr>
            <w:tcW w:w="0" w:type="dxa"/>
            <w:vAlign w:val="bottom"/>
          </w:tcPr>
          <w:p>
            <w:pPr>
              <w:spacing w:after="0"/>
              <w:rPr>
                <w:sz w:val="1"/>
                <w:szCs w:val="1"/>
                <w:color w:val="auto"/>
              </w:rPr>
            </w:pPr>
          </w:p>
        </w:tc>
      </w:tr>
      <w:tr>
        <w:trPr>
          <w:trHeight w:val="144"/>
        </w:trPr>
        <w:tc>
          <w:tcPr>
            <w:tcW w:w="3280" w:type="dxa"/>
            <w:vAlign w:val="bottom"/>
            <w:shd w:val="clear" w:color="auto" w:fill="CCEEFF"/>
          </w:tcPr>
          <w:p>
            <w:pPr>
              <w:ind w:left="80"/>
              <w:spacing w:after="0"/>
              <w:rPr>
                <w:sz w:val="20"/>
                <w:szCs w:val="20"/>
                <w:color w:val="auto"/>
              </w:rPr>
            </w:pPr>
            <w:r>
              <w:rPr>
                <w:rFonts w:ascii="Arial" w:cs="Arial" w:eastAsia="Arial" w:hAnsi="Arial"/>
                <w:sz w:val="12"/>
                <w:szCs w:val="12"/>
                <w:color w:val="auto"/>
              </w:rPr>
              <w:t>Installment</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80" w:type="dxa"/>
            <w:vAlign w:val="bottom"/>
          </w:tcPr>
          <w:p>
            <w:pPr>
              <w:ind w:left="200"/>
              <w:spacing w:after="0"/>
              <w:rPr>
                <w:sz w:val="20"/>
                <w:szCs w:val="20"/>
                <w:color w:val="auto"/>
              </w:rPr>
            </w:pPr>
            <w:r>
              <w:rPr>
                <w:rFonts w:ascii="Arial" w:cs="Arial" w:eastAsia="Arial" w:hAnsi="Arial"/>
                <w:sz w:val="12"/>
                <w:szCs w:val="12"/>
                <w:color w:val="auto"/>
              </w:rPr>
              <w:t>Boat lending</w:t>
            </w:r>
          </w:p>
        </w:tc>
        <w:tc>
          <w:tcPr>
            <w:tcW w:w="1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438</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28</w:t>
            </w:r>
          </w:p>
        </w:tc>
        <w:tc>
          <w:tcPr>
            <w:tcW w:w="280" w:type="dxa"/>
            <w:vAlign w:val="bottom"/>
          </w:tcPr>
          <w:p>
            <w:pPr>
              <w:spacing w:after="0"/>
              <w:rPr>
                <w:sz w:val="12"/>
                <w:szCs w:val="12"/>
                <w:color w:val="auto"/>
              </w:rPr>
            </w:pPr>
          </w:p>
        </w:tc>
        <w:tc>
          <w:tcPr>
            <w:tcW w:w="1060" w:type="dxa"/>
            <w:vAlign w:val="bottom"/>
            <w:gridSpan w:val="2"/>
          </w:tcPr>
          <w:p>
            <w:pPr>
              <w:jc w:val="right"/>
              <w:ind w:right="166"/>
              <w:spacing w:after="0"/>
              <w:rPr>
                <w:sz w:val="20"/>
                <w:szCs w:val="20"/>
                <w:color w:val="auto"/>
              </w:rPr>
            </w:pPr>
            <w:r>
              <w:rPr>
                <w:rFonts w:ascii="Arial" w:cs="Arial" w:eastAsia="Arial" w:hAnsi="Arial"/>
                <w:sz w:val="12"/>
                <w:szCs w:val="12"/>
                <w:color w:val="auto"/>
              </w:rPr>
              <w:t>52</w:t>
            </w:r>
          </w:p>
        </w:tc>
        <w:tc>
          <w:tcPr>
            <w:tcW w:w="32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518</w:t>
            </w:r>
          </w:p>
        </w:tc>
        <w:tc>
          <w:tcPr>
            <w:tcW w:w="20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227,622</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228,140</w:t>
            </w:r>
          </w:p>
        </w:tc>
        <w:tc>
          <w:tcPr>
            <w:tcW w:w="0" w:type="dxa"/>
            <w:vAlign w:val="bottom"/>
          </w:tcPr>
          <w:p>
            <w:pPr>
              <w:spacing w:after="0"/>
              <w:rPr>
                <w:sz w:val="1"/>
                <w:szCs w:val="1"/>
                <w:color w:val="auto"/>
              </w:rPr>
            </w:pPr>
          </w:p>
        </w:tc>
      </w:tr>
      <w:tr>
        <w:trPr>
          <w:trHeight w:val="144"/>
        </w:trPr>
        <w:tc>
          <w:tcPr>
            <w:tcW w:w="32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Recreational vehicle lending</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377</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65</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66"/>
              <w:spacing w:after="0"/>
              <w:rPr>
                <w:sz w:val="20"/>
                <w:szCs w:val="20"/>
                <w:color w:val="auto"/>
              </w:rPr>
            </w:pPr>
            <w:r>
              <w:rPr>
                <w:rFonts w:ascii="Arial" w:cs="Arial" w:eastAsia="Arial" w:hAnsi="Arial"/>
                <w:sz w:val="12"/>
                <w:szCs w:val="12"/>
                <w:color w:val="auto"/>
              </w:rPr>
              <w:t>120</w:t>
            </w:r>
          </w:p>
        </w:tc>
        <w:tc>
          <w:tcPr>
            <w:tcW w:w="3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562</w:t>
            </w: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234,183</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234,745</w:t>
            </w:r>
          </w:p>
        </w:tc>
        <w:tc>
          <w:tcPr>
            <w:tcW w:w="0" w:type="dxa"/>
            <w:vAlign w:val="bottom"/>
          </w:tcPr>
          <w:p>
            <w:pPr>
              <w:spacing w:after="0"/>
              <w:rPr>
                <w:sz w:val="1"/>
                <w:szCs w:val="1"/>
                <w:color w:val="auto"/>
              </w:rPr>
            </w:pPr>
          </w:p>
        </w:tc>
      </w:tr>
      <w:tr>
        <w:trPr>
          <w:trHeight w:val="144"/>
        </w:trPr>
        <w:tc>
          <w:tcPr>
            <w:tcW w:w="3280" w:type="dxa"/>
            <w:vAlign w:val="bottom"/>
          </w:tcPr>
          <w:p>
            <w:pPr>
              <w:ind w:left="200"/>
              <w:spacing w:after="0"/>
              <w:rPr>
                <w:sz w:val="20"/>
                <w:szCs w:val="20"/>
                <w:color w:val="auto"/>
              </w:rPr>
            </w:pPr>
            <w:r>
              <w:rPr>
                <w:rFonts w:ascii="Arial" w:cs="Arial" w:eastAsia="Arial" w:hAnsi="Arial"/>
                <w:sz w:val="12"/>
                <w:szCs w:val="12"/>
                <w:color w:val="auto"/>
              </w:rPr>
              <w:t>Other</w:t>
            </w:r>
          </w:p>
        </w:tc>
        <w:tc>
          <w:tcPr>
            <w:tcW w:w="1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252</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57</w:t>
            </w:r>
          </w:p>
        </w:tc>
        <w:tc>
          <w:tcPr>
            <w:tcW w:w="280" w:type="dxa"/>
            <w:vAlign w:val="bottom"/>
          </w:tcPr>
          <w:p>
            <w:pPr>
              <w:spacing w:after="0"/>
              <w:rPr>
                <w:sz w:val="12"/>
                <w:szCs w:val="12"/>
                <w:color w:val="auto"/>
              </w:rPr>
            </w:pPr>
          </w:p>
        </w:tc>
        <w:tc>
          <w:tcPr>
            <w:tcW w:w="1060" w:type="dxa"/>
            <w:vAlign w:val="bottom"/>
            <w:gridSpan w:val="2"/>
          </w:tcPr>
          <w:p>
            <w:pPr>
              <w:jc w:val="right"/>
              <w:ind w:right="166"/>
              <w:spacing w:after="0"/>
              <w:rPr>
                <w:sz w:val="20"/>
                <w:szCs w:val="20"/>
                <w:color w:val="auto"/>
              </w:rPr>
            </w:pPr>
            <w:r>
              <w:rPr>
                <w:rFonts w:ascii="Arial" w:cs="Arial" w:eastAsia="Arial" w:hAnsi="Arial"/>
                <w:sz w:val="12"/>
                <w:szCs w:val="12"/>
                <w:color w:val="auto"/>
              </w:rPr>
              <w:t>49</w:t>
            </w:r>
          </w:p>
        </w:tc>
        <w:tc>
          <w:tcPr>
            <w:tcW w:w="32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358</w:t>
            </w:r>
          </w:p>
        </w:tc>
        <w:tc>
          <w:tcPr>
            <w:tcW w:w="20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98,562</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98,920</w:t>
            </w:r>
          </w:p>
        </w:tc>
        <w:tc>
          <w:tcPr>
            <w:tcW w:w="0" w:type="dxa"/>
            <w:vAlign w:val="bottom"/>
          </w:tcPr>
          <w:p>
            <w:pPr>
              <w:spacing w:after="0"/>
              <w:rPr>
                <w:sz w:val="1"/>
                <w:szCs w:val="1"/>
                <w:color w:val="auto"/>
              </w:rPr>
            </w:pPr>
          </w:p>
        </w:tc>
      </w:tr>
      <w:tr>
        <w:trPr>
          <w:trHeight w:val="182"/>
        </w:trPr>
        <w:tc>
          <w:tcPr>
            <w:tcW w:w="32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Total</w:t>
            </w:r>
          </w:p>
        </w:tc>
        <w:tc>
          <w:tcPr>
            <w:tcW w:w="1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2,350</w:t>
            </w:r>
          </w:p>
        </w:tc>
        <w:tc>
          <w:tcPr>
            <w:tcW w:w="2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646</w:t>
            </w:r>
          </w:p>
        </w:tc>
        <w:tc>
          <w:tcPr>
            <w:tcW w:w="2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2,535</w:t>
            </w:r>
          </w:p>
        </w:tc>
        <w:tc>
          <w:tcPr>
            <w:tcW w:w="2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5,531</w:t>
            </w:r>
          </w:p>
        </w:tc>
        <w:tc>
          <w:tcPr>
            <w:tcW w:w="2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2,899,514</w:t>
            </w:r>
          </w:p>
        </w:tc>
        <w:tc>
          <w:tcPr>
            <w:tcW w:w="2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2,905,045</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3280" w:type="dxa"/>
            <w:vAlign w:val="bottom"/>
          </w:tcPr>
          <w:p>
            <w:pPr>
              <w:ind w:left="100"/>
              <w:spacing w:after="0" w:line="120" w:lineRule="exact"/>
              <w:rPr>
                <w:sz w:val="20"/>
                <w:szCs w:val="20"/>
                <w:color w:val="auto"/>
              </w:rPr>
            </w:pPr>
            <w:r>
              <w:rPr>
                <w:rFonts w:ascii="Arial" w:cs="Arial" w:eastAsia="Arial" w:hAnsi="Arial"/>
                <w:sz w:val="12"/>
                <w:szCs w:val="12"/>
                <w:color w:val="auto"/>
              </w:rPr>
              <w:t>Accrued interest excluded from total</w:t>
            </w: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line="120" w:lineRule="exact"/>
              <w:rPr>
                <w:sz w:val="20"/>
                <w:szCs w:val="20"/>
                <w:color w:val="auto"/>
              </w:rPr>
            </w:pPr>
            <w:r>
              <w:rPr>
                <w:rFonts w:ascii="Arial" w:cs="Arial" w:eastAsia="Arial" w:hAnsi="Arial"/>
                <w:sz w:val="12"/>
                <w:szCs w:val="12"/>
                <w:color w:val="auto"/>
              </w:rPr>
              <w:t>25</w:t>
            </w:r>
          </w:p>
        </w:tc>
        <w:tc>
          <w:tcPr>
            <w:tcW w:w="240" w:type="dxa"/>
            <w:vAlign w:val="bottom"/>
          </w:tcPr>
          <w:p>
            <w:pPr>
              <w:spacing w:after="0"/>
              <w:rPr>
                <w:sz w:val="10"/>
                <w:szCs w:val="10"/>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240"/>
              <w:spacing w:after="0" w:line="120" w:lineRule="exact"/>
              <w:rPr>
                <w:sz w:val="20"/>
                <w:szCs w:val="20"/>
                <w:color w:val="auto"/>
              </w:rPr>
            </w:pPr>
            <w:r>
              <w:rPr>
                <w:rFonts w:ascii="Arial" w:cs="Arial" w:eastAsia="Arial" w:hAnsi="Arial"/>
                <w:sz w:val="12"/>
                <w:szCs w:val="12"/>
                <w:color w:val="auto"/>
              </w:rPr>
              <w:t>9</w:t>
            </w: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66"/>
              <w:spacing w:after="0" w:line="120" w:lineRule="exact"/>
              <w:rPr>
                <w:sz w:val="20"/>
                <w:szCs w:val="20"/>
                <w:color w:val="auto"/>
              </w:rPr>
            </w:pPr>
            <w:r>
              <w:rPr>
                <w:rFonts w:ascii="Arial" w:cs="Arial" w:eastAsia="Arial" w:hAnsi="Arial"/>
                <w:sz w:val="12"/>
                <w:szCs w:val="12"/>
                <w:color w:val="auto"/>
              </w:rPr>
              <w:t>-</w:t>
            </w:r>
          </w:p>
        </w:tc>
        <w:tc>
          <w:tcPr>
            <w:tcW w:w="320" w:type="dxa"/>
            <w:vAlign w:val="bottom"/>
          </w:tcPr>
          <w:p>
            <w:pPr>
              <w:jc w:val="right"/>
              <w:ind w:right="212"/>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220"/>
              <w:spacing w:after="0" w:line="120" w:lineRule="exact"/>
              <w:rPr>
                <w:sz w:val="20"/>
                <w:szCs w:val="20"/>
                <w:color w:val="auto"/>
              </w:rPr>
            </w:pPr>
            <w:r>
              <w:rPr>
                <w:rFonts w:ascii="Arial" w:cs="Arial" w:eastAsia="Arial" w:hAnsi="Arial"/>
                <w:sz w:val="12"/>
                <w:szCs w:val="12"/>
                <w:color w:val="auto"/>
              </w:rPr>
              <w:t>34</w:t>
            </w: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20"/>
              <w:spacing w:after="0" w:line="120" w:lineRule="exact"/>
              <w:rPr>
                <w:sz w:val="20"/>
                <w:szCs w:val="20"/>
                <w:color w:val="auto"/>
              </w:rPr>
            </w:pPr>
            <w:r>
              <w:rPr>
                <w:rFonts w:ascii="Arial" w:cs="Arial" w:eastAsia="Arial" w:hAnsi="Arial"/>
                <w:sz w:val="12"/>
                <w:szCs w:val="12"/>
                <w:color w:val="auto"/>
              </w:rPr>
              <w:t>6,802</w:t>
            </w: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20"/>
              <w:spacing w:after="0" w:line="120" w:lineRule="exact"/>
              <w:rPr>
                <w:sz w:val="20"/>
                <w:szCs w:val="20"/>
                <w:color w:val="auto"/>
              </w:rPr>
            </w:pPr>
            <w:r>
              <w:rPr>
                <w:rFonts w:ascii="Arial" w:cs="Arial" w:eastAsia="Arial" w:hAnsi="Arial"/>
                <w:sz w:val="12"/>
                <w:szCs w:val="12"/>
                <w:color w:val="auto"/>
              </w:rPr>
              <w:t>6,836</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32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280" w:type="dxa"/>
            <w:vAlign w:val="bottom"/>
          </w:tcPr>
          <w:p>
            <w:pPr>
              <w:spacing w:after="0"/>
              <w:rPr>
                <w:sz w:val="20"/>
                <w:szCs w:val="20"/>
                <w:color w:val="auto"/>
              </w:rPr>
            </w:pPr>
            <w:r>
              <w:rPr>
                <w:rFonts w:ascii="Arial" w:cs="Arial" w:eastAsia="Arial" w:hAnsi="Arial"/>
                <w:sz w:val="12"/>
                <w:szCs w:val="12"/>
                <w:color w:val="auto"/>
              </w:rPr>
              <w:t>2020</w:t>
            </w: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80" w:type="dxa"/>
            <w:vAlign w:val="bottom"/>
            <w:shd w:val="clear" w:color="auto" w:fill="CCEEFF"/>
          </w:tcPr>
          <w:p>
            <w:pPr>
              <w:ind w:left="80"/>
              <w:spacing w:after="0"/>
              <w:rPr>
                <w:sz w:val="20"/>
                <w:szCs w:val="20"/>
                <w:color w:val="auto"/>
              </w:rPr>
            </w:pPr>
            <w:r>
              <w:rPr>
                <w:rFonts w:ascii="Arial" w:cs="Arial" w:eastAsia="Arial" w:hAnsi="Arial"/>
                <w:sz w:val="12"/>
                <w:szCs w:val="12"/>
                <w:color w:val="auto"/>
              </w:rPr>
              <w:t>Commercial</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80" w:type="dxa"/>
            <w:vAlign w:val="bottom"/>
          </w:tcPr>
          <w:p>
            <w:pPr>
              <w:ind w:left="200"/>
              <w:spacing w:after="0"/>
              <w:rPr>
                <w:sz w:val="20"/>
                <w:szCs w:val="20"/>
                <w:color w:val="auto"/>
              </w:rPr>
            </w:pPr>
            <w:r>
              <w:rPr>
                <w:rFonts w:ascii="Arial" w:cs="Arial" w:eastAsia="Arial" w:hAnsi="Arial"/>
                <w:sz w:val="12"/>
                <w:szCs w:val="12"/>
                <w:color w:val="auto"/>
              </w:rPr>
              <w:t>Commercial and industrial</w:t>
            </w: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5,003</w:t>
            </w:r>
          </w:p>
        </w:tc>
        <w:tc>
          <w:tcPr>
            <w:tcW w:w="240" w:type="dxa"/>
            <w:vAlign w:val="bottom"/>
          </w:tcPr>
          <w:p>
            <w:pPr>
              <w:spacing w:after="0"/>
              <w:rPr>
                <w:sz w:val="12"/>
                <w:szCs w:val="12"/>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131</w:t>
            </w: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66"/>
              <w:spacing w:after="0"/>
              <w:rPr>
                <w:sz w:val="20"/>
                <w:szCs w:val="20"/>
                <w:color w:val="auto"/>
              </w:rPr>
            </w:pPr>
            <w:r>
              <w:rPr>
                <w:rFonts w:ascii="Arial" w:cs="Arial" w:eastAsia="Arial" w:hAnsi="Arial"/>
                <w:sz w:val="12"/>
                <w:szCs w:val="12"/>
                <w:color w:val="auto"/>
              </w:rPr>
              <w:t>70</w:t>
            </w:r>
          </w:p>
        </w:tc>
        <w:tc>
          <w:tcPr>
            <w:tcW w:w="320" w:type="dxa"/>
            <w:vAlign w:val="bottom"/>
          </w:tcPr>
          <w:p>
            <w:pPr>
              <w:jc w:val="right"/>
              <w:ind w:right="212"/>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5,204</w:t>
            </w: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671,115</w:t>
            </w: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676,319</w:t>
            </w:r>
          </w:p>
        </w:tc>
        <w:tc>
          <w:tcPr>
            <w:tcW w:w="0" w:type="dxa"/>
            <w:vAlign w:val="bottom"/>
          </w:tcPr>
          <w:p>
            <w:pPr>
              <w:spacing w:after="0"/>
              <w:rPr>
                <w:sz w:val="1"/>
                <w:szCs w:val="1"/>
                <w:color w:val="auto"/>
              </w:rPr>
            </w:pPr>
          </w:p>
        </w:tc>
      </w:tr>
      <w:tr>
        <w:trPr>
          <w:trHeight w:val="144"/>
        </w:trPr>
        <w:tc>
          <w:tcPr>
            <w:tcW w:w="32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Commercial real estate</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66"/>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2,600</w:t>
            </w: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567,032</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569,632</w:t>
            </w:r>
          </w:p>
        </w:tc>
        <w:tc>
          <w:tcPr>
            <w:tcW w:w="0" w:type="dxa"/>
            <w:vAlign w:val="bottom"/>
          </w:tcPr>
          <w:p>
            <w:pPr>
              <w:spacing w:after="0"/>
              <w:rPr>
                <w:sz w:val="1"/>
                <w:szCs w:val="1"/>
                <w:color w:val="auto"/>
              </w:rPr>
            </w:pPr>
          </w:p>
        </w:tc>
      </w:tr>
      <w:tr>
        <w:trPr>
          <w:trHeight w:val="144"/>
        </w:trPr>
        <w:tc>
          <w:tcPr>
            <w:tcW w:w="3280" w:type="dxa"/>
            <w:vAlign w:val="bottom"/>
          </w:tcPr>
          <w:p>
            <w:pPr>
              <w:ind w:left="80"/>
              <w:spacing w:after="0"/>
              <w:rPr>
                <w:sz w:val="20"/>
                <w:szCs w:val="20"/>
                <w:color w:val="auto"/>
              </w:rPr>
            </w:pPr>
            <w:r>
              <w:rPr>
                <w:rFonts w:ascii="Arial" w:cs="Arial" w:eastAsia="Arial" w:hAnsi="Arial"/>
                <w:sz w:val="12"/>
                <w:szCs w:val="12"/>
                <w:color w:val="auto"/>
              </w:rPr>
              <w:t>Mortgage</w:t>
            </w: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1-4 family owner occupied - jumbo</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761</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66"/>
              <w:spacing w:after="0"/>
              <w:rPr>
                <w:sz w:val="20"/>
                <w:szCs w:val="20"/>
                <w:color w:val="auto"/>
              </w:rPr>
            </w:pPr>
            <w:r>
              <w:rPr>
                <w:rFonts w:ascii="Arial" w:cs="Arial" w:eastAsia="Arial" w:hAnsi="Arial"/>
                <w:sz w:val="12"/>
                <w:szCs w:val="12"/>
                <w:color w:val="auto"/>
              </w:rPr>
              <w:t>623</w:t>
            </w:r>
          </w:p>
        </w:tc>
        <w:tc>
          <w:tcPr>
            <w:tcW w:w="3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1,384</w:t>
            </w: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438,794</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440,178</w:t>
            </w:r>
          </w:p>
        </w:tc>
        <w:tc>
          <w:tcPr>
            <w:tcW w:w="0" w:type="dxa"/>
            <w:vAlign w:val="bottom"/>
          </w:tcPr>
          <w:p>
            <w:pPr>
              <w:spacing w:after="0"/>
              <w:rPr>
                <w:sz w:val="1"/>
                <w:szCs w:val="1"/>
                <w:color w:val="auto"/>
              </w:rPr>
            </w:pPr>
          </w:p>
        </w:tc>
      </w:tr>
      <w:tr>
        <w:trPr>
          <w:trHeight w:val="144"/>
        </w:trPr>
        <w:tc>
          <w:tcPr>
            <w:tcW w:w="3280" w:type="dxa"/>
            <w:vAlign w:val="bottom"/>
          </w:tcPr>
          <w:p>
            <w:pPr>
              <w:ind w:left="200"/>
              <w:spacing w:after="0"/>
              <w:rPr>
                <w:sz w:val="20"/>
                <w:szCs w:val="20"/>
                <w:color w:val="auto"/>
              </w:rPr>
            </w:pPr>
            <w:r>
              <w:rPr>
                <w:rFonts w:ascii="Arial" w:cs="Arial" w:eastAsia="Arial" w:hAnsi="Arial"/>
                <w:sz w:val="12"/>
                <w:szCs w:val="12"/>
                <w:color w:val="auto"/>
              </w:rPr>
              <w:t>1-4 family owner occupied - non-jumbo</w:t>
            </w:r>
          </w:p>
        </w:tc>
        <w:tc>
          <w:tcPr>
            <w:tcW w:w="1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1,888</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453</w:t>
            </w:r>
          </w:p>
        </w:tc>
        <w:tc>
          <w:tcPr>
            <w:tcW w:w="280" w:type="dxa"/>
            <w:vAlign w:val="bottom"/>
          </w:tcPr>
          <w:p>
            <w:pPr>
              <w:spacing w:after="0"/>
              <w:rPr>
                <w:sz w:val="12"/>
                <w:szCs w:val="12"/>
                <w:color w:val="auto"/>
              </w:rPr>
            </w:pPr>
          </w:p>
        </w:tc>
        <w:tc>
          <w:tcPr>
            <w:tcW w:w="1060" w:type="dxa"/>
            <w:vAlign w:val="bottom"/>
            <w:gridSpan w:val="2"/>
          </w:tcPr>
          <w:p>
            <w:pPr>
              <w:jc w:val="right"/>
              <w:ind w:right="166"/>
              <w:spacing w:after="0"/>
              <w:rPr>
                <w:sz w:val="20"/>
                <w:szCs w:val="20"/>
                <w:color w:val="auto"/>
              </w:rPr>
            </w:pPr>
            <w:r>
              <w:rPr>
                <w:rFonts w:ascii="Arial" w:cs="Arial" w:eastAsia="Arial" w:hAnsi="Arial"/>
                <w:sz w:val="12"/>
                <w:szCs w:val="12"/>
                <w:color w:val="auto"/>
              </w:rPr>
              <w:t>502</w:t>
            </w:r>
          </w:p>
        </w:tc>
        <w:tc>
          <w:tcPr>
            <w:tcW w:w="32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2,843</w:t>
            </w:r>
          </w:p>
        </w:tc>
        <w:tc>
          <w:tcPr>
            <w:tcW w:w="20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264,730</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267,573</w:t>
            </w:r>
          </w:p>
        </w:tc>
        <w:tc>
          <w:tcPr>
            <w:tcW w:w="0" w:type="dxa"/>
            <w:vAlign w:val="bottom"/>
          </w:tcPr>
          <w:p>
            <w:pPr>
              <w:spacing w:after="0"/>
              <w:rPr>
                <w:sz w:val="1"/>
                <w:szCs w:val="1"/>
                <w:color w:val="auto"/>
              </w:rPr>
            </w:pPr>
          </w:p>
        </w:tc>
      </w:tr>
      <w:tr>
        <w:trPr>
          <w:trHeight w:val="144"/>
        </w:trPr>
        <w:tc>
          <w:tcPr>
            <w:tcW w:w="32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1-4 family non-owner occupied</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1,184</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139</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66"/>
              <w:spacing w:after="0"/>
              <w:rPr>
                <w:sz w:val="20"/>
                <w:szCs w:val="20"/>
                <w:color w:val="auto"/>
              </w:rPr>
            </w:pPr>
            <w:r>
              <w:rPr>
                <w:rFonts w:ascii="Arial" w:cs="Arial" w:eastAsia="Arial" w:hAnsi="Arial"/>
                <w:sz w:val="12"/>
                <w:szCs w:val="12"/>
                <w:color w:val="auto"/>
              </w:rPr>
              <w:t>476</w:t>
            </w:r>
          </w:p>
        </w:tc>
        <w:tc>
          <w:tcPr>
            <w:tcW w:w="3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1,799</w:t>
            </w: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157,977</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159,776</w:t>
            </w:r>
          </w:p>
        </w:tc>
        <w:tc>
          <w:tcPr>
            <w:tcW w:w="0" w:type="dxa"/>
            <w:vAlign w:val="bottom"/>
          </w:tcPr>
          <w:p>
            <w:pPr>
              <w:spacing w:after="0"/>
              <w:rPr>
                <w:sz w:val="1"/>
                <w:szCs w:val="1"/>
                <w:color w:val="auto"/>
              </w:rPr>
            </w:pPr>
          </w:p>
        </w:tc>
      </w:tr>
      <w:tr>
        <w:trPr>
          <w:trHeight w:val="144"/>
        </w:trPr>
        <w:tc>
          <w:tcPr>
            <w:tcW w:w="3280" w:type="dxa"/>
            <w:vAlign w:val="bottom"/>
          </w:tcPr>
          <w:p>
            <w:pPr>
              <w:ind w:left="200"/>
              <w:spacing w:after="0"/>
              <w:rPr>
                <w:sz w:val="20"/>
                <w:szCs w:val="20"/>
                <w:color w:val="auto"/>
              </w:rPr>
            </w:pPr>
            <w:r>
              <w:rPr>
                <w:rFonts w:ascii="Arial" w:cs="Arial" w:eastAsia="Arial" w:hAnsi="Arial"/>
                <w:sz w:val="12"/>
                <w:szCs w:val="12"/>
                <w:color w:val="auto"/>
              </w:rPr>
              <w:t>1-4 family - 2nd lien</w:t>
            </w:r>
          </w:p>
        </w:tc>
        <w:tc>
          <w:tcPr>
            <w:tcW w:w="1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710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228</w:t>
            </w:r>
          </w:p>
        </w:tc>
        <w:tc>
          <w:tcPr>
            <w:tcW w:w="280" w:type="dxa"/>
            <w:vAlign w:val="bottom"/>
          </w:tcPr>
          <w:p>
            <w:pPr>
              <w:spacing w:after="0"/>
              <w:rPr>
                <w:sz w:val="12"/>
                <w:szCs w:val="12"/>
                <w:color w:val="auto"/>
              </w:rPr>
            </w:pPr>
          </w:p>
        </w:tc>
        <w:tc>
          <w:tcPr>
            <w:tcW w:w="1060" w:type="dxa"/>
            <w:vAlign w:val="bottom"/>
            <w:gridSpan w:val="2"/>
          </w:tcPr>
          <w:p>
            <w:pPr>
              <w:jc w:val="right"/>
              <w:ind w:right="166"/>
              <w:spacing w:after="0"/>
              <w:rPr>
                <w:sz w:val="20"/>
                <w:szCs w:val="20"/>
                <w:color w:val="auto"/>
              </w:rPr>
            </w:pPr>
            <w:r>
              <w:rPr>
                <w:rFonts w:ascii="Arial" w:cs="Arial" w:eastAsia="Arial" w:hAnsi="Arial"/>
                <w:sz w:val="12"/>
                <w:szCs w:val="12"/>
                <w:color w:val="auto"/>
              </w:rPr>
              <w:t>732</w:t>
            </w:r>
          </w:p>
        </w:tc>
        <w:tc>
          <w:tcPr>
            <w:tcW w:w="32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1,670</w:t>
            </w:r>
          </w:p>
        </w:tc>
        <w:tc>
          <w:tcPr>
            <w:tcW w:w="20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92,860</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94,530</w:t>
            </w:r>
          </w:p>
        </w:tc>
        <w:tc>
          <w:tcPr>
            <w:tcW w:w="0" w:type="dxa"/>
            <w:vAlign w:val="bottom"/>
          </w:tcPr>
          <w:p>
            <w:pPr>
              <w:spacing w:after="0"/>
              <w:rPr>
                <w:sz w:val="1"/>
                <w:szCs w:val="1"/>
                <w:color w:val="auto"/>
              </w:rPr>
            </w:pPr>
          </w:p>
        </w:tc>
      </w:tr>
      <w:tr>
        <w:trPr>
          <w:trHeight w:val="144"/>
        </w:trPr>
        <w:tc>
          <w:tcPr>
            <w:tcW w:w="32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Resort lending</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195</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66"/>
              <w:spacing w:after="0"/>
              <w:rPr>
                <w:sz w:val="20"/>
                <w:szCs w:val="20"/>
                <w:color w:val="auto"/>
              </w:rPr>
            </w:pPr>
            <w:r>
              <w:rPr>
                <w:rFonts w:ascii="Arial" w:cs="Arial" w:eastAsia="Arial" w:hAnsi="Arial"/>
                <w:sz w:val="12"/>
                <w:szCs w:val="12"/>
                <w:color w:val="auto"/>
              </w:rPr>
              <w:t>358</w:t>
            </w:r>
          </w:p>
        </w:tc>
        <w:tc>
          <w:tcPr>
            <w:tcW w:w="3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585</w:t>
            </w: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57,462</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58,047</w:t>
            </w:r>
          </w:p>
        </w:tc>
        <w:tc>
          <w:tcPr>
            <w:tcW w:w="0" w:type="dxa"/>
            <w:vAlign w:val="bottom"/>
          </w:tcPr>
          <w:p>
            <w:pPr>
              <w:spacing w:after="0"/>
              <w:rPr>
                <w:sz w:val="1"/>
                <w:szCs w:val="1"/>
                <w:color w:val="auto"/>
              </w:rPr>
            </w:pPr>
          </w:p>
        </w:tc>
      </w:tr>
      <w:tr>
        <w:trPr>
          <w:trHeight w:val="144"/>
        </w:trPr>
        <w:tc>
          <w:tcPr>
            <w:tcW w:w="3280" w:type="dxa"/>
            <w:vAlign w:val="bottom"/>
          </w:tcPr>
          <w:p>
            <w:pPr>
              <w:ind w:left="80"/>
              <w:spacing w:after="0"/>
              <w:rPr>
                <w:sz w:val="20"/>
                <w:szCs w:val="20"/>
                <w:color w:val="auto"/>
              </w:rPr>
            </w:pPr>
            <w:r>
              <w:rPr>
                <w:rFonts w:ascii="Arial" w:cs="Arial" w:eastAsia="Arial" w:hAnsi="Arial"/>
                <w:sz w:val="12"/>
                <w:szCs w:val="12"/>
                <w:color w:val="auto"/>
              </w:rPr>
              <w:t>Installment</w:t>
            </w: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Boat lending</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101</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66"/>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196</w:t>
            </w: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207,317</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207,513</w:t>
            </w:r>
          </w:p>
        </w:tc>
        <w:tc>
          <w:tcPr>
            <w:tcW w:w="0" w:type="dxa"/>
            <w:vAlign w:val="bottom"/>
          </w:tcPr>
          <w:p>
            <w:pPr>
              <w:spacing w:after="0"/>
              <w:rPr>
                <w:sz w:val="1"/>
                <w:szCs w:val="1"/>
                <w:color w:val="auto"/>
              </w:rPr>
            </w:pPr>
          </w:p>
        </w:tc>
      </w:tr>
      <w:tr>
        <w:trPr>
          <w:trHeight w:val="144"/>
        </w:trPr>
        <w:tc>
          <w:tcPr>
            <w:tcW w:w="3280" w:type="dxa"/>
            <w:vAlign w:val="bottom"/>
          </w:tcPr>
          <w:p>
            <w:pPr>
              <w:ind w:left="200"/>
              <w:spacing w:after="0"/>
              <w:rPr>
                <w:sz w:val="20"/>
                <w:szCs w:val="20"/>
                <w:color w:val="auto"/>
              </w:rPr>
            </w:pPr>
            <w:r>
              <w:rPr>
                <w:rFonts w:ascii="Arial" w:cs="Arial" w:eastAsia="Arial" w:hAnsi="Arial"/>
                <w:sz w:val="12"/>
                <w:szCs w:val="12"/>
                <w:color w:val="auto"/>
              </w:rPr>
              <w:t>Recreational vehicle lending</w:t>
            </w:r>
          </w:p>
        </w:tc>
        <w:tc>
          <w:tcPr>
            <w:tcW w:w="1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207</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37</w:t>
            </w:r>
          </w:p>
        </w:tc>
        <w:tc>
          <w:tcPr>
            <w:tcW w:w="280" w:type="dxa"/>
            <w:vAlign w:val="bottom"/>
          </w:tcPr>
          <w:p>
            <w:pPr>
              <w:spacing w:after="0"/>
              <w:rPr>
                <w:sz w:val="12"/>
                <w:szCs w:val="12"/>
                <w:color w:val="auto"/>
              </w:rPr>
            </w:pPr>
          </w:p>
        </w:tc>
        <w:tc>
          <w:tcPr>
            <w:tcW w:w="1060" w:type="dxa"/>
            <w:vAlign w:val="bottom"/>
            <w:gridSpan w:val="2"/>
          </w:tcPr>
          <w:p>
            <w:pPr>
              <w:jc w:val="right"/>
              <w:ind w:right="166"/>
              <w:spacing w:after="0"/>
              <w:rPr>
                <w:sz w:val="20"/>
                <w:szCs w:val="20"/>
                <w:color w:val="auto"/>
              </w:rPr>
            </w:pPr>
            <w:r>
              <w:rPr>
                <w:rFonts w:ascii="Arial" w:cs="Arial" w:eastAsia="Arial" w:hAnsi="Arial"/>
                <w:sz w:val="12"/>
                <w:szCs w:val="12"/>
                <w:color w:val="auto"/>
              </w:rPr>
              <w:t>48</w:t>
            </w:r>
          </w:p>
        </w:tc>
        <w:tc>
          <w:tcPr>
            <w:tcW w:w="32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292</w:t>
            </w:r>
          </w:p>
        </w:tc>
        <w:tc>
          <w:tcPr>
            <w:tcW w:w="20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169,282</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169,574</w:t>
            </w:r>
          </w:p>
        </w:tc>
        <w:tc>
          <w:tcPr>
            <w:tcW w:w="0" w:type="dxa"/>
            <w:vAlign w:val="bottom"/>
          </w:tcPr>
          <w:p>
            <w:pPr>
              <w:spacing w:after="0"/>
              <w:rPr>
                <w:sz w:val="1"/>
                <w:szCs w:val="1"/>
                <w:color w:val="auto"/>
              </w:rPr>
            </w:pPr>
          </w:p>
        </w:tc>
      </w:tr>
      <w:tr>
        <w:trPr>
          <w:trHeight w:val="144"/>
        </w:trPr>
        <w:tc>
          <w:tcPr>
            <w:tcW w:w="32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Other</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337</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162</w:t>
            </w: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66"/>
              <w:spacing w:after="0"/>
              <w:rPr>
                <w:sz w:val="20"/>
                <w:szCs w:val="20"/>
                <w:color w:val="auto"/>
              </w:rPr>
            </w:pPr>
            <w:r>
              <w:rPr>
                <w:rFonts w:ascii="Arial" w:cs="Arial" w:eastAsia="Arial" w:hAnsi="Arial"/>
                <w:sz w:val="12"/>
                <w:szCs w:val="12"/>
                <w:color w:val="auto"/>
              </w:rPr>
              <w:t>199</w:t>
            </w:r>
          </w:p>
        </w:tc>
        <w:tc>
          <w:tcPr>
            <w:tcW w:w="3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698</w:t>
            </w: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98,737</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99,435</w:t>
            </w:r>
          </w:p>
        </w:tc>
        <w:tc>
          <w:tcPr>
            <w:tcW w:w="0" w:type="dxa"/>
            <w:vAlign w:val="bottom"/>
          </w:tcPr>
          <w:p>
            <w:pPr>
              <w:spacing w:after="0"/>
              <w:rPr>
                <w:sz w:val="1"/>
                <w:szCs w:val="1"/>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80" w:type="dxa"/>
            <w:vAlign w:val="bottom"/>
          </w:tcPr>
          <w:p>
            <w:pPr>
              <w:ind w:left="320"/>
              <w:spacing w:after="0"/>
              <w:rPr>
                <w:sz w:val="20"/>
                <w:szCs w:val="20"/>
                <w:color w:val="auto"/>
              </w:rPr>
            </w:pPr>
            <w:r>
              <w:rPr>
                <w:rFonts w:ascii="Arial" w:cs="Arial" w:eastAsia="Arial" w:hAnsi="Arial"/>
                <w:sz w:val="12"/>
                <w:szCs w:val="12"/>
                <w:color w:val="auto"/>
              </w:rPr>
              <w:t>Total recorded investment</w:t>
            </w: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12,817</w:t>
            </w: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1,446</w:t>
            </w: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66"/>
              <w:spacing w:after="0"/>
              <w:rPr>
                <w:sz w:val="20"/>
                <w:szCs w:val="20"/>
                <w:color w:val="auto"/>
              </w:rPr>
            </w:pPr>
            <w:r>
              <w:rPr>
                <w:rFonts w:ascii="Arial" w:cs="Arial" w:eastAsia="Arial" w:hAnsi="Arial"/>
                <w:sz w:val="12"/>
                <w:szCs w:val="12"/>
                <w:color w:val="auto"/>
              </w:rPr>
              <w:t>3,008</w:t>
            </w:r>
          </w:p>
        </w:tc>
        <w:tc>
          <w:tcPr>
            <w:tcW w:w="320" w:type="dxa"/>
            <w:vAlign w:val="bottom"/>
          </w:tcPr>
          <w:p>
            <w:pPr>
              <w:jc w:val="right"/>
              <w:ind w:right="212"/>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17,271</w:t>
            </w: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2,725,306</w:t>
            </w: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2,742,577</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280" w:type="dxa"/>
            <w:vAlign w:val="bottom"/>
            <w:tcBorders>
              <w:bottom w:val="single" w:sz="8" w:color="CCEEFF"/>
            </w:tcBorders>
            <w:shd w:val="clear" w:color="auto" w:fill="CCEEFF"/>
          </w:tcPr>
          <w:p>
            <w:pPr>
              <w:ind w:left="100"/>
              <w:spacing w:after="0" w:line="120" w:lineRule="exact"/>
              <w:rPr>
                <w:sz w:val="20"/>
                <w:szCs w:val="20"/>
                <w:color w:val="auto"/>
              </w:rPr>
            </w:pPr>
            <w:r>
              <w:rPr>
                <w:rFonts w:ascii="Arial" w:cs="Arial" w:eastAsia="Arial" w:hAnsi="Arial"/>
                <w:sz w:val="12"/>
                <w:szCs w:val="12"/>
                <w:color w:val="auto"/>
              </w:rPr>
              <w:t>Accrued interest included in recorded investment</w:t>
            </w:r>
          </w:p>
        </w:tc>
        <w:tc>
          <w:tcPr>
            <w:tcW w:w="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147</w:t>
            </w:r>
          </w:p>
        </w:tc>
        <w:tc>
          <w:tcPr>
            <w:tcW w:w="24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22</w:t>
            </w:r>
          </w:p>
        </w:tc>
        <w:tc>
          <w:tcPr>
            <w:tcW w:w="24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169</w:t>
            </w:r>
          </w:p>
        </w:tc>
        <w:tc>
          <w:tcPr>
            <w:tcW w:w="2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8,730</w:t>
            </w:r>
          </w:p>
        </w:tc>
        <w:tc>
          <w:tcPr>
            <w:tcW w:w="2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8,899</w:t>
            </w:r>
          </w:p>
        </w:tc>
        <w:tc>
          <w:tcPr>
            <w:tcW w:w="1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0"/>
                <w:szCs w:val="10"/>
                <w:color w:val="auto"/>
              </w:rPr>
              <w:t>60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3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27" w:right="299" w:bottom="1440" w:gutter="0" w:footer="0" w:header="0"/>
        </w:sectPr>
      </w:pPr>
    </w:p>
    <w:bookmarkStart w:id="80" w:name="page81"/>
    <w:bookmarkEnd w:id="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300" w:type="dxa"/>
            <w:vAlign w:val="bottom"/>
          </w:tcPr>
          <w:p>
            <w:pPr>
              <w:spacing w:after="0"/>
              <w:rPr>
                <w:sz w:val="13"/>
                <w:szCs w:val="13"/>
                <w:color w:val="auto"/>
              </w:rPr>
            </w:pPr>
          </w:p>
        </w:tc>
        <w:tc>
          <w:tcPr>
            <w:tcW w:w="6880" w:type="dxa"/>
            <w:vAlign w:val="bottom"/>
            <w:gridSpan w:val="2"/>
          </w:tcPr>
          <w:p>
            <w:pPr>
              <w:jc w:val="right"/>
              <w:ind w:right="2532"/>
              <w:spacing w:after="0"/>
              <w:rPr>
                <w:sz w:val="20"/>
                <w:szCs w:val="20"/>
                <w:color w:val="auto"/>
              </w:rPr>
            </w:pPr>
            <w:r>
              <w:rPr>
                <w:rFonts w:ascii="Arial" w:cs="Arial" w:eastAsia="Arial" w:hAnsi="Arial"/>
                <w:sz w:val="12"/>
                <w:szCs w:val="12"/>
                <w:b w:val="1"/>
                <w:bCs w:val="1"/>
                <w:color w:val="auto"/>
              </w:rPr>
              <w:t>NOTES TO CONSOLIDATED FINANCIAL STATEMENTS − (Continued)</w:t>
            </w: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5"/>
        </w:trPr>
        <w:tc>
          <w:tcPr>
            <w:tcW w:w="3300" w:type="dxa"/>
            <w:vAlign w:val="bottom"/>
          </w:tcPr>
          <w:p>
            <w:pPr>
              <w:ind w:left="200"/>
              <w:spacing w:after="0"/>
              <w:rPr>
                <w:sz w:val="20"/>
                <w:szCs w:val="20"/>
                <w:color w:val="auto"/>
              </w:rPr>
            </w:pPr>
            <w:r>
              <w:rPr>
                <w:rFonts w:ascii="Arial" w:cs="Arial" w:eastAsia="Arial" w:hAnsi="Arial"/>
                <w:sz w:val="12"/>
                <w:szCs w:val="12"/>
                <w:color w:val="auto"/>
              </w:rPr>
              <w:t>Impaired loans at December 31, 2020 are as follows (1):</w:t>
            </w:r>
          </w:p>
        </w:tc>
        <w:tc>
          <w:tcPr>
            <w:tcW w:w="6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30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2020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3300" w:type="dxa"/>
            <w:vAlign w:val="bottom"/>
            <w:vMerge w:val="restart"/>
          </w:tcPr>
          <w:p>
            <w:pPr>
              <w:spacing w:after="0"/>
              <w:rPr>
                <w:sz w:val="20"/>
                <w:szCs w:val="20"/>
                <w:color w:val="auto"/>
              </w:rPr>
            </w:pPr>
            <w:r>
              <w:rPr>
                <w:rFonts w:ascii="Arial" w:cs="Arial" w:eastAsia="Arial" w:hAnsi="Arial"/>
                <w:sz w:val="12"/>
                <w:szCs w:val="12"/>
                <w:color w:val="auto"/>
              </w:rPr>
              <w:t>Impaired loans with no allocated ACL</w:t>
            </w:r>
          </w:p>
        </w:tc>
        <w:tc>
          <w:tcPr>
            <w:tcW w:w="6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ind w:right="120"/>
              <w:spacing w:after="0"/>
              <w:rPr>
                <w:sz w:val="20"/>
                <w:szCs w:val="20"/>
                <w:color w:val="auto"/>
              </w:rPr>
            </w:pPr>
            <w:r>
              <w:rPr>
                <w:rFonts w:ascii="Arial" w:cs="Arial" w:eastAsia="Arial" w:hAnsi="Arial"/>
                <w:sz w:val="12"/>
                <w:szCs w:val="12"/>
                <w:b w:val="1"/>
                <w:bCs w:val="1"/>
                <w:color w:val="auto"/>
                <w:w w:val="96"/>
              </w:rPr>
              <w:t>(In thousands)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300" w:type="dxa"/>
            <w:vAlign w:val="bottom"/>
            <w:vMerge w:val="continue"/>
          </w:tcPr>
          <w:p>
            <w:pPr>
              <w:spacing w:after="0"/>
              <w:rPr>
                <w:sz w:val="11"/>
                <w:szCs w:val="11"/>
                <w:color w:val="auto"/>
              </w:rPr>
            </w:pPr>
          </w:p>
        </w:tc>
        <w:tc>
          <w:tcPr>
            <w:tcW w:w="6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300" w:type="dxa"/>
            <w:vAlign w:val="bottom"/>
            <w:shd w:val="clear" w:color="auto" w:fill="CCEEFF"/>
          </w:tcPr>
          <w:p>
            <w:pPr>
              <w:ind w:left="80"/>
              <w:spacing w:after="0"/>
              <w:rPr>
                <w:sz w:val="20"/>
                <w:szCs w:val="20"/>
                <w:color w:val="auto"/>
              </w:rPr>
            </w:pPr>
            <w:r>
              <w:rPr>
                <w:rFonts w:ascii="Arial" w:cs="Arial" w:eastAsia="Arial" w:hAnsi="Arial"/>
                <w:sz w:val="12"/>
                <w:szCs w:val="12"/>
                <w:color w:val="auto"/>
              </w:rPr>
              <w:t>TDR</w:t>
            </w:r>
          </w:p>
        </w:tc>
        <w:tc>
          <w:tcPr>
            <w:tcW w:w="6880" w:type="dxa"/>
            <w:vAlign w:val="bottom"/>
            <w:gridSpan w:val="2"/>
            <w:shd w:val="clear" w:color="auto" w:fill="CCEEFF"/>
          </w:tcPr>
          <w:p>
            <w:pPr>
              <w:jc w:val="right"/>
              <w:ind w:right="12"/>
              <w:spacing w:after="0"/>
              <w:rPr>
                <w:sz w:val="20"/>
                <w:szCs w:val="20"/>
                <w:color w:val="auto"/>
              </w:rPr>
            </w:pPr>
            <w:r>
              <w:rPr>
                <w:rFonts w:ascii="Arial" w:cs="Arial" w:eastAsia="Arial" w:hAnsi="Arial"/>
                <w:sz w:val="12"/>
                <w:szCs w:val="12"/>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93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300" w:type="dxa"/>
            <w:vAlign w:val="bottom"/>
          </w:tcPr>
          <w:p>
            <w:pPr>
              <w:ind w:left="80"/>
              <w:spacing w:after="0"/>
              <w:rPr>
                <w:sz w:val="20"/>
                <w:szCs w:val="20"/>
                <w:color w:val="auto"/>
              </w:rPr>
            </w:pPr>
            <w:r>
              <w:rPr>
                <w:rFonts w:ascii="Arial" w:cs="Arial" w:eastAsia="Arial" w:hAnsi="Arial"/>
                <w:sz w:val="12"/>
                <w:szCs w:val="12"/>
                <w:color w:val="auto"/>
              </w:rPr>
              <w:t>Non - TDR</w:t>
            </w:r>
          </w:p>
        </w:tc>
        <w:tc>
          <w:tcPr>
            <w:tcW w:w="6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2"/>
                <w:szCs w:val="12"/>
                <w:color w:val="auto"/>
              </w:rPr>
              <w:t>1,367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300" w:type="dxa"/>
            <w:vAlign w:val="bottom"/>
            <w:shd w:val="clear" w:color="auto" w:fill="CCEEFF"/>
          </w:tcPr>
          <w:p>
            <w:pPr>
              <w:spacing w:after="0"/>
              <w:rPr>
                <w:sz w:val="20"/>
                <w:szCs w:val="20"/>
                <w:color w:val="auto"/>
              </w:rPr>
            </w:pPr>
            <w:r>
              <w:rPr>
                <w:rFonts w:ascii="Arial" w:cs="Arial" w:eastAsia="Arial" w:hAnsi="Arial"/>
                <w:sz w:val="12"/>
                <w:szCs w:val="12"/>
                <w:color w:val="auto"/>
              </w:rPr>
              <w:t>Impaired loans with an allocated ACL</w:t>
            </w:r>
          </w:p>
        </w:tc>
        <w:tc>
          <w:tcPr>
            <w:tcW w:w="6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300" w:type="dxa"/>
            <w:vAlign w:val="bottom"/>
          </w:tcPr>
          <w:p>
            <w:pPr>
              <w:ind w:left="80"/>
              <w:spacing w:after="0"/>
              <w:rPr>
                <w:sz w:val="20"/>
                <w:szCs w:val="20"/>
                <w:color w:val="auto"/>
              </w:rPr>
            </w:pPr>
            <w:r>
              <w:rPr>
                <w:rFonts w:ascii="Arial" w:cs="Arial" w:eastAsia="Arial" w:hAnsi="Arial"/>
                <w:sz w:val="12"/>
                <w:szCs w:val="12"/>
                <w:color w:val="auto"/>
              </w:rPr>
              <w:t>TDR - allowance based on collateral</w:t>
            </w:r>
          </w:p>
        </w:tc>
        <w:tc>
          <w:tcPr>
            <w:tcW w:w="6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2"/>
                <w:szCs w:val="12"/>
                <w:color w:val="auto"/>
              </w:rPr>
              <w:t>9,027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300" w:type="dxa"/>
            <w:vAlign w:val="bottom"/>
            <w:shd w:val="clear" w:color="auto" w:fill="CCEEFF"/>
          </w:tcPr>
          <w:p>
            <w:pPr>
              <w:ind w:left="80"/>
              <w:spacing w:after="0"/>
              <w:rPr>
                <w:sz w:val="20"/>
                <w:szCs w:val="20"/>
                <w:color w:val="auto"/>
              </w:rPr>
            </w:pPr>
            <w:r>
              <w:rPr>
                <w:rFonts w:ascii="Arial" w:cs="Arial" w:eastAsia="Arial" w:hAnsi="Arial"/>
                <w:sz w:val="12"/>
                <w:szCs w:val="12"/>
                <w:color w:val="auto"/>
              </w:rPr>
              <w:t>TDR - allowance based on present value cash flow</w:t>
            </w:r>
          </w:p>
        </w:tc>
        <w:tc>
          <w:tcPr>
            <w:tcW w:w="6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37,953</w:t>
            </w:r>
          </w:p>
        </w:tc>
        <w:tc>
          <w:tcPr>
            <w:tcW w:w="0" w:type="dxa"/>
            <w:vAlign w:val="bottom"/>
          </w:tcPr>
          <w:p>
            <w:pPr>
              <w:spacing w:after="0"/>
              <w:rPr>
                <w:sz w:val="1"/>
                <w:szCs w:val="1"/>
                <w:color w:val="auto"/>
              </w:rPr>
            </w:pPr>
          </w:p>
        </w:tc>
      </w:tr>
      <w:tr>
        <w:trPr>
          <w:trHeight w:val="144"/>
        </w:trPr>
        <w:tc>
          <w:tcPr>
            <w:tcW w:w="3300" w:type="dxa"/>
            <w:vAlign w:val="bottom"/>
          </w:tcPr>
          <w:p>
            <w:pPr>
              <w:ind w:left="80"/>
              <w:spacing w:after="0"/>
              <w:rPr>
                <w:sz w:val="20"/>
                <w:szCs w:val="20"/>
                <w:color w:val="auto"/>
              </w:rPr>
            </w:pPr>
            <w:r>
              <w:rPr>
                <w:rFonts w:ascii="Arial" w:cs="Arial" w:eastAsia="Arial" w:hAnsi="Arial"/>
                <w:sz w:val="12"/>
                <w:szCs w:val="12"/>
                <w:color w:val="auto"/>
              </w:rPr>
              <w:t>Non - TDR - allowance based on collateral</w:t>
            </w:r>
          </w:p>
        </w:tc>
        <w:tc>
          <w:tcPr>
            <w:tcW w:w="67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1,873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3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Total impaired loans</w:t>
            </w:r>
          </w:p>
        </w:tc>
        <w:tc>
          <w:tcPr>
            <w:tcW w:w="6760" w:type="dxa"/>
            <w:vAlign w:val="bottom"/>
            <w:shd w:val="clear" w:color="auto" w:fill="CCEEFF"/>
          </w:tcPr>
          <w:p>
            <w:pPr>
              <w:spacing w:after="0"/>
              <w:rPr>
                <w:sz w:val="15"/>
                <w:szCs w:val="15"/>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50,313</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3300" w:type="dxa"/>
            <w:vAlign w:val="bottom"/>
            <w:tcBorders>
              <w:top w:val="single" w:sz="8" w:color="CCEEFF"/>
            </w:tcBorders>
          </w:tcPr>
          <w:p>
            <w:pPr>
              <w:spacing w:after="0"/>
              <w:rPr>
                <w:sz w:val="10"/>
                <w:szCs w:val="10"/>
                <w:color w:val="auto"/>
              </w:rPr>
            </w:pPr>
          </w:p>
        </w:tc>
        <w:tc>
          <w:tcPr>
            <w:tcW w:w="676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300" w:type="dxa"/>
            <w:vAlign w:val="bottom"/>
            <w:shd w:val="clear" w:color="auto" w:fill="CCEEFF"/>
          </w:tcPr>
          <w:p>
            <w:pPr>
              <w:spacing w:after="0"/>
              <w:rPr>
                <w:sz w:val="20"/>
                <w:szCs w:val="20"/>
                <w:color w:val="auto"/>
              </w:rPr>
            </w:pPr>
            <w:r>
              <w:rPr>
                <w:rFonts w:ascii="Arial" w:cs="Arial" w:eastAsia="Arial" w:hAnsi="Arial"/>
                <w:sz w:val="12"/>
                <w:szCs w:val="12"/>
                <w:color w:val="auto"/>
              </w:rPr>
              <w:t>Amount of ACL allocated (1)</w:t>
            </w:r>
          </w:p>
        </w:tc>
        <w:tc>
          <w:tcPr>
            <w:tcW w:w="6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300" w:type="dxa"/>
            <w:vAlign w:val="bottom"/>
          </w:tcPr>
          <w:p>
            <w:pPr>
              <w:ind w:left="80"/>
              <w:spacing w:after="0"/>
              <w:rPr>
                <w:sz w:val="20"/>
                <w:szCs w:val="20"/>
                <w:color w:val="auto"/>
              </w:rPr>
            </w:pPr>
            <w:r>
              <w:rPr>
                <w:rFonts w:ascii="Arial" w:cs="Arial" w:eastAsia="Arial" w:hAnsi="Arial"/>
                <w:sz w:val="12"/>
                <w:szCs w:val="12"/>
                <w:color w:val="auto"/>
              </w:rPr>
              <w:t>TDR - allowance based on collateral</w:t>
            </w:r>
          </w:p>
        </w:tc>
        <w:tc>
          <w:tcPr>
            <w:tcW w:w="6880" w:type="dxa"/>
            <w:vAlign w:val="bottom"/>
            <w:gridSpan w:val="2"/>
          </w:tcPr>
          <w:p>
            <w:pPr>
              <w:jc w:val="right"/>
              <w:ind w:right="12"/>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2"/>
                <w:szCs w:val="12"/>
                <w:color w:val="auto"/>
              </w:rPr>
              <w:t>1,058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300" w:type="dxa"/>
            <w:vAlign w:val="bottom"/>
            <w:shd w:val="clear" w:color="auto" w:fill="CCEEFF"/>
          </w:tcPr>
          <w:p>
            <w:pPr>
              <w:ind w:left="80"/>
              <w:spacing w:after="0"/>
              <w:rPr>
                <w:sz w:val="20"/>
                <w:szCs w:val="20"/>
                <w:color w:val="auto"/>
              </w:rPr>
            </w:pPr>
            <w:r>
              <w:rPr>
                <w:rFonts w:ascii="Arial" w:cs="Arial" w:eastAsia="Arial" w:hAnsi="Arial"/>
                <w:sz w:val="12"/>
                <w:szCs w:val="12"/>
                <w:color w:val="auto"/>
              </w:rPr>
              <w:t>TDR - allowance based on present value cash flow</w:t>
            </w:r>
          </w:p>
        </w:tc>
        <w:tc>
          <w:tcPr>
            <w:tcW w:w="6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3,755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300" w:type="dxa"/>
            <w:vAlign w:val="bottom"/>
          </w:tcPr>
          <w:p>
            <w:pPr>
              <w:ind w:left="80"/>
              <w:spacing w:after="0"/>
              <w:rPr>
                <w:sz w:val="20"/>
                <w:szCs w:val="20"/>
                <w:color w:val="auto"/>
              </w:rPr>
            </w:pPr>
            <w:r>
              <w:rPr>
                <w:rFonts w:ascii="Arial" w:cs="Arial" w:eastAsia="Arial" w:hAnsi="Arial"/>
                <w:sz w:val="12"/>
                <w:szCs w:val="12"/>
                <w:color w:val="auto"/>
              </w:rPr>
              <w:t>Non - TDR - allowance based on collateral</w:t>
            </w:r>
          </w:p>
        </w:tc>
        <w:tc>
          <w:tcPr>
            <w:tcW w:w="67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768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Total amount of ACL allocated</w:t>
            </w:r>
          </w:p>
        </w:tc>
        <w:tc>
          <w:tcPr>
            <w:tcW w:w="67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5,581</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(1) Beginning January 1, 2021, calculation is based on CECL methodology. Prior to January 1, 2021, calculation was based on the probable incurred loss methodology.</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57"/>
        </w:trPr>
        <w:tc>
          <w:tcPr>
            <w:tcW w:w="3580" w:type="dxa"/>
            <w:vAlign w:val="bottom"/>
          </w:tcPr>
          <w:p>
            <w:pPr>
              <w:spacing w:after="0"/>
              <w:rPr>
                <w:sz w:val="13"/>
                <w:szCs w:val="13"/>
                <w:color w:val="auto"/>
              </w:rPr>
            </w:pPr>
          </w:p>
        </w:tc>
        <w:tc>
          <w:tcPr>
            <w:tcW w:w="4040" w:type="dxa"/>
            <w:vAlign w:val="bottom"/>
            <w:gridSpan w:val="2"/>
          </w:tcPr>
          <w:p>
            <w:pPr>
              <w:jc w:val="center"/>
              <w:ind w:left="44"/>
              <w:spacing w:after="0"/>
              <w:rPr>
                <w:sz w:val="20"/>
                <w:szCs w:val="20"/>
                <w:color w:val="auto"/>
              </w:rPr>
            </w:pPr>
            <w:r>
              <w:rPr>
                <w:rFonts w:ascii="Arial" w:cs="Arial" w:eastAsia="Arial" w:hAnsi="Arial"/>
                <w:sz w:val="12"/>
                <w:szCs w:val="12"/>
                <w:b w:val="1"/>
                <w:bCs w:val="1"/>
                <w:color w:val="auto"/>
                <w:w w:val="98"/>
              </w:rPr>
              <w:t>NOTES TO CONSOLIDATED FINANCIAL STATEMENTS − (Continued)</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3580" w:type="dxa"/>
            <w:vAlign w:val="bottom"/>
          </w:tcPr>
          <w:p>
            <w:pPr>
              <w:ind w:left="200"/>
              <w:spacing w:after="0"/>
              <w:rPr>
                <w:sz w:val="20"/>
                <w:szCs w:val="20"/>
                <w:color w:val="auto"/>
              </w:rPr>
            </w:pPr>
            <w:r>
              <w:rPr>
                <w:rFonts w:ascii="Arial" w:cs="Arial" w:eastAsia="Arial" w:hAnsi="Arial"/>
                <w:sz w:val="12"/>
                <w:szCs w:val="12"/>
                <w:color w:val="auto"/>
                <w:w w:val="92"/>
              </w:rPr>
              <w:t>Impaired loans by class as of December 31, 2020 are as follows (1):</w:t>
            </w:r>
          </w:p>
        </w:tc>
        <w:tc>
          <w:tcPr>
            <w:tcW w:w="3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35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2020</w:t>
            </w: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58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320"/>
              <w:spacing w:after="0" w:line="129" w:lineRule="exact"/>
              <w:rPr>
                <w:sz w:val="20"/>
                <w:szCs w:val="20"/>
                <w:color w:val="auto"/>
              </w:rPr>
            </w:pPr>
            <w:r>
              <w:rPr>
                <w:rFonts w:ascii="Arial" w:cs="Arial" w:eastAsia="Arial" w:hAnsi="Arial"/>
                <w:sz w:val="12"/>
                <w:szCs w:val="12"/>
                <w:b w:val="1"/>
                <w:bCs w:val="1"/>
                <w:color w:val="auto"/>
                <w:w w:val="93"/>
              </w:rPr>
              <w:t>Unpaid</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58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2"/>
                <w:szCs w:val="12"/>
                <w:b w:val="1"/>
                <w:bCs w:val="1"/>
                <w:color w:val="auto"/>
                <w:w w:val="86"/>
              </w:rPr>
              <w:t>Recorded</w:t>
            </w:r>
          </w:p>
        </w:tc>
        <w:tc>
          <w:tcPr>
            <w:tcW w:w="120" w:type="dxa"/>
            <w:vAlign w:val="bottom"/>
          </w:tcPr>
          <w:p>
            <w:pPr>
              <w:spacing w:after="0"/>
              <w:rPr>
                <w:sz w:val="12"/>
                <w:szCs w:val="12"/>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4"/>
              </w:rPr>
              <w:t>Principal</w:t>
            </w:r>
          </w:p>
        </w:tc>
        <w:tc>
          <w:tcPr>
            <w:tcW w:w="200" w:type="dxa"/>
            <w:vAlign w:val="bottom"/>
          </w:tcPr>
          <w:p>
            <w:pPr>
              <w:spacing w:after="0"/>
              <w:rPr>
                <w:sz w:val="12"/>
                <w:szCs w:val="12"/>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2"/>
                <w:szCs w:val="12"/>
                <w:b w:val="1"/>
                <w:bCs w:val="1"/>
                <w:color w:val="auto"/>
              </w:rPr>
              <w:t>Related</w:t>
            </w:r>
          </w:p>
        </w:tc>
        <w:tc>
          <w:tcPr>
            <w:tcW w:w="0" w:type="dxa"/>
            <w:vAlign w:val="bottom"/>
          </w:tcPr>
          <w:p>
            <w:pPr>
              <w:spacing w:after="0"/>
              <w:rPr>
                <w:sz w:val="1"/>
                <w:szCs w:val="1"/>
                <w:color w:val="auto"/>
              </w:rPr>
            </w:pPr>
          </w:p>
        </w:tc>
      </w:tr>
      <w:tr>
        <w:trPr>
          <w:trHeight w:val="157"/>
        </w:trPr>
        <w:tc>
          <w:tcPr>
            <w:tcW w:w="358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2"/>
                <w:szCs w:val="12"/>
                <w:b w:val="1"/>
                <w:bCs w:val="1"/>
                <w:color w:val="auto"/>
                <w:w w:val="88"/>
              </w:rPr>
              <w:t>Investment</w:t>
            </w:r>
          </w:p>
        </w:tc>
        <w:tc>
          <w:tcPr>
            <w:tcW w:w="120" w:type="dxa"/>
            <w:vAlign w:val="bottom"/>
          </w:tcPr>
          <w:p>
            <w:pPr>
              <w:spacing w:after="0"/>
              <w:rPr>
                <w:sz w:val="13"/>
                <w:szCs w:val="13"/>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86"/>
              </w:rPr>
              <w:t>Balance</w:t>
            </w:r>
          </w:p>
        </w:tc>
        <w:tc>
          <w:tcPr>
            <w:tcW w:w="200" w:type="dxa"/>
            <w:vAlign w:val="bottom"/>
          </w:tcPr>
          <w:p>
            <w:pPr>
              <w:spacing w:after="0"/>
              <w:rPr>
                <w:sz w:val="13"/>
                <w:szCs w:val="13"/>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rPr>
              <w:t>ACL (1)</w:t>
            </w:r>
          </w:p>
        </w:tc>
        <w:tc>
          <w:tcPr>
            <w:tcW w:w="0" w:type="dxa"/>
            <w:vAlign w:val="bottom"/>
          </w:tcPr>
          <w:p>
            <w:pPr>
              <w:spacing w:after="0"/>
              <w:rPr>
                <w:sz w:val="1"/>
                <w:szCs w:val="1"/>
                <w:color w:val="auto"/>
              </w:rPr>
            </w:pPr>
          </w:p>
        </w:tc>
      </w:tr>
      <w:tr>
        <w:trPr>
          <w:trHeight w:val="155"/>
        </w:trPr>
        <w:tc>
          <w:tcPr>
            <w:tcW w:w="3580" w:type="dxa"/>
            <w:vAlign w:val="bottom"/>
            <w:vMerge w:val="restart"/>
          </w:tcPr>
          <w:p>
            <w:pPr>
              <w:spacing w:after="0"/>
              <w:rPr>
                <w:sz w:val="20"/>
                <w:szCs w:val="20"/>
                <w:color w:val="auto"/>
              </w:rPr>
            </w:pPr>
            <w:r>
              <w:rPr>
                <w:rFonts w:ascii="Arial" w:cs="Arial" w:eastAsia="Arial" w:hAnsi="Arial"/>
                <w:sz w:val="12"/>
                <w:szCs w:val="12"/>
                <w:b w:val="1"/>
                <w:bCs w:val="1"/>
                <w:color w:val="auto"/>
              </w:rPr>
              <w:t>With no related ACL recorded:</w:t>
            </w:r>
          </w:p>
        </w:tc>
        <w:tc>
          <w:tcPr>
            <w:tcW w:w="37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140"/>
              <w:spacing w:after="0"/>
              <w:rPr>
                <w:sz w:val="20"/>
                <w:szCs w:val="20"/>
                <w:color w:val="auto"/>
              </w:rPr>
            </w:pPr>
            <w:r>
              <w:rPr>
                <w:rFonts w:ascii="Arial" w:cs="Arial" w:eastAsia="Arial" w:hAnsi="Arial"/>
                <w:sz w:val="12"/>
                <w:szCs w:val="12"/>
                <w:b w:val="1"/>
                <w:bCs w:val="1"/>
                <w:color w:val="auto"/>
                <w:w w:val="94"/>
              </w:rPr>
              <w:t>(In thousands)</w:t>
            </w:r>
          </w:p>
        </w:tc>
        <w:tc>
          <w:tcPr>
            <w:tcW w:w="2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580" w:type="dxa"/>
            <w:vAlign w:val="bottom"/>
            <w:vMerge w:val="continue"/>
          </w:tcPr>
          <w:p>
            <w:pPr>
              <w:spacing w:after="0"/>
              <w:rPr>
                <w:sz w:val="10"/>
                <w:szCs w:val="10"/>
                <w:color w:val="auto"/>
              </w:rPr>
            </w:pPr>
          </w:p>
        </w:tc>
        <w:tc>
          <w:tcPr>
            <w:tcW w:w="3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580" w:type="dxa"/>
            <w:vAlign w:val="bottom"/>
          </w:tcPr>
          <w:p>
            <w:pPr>
              <w:ind w:left="80"/>
              <w:spacing w:after="0"/>
              <w:rPr>
                <w:sz w:val="20"/>
                <w:szCs w:val="20"/>
                <w:color w:val="auto"/>
              </w:rPr>
            </w:pPr>
            <w:r>
              <w:rPr>
                <w:rFonts w:ascii="Arial" w:cs="Arial" w:eastAsia="Arial" w:hAnsi="Arial"/>
                <w:sz w:val="12"/>
                <w:szCs w:val="12"/>
                <w:color w:val="auto"/>
              </w:rPr>
              <w:t>Commercial</w:t>
            </w:r>
          </w:p>
        </w:tc>
        <w:tc>
          <w:tcPr>
            <w:tcW w:w="3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5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Commercial and industrial</w:t>
            </w:r>
          </w:p>
        </w:tc>
        <w:tc>
          <w:tcPr>
            <w:tcW w:w="4040" w:type="dxa"/>
            <w:vAlign w:val="bottom"/>
            <w:gridSpan w:val="2"/>
            <w:shd w:val="clear" w:color="auto" w:fill="CCEEFF"/>
          </w:tcPr>
          <w:p>
            <w:pPr>
              <w:jc w:val="right"/>
              <w:ind w:right="172"/>
              <w:spacing w:after="0"/>
              <w:rPr>
                <w:sz w:val="20"/>
                <w:szCs w:val="20"/>
                <w:color w:val="auto"/>
              </w:rPr>
            </w:pPr>
            <w:r>
              <w:rPr>
                <w:rFonts w:ascii="Arial" w:cs="Arial" w:eastAsia="Arial" w:hAnsi="Arial"/>
                <w:sz w:val="12"/>
                <w:szCs w:val="12"/>
                <w:color w:val="auto"/>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77</w:t>
            </w:r>
          </w:p>
        </w:tc>
        <w:tc>
          <w:tcPr>
            <w:tcW w:w="2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jc w:val="right"/>
              <w:ind w:right="24"/>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80</w:t>
            </w:r>
          </w:p>
        </w:tc>
        <w:tc>
          <w:tcPr>
            <w:tcW w:w="2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580" w:type="dxa"/>
            <w:vAlign w:val="bottom"/>
          </w:tcPr>
          <w:p>
            <w:pPr>
              <w:ind w:left="200"/>
              <w:spacing w:after="0"/>
              <w:rPr>
                <w:sz w:val="20"/>
                <w:szCs w:val="20"/>
                <w:color w:val="auto"/>
              </w:rPr>
            </w:pPr>
            <w:r>
              <w:rPr>
                <w:rFonts w:ascii="Arial" w:cs="Arial" w:eastAsia="Arial" w:hAnsi="Arial"/>
                <w:sz w:val="12"/>
                <w:szCs w:val="12"/>
                <w:color w:val="auto"/>
              </w:rPr>
              <w:t>Commercial real estate</w:t>
            </w:r>
          </w:p>
        </w:tc>
        <w:tc>
          <w:tcPr>
            <w:tcW w:w="3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580" w:type="dxa"/>
            <w:vAlign w:val="bottom"/>
            <w:shd w:val="clear" w:color="auto" w:fill="CCEEFF"/>
          </w:tcPr>
          <w:p>
            <w:pPr>
              <w:ind w:left="80"/>
              <w:spacing w:after="0"/>
              <w:rPr>
                <w:sz w:val="20"/>
                <w:szCs w:val="20"/>
                <w:color w:val="auto"/>
              </w:rPr>
            </w:pPr>
            <w:r>
              <w:rPr>
                <w:rFonts w:ascii="Arial" w:cs="Arial" w:eastAsia="Arial" w:hAnsi="Arial"/>
                <w:sz w:val="12"/>
                <w:szCs w:val="12"/>
                <w:color w:val="auto"/>
              </w:rPr>
              <w:t>Mortgage</w:t>
            </w:r>
          </w:p>
        </w:tc>
        <w:tc>
          <w:tcPr>
            <w:tcW w:w="378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tcBorders>
              <w:right w:val="single" w:sz="8" w:color="CCEEFF"/>
            </w:tcBorders>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80" w:type="dxa"/>
            <w:vAlign w:val="bottom"/>
          </w:tcPr>
          <w:p>
            <w:pPr>
              <w:ind w:left="200"/>
              <w:spacing w:after="0"/>
              <w:rPr>
                <w:sz w:val="20"/>
                <w:szCs w:val="20"/>
                <w:color w:val="auto"/>
              </w:rPr>
            </w:pPr>
            <w:r>
              <w:rPr>
                <w:rFonts w:ascii="Arial" w:cs="Arial" w:eastAsia="Arial" w:hAnsi="Arial"/>
                <w:sz w:val="12"/>
                <w:szCs w:val="12"/>
                <w:color w:val="auto"/>
              </w:rPr>
              <w:t>1-4 family owner occupied - jumbo</w:t>
            </w:r>
          </w:p>
        </w:tc>
        <w:tc>
          <w:tcPr>
            <w:tcW w:w="3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623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629</w:t>
            </w:r>
          </w:p>
        </w:tc>
        <w:tc>
          <w:tcPr>
            <w:tcW w:w="2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5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1-4 family owner occupied - non-jumbo</w:t>
            </w:r>
          </w:p>
        </w:tc>
        <w:tc>
          <w:tcPr>
            <w:tcW w:w="378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580" w:type="dxa"/>
            <w:vAlign w:val="bottom"/>
          </w:tcPr>
          <w:p>
            <w:pPr>
              <w:ind w:left="200"/>
              <w:spacing w:after="0"/>
              <w:rPr>
                <w:sz w:val="20"/>
                <w:szCs w:val="20"/>
                <w:color w:val="auto"/>
              </w:rPr>
            </w:pPr>
            <w:r>
              <w:rPr>
                <w:rFonts w:ascii="Arial" w:cs="Arial" w:eastAsia="Arial" w:hAnsi="Arial"/>
                <w:sz w:val="12"/>
                <w:szCs w:val="12"/>
                <w:color w:val="auto"/>
              </w:rPr>
              <w:t>1-4 family non-owner occupied</w:t>
            </w:r>
          </w:p>
        </w:tc>
        <w:tc>
          <w:tcPr>
            <w:tcW w:w="3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305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473</w:t>
            </w:r>
          </w:p>
        </w:tc>
        <w:tc>
          <w:tcPr>
            <w:tcW w:w="2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5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1-4 family - 2nd lien</w:t>
            </w:r>
          </w:p>
        </w:tc>
        <w:tc>
          <w:tcPr>
            <w:tcW w:w="378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301</w:t>
            </w:r>
          </w:p>
        </w:tc>
        <w:tc>
          <w:tcPr>
            <w:tcW w:w="2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304</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580" w:type="dxa"/>
            <w:vAlign w:val="bottom"/>
          </w:tcPr>
          <w:p>
            <w:pPr>
              <w:ind w:left="200"/>
              <w:spacing w:after="0"/>
              <w:rPr>
                <w:sz w:val="20"/>
                <w:szCs w:val="20"/>
                <w:color w:val="auto"/>
              </w:rPr>
            </w:pPr>
            <w:r>
              <w:rPr>
                <w:rFonts w:ascii="Arial" w:cs="Arial" w:eastAsia="Arial" w:hAnsi="Arial"/>
                <w:sz w:val="12"/>
                <w:szCs w:val="12"/>
                <w:color w:val="auto"/>
              </w:rPr>
              <w:t>Resort lending</w:t>
            </w:r>
          </w:p>
        </w:tc>
        <w:tc>
          <w:tcPr>
            <w:tcW w:w="3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154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379</w:t>
            </w:r>
          </w:p>
        </w:tc>
        <w:tc>
          <w:tcPr>
            <w:tcW w:w="2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580" w:type="dxa"/>
            <w:vAlign w:val="bottom"/>
            <w:shd w:val="clear" w:color="auto" w:fill="CCEEFF"/>
          </w:tcPr>
          <w:p>
            <w:pPr>
              <w:ind w:left="80"/>
              <w:spacing w:after="0"/>
              <w:rPr>
                <w:sz w:val="20"/>
                <w:szCs w:val="20"/>
                <w:color w:val="auto"/>
              </w:rPr>
            </w:pPr>
            <w:r>
              <w:rPr>
                <w:rFonts w:ascii="Arial" w:cs="Arial" w:eastAsia="Arial" w:hAnsi="Arial"/>
                <w:sz w:val="12"/>
                <w:szCs w:val="12"/>
                <w:color w:val="auto"/>
              </w:rPr>
              <w:t>Installment</w:t>
            </w:r>
          </w:p>
        </w:tc>
        <w:tc>
          <w:tcPr>
            <w:tcW w:w="378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tcBorders>
              <w:right w:val="single" w:sz="8" w:color="CCEEFF"/>
            </w:tcBorders>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80" w:type="dxa"/>
            <w:vAlign w:val="bottom"/>
          </w:tcPr>
          <w:p>
            <w:pPr>
              <w:ind w:left="200"/>
              <w:spacing w:after="0"/>
              <w:rPr>
                <w:sz w:val="20"/>
                <w:szCs w:val="20"/>
                <w:color w:val="auto"/>
              </w:rPr>
            </w:pPr>
            <w:r>
              <w:rPr>
                <w:rFonts w:ascii="Arial" w:cs="Arial" w:eastAsia="Arial" w:hAnsi="Arial"/>
                <w:sz w:val="12"/>
                <w:szCs w:val="12"/>
                <w:color w:val="auto"/>
              </w:rPr>
              <w:t>Boat lending</w:t>
            </w:r>
          </w:p>
        </w:tc>
        <w:tc>
          <w:tcPr>
            <w:tcW w:w="3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5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Recreational vehicle lending</w:t>
            </w:r>
          </w:p>
        </w:tc>
        <w:tc>
          <w:tcPr>
            <w:tcW w:w="378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580" w:type="dxa"/>
            <w:vAlign w:val="bottom"/>
          </w:tcPr>
          <w:p>
            <w:pPr>
              <w:ind w:left="200"/>
              <w:spacing w:after="0"/>
              <w:rPr>
                <w:sz w:val="20"/>
                <w:szCs w:val="20"/>
                <w:color w:val="auto"/>
              </w:rPr>
            </w:pPr>
            <w:r>
              <w:rPr>
                <w:rFonts w:ascii="Arial" w:cs="Arial" w:eastAsia="Arial" w:hAnsi="Arial"/>
                <w:sz w:val="12"/>
                <w:szCs w:val="12"/>
                <w:color w:val="auto"/>
              </w:rPr>
              <w:t>Other</w:t>
            </w:r>
          </w:p>
        </w:tc>
        <w:tc>
          <w:tcPr>
            <w:tcW w:w="3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3580" w:type="dxa"/>
            <w:vAlign w:val="bottom"/>
            <w:shd w:val="clear" w:color="auto" w:fill="CCEEFF"/>
          </w:tcPr>
          <w:p>
            <w:pPr>
              <w:spacing w:after="0"/>
              <w:rPr>
                <w:sz w:val="12"/>
                <w:szCs w:val="12"/>
                <w:color w:val="auto"/>
              </w:rPr>
            </w:pPr>
          </w:p>
        </w:tc>
        <w:tc>
          <w:tcPr>
            <w:tcW w:w="3780" w:type="dxa"/>
            <w:vAlign w:val="bottom"/>
            <w:tcBorders>
              <w:right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1,460</w:t>
            </w:r>
          </w:p>
        </w:tc>
        <w:tc>
          <w:tcPr>
            <w:tcW w:w="22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1,865</w:t>
            </w:r>
          </w:p>
        </w:tc>
        <w:tc>
          <w:tcPr>
            <w:tcW w:w="22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3580" w:type="dxa"/>
            <w:vAlign w:val="bottom"/>
            <w:tcBorders>
              <w:top w:val="single" w:sz="8" w:color="CCEEFF"/>
            </w:tcBorders>
          </w:tcPr>
          <w:p>
            <w:pPr>
              <w:spacing w:after="0"/>
              <w:rPr>
                <w:sz w:val="20"/>
                <w:szCs w:val="20"/>
                <w:color w:val="auto"/>
              </w:rPr>
            </w:pPr>
            <w:r>
              <w:rPr>
                <w:rFonts w:ascii="Arial" w:cs="Arial" w:eastAsia="Arial" w:hAnsi="Arial"/>
                <w:sz w:val="12"/>
                <w:szCs w:val="12"/>
                <w:b w:val="1"/>
                <w:bCs w:val="1"/>
                <w:color w:val="auto"/>
              </w:rPr>
              <w:t>With an ACL recorded:</w:t>
            </w:r>
          </w:p>
        </w:tc>
        <w:tc>
          <w:tcPr>
            <w:tcW w:w="378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3580" w:type="dxa"/>
            <w:vAlign w:val="bottom"/>
          </w:tcPr>
          <w:p>
            <w:pPr>
              <w:ind w:left="80"/>
              <w:spacing w:after="0"/>
              <w:rPr>
                <w:sz w:val="20"/>
                <w:szCs w:val="20"/>
                <w:color w:val="auto"/>
              </w:rPr>
            </w:pPr>
            <w:r>
              <w:rPr>
                <w:rFonts w:ascii="Arial" w:cs="Arial" w:eastAsia="Arial" w:hAnsi="Arial"/>
                <w:sz w:val="12"/>
                <w:szCs w:val="12"/>
                <w:color w:val="auto"/>
              </w:rPr>
              <w:t>Commercial</w:t>
            </w:r>
          </w:p>
        </w:tc>
        <w:tc>
          <w:tcPr>
            <w:tcW w:w="3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5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Commercial and industrial</w:t>
            </w:r>
          </w:p>
        </w:tc>
        <w:tc>
          <w:tcPr>
            <w:tcW w:w="378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2,227</w:t>
            </w:r>
          </w:p>
        </w:tc>
        <w:tc>
          <w:tcPr>
            <w:tcW w:w="2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2,370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756</w:t>
            </w:r>
          </w:p>
        </w:tc>
        <w:tc>
          <w:tcPr>
            <w:tcW w:w="0" w:type="dxa"/>
            <w:vAlign w:val="bottom"/>
          </w:tcPr>
          <w:p>
            <w:pPr>
              <w:spacing w:after="0"/>
              <w:rPr>
                <w:sz w:val="1"/>
                <w:szCs w:val="1"/>
                <w:color w:val="auto"/>
              </w:rPr>
            </w:pPr>
          </w:p>
        </w:tc>
      </w:tr>
      <w:tr>
        <w:trPr>
          <w:trHeight w:val="144"/>
        </w:trPr>
        <w:tc>
          <w:tcPr>
            <w:tcW w:w="3580" w:type="dxa"/>
            <w:vAlign w:val="bottom"/>
          </w:tcPr>
          <w:p>
            <w:pPr>
              <w:ind w:left="200"/>
              <w:spacing w:after="0"/>
              <w:rPr>
                <w:sz w:val="20"/>
                <w:szCs w:val="20"/>
                <w:color w:val="auto"/>
              </w:rPr>
            </w:pPr>
            <w:r>
              <w:rPr>
                <w:rFonts w:ascii="Arial" w:cs="Arial" w:eastAsia="Arial" w:hAnsi="Arial"/>
                <w:sz w:val="12"/>
                <w:szCs w:val="12"/>
                <w:color w:val="auto"/>
              </w:rPr>
              <w:t>Commercial real estate</w:t>
            </w:r>
          </w:p>
        </w:tc>
        <w:tc>
          <w:tcPr>
            <w:tcW w:w="3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7,127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7,096</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510</w:t>
            </w:r>
          </w:p>
        </w:tc>
        <w:tc>
          <w:tcPr>
            <w:tcW w:w="0" w:type="dxa"/>
            <w:vAlign w:val="bottom"/>
          </w:tcPr>
          <w:p>
            <w:pPr>
              <w:spacing w:after="0"/>
              <w:rPr>
                <w:sz w:val="1"/>
                <w:szCs w:val="1"/>
                <w:color w:val="auto"/>
              </w:rPr>
            </w:pPr>
          </w:p>
        </w:tc>
      </w:tr>
      <w:tr>
        <w:trPr>
          <w:trHeight w:val="144"/>
        </w:trPr>
        <w:tc>
          <w:tcPr>
            <w:tcW w:w="3580" w:type="dxa"/>
            <w:vAlign w:val="bottom"/>
            <w:shd w:val="clear" w:color="auto" w:fill="CCEEFF"/>
          </w:tcPr>
          <w:p>
            <w:pPr>
              <w:ind w:left="80"/>
              <w:spacing w:after="0"/>
              <w:rPr>
                <w:sz w:val="20"/>
                <w:szCs w:val="20"/>
                <w:color w:val="auto"/>
              </w:rPr>
            </w:pPr>
            <w:r>
              <w:rPr>
                <w:rFonts w:ascii="Arial" w:cs="Arial" w:eastAsia="Arial" w:hAnsi="Arial"/>
                <w:sz w:val="12"/>
                <w:szCs w:val="12"/>
                <w:color w:val="auto"/>
              </w:rPr>
              <w:t>Mortgage</w:t>
            </w:r>
          </w:p>
        </w:tc>
        <w:tc>
          <w:tcPr>
            <w:tcW w:w="378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tcBorders>
              <w:right w:val="single" w:sz="8" w:color="CCEEFF"/>
            </w:tcBorders>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80" w:type="dxa"/>
            <w:vAlign w:val="bottom"/>
          </w:tcPr>
          <w:p>
            <w:pPr>
              <w:ind w:left="200"/>
              <w:spacing w:after="0"/>
              <w:rPr>
                <w:sz w:val="20"/>
                <w:szCs w:val="20"/>
                <w:color w:val="auto"/>
              </w:rPr>
            </w:pPr>
            <w:r>
              <w:rPr>
                <w:rFonts w:ascii="Arial" w:cs="Arial" w:eastAsia="Arial" w:hAnsi="Arial"/>
                <w:sz w:val="12"/>
                <w:szCs w:val="12"/>
                <w:color w:val="auto"/>
              </w:rPr>
              <w:t>1-4 family owner occupied - jumbo</w:t>
            </w:r>
          </w:p>
        </w:tc>
        <w:tc>
          <w:tcPr>
            <w:tcW w:w="3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506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880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50</w:t>
            </w:r>
          </w:p>
        </w:tc>
        <w:tc>
          <w:tcPr>
            <w:tcW w:w="0" w:type="dxa"/>
            <w:vAlign w:val="bottom"/>
          </w:tcPr>
          <w:p>
            <w:pPr>
              <w:spacing w:after="0"/>
              <w:rPr>
                <w:sz w:val="1"/>
                <w:szCs w:val="1"/>
                <w:color w:val="auto"/>
              </w:rPr>
            </w:pPr>
          </w:p>
        </w:tc>
      </w:tr>
      <w:tr>
        <w:trPr>
          <w:trHeight w:val="144"/>
        </w:trPr>
        <w:tc>
          <w:tcPr>
            <w:tcW w:w="35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1-4 family owner occupied - non-jumbo</w:t>
            </w:r>
          </w:p>
        </w:tc>
        <w:tc>
          <w:tcPr>
            <w:tcW w:w="378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21,655</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22,311</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2,300</w:t>
            </w:r>
          </w:p>
        </w:tc>
        <w:tc>
          <w:tcPr>
            <w:tcW w:w="0" w:type="dxa"/>
            <w:vAlign w:val="bottom"/>
          </w:tcPr>
          <w:p>
            <w:pPr>
              <w:spacing w:after="0"/>
              <w:rPr>
                <w:sz w:val="1"/>
                <w:szCs w:val="1"/>
                <w:color w:val="auto"/>
              </w:rPr>
            </w:pPr>
          </w:p>
        </w:tc>
      </w:tr>
      <w:tr>
        <w:trPr>
          <w:trHeight w:val="144"/>
        </w:trPr>
        <w:tc>
          <w:tcPr>
            <w:tcW w:w="3580" w:type="dxa"/>
            <w:vAlign w:val="bottom"/>
          </w:tcPr>
          <w:p>
            <w:pPr>
              <w:ind w:left="200"/>
              <w:spacing w:after="0"/>
              <w:rPr>
                <w:sz w:val="20"/>
                <w:szCs w:val="20"/>
                <w:color w:val="auto"/>
              </w:rPr>
            </w:pPr>
            <w:r>
              <w:rPr>
                <w:rFonts w:ascii="Arial" w:cs="Arial" w:eastAsia="Arial" w:hAnsi="Arial"/>
                <w:sz w:val="12"/>
                <w:szCs w:val="12"/>
                <w:color w:val="auto"/>
              </w:rPr>
              <w:t>1-4 family non-owner occupied</w:t>
            </w:r>
          </w:p>
        </w:tc>
        <w:tc>
          <w:tcPr>
            <w:tcW w:w="3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4,335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4,704</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495</w:t>
            </w:r>
          </w:p>
        </w:tc>
        <w:tc>
          <w:tcPr>
            <w:tcW w:w="0" w:type="dxa"/>
            <w:vAlign w:val="bottom"/>
          </w:tcPr>
          <w:p>
            <w:pPr>
              <w:spacing w:after="0"/>
              <w:rPr>
                <w:sz w:val="1"/>
                <w:szCs w:val="1"/>
                <w:color w:val="auto"/>
              </w:rPr>
            </w:pPr>
          </w:p>
        </w:tc>
      </w:tr>
      <w:tr>
        <w:trPr>
          <w:trHeight w:val="144"/>
        </w:trPr>
        <w:tc>
          <w:tcPr>
            <w:tcW w:w="35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1-4 family - 2nd lien</w:t>
            </w:r>
          </w:p>
        </w:tc>
        <w:tc>
          <w:tcPr>
            <w:tcW w:w="378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811</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200</w:t>
            </w:r>
          </w:p>
        </w:tc>
        <w:tc>
          <w:tcPr>
            <w:tcW w:w="0" w:type="dxa"/>
            <w:vAlign w:val="bottom"/>
          </w:tcPr>
          <w:p>
            <w:pPr>
              <w:spacing w:after="0"/>
              <w:rPr>
                <w:sz w:val="1"/>
                <w:szCs w:val="1"/>
                <w:color w:val="auto"/>
              </w:rPr>
            </w:pPr>
          </w:p>
        </w:tc>
      </w:tr>
      <w:tr>
        <w:trPr>
          <w:trHeight w:val="144"/>
        </w:trPr>
        <w:tc>
          <w:tcPr>
            <w:tcW w:w="3580" w:type="dxa"/>
            <w:vAlign w:val="bottom"/>
          </w:tcPr>
          <w:p>
            <w:pPr>
              <w:ind w:left="200"/>
              <w:spacing w:after="0"/>
              <w:rPr>
                <w:sz w:val="20"/>
                <w:szCs w:val="20"/>
                <w:color w:val="auto"/>
              </w:rPr>
            </w:pPr>
            <w:r>
              <w:rPr>
                <w:rFonts w:ascii="Arial" w:cs="Arial" w:eastAsia="Arial" w:hAnsi="Arial"/>
                <w:sz w:val="12"/>
                <w:szCs w:val="12"/>
                <w:color w:val="auto"/>
              </w:rPr>
              <w:t>Resort lending</w:t>
            </w:r>
          </w:p>
        </w:tc>
        <w:tc>
          <w:tcPr>
            <w:tcW w:w="3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10,555</w:t>
            </w:r>
          </w:p>
        </w:tc>
        <w:tc>
          <w:tcPr>
            <w:tcW w:w="12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10,764</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1,079</w:t>
            </w:r>
          </w:p>
        </w:tc>
        <w:tc>
          <w:tcPr>
            <w:tcW w:w="0" w:type="dxa"/>
            <w:vAlign w:val="bottom"/>
          </w:tcPr>
          <w:p>
            <w:pPr>
              <w:spacing w:after="0"/>
              <w:rPr>
                <w:sz w:val="1"/>
                <w:szCs w:val="1"/>
                <w:color w:val="auto"/>
              </w:rPr>
            </w:pPr>
          </w:p>
        </w:tc>
      </w:tr>
      <w:tr>
        <w:trPr>
          <w:trHeight w:val="144"/>
        </w:trPr>
        <w:tc>
          <w:tcPr>
            <w:tcW w:w="3580" w:type="dxa"/>
            <w:vAlign w:val="bottom"/>
            <w:shd w:val="clear" w:color="auto" w:fill="CCEEFF"/>
          </w:tcPr>
          <w:p>
            <w:pPr>
              <w:ind w:left="80"/>
              <w:spacing w:after="0"/>
              <w:rPr>
                <w:sz w:val="20"/>
                <w:szCs w:val="20"/>
                <w:color w:val="auto"/>
              </w:rPr>
            </w:pPr>
            <w:r>
              <w:rPr>
                <w:rFonts w:ascii="Arial" w:cs="Arial" w:eastAsia="Arial" w:hAnsi="Arial"/>
                <w:sz w:val="12"/>
                <w:szCs w:val="12"/>
                <w:color w:val="auto"/>
              </w:rPr>
              <w:t>Installment</w:t>
            </w:r>
          </w:p>
        </w:tc>
        <w:tc>
          <w:tcPr>
            <w:tcW w:w="378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tcBorders>
              <w:right w:val="single" w:sz="8" w:color="CCEEFF"/>
            </w:tcBorders>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80" w:type="dxa"/>
            <w:vAlign w:val="bottom"/>
          </w:tcPr>
          <w:p>
            <w:pPr>
              <w:ind w:left="200"/>
              <w:spacing w:after="0"/>
              <w:rPr>
                <w:sz w:val="20"/>
                <w:szCs w:val="20"/>
                <w:color w:val="auto"/>
              </w:rPr>
            </w:pPr>
            <w:r>
              <w:rPr>
                <w:rFonts w:ascii="Arial" w:cs="Arial" w:eastAsia="Arial" w:hAnsi="Arial"/>
                <w:sz w:val="12"/>
                <w:szCs w:val="12"/>
                <w:color w:val="auto"/>
              </w:rPr>
              <w:t>Boat lending</w:t>
            </w:r>
          </w:p>
        </w:tc>
        <w:tc>
          <w:tcPr>
            <w:tcW w:w="3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44"/>
        </w:trPr>
        <w:tc>
          <w:tcPr>
            <w:tcW w:w="35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Recreational vehicle lending</w:t>
            </w:r>
          </w:p>
        </w:tc>
        <w:tc>
          <w:tcPr>
            <w:tcW w:w="378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87</w:t>
            </w:r>
          </w:p>
        </w:tc>
        <w:tc>
          <w:tcPr>
            <w:tcW w:w="2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19</w:t>
            </w:r>
          </w:p>
        </w:tc>
        <w:tc>
          <w:tcPr>
            <w:tcW w:w="0" w:type="dxa"/>
            <w:vAlign w:val="bottom"/>
          </w:tcPr>
          <w:p>
            <w:pPr>
              <w:spacing w:after="0"/>
              <w:rPr>
                <w:sz w:val="1"/>
                <w:szCs w:val="1"/>
                <w:color w:val="auto"/>
              </w:rPr>
            </w:pPr>
          </w:p>
        </w:tc>
      </w:tr>
      <w:tr>
        <w:trPr>
          <w:trHeight w:val="144"/>
        </w:trPr>
        <w:tc>
          <w:tcPr>
            <w:tcW w:w="3580" w:type="dxa"/>
            <w:vAlign w:val="bottom"/>
          </w:tcPr>
          <w:p>
            <w:pPr>
              <w:ind w:left="200"/>
              <w:spacing w:after="0"/>
              <w:rPr>
                <w:sz w:val="20"/>
                <w:szCs w:val="20"/>
                <w:color w:val="auto"/>
              </w:rPr>
            </w:pPr>
            <w:r>
              <w:rPr>
                <w:rFonts w:ascii="Arial" w:cs="Arial" w:eastAsia="Arial" w:hAnsi="Arial"/>
                <w:sz w:val="12"/>
                <w:szCs w:val="12"/>
                <w:color w:val="auto"/>
              </w:rPr>
              <w:t>Other</w:t>
            </w:r>
          </w:p>
        </w:tc>
        <w:tc>
          <w:tcPr>
            <w:tcW w:w="3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1,902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2,040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170</w:t>
            </w:r>
          </w:p>
        </w:tc>
        <w:tc>
          <w:tcPr>
            <w:tcW w:w="0" w:type="dxa"/>
            <w:vAlign w:val="bottom"/>
          </w:tcPr>
          <w:p>
            <w:pPr>
              <w:spacing w:after="0"/>
              <w:rPr>
                <w:sz w:val="1"/>
                <w:szCs w:val="1"/>
                <w:color w:val="auto"/>
              </w:rPr>
            </w:pPr>
          </w:p>
        </w:tc>
      </w:tr>
      <w:tr>
        <w:trPr>
          <w:trHeight w:val="142"/>
        </w:trPr>
        <w:tc>
          <w:tcPr>
            <w:tcW w:w="3580" w:type="dxa"/>
            <w:vAlign w:val="bottom"/>
            <w:shd w:val="clear" w:color="auto" w:fill="CCEEFF"/>
          </w:tcPr>
          <w:p>
            <w:pPr>
              <w:spacing w:after="0"/>
              <w:rPr>
                <w:sz w:val="12"/>
                <w:szCs w:val="12"/>
                <w:color w:val="auto"/>
              </w:rPr>
            </w:pPr>
          </w:p>
        </w:tc>
        <w:tc>
          <w:tcPr>
            <w:tcW w:w="3780" w:type="dxa"/>
            <w:vAlign w:val="bottom"/>
            <w:tcBorders>
              <w:right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49,212</w:t>
            </w:r>
          </w:p>
        </w:tc>
        <w:tc>
          <w:tcPr>
            <w:tcW w:w="22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51,105</w:t>
            </w:r>
          </w:p>
        </w:tc>
        <w:tc>
          <w:tcPr>
            <w:tcW w:w="22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5,581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80" w:type="dxa"/>
            <w:vAlign w:val="bottom"/>
            <w:tcBorders>
              <w:top w:val="single" w:sz="8" w:color="CCEEFF"/>
            </w:tcBorders>
          </w:tcPr>
          <w:p>
            <w:pPr>
              <w:spacing w:after="0"/>
              <w:rPr>
                <w:sz w:val="20"/>
                <w:szCs w:val="20"/>
                <w:color w:val="auto"/>
              </w:rPr>
            </w:pPr>
            <w:r>
              <w:rPr>
                <w:rFonts w:ascii="Arial" w:cs="Arial" w:eastAsia="Arial" w:hAnsi="Arial"/>
                <w:sz w:val="12"/>
                <w:szCs w:val="12"/>
                <w:b w:val="1"/>
                <w:bCs w:val="1"/>
                <w:color w:val="auto"/>
              </w:rPr>
              <w:t>Total</w:t>
            </w:r>
          </w:p>
        </w:tc>
        <w:tc>
          <w:tcPr>
            <w:tcW w:w="378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80" w:type="dxa"/>
            <w:vAlign w:val="bottom"/>
            <w:shd w:val="clear" w:color="auto" w:fill="CCEEFF"/>
          </w:tcPr>
          <w:p>
            <w:pPr>
              <w:ind w:left="80"/>
              <w:spacing w:after="0"/>
              <w:rPr>
                <w:sz w:val="20"/>
                <w:szCs w:val="20"/>
                <w:color w:val="auto"/>
              </w:rPr>
            </w:pPr>
            <w:r>
              <w:rPr>
                <w:rFonts w:ascii="Arial" w:cs="Arial" w:eastAsia="Arial" w:hAnsi="Arial"/>
                <w:sz w:val="12"/>
                <w:szCs w:val="12"/>
                <w:color w:val="auto"/>
              </w:rPr>
              <w:t>Commercial</w:t>
            </w:r>
          </w:p>
        </w:tc>
        <w:tc>
          <w:tcPr>
            <w:tcW w:w="378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tcBorders>
              <w:right w:val="single" w:sz="8" w:color="CCEEFF"/>
            </w:tcBorders>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80" w:type="dxa"/>
            <w:vAlign w:val="bottom"/>
          </w:tcPr>
          <w:p>
            <w:pPr>
              <w:ind w:left="200"/>
              <w:spacing w:after="0"/>
              <w:rPr>
                <w:sz w:val="20"/>
                <w:szCs w:val="20"/>
                <w:color w:val="auto"/>
              </w:rPr>
            </w:pPr>
            <w:r>
              <w:rPr>
                <w:rFonts w:ascii="Arial" w:cs="Arial" w:eastAsia="Arial" w:hAnsi="Arial"/>
                <w:sz w:val="12"/>
                <w:szCs w:val="12"/>
                <w:color w:val="auto"/>
              </w:rPr>
              <w:t>Commercial and industrial</w:t>
            </w:r>
          </w:p>
        </w:tc>
        <w:tc>
          <w:tcPr>
            <w:tcW w:w="3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2,304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2,450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756</w:t>
            </w:r>
          </w:p>
        </w:tc>
        <w:tc>
          <w:tcPr>
            <w:tcW w:w="0" w:type="dxa"/>
            <w:vAlign w:val="bottom"/>
          </w:tcPr>
          <w:p>
            <w:pPr>
              <w:spacing w:after="0"/>
              <w:rPr>
                <w:sz w:val="1"/>
                <w:szCs w:val="1"/>
                <w:color w:val="auto"/>
              </w:rPr>
            </w:pPr>
          </w:p>
        </w:tc>
      </w:tr>
      <w:tr>
        <w:trPr>
          <w:trHeight w:val="144"/>
        </w:trPr>
        <w:tc>
          <w:tcPr>
            <w:tcW w:w="35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Commercial real estate</w:t>
            </w:r>
          </w:p>
        </w:tc>
        <w:tc>
          <w:tcPr>
            <w:tcW w:w="378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7,127</w:t>
            </w:r>
          </w:p>
        </w:tc>
        <w:tc>
          <w:tcPr>
            <w:tcW w:w="2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7,096</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510</w:t>
            </w:r>
          </w:p>
        </w:tc>
        <w:tc>
          <w:tcPr>
            <w:tcW w:w="0" w:type="dxa"/>
            <w:vAlign w:val="bottom"/>
          </w:tcPr>
          <w:p>
            <w:pPr>
              <w:spacing w:after="0"/>
              <w:rPr>
                <w:sz w:val="1"/>
                <w:szCs w:val="1"/>
                <w:color w:val="auto"/>
              </w:rPr>
            </w:pPr>
          </w:p>
        </w:tc>
      </w:tr>
      <w:tr>
        <w:trPr>
          <w:trHeight w:val="144"/>
        </w:trPr>
        <w:tc>
          <w:tcPr>
            <w:tcW w:w="3580" w:type="dxa"/>
            <w:vAlign w:val="bottom"/>
          </w:tcPr>
          <w:p>
            <w:pPr>
              <w:ind w:left="80"/>
              <w:spacing w:after="0"/>
              <w:rPr>
                <w:sz w:val="20"/>
                <w:szCs w:val="20"/>
                <w:color w:val="auto"/>
              </w:rPr>
            </w:pPr>
            <w:r>
              <w:rPr>
                <w:rFonts w:ascii="Arial" w:cs="Arial" w:eastAsia="Arial" w:hAnsi="Arial"/>
                <w:sz w:val="12"/>
                <w:szCs w:val="12"/>
                <w:color w:val="auto"/>
              </w:rPr>
              <w:t>Mortgage</w:t>
            </w:r>
          </w:p>
        </w:tc>
        <w:tc>
          <w:tcPr>
            <w:tcW w:w="3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1-4 family owner occupied - jumbo</w:t>
            </w:r>
          </w:p>
        </w:tc>
        <w:tc>
          <w:tcPr>
            <w:tcW w:w="378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1,129</w:t>
            </w:r>
          </w:p>
        </w:tc>
        <w:tc>
          <w:tcPr>
            <w:tcW w:w="2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50</w:t>
            </w:r>
          </w:p>
        </w:tc>
        <w:tc>
          <w:tcPr>
            <w:tcW w:w="0" w:type="dxa"/>
            <w:vAlign w:val="bottom"/>
          </w:tcPr>
          <w:p>
            <w:pPr>
              <w:spacing w:after="0"/>
              <w:rPr>
                <w:sz w:val="1"/>
                <w:szCs w:val="1"/>
                <w:color w:val="auto"/>
              </w:rPr>
            </w:pPr>
          </w:p>
        </w:tc>
      </w:tr>
      <w:tr>
        <w:trPr>
          <w:trHeight w:val="144"/>
        </w:trPr>
        <w:tc>
          <w:tcPr>
            <w:tcW w:w="3580" w:type="dxa"/>
            <w:vAlign w:val="bottom"/>
          </w:tcPr>
          <w:p>
            <w:pPr>
              <w:ind w:left="200"/>
              <w:spacing w:after="0"/>
              <w:rPr>
                <w:sz w:val="20"/>
                <w:szCs w:val="20"/>
                <w:color w:val="auto"/>
              </w:rPr>
            </w:pPr>
            <w:r>
              <w:rPr>
                <w:rFonts w:ascii="Arial" w:cs="Arial" w:eastAsia="Arial" w:hAnsi="Arial"/>
                <w:sz w:val="12"/>
                <w:szCs w:val="12"/>
                <w:color w:val="auto"/>
              </w:rPr>
              <w:t>1-4 family owner occupied - non-jumbo</w:t>
            </w:r>
          </w:p>
        </w:tc>
        <w:tc>
          <w:tcPr>
            <w:tcW w:w="3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21,655</w:t>
            </w:r>
          </w:p>
        </w:tc>
        <w:tc>
          <w:tcPr>
            <w:tcW w:w="12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22,311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2,300</w:t>
            </w:r>
          </w:p>
        </w:tc>
        <w:tc>
          <w:tcPr>
            <w:tcW w:w="0" w:type="dxa"/>
            <w:vAlign w:val="bottom"/>
          </w:tcPr>
          <w:p>
            <w:pPr>
              <w:spacing w:after="0"/>
              <w:rPr>
                <w:sz w:val="1"/>
                <w:szCs w:val="1"/>
                <w:color w:val="auto"/>
              </w:rPr>
            </w:pPr>
          </w:p>
        </w:tc>
      </w:tr>
      <w:tr>
        <w:trPr>
          <w:trHeight w:val="144"/>
        </w:trPr>
        <w:tc>
          <w:tcPr>
            <w:tcW w:w="35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1-4 family non-owner occupied</w:t>
            </w:r>
          </w:p>
        </w:tc>
        <w:tc>
          <w:tcPr>
            <w:tcW w:w="378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4,640</w:t>
            </w:r>
          </w:p>
        </w:tc>
        <w:tc>
          <w:tcPr>
            <w:tcW w:w="2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5,177</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495</w:t>
            </w:r>
          </w:p>
        </w:tc>
        <w:tc>
          <w:tcPr>
            <w:tcW w:w="0" w:type="dxa"/>
            <w:vAlign w:val="bottom"/>
          </w:tcPr>
          <w:p>
            <w:pPr>
              <w:spacing w:after="0"/>
              <w:rPr>
                <w:sz w:val="1"/>
                <w:szCs w:val="1"/>
                <w:color w:val="auto"/>
              </w:rPr>
            </w:pPr>
          </w:p>
        </w:tc>
      </w:tr>
      <w:tr>
        <w:trPr>
          <w:trHeight w:val="144"/>
        </w:trPr>
        <w:tc>
          <w:tcPr>
            <w:tcW w:w="3580" w:type="dxa"/>
            <w:vAlign w:val="bottom"/>
          </w:tcPr>
          <w:p>
            <w:pPr>
              <w:ind w:left="200"/>
              <w:spacing w:after="0"/>
              <w:rPr>
                <w:sz w:val="20"/>
                <w:szCs w:val="20"/>
                <w:color w:val="auto"/>
              </w:rPr>
            </w:pPr>
            <w:r>
              <w:rPr>
                <w:rFonts w:ascii="Arial" w:cs="Arial" w:eastAsia="Arial" w:hAnsi="Arial"/>
                <w:sz w:val="12"/>
                <w:szCs w:val="12"/>
                <w:color w:val="auto"/>
              </w:rPr>
              <w:t>1-4 family - 2nd lien</w:t>
            </w:r>
          </w:p>
        </w:tc>
        <w:tc>
          <w:tcPr>
            <w:tcW w:w="3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1,112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1,133</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200</w:t>
            </w:r>
          </w:p>
        </w:tc>
        <w:tc>
          <w:tcPr>
            <w:tcW w:w="0" w:type="dxa"/>
            <w:vAlign w:val="bottom"/>
          </w:tcPr>
          <w:p>
            <w:pPr>
              <w:spacing w:after="0"/>
              <w:rPr>
                <w:sz w:val="1"/>
                <w:szCs w:val="1"/>
                <w:color w:val="auto"/>
              </w:rPr>
            </w:pPr>
          </w:p>
        </w:tc>
      </w:tr>
      <w:tr>
        <w:trPr>
          <w:trHeight w:val="144"/>
        </w:trPr>
        <w:tc>
          <w:tcPr>
            <w:tcW w:w="35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Resort lending</w:t>
            </w:r>
          </w:p>
        </w:tc>
        <w:tc>
          <w:tcPr>
            <w:tcW w:w="378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10,709</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11,143</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1,079</w:t>
            </w:r>
          </w:p>
        </w:tc>
        <w:tc>
          <w:tcPr>
            <w:tcW w:w="0" w:type="dxa"/>
            <w:vAlign w:val="bottom"/>
          </w:tcPr>
          <w:p>
            <w:pPr>
              <w:spacing w:after="0"/>
              <w:rPr>
                <w:sz w:val="1"/>
                <w:szCs w:val="1"/>
                <w:color w:val="auto"/>
              </w:rPr>
            </w:pPr>
          </w:p>
        </w:tc>
      </w:tr>
      <w:tr>
        <w:trPr>
          <w:trHeight w:val="144"/>
        </w:trPr>
        <w:tc>
          <w:tcPr>
            <w:tcW w:w="3580" w:type="dxa"/>
            <w:vAlign w:val="bottom"/>
          </w:tcPr>
          <w:p>
            <w:pPr>
              <w:ind w:left="80"/>
              <w:spacing w:after="0"/>
              <w:rPr>
                <w:sz w:val="20"/>
                <w:szCs w:val="20"/>
                <w:color w:val="auto"/>
              </w:rPr>
            </w:pPr>
            <w:r>
              <w:rPr>
                <w:rFonts w:ascii="Arial" w:cs="Arial" w:eastAsia="Arial" w:hAnsi="Arial"/>
                <w:sz w:val="12"/>
                <w:szCs w:val="12"/>
                <w:color w:val="auto"/>
              </w:rPr>
              <w:t>Installment</w:t>
            </w:r>
          </w:p>
        </w:tc>
        <w:tc>
          <w:tcPr>
            <w:tcW w:w="3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Boat lending</w:t>
            </w:r>
          </w:p>
        </w:tc>
        <w:tc>
          <w:tcPr>
            <w:tcW w:w="378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2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44"/>
        </w:trPr>
        <w:tc>
          <w:tcPr>
            <w:tcW w:w="3580" w:type="dxa"/>
            <w:vAlign w:val="bottom"/>
          </w:tcPr>
          <w:p>
            <w:pPr>
              <w:ind w:left="200"/>
              <w:spacing w:after="0"/>
              <w:rPr>
                <w:sz w:val="20"/>
                <w:szCs w:val="20"/>
                <w:color w:val="auto"/>
              </w:rPr>
            </w:pPr>
            <w:r>
              <w:rPr>
                <w:rFonts w:ascii="Arial" w:cs="Arial" w:eastAsia="Arial" w:hAnsi="Arial"/>
                <w:sz w:val="12"/>
                <w:szCs w:val="12"/>
                <w:color w:val="auto"/>
              </w:rPr>
              <w:t>Recreational vehicle lending</w:t>
            </w:r>
          </w:p>
        </w:tc>
        <w:tc>
          <w:tcPr>
            <w:tcW w:w="3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87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100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19</w:t>
            </w:r>
          </w:p>
        </w:tc>
        <w:tc>
          <w:tcPr>
            <w:tcW w:w="0" w:type="dxa"/>
            <w:vAlign w:val="bottom"/>
          </w:tcPr>
          <w:p>
            <w:pPr>
              <w:spacing w:after="0"/>
              <w:rPr>
                <w:sz w:val="1"/>
                <w:szCs w:val="1"/>
                <w:color w:val="auto"/>
              </w:rPr>
            </w:pPr>
          </w:p>
        </w:tc>
      </w:tr>
      <w:tr>
        <w:trPr>
          <w:trHeight w:val="144"/>
        </w:trPr>
        <w:tc>
          <w:tcPr>
            <w:tcW w:w="35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Other</w:t>
            </w:r>
          </w:p>
        </w:tc>
        <w:tc>
          <w:tcPr>
            <w:tcW w:w="378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1,902</w:t>
            </w:r>
          </w:p>
        </w:tc>
        <w:tc>
          <w:tcPr>
            <w:tcW w:w="2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2,040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170</w:t>
            </w:r>
          </w:p>
        </w:tc>
        <w:tc>
          <w:tcPr>
            <w:tcW w:w="0" w:type="dxa"/>
            <w:vAlign w:val="bottom"/>
          </w:tcPr>
          <w:p>
            <w:pPr>
              <w:spacing w:after="0"/>
              <w:rPr>
                <w:sz w:val="1"/>
                <w:szCs w:val="1"/>
                <w:color w:val="auto"/>
              </w:rPr>
            </w:pPr>
          </w:p>
        </w:tc>
      </w:tr>
      <w:tr>
        <w:trPr>
          <w:trHeight w:val="20"/>
        </w:trPr>
        <w:tc>
          <w:tcPr>
            <w:tcW w:w="3580" w:type="dxa"/>
            <w:vAlign w:val="bottom"/>
            <w:shd w:val="clear" w:color="auto" w:fill="CCEEFF"/>
          </w:tcPr>
          <w:p>
            <w:pPr>
              <w:spacing w:after="0" w:line="20" w:lineRule="exact"/>
              <w:rPr>
                <w:sz w:val="1"/>
                <w:szCs w:val="1"/>
                <w:color w:val="auto"/>
              </w:rPr>
            </w:pPr>
          </w:p>
        </w:tc>
        <w:tc>
          <w:tcPr>
            <w:tcW w:w="37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580" w:type="dxa"/>
            <w:vAlign w:val="bottom"/>
          </w:tcPr>
          <w:p>
            <w:pPr>
              <w:ind w:left="320"/>
              <w:spacing w:after="0"/>
              <w:rPr>
                <w:sz w:val="20"/>
                <w:szCs w:val="20"/>
                <w:color w:val="auto"/>
              </w:rPr>
            </w:pPr>
            <w:r>
              <w:rPr>
                <w:rFonts w:ascii="Arial" w:cs="Arial" w:eastAsia="Arial" w:hAnsi="Arial"/>
                <w:sz w:val="12"/>
                <w:szCs w:val="12"/>
                <w:color w:val="auto"/>
              </w:rPr>
              <w:t>Total</w:t>
            </w:r>
          </w:p>
        </w:tc>
        <w:tc>
          <w:tcPr>
            <w:tcW w:w="3780" w:type="dxa"/>
            <w:vAlign w:val="bottom"/>
          </w:tcPr>
          <w:p>
            <w:pPr>
              <w:spacing w:after="0"/>
              <w:rPr>
                <w:sz w:val="12"/>
                <w:szCs w:val="12"/>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50,672</w:t>
            </w:r>
          </w:p>
        </w:tc>
        <w:tc>
          <w:tcPr>
            <w:tcW w:w="220" w:type="dxa"/>
            <w:vAlign w:val="bottom"/>
          </w:tcPr>
          <w:p>
            <w:pPr>
              <w:spacing w:after="0"/>
              <w:rPr>
                <w:sz w:val="12"/>
                <w:szCs w:val="12"/>
                <w:color w:val="auto"/>
              </w:rPr>
            </w:pPr>
          </w:p>
        </w:tc>
        <w:tc>
          <w:tcPr>
            <w:tcW w:w="120" w:type="dxa"/>
            <w:vAlign w:val="bottom"/>
          </w:tcPr>
          <w:p>
            <w:pPr>
              <w:jc w:val="right"/>
              <w:ind w:right="44"/>
              <w:spacing w:after="0"/>
              <w:rPr>
                <w:sz w:val="20"/>
                <w:szCs w:val="20"/>
                <w:color w:val="auto"/>
              </w:rPr>
            </w:pPr>
            <w:r>
              <w:rPr>
                <w:rFonts w:ascii="Arial" w:cs="Arial" w:eastAsia="Arial" w:hAnsi="Arial"/>
                <w:sz w:val="5"/>
                <w:szCs w:val="5"/>
                <w:color w:val="auto"/>
                <w:w w:val="70"/>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52,970</w:t>
            </w:r>
          </w:p>
        </w:tc>
        <w:tc>
          <w:tcPr>
            <w:tcW w:w="220" w:type="dxa"/>
            <w:vAlign w:val="bottom"/>
          </w:tcPr>
          <w:p>
            <w:pPr>
              <w:spacing w:after="0"/>
              <w:rPr>
                <w:sz w:val="12"/>
                <w:szCs w:val="12"/>
                <w:color w:val="auto"/>
              </w:rPr>
            </w:pPr>
          </w:p>
        </w:tc>
        <w:tc>
          <w:tcPr>
            <w:tcW w:w="200" w:type="dxa"/>
            <w:vAlign w:val="bottom"/>
          </w:tcPr>
          <w:p>
            <w:pPr>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5,581</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3580" w:type="dxa"/>
            <w:vAlign w:val="bottom"/>
            <w:shd w:val="clear" w:color="auto" w:fill="CCEEFF"/>
          </w:tcPr>
          <w:p>
            <w:pPr>
              <w:spacing w:after="0"/>
              <w:rPr>
                <w:sz w:val="10"/>
                <w:szCs w:val="10"/>
                <w:color w:val="auto"/>
              </w:rPr>
            </w:pPr>
          </w:p>
        </w:tc>
        <w:tc>
          <w:tcPr>
            <w:tcW w:w="4040" w:type="dxa"/>
            <w:vAlign w:val="bottom"/>
            <w:gridSpan w:val="2"/>
            <w:shd w:val="clear" w:color="auto" w:fill="CCEEFF"/>
          </w:tcPr>
          <w:p>
            <w:pPr>
              <w:spacing w:after="0"/>
              <w:rPr>
                <w:sz w:val="10"/>
                <w:szCs w:val="10"/>
                <w:color w:val="auto"/>
              </w:rPr>
            </w:pPr>
          </w:p>
        </w:tc>
        <w:tc>
          <w:tcPr>
            <w:tcW w:w="880" w:type="dxa"/>
            <w:vAlign w:val="bottom"/>
            <w:tcBorders>
              <w:right w:val="single" w:sz="8" w:color="CCEEFF"/>
            </w:tcBorders>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580" w:type="dxa"/>
            <w:vAlign w:val="bottom"/>
          </w:tcPr>
          <w:p>
            <w:pPr>
              <w:ind w:left="100"/>
              <w:spacing w:after="0"/>
              <w:rPr>
                <w:sz w:val="20"/>
                <w:szCs w:val="20"/>
                <w:color w:val="auto"/>
              </w:rPr>
            </w:pPr>
            <w:r>
              <w:rPr>
                <w:rFonts w:ascii="Arial" w:cs="Arial" w:eastAsia="Arial" w:hAnsi="Arial"/>
                <w:sz w:val="12"/>
                <w:szCs w:val="12"/>
                <w:color w:val="auto"/>
              </w:rPr>
              <w:t>Accrued interest included in recorded investment</w:t>
            </w:r>
          </w:p>
        </w:tc>
        <w:tc>
          <w:tcPr>
            <w:tcW w:w="3780" w:type="dxa"/>
            <w:vAlign w:val="bottom"/>
          </w:tcPr>
          <w:p>
            <w:pPr>
              <w:spacing w:after="0"/>
              <w:rPr>
                <w:sz w:val="12"/>
                <w:szCs w:val="12"/>
                <w:color w:val="auto"/>
              </w:rPr>
            </w:pPr>
          </w:p>
        </w:tc>
        <w:tc>
          <w:tcPr>
            <w:tcW w:w="2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36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720" w:type="dxa"/>
            <w:vAlign w:val="bottom"/>
            <w:gridSpan w:val="5"/>
          </w:tcPr>
          <w:p>
            <w:pPr>
              <w:spacing w:after="0"/>
              <w:rPr>
                <w:sz w:val="20"/>
                <w:szCs w:val="20"/>
                <w:color w:val="auto"/>
              </w:rPr>
            </w:pPr>
            <w:r>
              <w:rPr>
                <w:rFonts w:ascii="Arial" w:cs="Arial" w:eastAsia="Arial" w:hAnsi="Arial"/>
                <w:sz w:val="12"/>
                <w:szCs w:val="12"/>
                <w:color w:val="auto"/>
                <w:w w:val="97"/>
              </w:rPr>
              <w:t>(1) Beginning January 1, 2021, calculation is based on CECL methodology. Prior to January 1, 2021, calculation was based on the probable incurred loss methodology.</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3580" w:type="dxa"/>
            <w:vAlign w:val="bottom"/>
          </w:tcPr>
          <w:p>
            <w:pPr>
              <w:spacing w:after="0"/>
              <w:rPr>
                <w:sz w:val="20"/>
                <w:szCs w:val="20"/>
                <w:color w:val="auto"/>
              </w:rPr>
            </w:pPr>
          </w:p>
        </w:tc>
        <w:tc>
          <w:tcPr>
            <w:tcW w:w="3780" w:type="dxa"/>
            <w:vAlign w:val="bottom"/>
          </w:tcPr>
          <w:p>
            <w:pPr>
              <w:jc w:val="right"/>
              <w:ind w:right="1604"/>
              <w:spacing w:after="0"/>
              <w:rPr>
                <w:sz w:val="20"/>
                <w:szCs w:val="20"/>
                <w:color w:val="auto"/>
              </w:rPr>
            </w:pPr>
            <w:r>
              <w:rPr>
                <w:rFonts w:ascii="Arial" w:cs="Arial" w:eastAsia="Arial" w:hAnsi="Arial"/>
                <w:sz w:val="10"/>
                <w:szCs w:val="10"/>
                <w:color w:val="auto"/>
              </w:rPr>
              <w:t>62</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358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27" w:right="299" w:bottom="1440" w:gutter="0" w:footer="0" w:header="0"/>
        </w:sectPr>
      </w:pPr>
    </w:p>
    <w:bookmarkStart w:id="82" w:name="page83"/>
    <w:bookmarkEnd w:id="82"/>
    <w:p>
      <w:pPr>
        <w:jc w:val="center"/>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271"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Average recorded investment in and interest income earned (of which the majority of these amounts were received in cash and related primarily to performing TDR’s) on impaired loans by class for the years ended December 31, 2020 and 2019 follows (1):</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0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2020</w:t>
            </w: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2"/>
                <w:szCs w:val="12"/>
                <w:b w:val="1"/>
                <w:bCs w:val="1"/>
                <w:color w:val="auto"/>
              </w:rPr>
              <w:t>2019</w:t>
            </w:r>
          </w:p>
        </w:tc>
        <w:tc>
          <w:tcPr>
            <w:tcW w:w="9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6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jc w:val="center"/>
              <w:ind w:right="400"/>
              <w:spacing w:after="0" w:line="129" w:lineRule="exact"/>
              <w:rPr>
                <w:sz w:val="20"/>
                <w:szCs w:val="20"/>
                <w:color w:val="auto"/>
              </w:rPr>
            </w:pPr>
            <w:r>
              <w:rPr>
                <w:rFonts w:ascii="Arial" w:cs="Arial" w:eastAsia="Arial" w:hAnsi="Arial"/>
                <w:sz w:val="12"/>
                <w:szCs w:val="12"/>
                <w:b w:val="1"/>
                <w:bCs w:val="1"/>
                <w:color w:val="auto"/>
                <w:w w:val="88"/>
              </w:rPr>
              <w:t>Average</w:t>
            </w:r>
          </w:p>
        </w:tc>
        <w:tc>
          <w:tcPr>
            <w:tcW w:w="160" w:type="dxa"/>
            <w:vAlign w:val="bottom"/>
          </w:tcPr>
          <w:p>
            <w:pPr>
              <w:spacing w:after="0"/>
              <w:rPr>
                <w:sz w:val="11"/>
                <w:szCs w:val="11"/>
                <w:color w:val="auto"/>
              </w:rPr>
            </w:pPr>
          </w:p>
        </w:tc>
        <w:tc>
          <w:tcPr>
            <w:tcW w:w="960" w:type="dxa"/>
            <w:vAlign w:val="bottom"/>
          </w:tcPr>
          <w:p>
            <w:pPr>
              <w:jc w:val="center"/>
              <w:ind w:right="100"/>
              <w:spacing w:after="0" w:line="129" w:lineRule="exact"/>
              <w:rPr>
                <w:sz w:val="20"/>
                <w:szCs w:val="20"/>
                <w:color w:val="auto"/>
              </w:rPr>
            </w:pPr>
            <w:r>
              <w:rPr>
                <w:rFonts w:ascii="Arial" w:cs="Arial" w:eastAsia="Arial" w:hAnsi="Arial"/>
                <w:sz w:val="12"/>
                <w:szCs w:val="12"/>
                <w:b w:val="1"/>
                <w:bCs w:val="1"/>
                <w:color w:val="auto"/>
                <w:w w:val="92"/>
              </w:rPr>
              <w:t>Interest</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gridSpan w:val="2"/>
          </w:tcPr>
          <w:p>
            <w:pPr>
              <w:jc w:val="center"/>
              <w:ind w:right="460"/>
              <w:spacing w:after="0" w:line="129" w:lineRule="exact"/>
              <w:rPr>
                <w:sz w:val="20"/>
                <w:szCs w:val="20"/>
                <w:color w:val="auto"/>
              </w:rPr>
            </w:pPr>
            <w:r>
              <w:rPr>
                <w:rFonts w:ascii="Arial" w:cs="Arial" w:eastAsia="Arial" w:hAnsi="Arial"/>
                <w:sz w:val="12"/>
                <w:szCs w:val="12"/>
                <w:b w:val="1"/>
                <w:bCs w:val="1"/>
                <w:color w:val="auto"/>
                <w:w w:val="88"/>
              </w:rPr>
              <w:t>Average</w:t>
            </w:r>
          </w:p>
        </w:tc>
        <w:tc>
          <w:tcPr>
            <w:tcW w:w="160" w:type="dxa"/>
            <w:vAlign w:val="bottom"/>
          </w:tcPr>
          <w:p>
            <w:pPr>
              <w:spacing w:after="0"/>
              <w:rPr>
                <w:sz w:val="11"/>
                <w:szCs w:val="11"/>
                <w:color w:val="auto"/>
              </w:rPr>
            </w:pPr>
          </w:p>
        </w:tc>
        <w:tc>
          <w:tcPr>
            <w:tcW w:w="960" w:type="dxa"/>
            <w:vAlign w:val="bottom"/>
          </w:tcPr>
          <w:p>
            <w:pPr>
              <w:jc w:val="center"/>
              <w:ind w:right="100"/>
              <w:spacing w:after="0" w:line="129" w:lineRule="exact"/>
              <w:rPr>
                <w:sz w:val="20"/>
                <w:szCs w:val="20"/>
                <w:color w:val="auto"/>
              </w:rPr>
            </w:pPr>
            <w:r>
              <w:rPr>
                <w:rFonts w:ascii="Arial" w:cs="Arial" w:eastAsia="Arial" w:hAnsi="Arial"/>
                <w:sz w:val="12"/>
                <w:szCs w:val="12"/>
                <w:b w:val="1"/>
                <w:bCs w:val="1"/>
                <w:color w:val="auto"/>
                <w:w w:val="92"/>
              </w:rPr>
              <w:t>Interest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90"/>
              </w:rPr>
              <w:t>Recorded</w:t>
            </w:r>
          </w:p>
        </w:tc>
        <w:tc>
          <w:tcPr>
            <w:tcW w:w="160" w:type="dxa"/>
            <w:vAlign w:val="bottom"/>
          </w:tcPr>
          <w:p>
            <w:pPr>
              <w:spacing w:after="0"/>
              <w:rPr>
                <w:sz w:val="12"/>
                <w:szCs w:val="12"/>
                <w:color w:val="auto"/>
              </w:rPr>
            </w:pPr>
          </w:p>
        </w:tc>
        <w:tc>
          <w:tcPr>
            <w:tcW w:w="1180" w:type="dxa"/>
            <w:vAlign w:val="bottom"/>
            <w:gridSpan w:val="2"/>
          </w:tcPr>
          <w:p>
            <w:pPr>
              <w:jc w:val="center"/>
              <w:ind w:right="346"/>
              <w:spacing w:after="0"/>
              <w:rPr>
                <w:sz w:val="20"/>
                <w:szCs w:val="20"/>
                <w:color w:val="auto"/>
              </w:rPr>
            </w:pPr>
            <w:r>
              <w:rPr>
                <w:rFonts w:ascii="Arial" w:cs="Arial" w:eastAsia="Arial" w:hAnsi="Arial"/>
                <w:sz w:val="12"/>
                <w:szCs w:val="12"/>
                <w:b w:val="1"/>
                <w:bCs w:val="1"/>
                <w:color w:val="auto"/>
                <w:w w:val="90"/>
              </w:rPr>
              <w:t>Income</w:t>
            </w:r>
          </w:p>
        </w:tc>
        <w:tc>
          <w:tcPr>
            <w:tcW w:w="260" w:type="dxa"/>
            <w:vAlign w:val="bottom"/>
          </w:tcPr>
          <w:p>
            <w:pPr>
              <w:spacing w:after="0"/>
              <w:rPr>
                <w:sz w:val="12"/>
                <w:szCs w:val="12"/>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90"/>
              </w:rPr>
              <w:t>Recorded</w:t>
            </w:r>
          </w:p>
        </w:tc>
        <w:tc>
          <w:tcPr>
            <w:tcW w:w="160" w:type="dxa"/>
            <w:vAlign w:val="bottom"/>
          </w:tcPr>
          <w:p>
            <w:pPr>
              <w:spacing w:after="0"/>
              <w:rPr>
                <w:sz w:val="12"/>
                <w:szCs w:val="12"/>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0"/>
              </w:rPr>
              <w:t>Income</w:t>
            </w:r>
          </w:p>
        </w:tc>
        <w:tc>
          <w:tcPr>
            <w:tcW w:w="0" w:type="dxa"/>
            <w:vAlign w:val="bottom"/>
          </w:tcPr>
          <w:p>
            <w:pPr>
              <w:spacing w:after="0"/>
              <w:rPr>
                <w:sz w:val="1"/>
                <w:szCs w:val="1"/>
                <w:color w:val="auto"/>
              </w:rPr>
            </w:pPr>
          </w:p>
        </w:tc>
      </w:tr>
      <w:tr>
        <w:trPr>
          <w:trHeight w:val="157"/>
        </w:trPr>
        <w:tc>
          <w:tcPr>
            <w:tcW w:w="60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00"/>
              <w:spacing w:after="0"/>
              <w:rPr>
                <w:sz w:val="20"/>
                <w:szCs w:val="20"/>
                <w:color w:val="auto"/>
              </w:rPr>
            </w:pPr>
            <w:r>
              <w:rPr>
                <w:rFonts w:ascii="Arial" w:cs="Arial" w:eastAsia="Arial" w:hAnsi="Arial"/>
                <w:sz w:val="12"/>
                <w:szCs w:val="12"/>
                <w:b w:val="1"/>
                <w:bCs w:val="1"/>
                <w:color w:val="auto"/>
                <w:w w:val="91"/>
              </w:rPr>
              <w:t>Investment</w:t>
            </w: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100"/>
              <w:spacing w:after="0"/>
              <w:rPr>
                <w:sz w:val="20"/>
                <w:szCs w:val="20"/>
                <w:color w:val="auto"/>
              </w:rPr>
            </w:pPr>
            <w:r>
              <w:rPr>
                <w:rFonts w:ascii="Arial" w:cs="Arial" w:eastAsia="Arial" w:hAnsi="Arial"/>
                <w:sz w:val="12"/>
                <w:szCs w:val="12"/>
                <w:b w:val="1"/>
                <w:bCs w:val="1"/>
                <w:color w:val="auto"/>
                <w:w w:val="89"/>
              </w:rPr>
              <w:t>Recognized</w:t>
            </w: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180"/>
              <w:spacing w:after="0"/>
              <w:rPr>
                <w:sz w:val="20"/>
                <w:szCs w:val="20"/>
                <w:color w:val="auto"/>
              </w:rPr>
            </w:pPr>
            <w:r>
              <w:rPr>
                <w:rFonts w:ascii="Arial" w:cs="Arial" w:eastAsia="Arial" w:hAnsi="Arial"/>
                <w:sz w:val="12"/>
                <w:szCs w:val="12"/>
                <w:b w:val="1"/>
                <w:bCs w:val="1"/>
                <w:color w:val="auto"/>
                <w:w w:val="91"/>
              </w:rPr>
              <w:t>Investment</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80"/>
              <w:spacing w:after="0"/>
              <w:rPr>
                <w:sz w:val="20"/>
                <w:szCs w:val="20"/>
                <w:color w:val="auto"/>
              </w:rPr>
            </w:pPr>
            <w:r>
              <w:rPr>
                <w:rFonts w:ascii="Arial" w:cs="Arial" w:eastAsia="Arial" w:hAnsi="Arial"/>
                <w:sz w:val="12"/>
                <w:szCs w:val="12"/>
                <w:b w:val="1"/>
                <w:bCs w:val="1"/>
                <w:color w:val="auto"/>
                <w:w w:val="86"/>
              </w:rPr>
              <w:t>Recognized</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000" w:type="dxa"/>
            <w:vAlign w:val="bottom"/>
            <w:vMerge w:val="restart"/>
          </w:tcPr>
          <w:p>
            <w:pPr>
              <w:spacing w:after="0"/>
              <w:rPr>
                <w:sz w:val="20"/>
                <w:szCs w:val="20"/>
                <w:color w:val="auto"/>
              </w:rPr>
            </w:pPr>
            <w:r>
              <w:rPr>
                <w:rFonts w:ascii="Arial" w:cs="Arial" w:eastAsia="Arial" w:hAnsi="Arial"/>
                <w:sz w:val="12"/>
                <w:szCs w:val="12"/>
                <w:b w:val="1"/>
                <w:bCs w:val="1"/>
                <w:color w:val="auto"/>
              </w:rPr>
              <w:t>With no related ACL recorded:</w:t>
            </w: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ind w:right="60"/>
              <w:spacing w:after="0"/>
              <w:rPr>
                <w:sz w:val="20"/>
                <w:szCs w:val="20"/>
                <w:color w:val="auto"/>
              </w:rPr>
            </w:pPr>
            <w:r>
              <w:rPr>
                <w:rFonts w:ascii="Arial" w:cs="Arial" w:eastAsia="Arial" w:hAnsi="Arial"/>
                <w:sz w:val="12"/>
                <w:szCs w:val="12"/>
                <w:b w:val="1"/>
                <w:bCs w:val="1"/>
                <w:color w:val="auto"/>
              </w:rPr>
              <w:t>(In</w:t>
            </w:r>
          </w:p>
        </w:tc>
        <w:tc>
          <w:tcPr>
            <w:tcW w:w="480" w:type="dxa"/>
            <w:vAlign w:val="bottom"/>
            <w:gridSpan w:val="2"/>
          </w:tcPr>
          <w:p>
            <w:pPr>
              <w:jc w:val="right"/>
              <w:spacing w:after="0"/>
              <w:rPr>
                <w:sz w:val="20"/>
                <w:szCs w:val="20"/>
                <w:color w:val="auto"/>
              </w:rPr>
            </w:pPr>
            <w:r>
              <w:rPr>
                <w:rFonts w:ascii="Arial" w:cs="Arial" w:eastAsia="Arial" w:hAnsi="Arial"/>
                <w:sz w:val="11"/>
                <w:szCs w:val="11"/>
                <w:b w:val="1"/>
                <w:bCs w:val="1"/>
                <w:color w:val="auto"/>
                <w:w w:val="74"/>
              </w:rPr>
              <w:t>thousands)</w:t>
            </w: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60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6000" w:type="dxa"/>
            <w:vAlign w:val="bottom"/>
          </w:tcPr>
          <w:p>
            <w:pPr>
              <w:ind w:left="80"/>
              <w:spacing w:after="0"/>
              <w:rPr>
                <w:sz w:val="20"/>
                <w:szCs w:val="20"/>
                <w:color w:val="auto"/>
              </w:rPr>
            </w:pPr>
            <w:r>
              <w:rPr>
                <w:rFonts w:ascii="Arial" w:cs="Arial" w:eastAsia="Arial" w:hAnsi="Arial"/>
                <w:sz w:val="12"/>
                <w:szCs w:val="12"/>
                <w:color w:val="auto"/>
              </w:rPr>
              <w:t>Commercial</w:t>
            </w: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0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Commercial and industrial</w:t>
            </w: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166"/>
              <w:spacing w:after="0"/>
              <w:rPr>
                <w:sz w:val="20"/>
                <w:szCs w:val="20"/>
                <w:color w:val="auto"/>
              </w:rPr>
            </w:pPr>
            <w:r>
              <w:rPr>
                <w:rFonts w:ascii="Arial" w:cs="Arial" w:eastAsia="Arial" w:hAnsi="Arial"/>
                <w:sz w:val="12"/>
                <w:szCs w:val="12"/>
                <w:color w:val="auto"/>
              </w:rPr>
              <w:t>9</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51</w:t>
            </w: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6000" w:type="dxa"/>
            <w:vAlign w:val="bottom"/>
          </w:tcPr>
          <w:p>
            <w:pPr>
              <w:ind w:left="200"/>
              <w:spacing w:after="0"/>
              <w:rPr>
                <w:sz w:val="20"/>
                <w:szCs w:val="20"/>
                <w:color w:val="auto"/>
              </w:rPr>
            </w:pPr>
            <w:r>
              <w:rPr>
                <w:rFonts w:ascii="Arial" w:cs="Arial" w:eastAsia="Arial" w:hAnsi="Arial"/>
                <w:sz w:val="12"/>
                <w:szCs w:val="12"/>
                <w:color w:val="auto"/>
              </w:rPr>
              <w:t>Commercial real estate</w:t>
            </w: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159</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166"/>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278</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44"/>
        </w:trPr>
        <w:tc>
          <w:tcPr>
            <w:tcW w:w="6000" w:type="dxa"/>
            <w:vAlign w:val="bottom"/>
            <w:shd w:val="clear" w:color="auto" w:fill="CCEEFF"/>
          </w:tcPr>
          <w:p>
            <w:pPr>
              <w:ind w:left="80"/>
              <w:spacing w:after="0"/>
              <w:rPr>
                <w:sz w:val="20"/>
                <w:szCs w:val="20"/>
                <w:color w:val="auto"/>
              </w:rPr>
            </w:pPr>
            <w:r>
              <w:rPr>
                <w:rFonts w:ascii="Arial" w:cs="Arial" w:eastAsia="Arial" w:hAnsi="Arial"/>
                <w:sz w:val="12"/>
                <w:szCs w:val="12"/>
                <w:color w:val="auto"/>
              </w:rPr>
              <w:t>Mortgage</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00" w:type="dxa"/>
            <w:vAlign w:val="bottom"/>
          </w:tcPr>
          <w:p>
            <w:pPr>
              <w:ind w:left="200"/>
              <w:spacing w:after="0"/>
              <w:rPr>
                <w:sz w:val="20"/>
                <w:szCs w:val="20"/>
                <w:color w:val="auto"/>
              </w:rPr>
            </w:pPr>
            <w:r>
              <w:rPr>
                <w:rFonts w:ascii="Arial" w:cs="Arial" w:eastAsia="Arial" w:hAnsi="Arial"/>
                <w:sz w:val="12"/>
                <w:szCs w:val="12"/>
                <w:color w:val="auto"/>
              </w:rPr>
              <w:t>1-4 family owner occupied - jumbo</w:t>
            </w: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408</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166"/>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60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1-4 family owner occupied - non-jumbo</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252</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66"/>
              <w:spacing w:after="0"/>
              <w:rPr>
                <w:sz w:val="20"/>
                <w:szCs w:val="20"/>
                <w:color w:val="auto"/>
              </w:rPr>
            </w:pPr>
            <w:r>
              <w:rPr>
                <w:rFonts w:ascii="Arial" w:cs="Arial" w:eastAsia="Arial" w:hAnsi="Arial"/>
                <w:sz w:val="12"/>
                <w:szCs w:val="12"/>
                <w:color w:val="auto"/>
              </w:rPr>
              <w:t>4</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201</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6000" w:type="dxa"/>
            <w:vAlign w:val="bottom"/>
          </w:tcPr>
          <w:p>
            <w:pPr>
              <w:ind w:left="200"/>
              <w:spacing w:after="0"/>
              <w:rPr>
                <w:sz w:val="20"/>
                <w:szCs w:val="20"/>
                <w:color w:val="auto"/>
              </w:rPr>
            </w:pPr>
            <w:r>
              <w:rPr>
                <w:rFonts w:ascii="Arial" w:cs="Arial" w:eastAsia="Arial" w:hAnsi="Arial"/>
                <w:sz w:val="12"/>
                <w:szCs w:val="12"/>
                <w:color w:val="auto"/>
              </w:rPr>
              <w:t>1-4 family non-owner occupied</w:t>
            </w: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308</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166"/>
              <w:spacing w:after="0"/>
              <w:rPr>
                <w:sz w:val="20"/>
                <w:szCs w:val="20"/>
                <w:color w:val="auto"/>
              </w:rPr>
            </w:pPr>
            <w:r>
              <w:rPr>
                <w:rFonts w:ascii="Arial" w:cs="Arial" w:eastAsia="Arial" w:hAnsi="Arial"/>
                <w:sz w:val="12"/>
                <w:szCs w:val="12"/>
                <w:color w:val="auto"/>
              </w:rPr>
              <w:t>10</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123</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60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1-4 family - 2nd lien</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380</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66"/>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136</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44"/>
        </w:trPr>
        <w:tc>
          <w:tcPr>
            <w:tcW w:w="6000" w:type="dxa"/>
            <w:vAlign w:val="bottom"/>
          </w:tcPr>
          <w:p>
            <w:pPr>
              <w:ind w:left="200"/>
              <w:spacing w:after="0"/>
              <w:rPr>
                <w:sz w:val="20"/>
                <w:szCs w:val="20"/>
                <w:color w:val="auto"/>
              </w:rPr>
            </w:pPr>
            <w:r>
              <w:rPr>
                <w:rFonts w:ascii="Arial" w:cs="Arial" w:eastAsia="Arial" w:hAnsi="Arial"/>
                <w:sz w:val="12"/>
                <w:szCs w:val="12"/>
                <w:color w:val="auto"/>
              </w:rPr>
              <w:t>Resort lending</w:t>
            </w: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92</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166"/>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6000" w:type="dxa"/>
            <w:vAlign w:val="bottom"/>
            <w:shd w:val="clear" w:color="auto" w:fill="CCEEFF"/>
          </w:tcPr>
          <w:p>
            <w:pPr>
              <w:ind w:left="80"/>
              <w:spacing w:after="0"/>
              <w:rPr>
                <w:sz w:val="20"/>
                <w:szCs w:val="20"/>
                <w:color w:val="auto"/>
              </w:rPr>
            </w:pPr>
            <w:r>
              <w:rPr>
                <w:rFonts w:ascii="Arial" w:cs="Arial" w:eastAsia="Arial" w:hAnsi="Arial"/>
                <w:sz w:val="12"/>
                <w:szCs w:val="12"/>
                <w:color w:val="auto"/>
              </w:rPr>
              <w:t>Installment</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00" w:type="dxa"/>
            <w:vAlign w:val="bottom"/>
          </w:tcPr>
          <w:p>
            <w:pPr>
              <w:ind w:left="200"/>
              <w:spacing w:after="0"/>
              <w:rPr>
                <w:sz w:val="20"/>
                <w:szCs w:val="20"/>
                <w:color w:val="auto"/>
              </w:rPr>
            </w:pPr>
            <w:r>
              <w:rPr>
                <w:rFonts w:ascii="Arial" w:cs="Arial" w:eastAsia="Arial" w:hAnsi="Arial"/>
                <w:sz w:val="12"/>
                <w:szCs w:val="12"/>
                <w:color w:val="auto"/>
              </w:rPr>
              <w:t>Boat lending</w:t>
            </w: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166"/>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60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Recreational vehicle lending</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66"/>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6000" w:type="dxa"/>
            <w:vAlign w:val="bottom"/>
          </w:tcPr>
          <w:p>
            <w:pPr>
              <w:ind w:left="200"/>
              <w:spacing w:after="0"/>
              <w:rPr>
                <w:sz w:val="20"/>
                <w:szCs w:val="20"/>
                <w:color w:val="auto"/>
              </w:rPr>
            </w:pPr>
            <w:r>
              <w:rPr>
                <w:rFonts w:ascii="Arial" w:cs="Arial" w:eastAsia="Arial" w:hAnsi="Arial"/>
                <w:sz w:val="12"/>
                <w:szCs w:val="12"/>
                <w:color w:val="auto"/>
              </w:rPr>
              <w:t>Other</w:t>
            </w: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166"/>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42"/>
        </w:trPr>
        <w:tc>
          <w:tcPr>
            <w:tcW w:w="60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1,724</w:t>
            </w:r>
          </w:p>
        </w:tc>
        <w:tc>
          <w:tcPr>
            <w:tcW w:w="2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2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789</w:t>
            </w:r>
          </w:p>
        </w:tc>
        <w:tc>
          <w:tcPr>
            <w:tcW w:w="2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00" w:type="dxa"/>
            <w:vAlign w:val="bottom"/>
          </w:tcPr>
          <w:p>
            <w:pPr>
              <w:spacing w:after="0"/>
              <w:rPr>
                <w:sz w:val="20"/>
                <w:szCs w:val="20"/>
                <w:color w:val="auto"/>
              </w:rPr>
            </w:pPr>
            <w:r>
              <w:rPr>
                <w:rFonts w:ascii="Arial" w:cs="Arial" w:eastAsia="Arial" w:hAnsi="Arial"/>
                <w:sz w:val="12"/>
                <w:szCs w:val="12"/>
                <w:b w:val="1"/>
                <w:bCs w:val="1"/>
                <w:color w:val="auto"/>
              </w:rPr>
              <w:t>With an a ACL recorded:</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00" w:type="dxa"/>
            <w:vAlign w:val="bottom"/>
            <w:shd w:val="clear" w:color="auto" w:fill="CCEEFF"/>
          </w:tcPr>
          <w:p>
            <w:pPr>
              <w:ind w:left="80"/>
              <w:spacing w:after="0"/>
              <w:rPr>
                <w:sz w:val="20"/>
                <w:szCs w:val="20"/>
                <w:color w:val="auto"/>
              </w:rPr>
            </w:pPr>
            <w:r>
              <w:rPr>
                <w:rFonts w:ascii="Arial" w:cs="Arial" w:eastAsia="Arial" w:hAnsi="Arial"/>
                <w:sz w:val="12"/>
                <w:szCs w:val="12"/>
                <w:color w:val="auto"/>
              </w:rPr>
              <w:t>Commercial</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00" w:type="dxa"/>
            <w:vAlign w:val="bottom"/>
          </w:tcPr>
          <w:p>
            <w:pPr>
              <w:ind w:left="200"/>
              <w:spacing w:after="0"/>
              <w:rPr>
                <w:sz w:val="20"/>
                <w:szCs w:val="20"/>
                <w:color w:val="auto"/>
              </w:rPr>
            </w:pPr>
            <w:r>
              <w:rPr>
                <w:rFonts w:ascii="Arial" w:cs="Arial" w:eastAsia="Arial" w:hAnsi="Arial"/>
                <w:sz w:val="12"/>
                <w:szCs w:val="12"/>
                <w:color w:val="auto"/>
              </w:rPr>
              <w:t>Commercial and industrial</w:t>
            </w: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2,230</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166"/>
              <w:spacing w:after="0"/>
              <w:rPr>
                <w:sz w:val="20"/>
                <w:szCs w:val="20"/>
                <w:color w:val="auto"/>
              </w:rPr>
            </w:pPr>
            <w:r>
              <w:rPr>
                <w:rFonts w:ascii="Arial" w:cs="Arial" w:eastAsia="Arial" w:hAnsi="Arial"/>
                <w:sz w:val="12"/>
                <w:szCs w:val="12"/>
                <w:color w:val="auto"/>
              </w:rPr>
              <w:t>242</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2,256</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72</w:t>
            </w:r>
          </w:p>
        </w:tc>
        <w:tc>
          <w:tcPr>
            <w:tcW w:w="0" w:type="dxa"/>
            <w:vAlign w:val="bottom"/>
          </w:tcPr>
          <w:p>
            <w:pPr>
              <w:spacing w:after="0"/>
              <w:rPr>
                <w:sz w:val="1"/>
                <w:szCs w:val="1"/>
                <w:color w:val="auto"/>
              </w:rPr>
            </w:pPr>
          </w:p>
        </w:tc>
      </w:tr>
      <w:tr>
        <w:trPr>
          <w:trHeight w:val="144"/>
        </w:trPr>
        <w:tc>
          <w:tcPr>
            <w:tcW w:w="60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Commercial real estate</w:t>
            </w: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10,751</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66"/>
              <w:spacing w:after="0"/>
              <w:rPr>
                <w:sz w:val="20"/>
                <w:szCs w:val="20"/>
                <w:color w:val="auto"/>
              </w:rPr>
            </w:pPr>
            <w:r>
              <w:rPr>
                <w:rFonts w:ascii="Arial" w:cs="Arial" w:eastAsia="Arial" w:hAnsi="Arial"/>
                <w:sz w:val="12"/>
                <w:szCs w:val="12"/>
                <w:color w:val="auto"/>
              </w:rPr>
              <w:t>1,043</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5,778</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315</w:t>
            </w:r>
          </w:p>
        </w:tc>
        <w:tc>
          <w:tcPr>
            <w:tcW w:w="0" w:type="dxa"/>
            <w:vAlign w:val="bottom"/>
          </w:tcPr>
          <w:p>
            <w:pPr>
              <w:spacing w:after="0"/>
              <w:rPr>
                <w:sz w:val="1"/>
                <w:szCs w:val="1"/>
                <w:color w:val="auto"/>
              </w:rPr>
            </w:pPr>
          </w:p>
        </w:tc>
      </w:tr>
      <w:tr>
        <w:trPr>
          <w:trHeight w:val="144"/>
        </w:trPr>
        <w:tc>
          <w:tcPr>
            <w:tcW w:w="6000" w:type="dxa"/>
            <w:vAlign w:val="bottom"/>
          </w:tcPr>
          <w:p>
            <w:pPr>
              <w:ind w:left="80"/>
              <w:spacing w:after="0"/>
              <w:rPr>
                <w:sz w:val="20"/>
                <w:szCs w:val="20"/>
                <w:color w:val="auto"/>
              </w:rPr>
            </w:pPr>
            <w:r>
              <w:rPr>
                <w:rFonts w:ascii="Arial" w:cs="Arial" w:eastAsia="Arial" w:hAnsi="Arial"/>
                <w:sz w:val="12"/>
                <w:szCs w:val="12"/>
                <w:color w:val="auto"/>
              </w:rPr>
              <w:t>Mortgage</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1-4 family owner occupied - jumbo</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1,083</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66"/>
              <w:spacing w:after="0"/>
              <w:rPr>
                <w:sz w:val="20"/>
                <w:szCs w:val="20"/>
                <w:color w:val="auto"/>
              </w:rPr>
            </w:pPr>
            <w:r>
              <w:rPr>
                <w:rFonts w:ascii="Arial" w:cs="Arial" w:eastAsia="Arial" w:hAnsi="Arial"/>
                <w:sz w:val="12"/>
                <w:szCs w:val="12"/>
                <w:color w:val="auto"/>
              </w:rPr>
              <w:t>84</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995</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39</w:t>
            </w:r>
          </w:p>
        </w:tc>
        <w:tc>
          <w:tcPr>
            <w:tcW w:w="0" w:type="dxa"/>
            <w:vAlign w:val="bottom"/>
          </w:tcPr>
          <w:p>
            <w:pPr>
              <w:spacing w:after="0"/>
              <w:rPr>
                <w:sz w:val="1"/>
                <w:szCs w:val="1"/>
                <w:color w:val="auto"/>
              </w:rPr>
            </w:pPr>
          </w:p>
        </w:tc>
      </w:tr>
      <w:tr>
        <w:trPr>
          <w:trHeight w:val="144"/>
        </w:trPr>
        <w:tc>
          <w:tcPr>
            <w:tcW w:w="6000" w:type="dxa"/>
            <w:vAlign w:val="bottom"/>
          </w:tcPr>
          <w:p>
            <w:pPr>
              <w:ind w:left="200"/>
              <w:spacing w:after="0"/>
              <w:rPr>
                <w:sz w:val="20"/>
                <w:szCs w:val="20"/>
                <w:color w:val="auto"/>
              </w:rPr>
            </w:pPr>
            <w:r>
              <w:rPr>
                <w:rFonts w:ascii="Arial" w:cs="Arial" w:eastAsia="Arial" w:hAnsi="Arial"/>
                <w:sz w:val="12"/>
                <w:szCs w:val="12"/>
                <w:color w:val="auto"/>
              </w:rPr>
              <w:t>1-4 family owner occupied - non-jumbo</w:t>
            </w:r>
          </w:p>
        </w:tc>
        <w:tc>
          <w:tcPr>
            <w:tcW w:w="160" w:type="dxa"/>
            <w:vAlign w:val="bottom"/>
          </w:tcPr>
          <w:p>
            <w:pPr>
              <w:spacing w:after="0"/>
              <w:rPr>
                <w:sz w:val="12"/>
                <w:szCs w:val="12"/>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2"/>
                <w:szCs w:val="12"/>
                <w:color w:val="auto"/>
              </w:rPr>
              <w:t>19,624</w:t>
            </w:r>
          </w:p>
        </w:tc>
        <w:tc>
          <w:tcPr>
            <w:tcW w:w="160" w:type="dxa"/>
            <w:vAlign w:val="bottom"/>
          </w:tcPr>
          <w:p>
            <w:pPr>
              <w:spacing w:after="0"/>
              <w:rPr>
                <w:sz w:val="12"/>
                <w:szCs w:val="12"/>
                <w:color w:val="auto"/>
              </w:rPr>
            </w:pPr>
          </w:p>
        </w:tc>
        <w:tc>
          <w:tcPr>
            <w:tcW w:w="1180" w:type="dxa"/>
            <w:vAlign w:val="bottom"/>
            <w:gridSpan w:val="2"/>
          </w:tcPr>
          <w:p>
            <w:pPr>
              <w:jc w:val="right"/>
              <w:ind w:right="166"/>
              <w:spacing w:after="0"/>
              <w:rPr>
                <w:sz w:val="20"/>
                <w:szCs w:val="20"/>
                <w:color w:val="auto"/>
              </w:rPr>
            </w:pPr>
            <w:r>
              <w:rPr>
                <w:rFonts w:ascii="Arial" w:cs="Arial" w:eastAsia="Arial" w:hAnsi="Arial"/>
                <w:sz w:val="12"/>
                <w:szCs w:val="12"/>
                <w:color w:val="auto"/>
              </w:rPr>
              <w:t>2,033</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15,183</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594</w:t>
            </w:r>
          </w:p>
        </w:tc>
        <w:tc>
          <w:tcPr>
            <w:tcW w:w="0" w:type="dxa"/>
            <w:vAlign w:val="bottom"/>
          </w:tcPr>
          <w:p>
            <w:pPr>
              <w:spacing w:after="0"/>
              <w:rPr>
                <w:sz w:val="1"/>
                <w:szCs w:val="1"/>
                <w:color w:val="auto"/>
              </w:rPr>
            </w:pPr>
          </w:p>
        </w:tc>
      </w:tr>
      <w:tr>
        <w:trPr>
          <w:trHeight w:val="144"/>
        </w:trPr>
        <w:tc>
          <w:tcPr>
            <w:tcW w:w="60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1-4 family non-owner occupied</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4,664</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66"/>
              <w:spacing w:after="0"/>
              <w:rPr>
                <w:sz w:val="20"/>
                <w:szCs w:val="20"/>
                <w:color w:val="auto"/>
              </w:rPr>
            </w:pPr>
            <w:r>
              <w:rPr>
                <w:rFonts w:ascii="Arial" w:cs="Arial" w:eastAsia="Arial" w:hAnsi="Arial"/>
                <w:sz w:val="12"/>
                <w:szCs w:val="12"/>
                <w:color w:val="auto"/>
              </w:rPr>
              <w:t>375</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2,874</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291</w:t>
            </w:r>
          </w:p>
        </w:tc>
        <w:tc>
          <w:tcPr>
            <w:tcW w:w="0" w:type="dxa"/>
            <w:vAlign w:val="bottom"/>
          </w:tcPr>
          <w:p>
            <w:pPr>
              <w:spacing w:after="0"/>
              <w:rPr>
                <w:sz w:val="1"/>
                <w:szCs w:val="1"/>
                <w:color w:val="auto"/>
              </w:rPr>
            </w:pPr>
          </w:p>
        </w:tc>
      </w:tr>
      <w:tr>
        <w:trPr>
          <w:trHeight w:val="144"/>
        </w:trPr>
        <w:tc>
          <w:tcPr>
            <w:tcW w:w="6000" w:type="dxa"/>
            <w:vAlign w:val="bottom"/>
          </w:tcPr>
          <w:p>
            <w:pPr>
              <w:ind w:left="200"/>
              <w:spacing w:after="0"/>
              <w:rPr>
                <w:sz w:val="20"/>
                <w:szCs w:val="20"/>
                <w:color w:val="auto"/>
              </w:rPr>
            </w:pPr>
            <w:r>
              <w:rPr>
                <w:rFonts w:ascii="Arial" w:cs="Arial" w:eastAsia="Arial" w:hAnsi="Arial"/>
                <w:sz w:val="12"/>
                <w:szCs w:val="12"/>
                <w:color w:val="auto"/>
              </w:rPr>
              <w:t>1-4 family - 2nd lien</w:t>
            </w: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3,376</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166"/>
              <w:spacing w:after="0"/>
              <w:rPr>
                <w:sz w:val="20"/>
                <w:szCs w:val="20"/>
                <w:color w:val="auto"/>
              </w:rPr>
            </w:pPr>
            <w:r>
              <w:rPr>
                <w:rFonts w:ascii="Arial" w:cs="Arial" w:eastAsia="Arial" w:hAnsi="Arial"/>
                <w:sz w:val="12"/>
                <w:szCs w:val="12"/>
                <w:color w:val="auto"/>
              </w:rPr>
              <w:t>22</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13,383</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809</w:t>
            </w:r>
          </w:p>
        </w:tc>
        <w:tc>
          <w:tcPr>
            <w:tcW w:w="0" w:type="dxa"/>
            <w:vAlign w:val="bottom"/>
          </w:tcPr>
          <w:p>
            <w:pPr>
              <w:spacing w:after="0"/>
              <w:rPr>
                <w:sz w:val="1"/>
                <w:szCs w:val="1"/>
                <w:color w:val="auto"/>
              </w:rPr>
            </w:pPr>
          </w:p>
        </w:tc>
      </w:tr>
      <w:tr>
        <w:trPr>
          <w:trHeight w:val="144"/>
        </w:trPr>
        <w:tc>
          <w:tcPr>
            <w:tcW w:w="60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Resort lending</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11,316</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66"/>
              <w:spacing w:after="0"/>
              <w:rPr>
                <w:sz w:val="20"/>
                <w:szCs w:val="20"/>
                <w:color w:val="auto"/>
              </w:rPr>
            </w:pPr>
            <w:r>
              <w:rPr>
                <w:rFonts w:ascii="Arial" w:cs="Arial" w:eastAsia="Arial" w:hAnsi="Arial"/>
                <w:sz w:val="12"/>
                <w:szCs w:val="12"/>
                <w:color w:val="auto"/>
              </w:rPr>
              <w:t>799</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11,697</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669</w:t>
            </w:r>
          </w:p>
        </w:tc>
        <w:tc>
          <w:tcPr>
            <w:tcW w:w="0" w:type="dxa"/>
            <w:vAlign w:val="bottom"/>
          </w:tcPr>
          <w:p>
            <w:pPr>
              <w:spacing w:after="0"/>
              <w:rPr>
                <w:sz w:val="1"/>
                <w:szCs w:val="1"/>
                <w:color w:val="auto"/>
              </w:rPr>
            </w:pPr>
          </w:p>
        </w:tc>
      </w:tr>
      <w:tr>
        <w:trPr>
          <w:trHeight w:val="144"/>
        </w:trPr>
        <w:tc>
          <w:tcPr>
            <w:tcW w:w="6000" w:type="dxa"/>
            <w:vAlign w:val="bottom"/>
          </w:tcPr>
          <w:p>
            <w:pPr>
              <w:ind w:left="80"/>
              <w:spacing w:after="0"/>
              <w:rPr>
                <w:sz w:val="20"/>
                <w:szCs w:val="20"/>
                <w:color w:val="auto"/>
              </w:rPr>
            </w:pPr>
            <w:r>
              <w:rPr>
                <w:rFonts w:ascii="Arial" w:cs="Arial" w:eastAsia="Arial" w:hAnsi="Arial"/>
                <w:sz w:val="12"/>
                <w:szCs w:val="12"/>
                <w:color w:val="auto"/>
              </w:rPr>
              <w:t>Installment</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Boat lending</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66"/>
              <w:spacing w:after="0"/>
              <w:rPr>
                <w:sz w:val="20"/>
                <w:szCs w:val="20"/>
                <w:color w:val="auto"/>
              </w:rPr>
            </w:pPr>
            <w:r>
              <w:rPr>
                <w:rFonts w:ascii="Arial" w:cs="Arial" w:eastAsia="Arial" w:hAnsi="Arial"/>
                <w:sz w:val="12"/>
                <w:szCs w:val="12"/>
                <w:color w:val="auto"/>
              </w:rPr>
              <w:t>1</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54</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6000" w:type="dxa"/>
            <w:vAlign w:val="bottom"/>
          </w:tcPr>
          <w:p>
            <w:pPr>
              <w:ind w:left="200"/>
              <w:spacing w:after="0"/>
              <w:rPr>
                <w:sz w:val="20"/>
                <w:szCs w:val="20"/>
                <w:color w:val="auto"/>
              </w:rPr>
            </w:pPr>
            <w:r>
              <w:rPr>
                <w:rFonts w:ascii="Arial" w:cs="Arial" w:eastAsia="Arial" w:hAnsi="Arial"/>
                <w:sz w:val="12"/>
                <w:szCs w:val="12"/>
                <w:color w:val="auto"/>
              </w:rPr>
              <w:t>Recreational vehicle lending</w:t>
            </w: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81</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166"/>
              <w:spacing w:after="0"/>
              <w:rPr>
                <w:sz w:val="20"/>
                <w:szCs w:val="20"/>
                <w:color w:val="auto"/>
              </w:rPr>
            </w:pPr>
            <w:r>
              <w:rPr>
                <w:rFonts w:ascii="Arial" w:cs="Arial" w:eastAsia="Arial" w:hAnsi="Arial"/>
                <w:sz w:val="12"/>
                <w:szCs w:val="12"/>
                <w:color w:val="auto"/>
              </w:rPr>
              <w:t>4</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22</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60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Other</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2,416</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66"/>
              <w:spacing w:after="0"/>
              <w:rPr>
                <w:sz w:val="20"/>
                <w:szCs w:val="20"/>
                <w:color w:val="auto"/>
              </w:rPr>
            </w:pPr>
            <w:r>
              <w:rPr>
                <w:rFonts w:ascii="Arial" w:cs="Arial" w:eastAsia="Arial" w:hAnsi="Arial"/>
                <w:sz w:val="12"/>
                <w:szCs w:val="12"/>
                <w:color w:val="auto"/>
              </w:rPr>
              <w:t>225</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3,186</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189</w:t>
            </w:r>
          </w:p>
        </w:tc>
        <w:tc>
          <w:tcPr>
            <w:tcW w:w="0" w:type="dxa"/>
            <w:vAlign w:val="bottom"/>
          </w:tcPr>
          <w:p>
            <w:pPr>
              <w:spacing w:after="0"/>
              <w:rPr>
                <w:sz w:val="1"/>
                <w:szCs w:val="1"/>
                <w:color w:val="auto"/>
              </w:rPr>
            </w:pPr>
          </w:p>
        </w:tc>
      </w:tr>
      <w:tr>
        <w:trPr>
          <w:trHeight w:val="20"/>
        </w:trPr>
        <w:tc>
          <w:tcPr>
            <w:tcW w:w="60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55,600</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166"/>
              <w:spacing w:after="0"/>
              <w:rPr>
                <w:sz w:val="20"/>
                <w:szCs w:val="20"/>
                <w:color w:val="auto"/>
              </w:rPr>
            </w:pPr>
            <w:r>
              <w:rPr>
                <w:rFonts w:ascii="Arial" w:cs="Arial" w:eastAsia="Arial" w:hAnsi="Arial"/>
                <w:sz w:val="12"/>
                <w:szCs w:val="12"/>
                <w:color w:val="auto"/>
              </w:rPr>
              <w:t>4,828</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55,428</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2,978</w:t>
            </w:r>
          </w:p>
        </w:tc>
        <w:tc>
          <w:tcPr>
            <w:tcW w:w="0" w:type="dxa"/>
            <w:vAlign w:val="bottom"/>
          </w:tcPr>
          <w:p>
            <w:pPr>
              <w:spacing w:after="0"/>
              <w:rPr>
                <w:sz w:val="1"/>
                <w:szCs w:val="1"/>
                <w:color w:val="auto"/>
              </w:rPr>
            </w:pPr>
          </w:p>
        </w:tc>
      </w:tr>
      <w:tr>
        <w:trPr>
          <w:trHeight w:val="142"/>
        </w:trPr>
        <w:tc>
          <w:tcPr>
            <w:tcW w:w="60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w:t>
            </w:r>
          </w:p>
        </w:tc>
        <w:tc>
          <w:tcPr>
            <w:tcW w:w="16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00" w:type="dxa"/>
            <w:vAlign w:val="bottom"/>
          </w:tcPr>
          <w:p>
            <w:pPr>
              <w:ind w:left="80"/>
              <w:spacing w:after="0"/>
              <w:rPr>
                <w:sz w:val="20"/>
                <w:szCs w:val="20"/>
                <w:color w:val="auto"/>
              </w:rPr>
            </w:pPr>
            <w:r>
              <w:rPr>
                <w:rFonts w:ascii="Arial" w:cs="Arial" w:eastAsia="Arial" w:hAnsi="Arial"/>
                <w:sz w:val="12"/>
                <w:szCs w:val="12"/>
                <w:color w:val="auto"/>
              </w:rPr>
              <w:t>Commercial</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Commercial and industrial</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2,355</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66"/>
              <w:spacing w:after="0"/>
              <w:rPr>
                <w:sz w:val="20"/>
                <w:szCs w:val="20"/>
                <w:color w:val="auto"/>
              </w:rPr>
            </w:pPr>
            <w:r>
              <w:rPr>
                <w:rFonts w:ascii="Arial" w:cs="Arial" w:eastAsia="Arial" w:hAnsi="Arial"/>
                <w:sz w:val="12"/>
                <w:szCs w:val="12"/>
                <w:color w:val="auto"/>
              </w:rPr>
              <w:t>251</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2,307</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72</w:t>
            </w:r>
          </w:p>
        </w:tc>
        <w:tc>
          <w:tcPr>
            <w:tcW w:w="0" w:type="dxa"/>
            <w:vAlign w:val="bottom"/>
          </w:tcPr>
          <w:p>
            <w:pPr>
              <w:spacing w:after="0"/>
              <w:rPr>
                <w:sz w:val="1"/>
                <w:szCs w:val="1"/>
                <w:color w:val="auto"/>
              </w:rPr>
            </w:pPr>
          </w:p>
        </w:tc>
      </w:tr>
      <w:tr>
        <w:trPr>
          <w:trHeight w:val="144"/>
        </w:trPr>
        <w:tc>
          <w:tcPr>
            <w:tcW w:w="6000" w:type="dxa"/>
            <w:vAlign w:val="bottom"/>
          </w:tcPr>
          <w:p>
            <w:pPr>
              <w:ind w:left="200"/>
              <w:spacing w:after="0"/>
              <w:rPr>
                <w:sz w:val="20"/>
                <w:szCs w:val="20"/>
                <w:color w:val="auto"/>
              </w:rPr>
            </w:pPr>
            <w:r>
              <w:rPr>
                <w:rFonts w:ascii="Arial" w:cs="Arial" w:eastAsia="Arial" w:hAnsi="Arial"/>
                <w:sz w:val="12"/>
                <w:szCs w:val="12"/>
                <w:color w:val="auto"/>
              </w:rPr>
              <w:t>Commercial real estate</w:t>
            </w:r>
          </w:p>
        </w:tc>
        <w:tc>
          <w:tcPr>
            <w:tcW w:w="160" w:type="dxa"/>
            <w:vAlign w:val="bottom"/>
          </w:tcPr>
          <w:p>
            <w:pPr>
              <w:spacing w:after="0"/>
              <w:rPr>
                <w:sz w:val="12"/>
                <w:szCs w:val="12"/>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2"/>
                <w:szCs w:val="12"/>
                <w:color w:val="auto"/>
              </w:rPr>
              <w:t>10,910</w:t>
            </w:r>
          </w:p>
        </w:tc>
        <w:tc>
          <w:tcPr>
            <w:tcW w:w="160" w:type="dxa"/>
            <w:vAlign w:val="bottom"/>
          </w:tcPr>
          <w:p>
            <w:pPr>
              <w:spacing w:after="0"/>
              <w:rPr>
                <w:sz w:val="12"/>
                <w:szCs w:val="12"/>
                <w:color w:val="auto"/>
              </w:rPr>
            </w:pPr>
          </w:p>
        </w:tc>
        <w:tc>
          <w:tcPr>
            <w:tcW w:w="1180" w:type="dxa"/>
            <w:vAlign w:val="bottom"/>
            <w:gridSpan w:val="2"/>
          </w:tcPr>
          <w:p>
            <w:pPr>
              <w:jc w:val="right"/>
              <w:ind w:right="166"/>
              <w:spacing w:after="0"/>
              <w:rPr>
                <w:sz w:val="20"/>
                <w:szCs w:val="20"/>
                <w:color w:val="auto"/>
              </w:rPr>
            </w:pPr>
            <w:r>
              <w:rPr>
                <w:rFonts w:ascii="Arial" w:cs="Arial" w:eastAsia="Arial" w:hAnsi="Arial"/>
                <w:sz w:val="12"/>
                <w:szCs w:val="12"/>
                <w:color w:val="auto"/>
              </w:rPr>
              <w:t>1,043</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6,056</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320</w:t>
            </w:r>
          </w:p>
        </w:tc>
        <w:tc>
          <w:tcPr>
            <w:tcW w:w="0" w:type="dxa"/>
            <w:vAlign w:val="bottom"/>
          </w:tcPr>
          <w:p>
            <w:pPr>
              <w:spacing w:after="0"/>
              <w:rPr>
                <w:sz w:val="1"/>
                <w:szCs w:val="1"/>
                <w:color w:val="auto"/>
              </w:rPr>
            </w:pPr>
          </w:p>
        </w:tc>
      </w:tr>
      <w:tr>
        <w:trPr>
          <w:trHeight w:val="144"/>
        </w:trPr>
        <w:tc>
          <w:tcPr>
            <w:tcW w:w="6000" w:type="dxa"/>
            <w:vAlign w:val="bottom"/>
            <w:shd w:val="clear" w:color="auto" w:fill="CCEEFF"/>
          </w:tcPr>
          <w:p>
            <w:pPr>
              <w:ind w:left="80"/>
              <w:spacing w:after="0"/>
              <w:rPr>
                <w:sz w:val="20"/>
                <w:szCs w:val="20"/>
                <w:color w:val="auto"/>
              </w:rPr>
            </w:pPr>
            <w:r>
              <w:rPr>
                <w:rFonts w:ascii="Arial" w:cs="Arial" w:eastAsia="Arial" w:hAnsi="Arial"/>
                <w:sz w:val="12"/>
                <w:szCs w:val="12"/>
                <w:color w:val="auto"/>
              </w:rPr>
              <w:t>Mortgage</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00" w:type="dxa"/>
            <w:vAlign w:val="bottom"/>
          </w:tcPr>
          <w:p>
            <w:pPr>
              <w:ind w:left="200"/>
              <w:spacing w:after="0"/>
              <w:rPr>
                <w:sz w:val="20"/>
                <w:szCs w:val="20"/>
                <w:color w:val="auto"/>
              </w:rPr>
            </w:pPr>
            <w:r>
              <w:rPr>
                <w:rFonts w:ascii="Arial" w:cs="Arial" w:eastAsia="Arial" w:hAnsi="Arial"/>
                <w:sz w:val="12"/>
                <w:szCs w:val="12"/>
                <w:color w:val="auto"/>
              </w:rPr>
              <w:t>1-4 family owner occupied - jumbo</w:t>
            </w: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1,491</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166"/>
              <w:spacing w:after="0"/>
              <w:rPr>
                <w:sz w:val="20"/>
                <w:szCs w:val="20"/>
                <w:color w:val="auto"/>
              </w:rPr>
            </w:pPr>
            <w:r>
              <w:rPr>
                <w:rFonts w:ascii="Arial" w:cs="Arial" w:eastAsia="Arial" w:hAnsi="Arial"/>
                <w:sz w:val="12"/>
                <w:szCs w:val="12"/>
                <w:color w:val="auto"/>
              </w:rPr>
              <w:t>84</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995</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39</w:t>
            </w:r>
          </w:p>
        </w:tc>
        <w:tc>
          <w:tcPr>
            <w:tcW w:w="0" w:type="dxa"/>
            <w:vAlign w:val="bottom"/>
          </w:tcPr>
          <w:p>
            <w:pPr>
              <w:spacing w:after="0"/>
              <w:rPr>
                <w:sz w:val="1"/>
                <w:szCs w:val="1"/>
                <w:color w:val="auto"/>
              </w:rPr>
            </w:pPr>
          </w:p>
        </w:tc>
      </w:tr>
      <w:tr>
        <w:trPr>
          <w:trHeight w:val="144"/>
        </w:trPr>
        <w:tc>
          <w:tcPr>
            <w:tcW w:w="60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1-4 family owner occupied - non-jumbo</w:t>
            </w: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19,876</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66"/>
              <w:spacing w:after="0"/>
              <w:rPr>
                <w:sz w:val="20"/>
                <w:szCs w:val="20"/>
                <w:color w:val="auto"/>
              </w:rPr>
            </w:pPr>
            <w:r>
              <w:rPr>
                <w:rFonts w:ascii="Arial" w:cs="Arial" w:eastAsia="Arial" w:hAnsi="Arial"/>
                <w:sz w:val="12"/>
                <w:szCs w:val="12"/>
                <w:color w:val="auto"/>
              </w:rPr>
              <w:t>2,037</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15,384</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594</w:t>
            </w:r>
          </w:p>
        </w:tc>
        <w:tc>
          <w:tcPr>
            <w:tcW w:w="0" w:type="dxa"/>
            <w:vAlign w:val="bottom"/>
          </w:tcPr>
          <w:p>
            <w:pPr>
              <w:spacing w:after="0"/>
              <w:rPr>
                <w:sz w:val="1"/>
                <w:szCs w:val="1"/>
                <w:color w:val="auto"/>
              </w:rPr>
            </w:pPr>
          </w:p>
        </w:tc>
      </w:tr>
      <w:tr>
        <w:trPr>
          <w:trHeight w:val="144"/>
        </w:trPr>
        <w:tc>
          <w:tcPr>
            <w:tcW w:w="6000" w:type="dxa"/>
            <w:vAlign w:val="bottom"/>
          </w:tcPr>
          <w:p>
            <w:pPr>
              <w:ind w:left="200"/>
              <w:spacing w:after="0"/>
              <w:rPr>
                <w:sz w:val="20"/>
                <w:szCs w:val="20"/>
                <w:color w:val="auto"/>
              </w:rPr>
            </w:pPr>
            <w:r>
              <w:rPr>
                <w:rFonts w:ascii="Arial" w:cs="Arial" w:eastAsia="Arial" w:hAnsi="Arial"/>
                <w:sz w:val="12"/>
                <w:szCs w:val="12"/>
                <w:color w:val="auto"/>
              </w:rPr>
              <w:t>1-4 family non-owner occupied</w:t>
            </w: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4,972</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166"/>
              <w:spacing w:after="0"/>
              <w:rPr>
                <w:sz w:val="20"/>
                <w:szCs w:val="20"/>
                <w:color w:val="auto"/>
              </w:rPr>
            </w:pPr>
            <w:r>
              <w:rPr>
                <w:rFonts w:ascii="Arial" w:cs="Arial" w:eastAsia="Arial" w:hAnsi="Arial"/>
                <w:sz w:val="12"/>
                <w:szCs w:val="12"/>
                <w:color w:val="auto"/>
              </w:rPr>
              <w:t>385</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2,997</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291</w:t>
            </w:r>
          </w:p>
        </w:tc>
        <w:tc>
          <w:tcPr>
            <w:tcW w:w="0" w:type="dxa"/>
            <w:vAlign w:val="bottom"/>
          </w:tcPr>
          <w:p>
            <w:pPr>
              <w:spacing w:after="0"/>
              <w:rPr>
                <w:sz w:val="1"/>
                <w:szCs w:val="1"/>
                <w:color w:val="auto"/>
              </w:rPr>
            </w:pPr>
          </w:p>
        </w:tc>
      </w:tr>
      <w:tr>
        <w:trPr>
          <w:trHeight w:val="144"/>
        </w:trPr>
        <w:tc>
          <w:tcPr>
            <w:tcW w:w="60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1-4 family - 2nd lien</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3,756</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66"/>
              <w:spacing w:after="0"/>
              <w:rPr>
                <w:sz w:val="20"/>
                <w:szCs w:val="20"/>
                <w:color w:val="auto"/>
              </w:rPr>
            </w:pPr>
            <w:r>
              <w:rPr>
                <w:rFonts w:ascii="Arial" w:cs="Arial" w:eastAsia="Arial" w:hAnsi="Arial"/>
                <w:sz w:val="12"/>
                <w:szCs w:val="12"/>
                <w:color w:val="auto"/>
              </w:rPr>
              <w:t>22</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13,519</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816</w:t>
            </w:r>
          </w:p>
        </w:tc>
        <w:tc>
          <w:tcPr>
            <w:tcW w:w="0" w:type="dxa"/>
            <w:vAlign w:val="bottom"/>
          </w:tcPr>
          <w:p>
            <w:pPr>
              <w:spacing w:after="0"/>
              <w:rPr>
                <w:sz w:val="1"/>
                <w:szCs w:val="1"/>
                <w:color w:val="auto"/>
              </w:rPr>
            </w:pPr>
          </w:p>
        </w:tc>
      </w:tr>
      <w:tr>
        <w:trPr>
          <w:trHeight w:val="144"/>
        </w:trPr>
        <w:tc>
          <w:tcPr>
            <w:tcW w:w="6000" w:type="dxa"/>
            <w:vAlign w:val="bottom"/>
          </w:tcPr>
          <w:p>
            <w:pPr>
              <w:ind w:left="200"/>
              <w:spacing w:after="0"/>
              <w:rPr>
                <w:sz w:val="20"/>
                <w:szCs w:val="20"/>
                <w:color w:val="auto"/>
              </w:rPr>
            </w:pPr>
            <w:r>
              <w:rPr>
                <w:rFonts w:ascii="Arial" w:cs="Arial" w:eastAsia="Arial" w:hAnsi="Arial"/>
                <w:sz w:val="12"/>
                <w:szCs w:val="12"/>
                <w:color w:val="auto"/>
              </w:rPr>
              <w:t>Resort lending</w:t>
            </w: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11,408</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166"/>
              <w:spacing w:after="0"/>
              <w:rPr>
                <w:sz w:val="20"/>
                <w:szCs w:val="20"/>
                <w:color w:val="auto"/>
              </w:rPr>
            </w:pPr>
            <w:r>
              <w:rPr>
                <w:rFonts w:ascii="Arial" w:cs="Arial" w:eastAsia="Arial" w:hAnsi="Arial"/>
                <w:sz w:val="12"/>
                <w:szCs w:val="12"/>
                <w:color w:val="auto"/>
              </w:rPr>
              <w:t>799</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11,697</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669</w:t>
            </w:r>
          </w:p>
        </w:tc>
        <w:tc>
          <w:tcPr>
            <w:tcW w:w="0" w:type="dxa"/>
            <w:vAlign w:val="bottom"/>
          </w:tcPr>
          <w:p>
            <w:pPr>
              <w:spacing w:after="0"/>
              <w:rPr>
                <w:sz w:val="1"/>
                <w:szCs w:val="1"/>
                <w:color w:val="auto"/>
              </w:rPr>
            </w:pPr>
          </w:p>
        </w:tc>
      </w:tr>
      <w:tr>
        <w:trPr>
          <w:trHeight w:val="144"/>
        </w:trPr>
        <w:tc>
          <w:tcPr>
            <w:tcW w:w="6000" w:type="dxa"/>
            <w:vAlign w:val="bottom"/>
            <w:shd w:val="clear" w:color="auto" w:fill="CCEEFF"/>
          </w:tcPr>
          <w:p>
            <w:pPr>
              <w:ind w:left="80"/>
              <w:spacing w:after="0"/>
              <w:rPr>
                <w:sz w:val="20"/>
                <w:szCs w:val="20"/>
                <w:color w:val="auto"/>
              </w:rPr>
            </w:pPr>
            <w:r>
              <w:rPr>
                <w:rFonts w:ascii="Arial" w:cs="Arial" w:eastAsia="Arial" w:hAnsi="Arial"/>
                <w:sz w:val="12"/>
                <w:szCs w:val="12"/>
                <w:color w:val="auto"/>
              </w:rPr>
              <w:t>Installment</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00" w:type="dxa"/>
            <w:vAlign w:val="bottom"/>
          </w:tcPr>
          <w:p>
            <w:pPr>
              <w:ind w:left="200"/>
              <w:spacing w:after="0"/>
              <w:rPr>
                <w:sz w:val="20"/>
                <w:szCs w:val="20"/>
                <w:color w:val="auto"/>
              </w:rPr>
            </w:pPr>
            <w:r>
              <w:rPr>
                <w:rFonts w:ascii="Arial" w:cs="Arial" w:eastAsia="Arial" w:hAnsi="Arial"/>
                <w:sz w:val="12"/>
                <w:szCs w:val="12"/>
                <w:color w:val="auto"/>
              </w:rPr>
              <w:t>Boat lending</w:t>
            </w: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59</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166"/>
              <w:spacing w:after="0"/>
              <w:rPr>
                <w:sz w:val="20"/>
                <w:szCs w:val="20"/>
                <w:color w:val="auto"/>
              </w:rPr>
            </w:pPr>
            <w:r>
              <w:rPr>
                <w:rFonts w:ascii="Arial" w:cs="Arial" w:eastAsia="Arial" w:hAnsi="Arial"/>
                <w:sz w:val="12"/>
                <w:szCs w:val="12"/>
                <w:color w:val="auto"/>
              </w:rPr>
              <w:t>1</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54</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60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Recreational vehicle lending</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66"/>
              <w:spacing w:after="0"/>
              <w:rPr>
                <w:sz w:val="20"/>
                <w:szCs w:val="20"/>
                <w:color w:val="auto"/>
              </w:rPr>
            </w:pPr>
            <w:r>
              <w:rPr>
                <w:rFonts w:ascii="Arial" w:cs="Arial" w:eastAsia="Arial" w:hAnsi="Arial"/>
                <w:sz w:val="12"/>
                <w:szCs w:val="12"/>
                <w:color w:val="auto"/>
              </w:rPr>
              <w:t>4</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22</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6000" w:type="dxa"/>
            <w:vAlign w:val="bottom"/>
          </w:tcPr>
          <w:p>
            <w:pPr>
              <w:ind w:left="200"/>
              <w:spacing w:after="0"/>
              <w:rPr>
                <w:sz w:val="20"/>
                <w:szCs w:val="20"/>
                <w:color w:val="auto"/>
              </w:rPr>
            </w:pPr>
            <w:r>
              <w:rPr>
                <w:rFonts w:ascii="Arial" w:cs="Arial" w:eastAsia="Arial" w:hAnsi="Arial"/>
                <w:sz w:val="12"/>
                <w:szCs w:val="12"/>
                <w:color w:val="auto"/>
              </w:rPr>
              <w:t>Other</w:t>
            </w: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2,416</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166"/>
              <w:spacing w:after="0"/>
              <w:rPr>
                <w:sz w:val="20"/>
                <w:szCs w:val="20"/>
                <w:color w:val="auto"/>
              </w:rPr>
            </w:pPr>
            <w:r>
              <w:rPr>
                <w:rFonts w:ascii="Arial" w:cs="Arial" w:eastAsia="Arial" w:hAnsi="Arial"/>
                <w:sz w:val="12"/>
                <w:szCs w:val="12"/>
                <w:color w:val="auto"/>
              </w:rPr>
              <w:t>225</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3,186</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190</w:t>
            </w:r>
          </w:p>
        </w:tc>
        <w:tc>
          <w:tcPr>
            <w:tcW w:w="0" w:type="dxa"/>
            <w:vAlign w:val="bottom"/>
          </w:tcPr>
          <w:p>
            <w:pPr>
              <w:spacing w:after="0"/>
              <w:rPr>
                <w:sz w:val="1"/>
                <w:szCs w:val="1"/>
                <w:color w:val="auto"/>
              </w:rPr>
            </w:pPr>
          </w:p>
        </w:tc>
      </w:tr>
      <w:tr>
        <w:trPr>
          <w:trHeight w:val="182"/>
        </w:trPr>
        <w:tc>
          <w:tcPr>
            <w:tcW w:w="60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Total</w:t>
            </w:r>
          </w:p>
        </w:tc>
        <w:tc>
          <w:tcPr>
            <w:tcW w:w="1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57,324</w:t>
            </w:r>
          </w:p>
        </w:tc>
        <w:tc>
          <w:tcPr>
            <w:tcW w:w="2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4,851</w:t>
            </w:r>
          </w:p>
        </w:tc>
        <w:tc>
          <w:tcPr>
            <w:tcW w:w="2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56,217</w:t>
            </w:r>
          </w:p>
        </w:tc>
        <w:tc>
          <w:tcPr>
            <w:tcW w:w="2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2,991</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(1) Beginning January 1, 2021, calculation is based on CECL methodology. Prior to January 1, 2021, calculation was based on the probable incurred loss methodology.</w:t>
      </w:r>
    </w:p>
    <w:p>
      <w:pPr>
        <w:spacing w:after="0" w:line="128" w:lineRule="exact"/>
        <w:rPr>
          <w:sz w:val="20"/>
          <w:szCs w:val="20"/>
          <w:color w:val="auto"/>
        </w:rPr>
      </w:pPr>
    </w:p>
    <w:p>
      <w:pPr>
        <w:ind w:left="5600"/>
        <w:spacing w:after="0"/>
        <w:rPr>
          <w:sz w:val="20"/>
          <w:szCs w:val="20"/>
          <w:color w:val="auto"/>
        </w:rPr>
      </w:pPr>
      <w:r>
        <w:rPr>
          <w:rFonts w:ascii="Arial" w:cs="Arial" w:eastAsia="Arial" w:hAnsi="Arial"/>
          <w:sz w:val="10"/>
          <w:szCs w:val="1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83" w:name="page84"/>
    <w:bookmarkEnd w:id="83"/>
    <w:p>
      <w:pPr>
        <w:spacing w:after="0" w:line="200" w:lineRule="exact"/>
        <w:rPr>
          <w:sz w:val="20"/>
          <w:szCs w:val="20"/>
          <w:color w:val="auto"/>
        </w:rPr>
      </w:pPr>
    </w:p>
    <w:p>
      <w:pPr>
        <w:spacing w:after="0" w:line="209" w:lineRule="exact"/>
        <w:rPr>
          <w:sz w:val="20"/>
          <w:szCs w:val="20"/>
          <w:color w:val="auto"/>
        </w:rPr>
      </w:pPr>
    </w:p>
    <w:p>
      <w:pPr>
        <w:ind w:left="208"/>
        <w:spacing w:after="0"/>
        <w:rPr>
          <w:sz w:val="20"/>
          <w:szCs w:val="20"/>
          <w:color w:val="auto"/>
        </w:rPr>
      </w:pPr>
      <w:r>
        <w:rPr>
          <w:rFonts w:ascii="Arial" w:cs="Arial" w:eastAsia="Arial" w:hAnsi="Arial"/>
          <w:sz w:val="11"/>
          <w:szCs w:val="11"/>
          <w:color w:val="auto"/>
        </w:rPr>
        <w:t>Troubled debt restructurings at December 31 follow:</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
        <w:spacing w:after="0"/>
        <w:rPr>
          <w:sz w:val="20"/>
          <w:szCs w:val="20"/>
          <w:color w:val="auto"/>
        </w:rPr>
      </w:pPr>
      <w:r>
        <w:rPr>
          <w:rFonts w:ascii="Arial" w:cs="Arial" w:eastAsia="Arial" w:hAnsi="Arial"/>
          <w:sz w:val="12"/>
          <w:szCs w:val="12"/>
          <w:color w:val="auto"/>
        </w:rPr>
        <w:t>Performing TDR’s</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2"/>
          <w:szCs w:val="12"/>
          <w:color w:val="auto"/>
        </w:rPr>
        <w:t>Non-performing TDR’s (2)</w:t>
      </w:r>
    </w:p>
    <w:p>
      <w:pPr>
        <w:spacing w:after="0" w:line="42" w:lineRule="exact"/>
        <w:rPr>
          <w:sz w:val="20"/>
          <w:szCs w:val="20"/>
          <w:color w:val="auto"/>
        </w:rPr>
      </w:pPr>
    </w:p>
    <w:p>
      <w:pPr>
        <w:ind w:left="88"/>
        <w:spacing w:after="0"/>
        <w:rPr>
          <w:sz w:val="20"/>
          <w:szCs w:val="20"/>
          <w:color w:val="auto"/>
        </w:rPr>
      </w:pPr>
      <w:r>
        <w:rPr>
          <w:rFonts w:ascii="Arial" w:cs="Arial" w:eastAsia="Arial" w:hAnsi="Arial"/>
          <w:sz w:val="12"/>
          <w:szCs w:val="12"/>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8"/>
        <w:spacing w:after="0"/>
        <w:rPr>
          <w:sz w:val="20"/>
          <w:szCs w:val="20"/>
          <w:color w:val="auto"/>
        </w:rPr>
      </w:pPr>
      <w:r>
        <w:rPr>
          <w:rFonts w:ascii="Arial" w:cs="Arial" w:eastAsia="Arial" w:hAnsi="Arial"/>
          <w:sz w:val="12"/>
          <w:szCs w:val="12"/>
          <w:color w:val="auto"/>
        </w:rPr>
        <w:t>Performing TDR’s</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2"/>
          <w:szCs w:val="12"/>
          <w:color w:val="auto"/>
        </w:rPr>
        <w:t>Non-performing TDR’s (2)</w:t>
      </w:r>
    </w:p>
    <w:p>
      <w:pPr>
        <w:spacing w:after="0" w:line="42" w:lineRule="exact"/>
        <w:rPr>
          <w:sz w:val="20"/>
          <w:szCs w:val="20"/>
          <w:color w:val="auto"/>
        </w:rPr>
      </w:pPr>
    </w:p>
    <w:p>
      <w:pPr>
        <w:ind w:left="88"/>
        <w:spacing w:after="0"/>
        <w:rPr>
          <w:sz w:val="20"/>
          <w:szCs w:val="20"/>
          <w:color w:val="auto"/>
        </w:rPr>
      </w:pPr>
      <w:r>
        <w:rPr>
          <w:rFonts w:ascii="Arial" w:cs="Arial" w:eastAsia="Arial" w:hAnsi="Arial"/>
          <w:sz w:val="12"/>
          <w:szCs w:val="12"/>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163830</wp:posOffset>
            </wp:positionV>
            <wp:extent cx="2154555" cy="114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5">
                      <a:extLst>
                        <a:ext uri="{28A0092B-C50C-407E-A947-70E740481C1C}"/>
                      </a:extLst>
                    </a:blip>
                    <a:srcRect/>
                    <a:stretch>
                      <a:fillRect/>
                    </a:stretch>
                  </pic:blipFill>
                  <pic:spPr bwMode="auto">
                    <a:xfrm>
                      <a:off x="0" y="0"/>
                      <a:ext cx="2154555" cy="11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200" w:lineRule="exact"/>
        <w:rPr>
          <w:sz w:val="20"/>
          <w:szCs w:val="20"/>
          <w:color w:val="auto"/>
        </w:rPr>
      </w:pPr>
    </w:p>
    <w:p>
      <w:pPr>
        <w:spacing w:after="0" w:line="355" w:lineRule="exact"/>
        <w:rPr>
          <w:sz w:val="20"/>
          <w:szCs w:val="20"/>
          <w:color w:val="auto"/>
        </w:rPr>
      </w:pPr>
    </w:p>
    <w:p>
      <w:pPr>
        <w:ind w:left="5440"/>
        <w:spacing w:after="0"/>
        <w:rPr>
          <w:sz w:val="20"/>
          <w:szCs w:val="20"/>
          <w:color w:val="auto"/>
        </w:rPr>
      </w:pPr>
      <w:r>
        <w:rPr>
          <w:rFonts w:ascii="Arial" w:cs="Arial" w:eastAsia="Arial" w:hAnsi="Arial"/>
          <w:sz w:val="12"/>
          <w:szCs w:val="12"/>
          <w:b w:val="1"/>
          <w:bCs w:val="1"/>
          <w:color w:val="auto"/>
        </w:rPr>
        <w:t>2021</w:t>
      </w:r>
    </w:p>
    <w:p>
      <w:pPr>
        <w:spacing w:after="0" w:line="19" w:lineRule="exact"/>
        <w:rPr>
          <w:sz w:val="20"/>
          <w:szCs w:val="20"/>
          <w:color w:val="auto"/>
        </w:rPr>
      </w:pPr>
    </w:p>
    <w:tbl>
      <w:tblPr>
        <w:tblLayout w:type="fixed"/>
        <w:tblInd w:w="3640" w:type="dxa"/>
        <w:tblCellMar>
          <w:top w:w="0" w:type="dxa"/>
          <w:left w:w="0" w:type="dxa"/>
          <w:bottom w:w="0" w:type="dxa"/>
          <w:right w:w="0" w:type="dxa"/>
        </w:tblCellMar>
      </w:tblPr>
      <w:tr>
        <w:trPr>
          <w:trHeight w:val="142"/>
        </w:trPr>
        <w:tc>
          <w:tcPr>
            <w:tcW w:w="1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2"/>
          </w:tcPr>
          <w:p>
            <w:pPr>
              <w:ind w:left="100"/>
              <w:spacing w:after="0"/>
              <w:rPr>
                <w:sz w:val="20"/>
                <w:szCs w:val="20"/>
                <w:color w:val="auto"/>
              </w:rPr>
            </w:pPr>
            <w:r>
              <w:rPr>
                <w:rFonts w:ascii="Arial" w:cs="Arial" w:eastAsia="Arial" w:hAnsi="Arial"/>
                <w:sz w:val="12"/>
                <w:szCs w:val="12"/>
                <w:b w:val="1"/>
                <w:bCs w:val="1"/>
                <w:color w:val="auto"/>
              </w:rPr>
              <w:t>Commercial</w:t>
            </w:r>
          </w:p>
        </w:tc>
        <w:tc>
          <w:tcPr>
            <w:tcW w:w="1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tcPr>
          <w:p>
            <w:pPr>
              <w:jc w:val="right"/>
              <w:ind w:right="580"/>
              <w:spacing w:after="0"/>
              <w:rPr>
                <w:sz w:val="20"/>
                <w:szCs w:val="20"/>
                <w:color w:val="auto"/>
              </w:rPr>
            </w:pPr>
            <w:r>
              <w:rPr>
                <w:rFonts w:ascii="Arial" w:cs="Arial" w:eastAsia="Arial" w:hAnsi="Arial"/>
                <w:sz w:val="12"/>
                <w:szCs w:val="12"/>
                <w:b w:val="1"/>
                <w:bCs w:val="1"/>
                <w:color w:val="auto"/>
              </w:rPr>
              <w:t>Retail (1)</w:t>
            </w: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Total</w:t>
            </w:r>
          </w:p>
        </w:tc>
        <w:tc>
          <w:tcPr>
            <w:tcW w:w="20" w:type="dxa"/>
            <w:vAlign w:val="bottom"/>
          </w:tcPr>
          <w:p>
            <w:pPr>
              <w:spacing w:after="0"/>
              <w:rPr>
                <w:sz w:val="12"/>
                <w:szCs w:val="12"/>
                <w:color w:val="auto"/>
              </w:rPr>
            </w:pPr>
          </w:p>
        </w:tc>
      </w:tr>
      <w:tr>
        <w:trPr>
          <w:trHeight w:val="133"/>
        </w:trPr>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100"/>
              <w:spacing w:after="0" w:line="133" w:lineRule="exact"/>
              <w:rPr>
                <w:sz w:val="20"/>
                <w:szCs w:val="20"/>
                <w:color w:val="auto"/>
              </w:rPr>
            </w:pPr>
            <w:r>
              <w:rPr>
                <w:rFonts w:ascii="Arial" w:cs="Arial" w:eastAsia="Arial" w:hAnsi="Arial"/>
                <w:sz w:val="12"/>
                <w:szCs w:val="12"/>
                <w:b w:val="1"/>
                <w:bCs w:val="1"/>
                <w:color w:val="auto"/>
                <w:w w:val="96"/>
              </w:rPr>
              <w:t>(In thousands)</w:t>
            </w:r>
          </w:p>
        </w:tc>
        <w:tc>
          <w:tcPr>
            <w:tcW w:w="2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46"/>
        </w:trPr>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4,481</w:t>
            </w:r>
          </w:p>
        </w:tc>
        <w:tc>
          <w:tcPr>
            <w:tcW w:w="220" w:type="dxa"/>
            <w:vAlign w:val="bottom"/>
          </w:tcPr>
          <w:p>
            <w:pPr>
              <w:spacing w:after="0"/>
              <w:rPr>
                <w:sz w:val="12"/>
                <w:szCs w:val="12"/>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2"/>
                <w:szCs w:val="12"/>
                <w:color w:val="auto"/>
              </w:rPr>
              <w:t>31,589</w:t>
            </w: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2"/>
                <w:szCs w:val="12"/>
                <w:color w:val="auto"/>
              </w:rPr>
              <w:t>36,070</w:t>
            </w:r>
          </w:p>
        </w:tc>
      </w:tr>
      <w:tr>
        <w:trPr>
          <w:trHeight w:val="178"/>
        </w:trPr>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right"/>
              <w:ind w:right="140"/>
              <w:spacing w:after="0" w:line="178" w:lineRule="exact"/>
              <w:rPr>
                <w:sz w:val="20"/>
                <w:szCs w:val="20"/>
                <w:color w:val="auto"/>
              </w:rPr>
            </w:pPr>
            <w:r>
              <w:rPr>
                <w:rFonts w:ascii="Arial" w:cs="Arial" w:eastAsia="Arial" w:hAnsi="Arial"/>
                <w:sz w:val="12"/>
                <w:szCs w:val="12"/>
                <w:color w:val="auto"/>
              </w:rPr>
              <w:t>1,016</w:t>
            </w:r>
            <w:r>
              <w:rPr>
                <w:rFonts w:ascii="Arial" w:cs="Arial" w:eastAsia="Arial" w:hAnsi="Arial"/>
                <w:sz w:val="19"/>
                <w:szCs w:val="19"/>
                <w:color w:val="auto"/>
                <w:vertAlign w:val="superscript"/>
              </w:rPr>
              <w:t>(3)</w:t>
            </w:r>
          </w:p>
        </w:tc>
        <w:tc>
          <w:tcPr>
            <w:tcW w:w="240" w:type="dxa"/>
            <w:vAlign w:val="bottom"/>
          </w:tcPr>
          <w:p>
            <w:pPr>
              <w:spacing w:after="0"/>
              <w:rPr>
                <w:sz w:val="15"/>
                <w:szCs w:val="15"/>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2"/>
                <w:szCs w:val="12"/>
                <w:color w:val="auto"/>
              </w:rPr>
              <w:t>1,016</w:t>
            </w:r>
          </w:p>
        </w:tc>
      </w:tr>
      <w:tr>
        <w:trPr>
          <w:trHeight w:val="142"/>
        </w:trPr>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4,481</w:t>
            </w:r>
          </w:p>
        </w:tc>
        <w:tc>
          <w:tcPr>
            <w:tcW w:w="22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32,605</w:t>
            </w:r>
          </w:p>
        </w:tc>
        <w:tc>
          <w:tcPr>
            <w:tcW w:w="26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37,086</w:t>
            </w:r>
          </w:p>
        </w:tc>
        <w:tc>
          <w:tcPr>
            <w:tcW w:w="20" w:type="dxa"/>
            <w:vAlign w:val="bottom"/>
          </w:tcPr>
          <w:p>
            <w:pPr>
              <w:spacing w:after="0"/>
              <w:rPr>
                <w:sz w:val="12"/>
                <w:szCs w:val="12"/>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-325120</wp:posOffset>
            </wp:positionV>
            <wp:extent cx="7178040" cy="914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6">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-113665</wp:posOffset>
            </wp:positionV>
            <wp:extent cx="7178040" cy="1143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7">
                      <a:extLst>
                        <a:ext uri="{28A0092B-C50C-407E-A947-70E740481C1C}"/>
                      </a:extLst>
                    </a:blip>
                    <a:srcRect/>
                    <a:stretch>
                      <a:fillRect/>
                    </a:stretch>
                  </pic:blipFill>
                  <pic:spPr bwMode="auto">
                    <a:xfrm>
                      <a:off x="0" y="0"/>
                      <a:ext cx="7178040" cy="114300"/>
                    </a:xfrm>
                    <a:prstGeom prst="rect">
                      <a:avLst/>
                    </a:prstGeom>
                    <a:noFill/>
                  </pic:spPr>
                </pic:pic>
              </a:graphicData>
            </a:graphic>
          </wp:anchor>
        </w:drawing>
      </w:r>
    </w:p>
    <w:p>
      <w:pPr>
        <w:spacing w:after="0" w:line="111" w:lineRule="exact"/>
        <w:rPr>
          <w:sz w:val="20"/>
          <w:szCs w:val="20"/>
          <w:color w:val="auto"/>
        </w:rPr>
      </w:pPr>
    </w:p>
    <w:p>
      <w:pPr>
        <w:ind w:left="5440"/>
        <w:spacing w:after="0"/>
        <w:rPr>
          <w:sz w:val="20"/>
          <w:szCs w:val="20"/>
          <w:color w:val="auto"/>
        </w:rPr>
      </w:pPr>
      <w:r>
        <w:rPr>
          <w:rFonts w:ascii="Arial" w:cs="Arial" w:eastAsia="Arial" w:hAnsi="Arial"/>
          <w:sz w:val="12"/>
          <w:szCs w:val="12"/>
          <w:b w:val="1"/>
          <w:bCs w:val="1"/>
          <w:color w:val="auto"/>
        </w:rPr>
        <w:t>2020</w:t>
      </w:r>
    </w:p>
    <w:p>
      <w:pPr>
        <w:spacing w:after="0" w:line="19" w:lineRule="exact"/>
        <w:rPr>
          <w:sz w:val="20"/>
          <w:szCs w:val="20"/>
          <w:color w:val="auto"/>
        </w:rPr>
      </w:pPr>
    </w:p>
    <w:tbl>
      <w:tblPr>
        <w:tblLayout w:type="fixed"/>
        <w:tblInd w:w="3640" w:type="dxa"/>
        <w:tblCellMar>
          <w:top w:w="0" w:type="dxa"/>
          <w:left w:w="0" w:type="dxa"/>
          <w:bottom w:w="0" w:type="dxa"/>
          <w:right w:w="0" w:type="dxa"/>
        </w:tblCellMar>
      </w:tblPr>
      <w:tr>
        <w:trPr>
          <w:trHeight w:val="142"/>
        </w:trPr>
        <w:tc>
          <w:tcPr>
            <w:tcW w:w="1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2"/>
          </w:tcPr>
          <w:p>
            <w:pPr>
              <w:ind w:left="100"/>
              <w:spacing w:after="0"/>
              <w:rPr>
                <w:sz w:val="20"/>
                <w:szCs w:val="20"/>
                <w:color w:val="auto"/>
              </w:rPr>
            </w:pPr>
            <w:r>
              <w:rPr>
                <w:rFonts w:ascii="Arial" w:cs="Arial" w:eastAsia="Arial" w:hAnsi="Arial"/>
                <w:sz w:val="12"/>
                <w:szCs w:val="12"/>
                <w:b w:val="1"/>
                <w:bCs w:val="1"/>
                <w:color w:val="auto"/>
              </w:rPr>
              <w:t>Commercial</w:t>
            </w:r>
          </w:p>
        </w:tc>
        <w:tc>
          <w:tcPr>
            <w:tcW w:w="1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tcPr>
          <w:p>
            <w:pPr>
              <w:jc w:val="right"/>
              <w:ind w:right="580"/>
              <w:spacing w:after="0"/>
              <w:rPr>
                <w:sz w:val="20"/>
                <w:szCs w:val="20"/>
                <w:color w:val="auto"/>
              </w:rPr>
            </w:pPr>
            <w:r>
              <w:rPr>
                <w:rFonts w:ascii="Arial" w:cs="Arial" w:eastAsia="Arial" w:hAnsi="Arial"/>
                <w:sz w:val="12"/>
                <w:szCs w:val="12"/>
                <w:b w:val="1"/>
                <w:bCs w:val="1"/>
                <w:color w:val="auto"/>
              </w:rPr>
              <w:t>Retail (1)</w:t>
            </w: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Total</w:t>
            </w:r>
          </w:p>
        </w:tc>
        <w:tc>
          <w:tcPr>
            <w:tcW w:w="20" w:type="dxa"/>
            <w:vAlign w:val="bottom"/>
          </w:tcPr>
          <w:p>
            <w:pPr>
              <w:spacing w:after="0"/>
              <w:rPr>
                <w:sz w:val="12"/>
                <w:szCs w:val="12"/>
                <w:color w:val="auto"/>
              </w:rPr>
            </w:pPr>
          </w:p>
        </w:tc>
      </w:tr>
      <w:tr>
        <w:trPr>
          <w:trHeight w:val="133"/>
        </w:trPr>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100"/>
              <w:spacing w:after="0" w:line="133" w:lineRule="exact"/>
              <w:rPr>
                <w:sz w:val="20"/>
                <w:szCs w:val="20"/>
                <w:color w:val="auto"/>
              </w:rPr>
            </w:pPr>
            <w:r>
              <w:rPr>
                <w:rFonts w:ascii="Arial" w:cs="Arial" w:eastAsia="Arial" w:hAnsi="Arial"/>
                <w:sz w:val="12"/>
                <w:szCs w:val="12"/>
                <w:b w:val="1"/>
                <w:bCs w:val="1"/>
                <w:color w:val="auto"/>
                <w:w w:val="96"/>
              </w:rPr>
              <w:t>(In thousands)</w:t>
            </w:r>
          </w:p>
        </w:tc>
        <w:tc>
          <w:tcPr>
            <w:tcW w:w="2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46"/>
        </w:trPr>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7,956</w:t>
            </w:r>
          </w:p>
        </w:tc>
        <w:tc>
          <w:tcPr>
            <w:tcW w:w="220" w:type="dxa"/>
            <w:vAlign w:val="bottom"/>
          </w:tcPr>
          <w:p>
            <w:pPr>
              <w:spacing w:after="0"/>
              <w:rPr>
                <w:sz w:val="12"/>
                <w:szCs w:val="12"/>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2"/>
                <w:szCs w:val="12"/>
                <w:color w:val="auto"/>
              </w:rPr>
              <w:t>36,385</w:t>
            </w: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2"/>
                <w:szCs w:val="12"/>
                <w:color w:val="auto"/>
              </w:rPr>
              <w:t>44,341</w:t>
            </w:r>
          </w:p>
        </w:tc>
      </w:tr>
      <w:tr>
        <w:trPr>
          <w:trHeight w:val="178"/>
        </w:trPr>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1,148</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right"/>
              <w:ind w:right="140"/>
              <w:spacing w:after="0" w:line="178" w:lineRule="exact"/>
              <w:rPr>
                <w:sz w:val="20"/>
                <w:szCs w:val="20"/>
                <w:color w:val="auto"/>
              </w:rPr>
            </w:pPr>
            <w:r>
              <w:rPr>
                <w:rFonts w:ascii="Arial" w:cs="Arial" w:eastAsia="Arial" w:hAnsi="Arial"/>
                <w:sz w:val="12"/>
                <w:szCs w:val="12"/>
                <w:color w:val="auto"/>
              </w:rPr>
              <w:t>1,584</w:t>
            </w:r>
            <w:r>
              <w:rPr>
                <w:rFonts w:ascii="Arial" w:cs="Arial" w:eastAsia="Arial" w:hAnsi="Arial"/>
                <w:sz w:val="19"/>
                <w:szCs w:val="19"/>
                <w:color w:val="auto"/>
                <w:vertAlign w:val="superscript"/>
              </w:rPr>
              <w:t>(3)</w:t>
            </w:r>
          </w:p>
        </w:tc>
        <w:tc>
          <w:tcPr>
            <w:tcW w:w="240" w:type="dxa"/>
            <w:vAlign w:val="bottom"/>
          </w:tcPr>
          <w:p>
            <w:pPr>
              <w:spacing w:after="0"/>
              <w:rPr>
                <w:sz w:val="15"/>
                <w:szCs w:val="15"/>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2"/>
                <w:szCs w:val="12"/>
                <w:color w:val="auto"/>
              </w:rPr>
              <w:t>2,732</w:t>
            </w:r>
          </w:p>
        </w:tc>
      </w:tr>
      <w:tr>
        <w:trPr>
          <w:trHeight w:val="142"/>
        </w:trPr>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9,104</w:t>
            </w:r>
          </w:p>
        </w:tc>
        <w:tc>
          <w:tcPr>
            <w:tcW w:w="22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37,969</w:t>
            </w:r>
          </w:p>
        </w:tc>
        <w:tc>
          <w:tcPr>
            <w:tcW w:w="26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47,073</w:t>
            </w:r>
          </w:p>
        </w:tc>
        <w:tc>
          <w:tcPr>
            <w:tcW w:w="20" w:type="dxa"/>
            <w:vAlign w:val="bottom"/>
          </w:tcPr>
          <w:p>
            <w:pPr>
              <w:spacing w:after="0"/>
              <w:rPr>
                <w:sz w:val="12"/>
                <w:szCs w:val="12"/>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-325120</wp:posOffset>
            </wp:positionV>
            <wp:extent cx="7178040" cy="914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8">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-113665</wp:posOffset>
            </wp:positionV>
            <wp:extent cx="7178040" cy="1143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9">
                      <a:extLst>
                        <a:ext uri="{28A0092B-C50C-407E-A947-70E740481C1C}"/>
                      </a:extLst>
                    </a:blip>
                    <a:srcRect/>
                    <a:stretch>
                      <a:fillRect/>
                    </a:stretch>
                  </pic:blipFill>
                  <pic:spPr bwMode="auto">
                    <a:xfrm>
                      <a:off x="0" y="0"/>
                      <a:ext cx="7178040" cy="1143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88" w:space="720"/>
            <w:col w:w="7600"/>
          </w:cols>
          <w:pgMar w:left="292" w:top="127" w:right="299" w:bottom="1440" w:gutter="0" w:footer="0" w:header="0"/>
        </w:sectPr>
      </w:pPr>
    </w:p>
    <w:p>
      <w:pPr>
        <w:spacing w:after="0" w:line="223" w:lineRule="exact"/>
        <w:rPr>
          <w:sz w:val="20"/>
          <w:szCs w:val="20"/>
          <w:color w:val="auto"/>
        </w:rPr>
      </w:pPr>
    </w:p>
    <w:p>
      <w:pPr>
        <w:ind w:left="208" w:hanging="208"/>
        <w:spacing w:after="0"/>
        <w:tabs>
          <w:tab w:leader="none" w:pos="208" w:val="left"/>
        </w:tabs>
        <w:numPr>
          <w:ilvl w:val="0"/>
          <w:numId w:val="29"/>
        </w:numPr>
        <w:rPr>
          <w:rFonts w:ascii="Arial" w:cs="Arial" w:eastAsia="Arial" w:hAnsi="Arial"/>
          <w:sz w:val="12"/>
          <w:szCs w:val="12"/>
          <w:color w:val="auto"/>
        </w:rPr>
      </w:pPr>
      <w:r>
        <w:rPr>
          <w:rFonts w:ascii="Arial" w:cs="Arial" w:eastAsia="Arial" w:hAnsi="Arial"/>
          <w:sz w:val="12"/>
          <w:szCs w:val="12"/>
          <w:color w:val="auto"/>
        </w:rPr>
        <w:t>Retail loans include mortgage and installment loan portfolio segments.</w:t>
      </w:r>
    </w:p>
    <w:p>
      <w:pPr>
        <w:spacing w:after="0" w:line="14" w:lineRule="exact"/>
        <w:rPr>
          <w:rFonts w:ascii="Arial" w:cs="Arial" w:eastAsia="Arial" w:hAnsi="Arial"/>
          <w:sz w:val="12"/>
          <w:szCs w:val="12"/>
          <w:color w:val="auto"/>
        </w:rPr>
      </w:pPr>
    </w:p>
    <w:p>
      <w:pPr>
        <w:ind w:left="208" w:hanging="208"/>
        <w:spacing w:after="0"/>
        <w:tabs>
          <w:tab w:leader="none" w:pos="208" w:val="left"/>
        </w:tabs>
        <w:numPr>
          <w:ilvl w:val="0"/>
          <w:numId w:val="29"/>
        </w:numPr>
        <w:rPr>
          <w:rFonts w:ascii="Arial" w:cs="Arial" w:eastAsia="Arial" w:hAnsi="Arial"/>
          <w:sz w:val="12"/>
          <w:szCs w:val="12"/>
          <w:color w:val="auto"/>
        </w:rPr>
      </w:pPr>
      <w:r>
        <w:rPr>
          <w:rFonts w:ascii="Arial" w:cs="Arial" w:eastAsia="Arial" w:hAnsi="Arial"/>
          <w:sz w:val="12"/>
          <w:szCs w:val="12"/>
          <w:color w:val="auto"/>
        </w:rPr>
        <w:t>Included in non-performing loans table above.</w:t>
      </w:r>
    </w:p>
    <w:p>
      <w:pPr>
        <w:spacing w:after="0" w:line="6" w:lineRule="exact"/>
        <w:rPr>
          <w:rFonts w:ascii="Arial" w:cs="Arial" w:eastAsia="Arial" w:hAnsi="Arial"/>
          <w:sz w:val="12"/>
          <w:szCs w:val="12"/>
          <w:color w:val="auto"/>
        </w:rPr>
      </w:pPr>
    </w:p>
    <w:p>
      <w:pPr>
        <w:ind w:left="208" w:hanging="208"/>
        <w:spacing w:after="0"/>
        <w:tabs>
          <w:tab w:leader="none" w:pos="208" w:val="left"/>
        </w:tabs>
        <w:numPr>
          <w:ilvl w:val="0"/>
          <w:numId w:val="29"/>
        </w:numPr>
        <w:rPr>
          <w:rFonts w:ascii="Arial" w:cs="Arial" w:eastAsia="Arial" w:hAnsi="Arial"/>
          <w:sz w:val="12"/>
          <w:szCs w:val="12"/>
          <w:color w:val="auto"/>
        </w:rPr>
      </w:pPr>
      <w:r>
        <w:rPr>
          <w:rFonts w:ascii="Arial" w:cs="Arial" w:eastAsia="Arial" w:hAnsi="Arial"/>
          <w:sz w:val="12"/>
          <w:szCs w:val="12"/>
          <w:color w:val="auto"/>
        </w:rPr>
        <w:t>Also includes loans on non-accrual at the time of modification until six payments are received on a timely basis.</w:t>
      </w:r>
    </w:p>
    <w:p>
      <w:pPr>
        <w:spacing w:after="0" w:line="141" w:lineRule="exact"/>
        <w:rPr>
          <w:sz w:val="20"/>
          <w:szCs w:val="20"/>
          <w:color w:val="auto"/>
        </w:rPr>
      </w:pPr>
    </w:p>
    <w:p>
      <w:pPr>
        <w:ind w:left="8" w:firstLine="216"/>
        <w:spacing w:after="0" w:line="323" w:lineRule="auto"/>
        <w:rPr>
          <w:sz w:val="20"/>
          <w:szCs w:val="20"/>
          <w:color w:val="auto"/>
        </w:rPr>
      </w:pPr>
      <w:r>
        <w:rPr>
          <w:rFonts w:ascii="Arial" w:cs="Arial" w:eastAsia="Arial" w:hAnsi="Arial"/>
          <w:sz w:val="11"/>
          <w:szCs w:val="11"/>
          <w:color w:val="auto"/>
        </w:rPr>
        <w:t>We have allocated $3.6 million and $4.8 million of reserves to customers whose loan terms have been modified in troubled debt restructurings as of December 31, 2021 and 2020, respectively. We have committed to lend additional amounts totaling up to $0.04 million and $0.07 million at December 31, 2021 and 2020, respectively, to customers with outstanding loans that are classified as troubled debt restructurings.</w:t>
      </w:r>
    </w:p>
    <w:p>
      <w:pPr>
        <w:spacing w:after="0" w:line="92" w:lineRule="exact"/>
        <w:rPr>
          <w:sz w:val="20"/>
          <w:szCs w:val="20"/>
          <w:color w:val="auto"/>
        </w:rPr>
      </w:pPr>
    </w:p>
    <w:p>
      <w:pPr>
        <w:ind w:left="8" w:firstLine="216"/>
        <w:spacing w:after="0" w:line="276" w:lineRule="auto"/>
        <w:rPr>
          <w:sz w:val="20"/>
          <w:szCs w:val="20"/>
          <w:color w:val="auto"/>
        </w:rPr>
      </w:pPr>
      <w:r>
        <w:rPr>
          <w:rFonts w:ascii="Arial" w:cs="Arial" w:eastAsia="Arial" w:hAnsi="Arial"/>
          <w:sz w:val="12"/>
          <w:szCs w:val="12"/>
          <w:color w:val="auto"/>
        </w:rPr>
        <w:t>The terms of certain loans have been modified as troubled debt restructurings and generally included one or a combination of the following: a reduction of the stated interest rate of the loan; an extension of the maturity date at a stated rate of interest lower than the current market rate for a new loan with similar risk; or a permanent reduction of the recorded investment in the loan.</w:t>
      </w:r>
    </w:p>
    <w:p>
      <w:pPr>
        <w:spacing w:after="0" w:line="115" w:lineRule="exact"/>
        <w:rPr>
          <w:sz w:val="20"/>
          <w:szCs w:val="20"/>
          <w:color w:val="auto"/>
        </w:rPr>
      </w:pPr>
    </w:p>
    <w:p>
      <w:pPr>
        <w:ind w:left="8" w:right="20" w:firstLine="216"/>
        <w:spacing w:after="0" w:line="276" w:lineRule="auto"/>
        <w:rPr>
          <w:sz w:val="20"/>
          <w:szCs w:val="20"/>
          <w:color w:val="auto"/>
        </w:rPr>
      </w:pPr>
      <w:r>
        <w:rPr>
          <w:rFonts w:ascii="Arial" w:cs="Arial" w:eastAsia="Arial" w:hAnsi="Arial"/>
          <w:sz w:val="12"/>
          <w:szCs w:val="12"/>
          <w:color w:val="auto"/>
        </w:rPr>
        <w:t>Modifications involving a reduction of the stated interest rate of the loan have generally been for periods ranging from 9 months to 36 months but have extended to as much as 480 months in certain circumstances. Modifications involving an extension of the maturity date have generally been for periods ranging from 1 month to 60 months but have extended to as much as 230 months in certain circumstances.</w:t>
      </w:r>
    </w:p>
    <w:p>
      <w:pPr>
        <w:spacing w:after="0" w:line="228" w:lineRule="exact"/>
        <w:rPr>
          <w:sz w:val="20"/>
          <w:szCs w:val="20"/>
          <w:color w:val="auto"/>
        </w:rPr>
      </w:pPr>
    </w:p>
    <w:p>
      <w:pPr>
        <w:jc w:val="center"/>
        <w:ind w:right="-7"/>
        <w:spacing w:after="0"/>
        <w:rPr>
          <w:sz w:val="20"/>
          <w:szCs w:val="20"/>
          <w:color w:val="auto"/>
        </w:rPr>
      </w:pPr>
      <w:r>
        <w:rPr>
          <w:rFonts w:ascii="Arial" w:cs="Arial" w:eastAsia="Arial" w:hAnsi="Arial"/>
          <w:sz w:val="10"/>
          <w:szCs w:val="1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78040" cy="114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7" w:right="299" w:bottom="1440" w:gutter="0" w:footer="0" w:header="0"/>
          <w:type w:val="continuous"/>
        </w:sectPr>
      </w:pPr>
    </w:p>
    <w:bookmarkStart w:id="84" w:name="page85"/>
    <w:bookmarkEnd w:id="84"/>
    <w:tbl>
      <w:tblPr>
        <w:tblLayout w:type="fixed"/>
        <w:tblInd w:w="0" w:type="dxa"/>
        <w:tblCellMar>
          <w:top w:w="0" w:type="dxa"/>
          <w:left w:w="0" w:type="dxa"/>
          <w:bottom w:w="0" w:type="dxa"/>
          <w:right w:w="0" w:type="dxa"/>
        </w:tblCellMar>
      </w:tblPr>
      <w:tr>
        <w:trPr>
          <w:trHeight w:val="157"/>
        </w:trPr>
        <w:tc>
          <w:tcPr>
            <w:tcW w:w="8280" w:type="dxa"/>
            <w:vAlign w:val="bottom"/>
            <w:gridSpan w:val="2"/>
          </w:tcPr>
          <w:p>
            <w:pPr>
              <w:ind w:left="3700"/>
              <w:spacing w:after="0"/>
              <w:rPr>
                <w:sz w:val="20"/>
                <w:szCs w:val="20"/>
                <w:color w:val="auto"/>
              </w:rPr>
            </w:pPr>
            <w:r>
              <w:rPr>
                <w:rFonts w:ascii="Arial" w:cs="Arial" w:eastAsia="Arial" w:hAnsi="Arial"/>
                <w:sz w:val="12"/>
                <w:szCs w:val="12"/>
                <w:b w:val="1"/>
                <w:bCs w:val="1"/>
                <w:color w:val="auto"/>
              </w:rPr>
              <w:t>NOTES TO CONSOLIDATED FINANCIAL STATEMENTS − (Continued)</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405"/>
        </w:trPr>
        <w:tc>
          <w:tcPr>
            <w:tcW w:w="8280" w:type="dxa"/>
            <w:vAlign w:val="bottom"/>
            <w:gridSpan w:val="2"/>
          </w:tcPr>
          <w:p>
            <w:pPr>
              <w:ind w:left="200"/>
              <w:spacing w:after="0"/>
              <w:rPr>
                <w:sz w:val="20"/>
                <w:szCs w:val="20"/>
                <w:color w:val="auto"/>
              </w:rPr>
            </w:pPr>
            <w:r>
              <w:rPr>
                <w:rFonts w:ascii="Arial" w:cs="Arial" w:eastAsia="Arial" w:hAnsi="Arial"/>
                <w:sz w:val="12"/>
                <w:szCs w:val="12"/>
                <w:color w:val="auto"/>
              </w:rPr>
              <w:t>Loans that have been classified as troubled debt restructurings during the years ended December 31 follow (1):</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5"/>
        </w:trPr>
        <w:tc>
          <w:tcPr>
            <w:tcW w:w="7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0"/>
              </w:rPr>
              <w:t>Pre-modification</w:t>
            </w:r>
          </w:p>
        </w:tc>
        <w:tc>
          <w:tcPr>
            <w:tcW w:w="80" w:type="dxa"/>
            <w:vAlign w:val="bottom"/>
          </w:tcPr>
          <w:p>
            <w:pPr>
              <w:spacing w:after="0"/>
              <w:rPr>
                <w:sz w:val="23"/>
                <w:szCs w:val="23"/>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8"/>
              </w:rPr>
              <w:t>Post-modification</w:t>
            </w:r>
          </w:p>
        </w:tc>
      </w:tr>
      <w:tr>
        <w:trPr>
          <w:trHeight w:val="144"/>
        </w:trPr>
        <w:tc>
          <w:tcPr>
            <w:tcW w:w="7340" w:type="dxa"/>
            <w:vAlign w:val="bottom"/>
          </w:tcPr>
          <w:p>
            <w:pPr>
              <w:spacing w:after="0"/>
              <w:rPr>
                <w:sz w:val="12"/>
                <w:szCs w:val="12"/>
                <w:color w:val="auto"/>
              </w:rPr>
            </w:pPr>
          </w:p>
        </w:tc>
        <w:tc>
          <w:tcPr>
            <w:tcW w:w="940" w:type="dxa"/>
            <w:vAlign w:val="bottom"/>
          </w:tcPr>
          <w:p>
            <w:pPr>
              <w:jc w:val="center"/>
              <w:ind w:left="160"/>
              <w:spacing w:after="0"/>
              <w:rPr>
                <w:sz w:val="20"/>
                <w:szCs w:val="20"/>
                <w:color w:val="auto"/>
              </w:rPr>
            </w:pPr>
            <w:r>
              <w:rPr>
                <w:rFonts w:ascii="Arial" w:cs="Arial" w:eastAsia="Arial" w:hAnsi="Arial"/>
                <w:sz w:val="12"/>
                <w:szCs w:val="12"/>
                <w:b w:val="1"/>
                <w:bCs w:val="1"/>
                <w:color w:val="auto"/>
                <w:w w:val="93"/>
              </w:rPr>
              <w:t>Number of</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0"/>
              </w:rPr>
              <w:t>Recorded</w:t>
            </w:r>
          </w:p>
        </w:tc>
        <w:tc>
          <w:tcPr>
            <w:tcW w:w="80" w:type="dxa"/>
            <w:vAlign w:val="bottom"/>
          </w:tcPr>
          <w:p>
            <w:pPr>
              <w:spacing w:after="0"/>
              <w:rPr>
                <w:sz w:val="12"/>
                <w:szCs w:val="12"/>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0"/>
              </w:rPr>
              <w:t>Recorded</w:t>
            </w:r>
          </w:p>
        </w:tc>
      </w:tr>
      <w:tr>
        <w:trPr>
          <w:trHeight w:val="157"/>
        </w:trPr>
        <w:tc>
          <w:tcPr>
            <w:tcW w:w="7340" w:type="dxa"/>
            <w:vAlign w:val="bottom"/>
          </w:tcPr>
          <w:p>
            <w:pPr>
              <w:spacing w:after="0"/>
              <w:rPr>
                <w:sz w:val="13"/>
                <w:szCs w:val="13"/>
                <w:color w:val="auto"/>
              </w:rPr>
            </w:pPr>
          </w:p>
        </w:tc>
        <w:tc>
          <w:tcPr>
            <w:tcW w:w="940" w:type="dxa"/>
            <w:vAlign w:val="bottom"/>
          </w:tcPr>
          <w:p>
            <w:pPr>
              <w:jc w:val="center"/>
              <w:ind w:left="140"/>
              <w:spacing w:after="0"/>
              <w:rPr>
                <w:sz w:val="20"/>
                <w:szCs w:val="20"/>
                <w:color w:val="auto"/>
              </w:rPr>
            </w:pPr>
            <w:r>
              <w:rPr>
                <w:rFonts w:ascii="Arial" w:cs="Arial" w:eastAsia="Arial" w:hAnsi="Arial"/>
                <w:sz w:val="12"/>
                <w:szCs w:val="12"/>
                <w:b w:val="1"/>
                <w:bCs w:val="1"/>
                <w:color w:val="auto"/>
                <w:w w:val="89"/>
              </w:rPr>
              <w:t>Contracts</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6"/>
              </w:rPr>
              <w:t>Balance</w:t>
            </w:r>
          </w:p>
        </w:tc>
        <w:tc>
          <w:tcPr>
            <w:tcW w:w="80" w:type="dxa"/>
            <w:vAlign w:val="bottom"/>
          </w:tcPr>
          <w:p>
            <w:pPr>
              <w:spacing w:after="0"/>
              <w:rPr>
                <w:sz w:val="13"/>
                <w:szCs w:val="13"/>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6"/>
              </w:rPr>
              <w:t>Balance</w:t>
            </w:r>
          </w:p>
        </w:tc>
      </w:tr>
      <w:tr>
        <w:trPr>
          <w:trHeight w:val="277"/>
        </w:trPr>
        <w:tc>
          <w:tcPr>
            <w:tcW w:w="7340" w:type="dxa"/>
            <w:vAlign w:val="bottom"/>
          </w:tcPr>
          <w:p>
            <w:pPr>
              <w:spacing w:after="0"/>
              <w:rPr>
                <w:sz w:val="20"/>
                <w:szCs w:val="20"/>
                <w:color w:val="auto"/>
              </w:rPr>
            </w:pPr>
            <w:r>
              <w:rPr>
                <w:rFonts w:ascii="Arial" w:cs="Arial" w:eastAsia="Arial" w:hAnsi="Arial"/>
                <w:sz w:val="12"/>
                <w:szCs w:val="12"/>
                <w:color w:val="auto"/>
              </w:rPr>
              <w:t>2020</w:t>
            </w:r>
          </w:p>
        </w:tc>
        <w:tc>
          <w:tcPr>
            <w:tcW w:w="9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53"/>
        </w:trPr>
        <w:tc>
          <w:tcPr>
            <w:tcW w:w="8280" w:type="dxa"/>
            <w:vAlign w:val="bottom"/>
            <w:gridSpan w:val="2"/>
          </w:tcPr>
          <w:p>
            <w:pPr>
              <w:ind w:left="80"/>
              <w:spacing w:after="0"/>
              <w:rPr>
                <w:sz w:val="20"/>
                <w:szCs w:val="20"/>
                <w:color w:val="auto"/>
              </w:rPr>
            </w:pPr>
            <w:r>
              <w:rPr>
                <w:rFonts w:ascii="Arial" w:cs="Arial" w:eastAsia="Arial" w:hAnsi="Arial"/>
                <w:sz w:val="12"/>
                <w:szCs w:val="12"/>
                <w:color w:val="auto"/>
              </w:rPr>
              <w:t>Commercial</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4"/>
        </w:trPr>
        <w:tc>
          <w:tcPr>
            <w:tcW w:w="828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Commercial and industrial</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1,207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1,207</w:t>
            </w:r>
          </w:p>
        </w:tc>
      </w:tr>
      <w:tr>
        <w:trPr>
          <w:trHeight w:val="144"/>
        </w:trPr>
        <w:tc>
          <w:tcPr>
            <w:tcW w:w="8280" w:type="dxa"/>
            <w:vAlign w:val="bottom"/>
            <w:gridSpan w:val="2"/>
          </w:tcPr>
          <w:p>
            <w:pPr>
              <w:ind w:left="200"/>
              <w:spacing w:after="0"/>
              <w:rPr>
                <w:sz w:val="20"/>
                <w:szCs w:val="20"/>
                <w:color w:val="auto"/>
              </w:rPr>
            </w:pPr>
            <w:r>
              <w:rPr>
                <w:rFonts w:ascii="Arial" w:cs="Arial" w:eastAsia="Arial" w:hAnsi="Arial"/>
                <w:sz w:val="12"/>
                <w:szCs w:val="12"/>
                <w:color w:val="auto"/>
              </w:rPr>
              <w:t>Commercial real estate</w:t>
            </w:r>
          </w:p>
        </w:tc>
        <w:tc>
          <w:tcPr>
            <w:tcW w:w="200" w:type="dxa"/>
            <w:vAlign w:val="bottom"/>
          </w:tcPr>
          <w:p>
            <w:pPr>
              <w:jc w:val="right"/>
              <w:spacing w:after="0"/>
              <w:rPr>
                <w:sz w:val="20"/>
                <w:szCs w:val="20"/>
                <w:color w:val="auto"/>
              </w:rPr>
            </w:pPr>
            <w:r>
              <w:rPr>
                <w:rFonts w:ascii="Arial" w:cs="Arial" w:eastAsia="Arial" w:hAnsi="Arial"/>
                <w:sz w:val="12"/>
                <w:szCs w:val="12"/>
                <w:color w:val="auto"/>
              </w:rPr>
              <w:t>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7,012</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7,012</w:t>
            </w:r>
          </w:p>
        </w:tc>
      </w:tr>
      <w:tr>
        <w:trPr>
          <w:trHeight w:val="144"/>
        </w:trPr>
        <w:tc>
          <w:tcPr>
            <w:tcW w:w="828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Mortgage</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280" w:type="dxa"/>
            <w:vAlign w:val="bottom"/>
            <w:gridSpan w:val="2"/>
          </w:tcPr>
          <w:p>
            <w:pPr>
              <w:ind w:left="200"/>
              <w:spacing w:after="0"/>
              <w:rPr>
                <w:sz w:val="20"/>
                <w:szCs w:val="20"/>
                <w:color w:val="auto"/>
              </w:rPr>
            </w:pPr>
            <w:r>
              <w:rPr>
                <w:rFonts w:ascii="Arial" w:cs="Arial" w:eastAsia="Arial" w:hAnsi="Arial"/>
                <w:sz w:val="12"/>
                <w:szCs w:val="12"/>
                <w:color w:val="auto"/>
              </w:rPr>
              <w:t>1-4 family owner occupied - jumbo</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4"/>
        </w:trPr>
        <w:tc>
          <w:tcPr>
            <w:tcW w:w="828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1-4 family owner occupied - non-jumbo</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357</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374</w:t>
            </w:r>
          </w:p>
        </w:tc>
      </w:tr>
      <w:tr>
        <w:trPr>
          <w:trHeight w:val="144"/>
        </w:trPr>
        <w:tc>
          <w:tcPr>
            <w:tcW w:w="8280" w:type="dxa"/>
            <w:vAlign w:val="bottom"/>
            <w:gridSpan w:val="2"/>
          </w:tcPr>
          <w:p>
            <w:pPr>
              <w:ind w:left="200"/>
              <w:spacing w:after="0"/>
              <w:rPr>
                <w:sz w:val="20"/>
                <w:szCs w:val="20"/>
                <w:color w:val="auto"/>
              </w:rPr>
            </w:pPr>
            <w:r>
              <w:rPr>
                <w:rFonts w:ascii="Arial" w:cs="Arial" w:eastAsia="Arial" w:hAnsi="Arial"/>
                <w:sz w:val="12"/>
                <w:szCs w:val="12"/>
                <w:color w:val="auto"/>
              </w:rPr>
              <w:t>1-4 family non-owner occupied</w:t>
            </w:r>
          </w:p>
        </w:tc>
        <w:tc>
          <w:tcPr>
            <w:tcW w:w="200" w:type="dxa"/>
            <w:vAlign w:val="bottom"/>
          </w:tcPr>
          <w:p>
            <w:pPr>
              <w:jc w:val="right"/>
              <w:spacing w:after="0"/>
              <w:rPr>
                <w:sz w:val="20"/>
                <w:szCs w:val="20"/>
                <w:color w:val="auto"/>
              </w:rPr>
            </w:pPr>
            <w:r>
              <w:rPr>
                <w:rFonts w:ascii="Arial" w:cs="Arial" w:eastAsia="Arial" w:hAnsi="Arial"/>
                <w:sz w:val="12"/>
                <w:szCs w:val="12"/>
                <w:color w:val="auto"/>
              </w:rPr>
              <w:t>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111</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116</w:t>
            </w:r>
          </w:p>
        </w:tc>
      </w:tr>
      <w:tr>
        <w:trPr>
          <w:trHeight w:val="144"/>
        </w:trPr>
        <w:tc>
          <w:tcPr>
            <w:tcW w:w="828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1-4 family - 2nd lien</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44</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46</w:t>
            </w:r>
          </w:p>
        </w:tc>
      </w:tr>
      <w:tr>
        <w:trPr>
          <w:trHeight w:val="144"/>
        </w:trPr>
        <w:tc>
          <w:tcPr>
            <w:tcW w:w="8280" w:type="dxa"/>
            <w:vAlign w:val="bottom"/>
            <w:gridSpan w:val="2"/>
          </w:tcPr>
          <w:p>
            <w:pPr>
              <w:ind w:left="200"/>
              <w:spacing w:after="0"/>
              <w:rPr>
                <w:sz w:val="20"/>
                <w:szCs w:val="20"/>
                <w:color w:val="auto"/>
              </w:rPr>
            </w:pPr>
            <w:r>
              <w:rPr>
                <w:rFonts w:ascii="Arial" w:cs="Arial" w:eastAsia="Arial" w:hAnsi="Arial"/>
                <w:sz w:val="12"/>
                <w:szCs w:val="12"/>
                <w:color w:val="auto"/>
              </w:rPr>
              <w:t>Resort lending</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4"/>
        </w:trPr>
        <w:tc>
          <w:tcPr>
            <w:tcW w:w="828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Installment</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280" w:type="dxa"/>
            <w:vAlign w:val="bottom"/>
            <w:gridSpan w:val="2"/>
          </w:tcPr>
          <w:p>
            <w:pPr>
              <w:ind w:left="200"/>
              <w:spacing w:after="0"/>
              <w:rPr>
                <w:sz w:val="20"/>
                <w:szCs w:val="20"/>
                <w:color w:val="auto"/>
              </w:rPr>
            </w:pPr>
            <w:r>
              <w:rPr>
                <w:rFonts w:ascii="Arial" w:cs="Arial" w:eastAsia="Arial" w:hAnsi="Arial"/>
                <w:sz w:val="12"/>
                <w:szCs w:val="12"/>
                <w:color w:val="auto"/>
              </w:rPr>
              <w:t>Boat lending</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4"/>
        </w:trPr>
        <w:tc>
          <w:tcPr>
            <w:tcW w:w="828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Recreational vehicle lending</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144"/>
        </w:trPr>
        <w:tc>
          <w:tcPr>
            <w:tcW w:w="8280" w:type="dxa"/>
            <w:vAlign w:val="bottom"/>
            <w:gridSpan w:val="2"/>
          </w:tcPr>
          <w:p>
            <w:pPr>
              <w:ind w:left="200"/>
              <w:spacing w:after="0"/>
              <w:rPr>
                <w:sz w:val="20"/>
                <w:szCs w:val="20"/>
                <w:color w:val="auto"/>
              </w:rPr>
            </w:pPr>
            <w:r>
              <w:rPr>
                <w:rFonts w:ascii="Arial" w:cs="Arial" w:eastAsia="Arial" w:hAnsi="Arial"/>
                <w:sz w:val="12"/>
                <w:szCs w:val="12"/>
                <w:color w:val="auto"/>
              </w:rPr>
              <w:t>Other</w:t>
            </w:r>
          </w:p>
        </w:tc>
        <w:tc>
          <w:tcPr>
            <w:tcW w:w="200" w:type="dxa"/>
            <w:vAlign w:val="bottom"/>
          </w:tcPr>
          <w:p>
            <w:pPr>
              <w:jc w:val="right"/>
              <w:spacing w:after="0"/>
              <w:rPr>
                <w:sz w:val="20"/>
                <w:szCs w:val="20"/>
                <w:color w:val="auto"/>
              </w:rPr>
            </w:pPr>
            <w:r>
              <w:rPr>
                <w:rFonts w:ascii="Arial" w:cs="Arial" w:eastAsia="Arial" w:hAnsi="Arial"/>
                <w:sz w:val="12"/>
                <w:szCs w:val="12"/>
                <w:color w:val="auto"/>
              </w:rPr>
              <w:t>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91</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93</w:t>
            </w:r>
          </w:p>
        </w:tc>
      </w:tr>
      <w:tr>
        <w:trPr>
          <w:trHeight w:val="182"/>
        </w:trPr>
        <w:tc>
          <w:tcPr>
            <w:tcW w:w="73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Total</w:t>
            </w:r>
          </w:p>
        </w:tc>
        <w:tc>
          <w:tcPr>
            <w:tcW w:w="940" w:type="dxa"/>
            <w:vAlign w:val="bottom"/>
            <w:tcBorders>
              <w:top w:val="single" w:sz="8" w:color="auto"/>
              <w:bottom w:val="single" w:sz="8" w:color="auto"/>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w:t>
            </w:r>
          </w:p>
        </w:tc>
        <w:tc>
          <w:tcPr>
            <w:tcW w:w="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8,822</w:t>
            </w:r>
          </w:p>
        </w:tc>
        <w:tc>
          <w:tcPr>
            <w:tcW w:w="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8,848</w:t>
            </w:r>
          </w:p>
        </w:tc>
        <w:tc>
          <w:tcPr>
            <w:tcW w:w="120" w:type="dxa"/>
            <w:vAlign w:val="bottom"/>
            <w:tcBorders>
              <w:bottom w:val="single" w:sz="8" w:color="CCEEFF"/>
            </w:tcBorders>
            <w:shd w:val="clear" w:color="auto" w:fill="CCEEFF"/>
          </w:tcPr>
          <w:p>
            <w:pPr>
              <w:spacing w:after="0"/>
              <w:rPr>
                <w:sz w:val="15"/>
                <w:szCs w:val="15"/>
                <w:color w:val="auto"/>
              </w:rPr>
            </w:pPr>
          </w:p>
        </w:tc>
      </w:tr>
      <w:tr>
        <w:trPr>
          <w:trHeight w:val="251"/>
        </w:trPr>
        <w:tc>
          <w:tcPr>
            <w:tcW w:w="7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0"/>
              </w:rPr>
              <w:t>Pre-modification</w:t>
            </w:r>
          </w:p>
        </w:tc>
        <w:tc>
          <w:tcPr>
            <w:tcW w:w="80" w:type="dxa"/>
            <w:vAlign w:val="bottom"/>
          </w:tcPr>
          <w:p>
            <w:pPr>
              <w:spacing w:after="0"/>
              <w:rPr>
                <w:sz w:val="21"/>
                <w:szCs w:val="21"/>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8"/>
              </w:rPr>
              <w:t>Post-modification</w:t>
            </w:r>
          </w:p>
        </w:tc>
      </w:tr>
      <w:tr>
        <w:trPr>
          <w:trHeight w:val="144"/>
        </w:trPr>
        <w:tc>
          <w:tcPr>
            <w:tcW w:w="7340" w:type="dxa"/>
            <w:vAlign w:val="bottom"/>
          </w:tcPr>
          <w:p>
            <w:pPr>
              <w:spacing w:after="0"/>
              <w:rPr>
                <w:sz w:val="12"/>
                <w:szCs w:val="12"/>
                <w:color w:val="auto"/>
              </w:rPr>
            </w:pPr>
          </w:p>
        </w:tc>
        <w:tc>
          <w:tcPr>
            <w:tcW w:w="940" w:type="dxa"/>
            <w:vAlign w:val="bottom"/>
          </w:tcPr>
          <w:p>
            <w:pPr>
              <w:jc w:val="center"/>
              <w:ind w:left="160"/>
              <w:spacing w:after="0"/>
              <w:rPr>
                <w:sz w:val="20"/>
                <w:szCs w:val="20"/>
                <w:color w:val="auto"/>
              </w:rPr>
            </w:pPr>
            <w:r>
              <w:rPr>
                <w:rFonts w:ascii="Arial" w:cs="Arial" w:eastAsia="Arial" w:hAnsi="Arial"/>
                <w:sz w:val="12"/>
                <w:szCs w:val="12"/>
                <w:b w:val="1"/>
                <w:bCs w:val="1"/>
                <w:color w:val="auto"/>
                <w:w w:val="93"/>
              </w:rPr>
              <w:t>Number of</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0"/>
              </w:rPr>
              <w:t>Recorded</w:t>
            </w:r>
          </w:p>
        </w:tc>
        <w:tc>
          <w:tcPr>
            <w:tcW w:w="80" w:type="dxa"/>
            <w:vAlign w:val="bottom"/>
          </w:tcPr>
          <w:p>
            <w:pPr>
              <w:spacing w:after="0"/>
              <w:rPr>
                <w:sz w:val="12"/>
                <w:szCs w:val="12"/>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0"/>
              </w:rPr>
              <w:t>Recorded</w:t>
            </w:r>
          </w:p>
        </w:tc>
      </w:tr>
      <w:tr>
        <w:trPr>
          <w:trHeight w:val="157"/>
        </w:trPr>
        <w:tc>
          <w:tcPr>
            <w:tcW w:w="7340" w:type="dxa"/>
            <w:vAlign w:val="bottom"/>
          </w:tcPr>
          <w:p>
            <w:pPr>
              <w:spacing w:after="0"/>
              <w:rPr>
                <w:sz w:val="13"/>
                <w:szCs w:val="13"/>
                <w:color w:val="auto"/>
              </w:rPr>
            </w:pPr>
          </w:p>
        </w:tc>
        <w:tc>
          <w:tcPr>
            <w:tcW w:w="940" w:type="dxa"/>
            <w:vAlign w:val="bottom"/>
          </w:tcPr>
          <w:p>
            <w:pPr>
              <w:jc w:val="center"/>
              <w:ind w:left="140"/>
              <w:spacing w:after="0"/>
              <w:rPr>
                <w:sz w:val="20"/>
                <w:szCs w:val="20"/>
                <w:color w:val="auto"/>
              </w:rPr>
            </w:pPr>
            <w:r>
              <w:rPr>
                <w:rFonts w:ascii="Arial" w:cs="Arial" w:eastAsia="Arial" w:hAnsi="Arial"/>
                <w:sz w:val="12"/>
                <w:szCs w:val="12"/>
                <w:b w:val="1"/>
                <w:bCs w:val="1"/>
                <w:color w:val="auto"/>
                <w:w w:val="89"/>
              </w:rPr>
              <w:t>Contracts</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6"/>
              </w:rPr>
              <w:t>Balance</w:t>
            </w:r>
          </w:p>
        </w:tc>
        <w:tc>
          <w:tcPr>
            <w:tcW w:w="80" w:type="dxa"/>
            <w:vAlign w:val="bottom"/>
          </w:tcPr>
          <w:p>
            <w:pPr>
              <w:spacing w:after="0"/>
              <w:rPr>
                <w:sz w:val="13"/>
                <w:szCs w:val="13"/>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6"/>
              </w:rPr>
              <w:t>Balance</w:t>
            </w:r>
          </w:p>
        </w:tc>
      </w:tr>
      <w:tr>
        <w:trPr>
          <w:trHeight w:val="155"/>
        </w:trPr>
        <w:tc>
          <w:tcPr>
            <w:tcW w:w="734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Borders>
              <w:top w:val="single" w:sz="8" w:color="auto"/>
            </w:tcBorders>
            <w:gridSpan w:val="2"/>
          </w:tcPr>
          <w:p>
            <w:pPr>
              <w:spacing w:after="0"/>
              <w:rPr>
                <w:sz w:val="20"/>
                <w:szCs w:val="20"/>
                <w:color w:val="auto"/>
              </w:rPr>
            </w:pPr>
            <w:r>
              <w:rPr>
                <w:rFonts w:ascii="Arial" w:cs="Arial" w:eastAsia="Arial" w:hAnsi="Arial"/>
                <w:sz w:val="12"/>
                <w:szCs w:val="12"/>
                <w:b w:val="1"/>
                <w:bCs w:val="1"/>
                <w:color w:val="auto"/>
                <w:w w:val="86"/>
              </w:rPr>
              <w:t>(Dollars in thousands)</w:t>
            </w: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66"/>
        </w:trPr>
        <w:tc>
          <w:tcPr>
            <w:tcW w:w="7340" w:type="dxa"/>
            <w:vAlign w:val="bottom"/>
          </w:tcPr>
          <w:p>
            <w:pPr>
              <w:spacing w:after="0"/>
              <w:rPr>
                <w:sz w:val="20"/>
                <w:szCs w:val="20"/>
                <w:color w:val="auto"/>
              </w:rPr>
            </w:pPr>
            <w:r>
              <w:rPr>
                <w:rFonts w:ascii="Arial" w:cs="Arial" w:eastAsia="Arial" w:hAnsi="Arial"/>
                <w:sz w:val="12"/>
                <w:szCs w:val="12"/>
                <w:color w:val="auto"/>
              </w:rPr>
              <w:t>2019</w:t>
            </w: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153"/>
        </w:trPr>
        <w:tc>
          <w:tcPr>
            <w:tcW w:w="8280" w:type="dxa"/>
            <w:vAlign w:val="bottom"/>
            <w:gridSpan w:val="2"/>
          </w:tcPr>
          <w:p>
            <w:pPr>
              <w:ind w:left="80"/>
              <w:spacing w:after="0"/>
              <w:rPr>
                <w:sz w:val="20"/>
                <w:szCs w:val="20"/>
                <w:color w:val="auto"/>
              </w:rPr>
            </w:pPr>
            <w:r>
              <w:rPr>
                <w:rFonts w:ascii="Arial" w:cs="Arial" w:eastAsia="Arial" w:hAnsi="Arial"/>
                <w:sz w:val="12"/>
                <w:szCs w:val="12"/>
                <w:color w:val="auto"/>
              </w:rPr>
              <w:t>Commercial</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4"/>
        </w:trPr>
        <w:tc>
          <w:tcPr>
            <w:tcW w:w="828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Commercial and industrial</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1,609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1,609</w:t>
            </w:r>
          </w:p>
        </w:tc>
      </w:tr>
      <w:tr>
        <w:trPr>
          <w:trHeight w:val="144"/>
        </w:trPr>
        <w:tc>
          <w:tcPr>
            <w:tcW w:w="8280" w:type="dxa"/>
            <w:vAlign w:val="bottom"/>
            <w:gridSpan w:val="2"/>
          </w:tcPr>
          <w:p>
            <w:pPr>
              <w:ind w:left="200"/>
              <w:spacing w:after="0"/>
              <w:rPr>
                <w:sz w:val="20"/>
                <w:szCs w:val="20"/>
                <w:color w:val="auto"/>
              </w:rPr>
            </w:pPr>
            <w:r>
              <w:rPr>
                <w:rFonts w:ascii="Arial" w:cs="Arial" w:eastAsia="Arial" w:hAnsi="Arial"/>
                <w:sz w:val="12"/>
                <w:szCs w:val="12"/>
                <w:color w:val="auto"/>
              </w:rPr>
              <w:t>Commercial real estate</w:t>
            </w:r>
          </w:p>
        </w:tc>
        <w:tc>
          <w:tcPr>
            <w:tcW w:w="200" w:type="dxa"/>
            <w:vAlign w:val="bottom"/>
          </w:tcPr>
          <w:p>
            <w:pPr>
              <w:jc w:val="right"/>
              <w:spacing w:after="0"/>
              <w:rPr>
                <w:sz w:val="20"/>
                <w:szCs w:val="20"/>
                <w:color w:val="auto"/>
              </w:rPr>
            </w:pPr>
            <w:r>
              <w:rPr>
                <w:rFonts w:ascii="Arial" w:cs="Arial" w:eastAsia="Arial" w:hAnsi="Arial"/>
                <w:sz w:val="12"/>
                <w:szCs w:val="12"/>
                <w:color w:val="auto"/>
              </w:rPr>
              <w:t>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1,479</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1,479</w:t>
            </w:r>
          </w:p>
        </w:tc>
      </w:tr>
      <w:tr>
        <w:trPr>
          <w:trHeight w:val="144"/>
        </w:trPr>
        <w:tc>
          <w:tcPr>
            <w:tcW w:w="828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Mortgage</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280" w:type="dxa"/>
            <w:vAlign w:val="bottom"/>
            <w:gridSpan w:val="2"/>
          </w:tcPr>
          <w:p>
            <w:pPr>
              <w:ind w:left="200"/>
              <w:spacing w:after="0"/>
              <w:rPr>
                <w:sz w:val="20"/>
                <w:szCs w:val="20"/>
                <w:color w:val="auto"/>
              </w:rPr>
            </w:pPr>
            <w:r>
              <w:rPr>
                <w:rFonts w:ascii="Arial" w:cs="Arial" w:eastAsia="Arial" w:hAnsi="Arial"/>
                <w:sz w:val="12"/>
                <w:szCs w:val="12"/>
                <w:color w:val="auto"/>
              </w:rPr>
              <w:t>1-4 family owner occupied - jumbo</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4"/>
        </w:trPr>
        <w:tc>
          <w:tcPr>
            <w:tcW w:w="828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1-4 family owner occupied - non-jumbo</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478</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483</w:t>
            </w:r>
          </w:p>
        </w:tc>
      </w:tr>
      <w:tr>
        <w:trPr>
          <w:trHeight w:val="144"/>
        </w:trPr>
        <w:tc>
          <w:tcPr>
            <w:tcW w:w="8280" w:type="dxa"/>
            <w:vAlign w:val="bottom"/>
            <w:gridSpan w:val="2"/>
          </w:tcPr>
          <w:p>
            <w:pPr>
              <w:ind w:left="200"/>
              <w:spacing w:after="0"/>
              <w:rPr>
                <w:sz w:val="20"/>
                <w:szCs w:val="20"/>
                <w:color w:val="auto"/>
              </w:rPr>
            </w:pPr>
            <w:r>
              <w:rPr>
                <w:rFonts w:ascii="Arial" w:cs="Arial" w:eastAsia="Arial" w:hAnsi="Arial"/>
                <w:sz w:val="12"/>
                <w:szCs w:val="12"/>
                <w:color w:val="auto"/>
              </w:rPr>
              <w:t>1-4 family non-owner occupied</w:t>
            </w:r>
          </w:p>
        </w:tc>
        <w:tc>
          <w:tcPr>
            <w:tcW w:w="200" w:type="dxa"/>
            <w:vAlign w:val="bottom"/>
          </w:tcPr>
          <w:p>
            <w:pPr>
              <w:jc w:val="right"/>
              <w:spacing w:after="0"/>
              <w:rPr>
                <w:sz w:val="20"/>
                <w:szCs w:val="20"/>
                <w:color w:val="auto"/>
              </w:rPr>
            </w:pPr>
            <w:r>
              <w:rPr>
                <w:rFonts w:ascii="Arial" w:cs="Arial" w:eastAsia="Arial" w:hAnsi="Arial"/>
                <w:sz w:val="12"/>
                <w:szCs w:val="12"/>
                <w:color w:val="auto"/>
              </w:rPr>
              <w:t>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507</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505</w:t>
            </w:r>
          </w:p>
        </w:tc>
      </w:tr>
      <w:tr>
        <w:trPr>
          <w:trHeight w:val="144"/>
        </w:trPr>
        <w:tc>
          <w:tcPr>
            <w:tcW w:w="828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1-4 family - 2nd lien</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75</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75</w:t>
            </w:r>
          </w:p>
        </w:tc>
      </w:tr>
      <w:tr>
        <w:trPr>
          <w:trHeight w:val="144"/>
        </w:trPr>
        <w:tc>
          <w:tcPr>
            <w:tcW w:w="8280" w:type="dxa"/>
            <w:vAlign w:val="bottom"/>
            <w:gridSpan w:val="2"/>
          </w:tcPr>
          <w:p>
            <w:pPr>
              <w:ind w:left="200"/>
              <w:spacing w:after="0"/>
              <w:rPr>
                <w:sz w:val="20"/>
                <w:szCs w:val="20"/>
                <w:color w:val="auto"/>
              </w:rPr>
            </w:pPr>
            <w:r>
              <w:rPr>
                <w:rFonts w:ascii="Arial" w:cs="Arial" w:eastAsia="Arial" w:hAnsi="Arial"/>
                <w:sz w:val="12"/>
                <w:szCs w:val="12"/>
                <w:color w:val="auto"/>
              </w:rPr>
              <w:t>Resort lending</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4"/>
        </w:trPr>
        <w:tc>
          <w:tcPr>
            <w:tcW w:w="828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Installment</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280" w:type="dxa"/>
            <w:vAlign w:val="bottom"/>
            <w:gridSpan w:val="2"/>
          </w:tcPr>
          <w:p>
            <w:pPr>
              <w:ind w:left="200"/>
              <w:spacing w:after="0"/>
              <w:rPr>
                <w:sz w:val="20"/>
                <w:szCs w:val="20"/>
                <w:color w:val="auto"/>
              </w:rPr>
            </w:pPr>
            <w:r>
              <w:rPr>
                <w:rFonts w:ascii="Arial" w:cs="Arial" w:eastAsia="Arial" w:hAnsi="Arial"/>
                <w:sz w:val="12"/>
                <w:szCs w:val="12"/>
                <w:color w:val="auto"/>
              </w:rPr>
              <w:t>Boat lending</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4"/>
        </w:trPr>
        <w:tc>
          <w:tcPr>
            <w:tcW w:w="828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Recreational vehicle lending</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144"/>
        </w:trPr>
        <w:tc>
          <w:tcPr>
            <w:tcW w:w="8280" w:type="dxa"/>
            <w:vAlign w:val="bottom"/>
            <w:gridSpan w:val="2"/>
          </w:tcPr>
          <w:p>
            <w:pPr>
              <w:ind w:left="200"/>
              <w:spacing w:after="0"/>
              <w:rPr>
                <w:sz w:val="20"/>
                <w:szCs w:val="20"/>
                <w:color w:val="auto"/>
              </w:rPr>
            </w:pPr>
            <w:r>
              <w:rPr>
                <w:rFonts w:ascii="Arial" w:cs="Arial" w:eastAsia="Arial" w:hAnsi="Arial"/>
                <w:sz w:val="12"/>
                <w:szCs w:val="12"/>
                <w:color w:val="auto"/>
              </w:rPr>
              <w:t>Other</w:t>
            </w:r>
          </w:p>
        </w:tc>
        <w:tc>
          <w:tcPr>
            <w:tcW w:w="200" w:type="dxa"/>
            <w:vAlign w:val="bottom"/>
          </w:tcPr>
          <w:p>
            <w:pPr>
              <w:jc w:val="right"/>
              <w:spacing w:after="0"/>
              <w:rPr>
                <w:sz w:val="20"/>
                <w:szCs w:val="20"/>
                <w:color w:val="auto"/>
              </w:rPr>
            </w:pPr>
            <w:r>
              <w:rPr>
                <w:rFonts w:ascii="Arial" w:cs="Arial" w:eastAsia="Arial" w:hAnsi="Arial"/>
                <w:sz w:val="12"/>
                <w:szCs w:val="12"/>
                <w:color w:val="auto"/>
              </w:rPr>
              <w:t>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188</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191</w:t>
            </w:r>
          </w:p>
        </w:tc>
      </w:tr>
      <w:tr>
        <w:trPr>
          <w:trHeight w:val="182"/>
        </w:trPr>
        <w:tc>
          <w:tcPr>
            <w:tcW w:w="73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Total</w:t>
            </w:r>
          </w:p>
        </w:tc>
        <w:tc>
          <w:tcPr>
            <w:tcW w:w="940" w:type="dxa"/>
            <w:vAlign w:val="bottom"/>
            <w:tcBorders>
              <w:top w:val="single" w:sz="8" w:color="auto"/>
              <w:bottom w:val="single" w:sz="8" w:color="auto"/>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w:t>
            </w:r>
          </w:p>
        </w:tc>
        <w:tc>
          <w:tcPr>
            <w:tcW w:w="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4,336</w:t>
            </w:r>
          </w:p>
        </w:tc>
        <w:tc>
          <w:tcPr>
            <w:tcW w:w="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4,342</w:t>
            </w:r>
          </w:p>
        </w:tc>
        <w:tc>
          <w:tcPr>
            <w:tcW w:w="120" w:type="dxa"/>
            <w:vAlign w:val="bottom"/>
            <w:tcBorders>
              <w:bottom w:val="single" w:sz="8" w:color="CCEEFF"/>
            </w:tcBorders>
            <w:shd w:val="clear" w:color="auto" w:fill="CCEEFF"/>
          </w:tcPr>
          <w:p>
            <w:pPr>
              <w:spacing w:after="0"/>
              <w:rPr>
                <w:sz w:val="15"/>
                <w:szCs w:val="15"/>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(1) There were no TDR modifications during the year ended December 31, 2021. The loan modifications during 2020 in the table above did not qualify for relief from TDR accounting under the CARES Act.</w:t>
      </w:r>
    </w:p>
    <w:p>
      <w:pPr>
        <w:spacing w:after="0" w:line="150"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The troubled debt restructurings described above increased the ACL by $0.04 million and $0.50 million during the years ended December 31, 2020 and 2019, respectively and resulted in charge offs of zero during each of the years ended December 31, 2020 and 2019, respectively.</w:t>
      </w:r>
    </w:p>
    <w:p>
      <w:pPr>
        <w:spacing w:after="0" w:line="115"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A loan is generally considered to be in payment default once it is 90 days contractually past due under the modified terms for commercial loans and installment loans and when four consecutive payments are missed for mortgage loans.</w:t>
      </w:r>
    </w:p>
    <w:p>
      <w:pPr>
        <w:spacing w:after="0" w:line="115"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There were no troubled debt restructurings that subsequently defaulted within twelve months following modification during 2021 and 2020. During 2019 we had one commercial and industrial loan with a recorded balance of $0.019 million and one 1-4 family owner occupied – non-jumbo loan with a recorded balance of $0.012 million that subsequently defaulted within twelve months following modification. These loans did not impact the ACL during 2019 and resulted in zero charge offs during 2019.</w:t>
      </w:r>
    </w:p>
    <w:p>
      <w:pPr>
        <w:spacing w:after="0" w:line="122"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The terms of certain other loans were modified during the years ending December 31, 2021, 2020 and 2019 that did not meet the definition of a troubled debt restructuring. The modification of these loans could have included modification of the terms of a loan to borrowers who were not experiencing financial difficulties or a delay in a payment that was considered to be insignificant.</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85" w:name="page86"/>
    <w:bookmarkEnd w:id="85"/>
    <w:p>
      <w:pPr>
        <w:jc w:val="center"/>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27"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In order to determine whether a borrower is experiencing financial difficulty, we perform an evaluation of the probability that the borrower will be in payment default on any of its debt in the foreseeable future without the modification. This evaluation is performed under our internal underwriting policy.</w:t>
      </w:r>
    </w:p>
    <w:p>
      <w:pPr>
        <w:spacing w:after="0" w:line="111" w:lineRule="exact"/>
        <w:rPr>
          <w:sz w:val="20"/>
          <w:szCs w:val="20"/>
          <w:color w:val="auto"/>
        </w:rPr>
      </w:pPr>
    </w:p>
    <w:p>
      <w:pPr>
        <w:jc w:val="both"/>
        <w:ind w:firstLine="216"/>
        <w:spacing w:after="0" w:line="279" w:lineRule="auto"/>
        <w:rPr>
          <w:sz w:val="20"/>
          <w:szCs w:val="20"/>
          <w:color w:val="auto"/>
        </w:rPr>
      </w:pPr>
      <w:r>
        <w:rPr>
          <w:rFonts w:ascii="Arial" w:cs="Arial" w:eastAsia="Arial" w:hAnsi="Arial"/>
          <w:sz w:val="11"/>
          <w:szCs w:val="11"/>
          <w:b w:val="1"/>
          <w:bCs w:val="1"/>
          <w:color w:val="auto"/>
        </w:rPr>
        <w:t xml:space="preserve">Non-TDR Loan Modifications and Paycheck Protection Program (“PPP”) due to COVID-19 </w:t>
      </w:r>
      <w:r>
        <w:rPr>
          <w:rFonts w:ascii="Arial" w:cs="Arial" w:eastAsia="Arial" w:hAnsi="Arial"/>
          <w:sz w:val="11"/>
          <w:szCs w:val="11"/>
          <w:color w:val="auto"/>
        </w:rPr>
        <w:t>- On March 22, 2020, the federal banking agencies issued an “Interagency Statement on Loan Modifications and Reporting for</w:t>
      </w:r>
      <w:r>
        <w:rPr>
          <w:rFonts w:ascii="Arial" w:cs="Arial" w:eastAsia="Arial" w:hAnsi="Arial"/>
          <w:sz w:val="11"/>
          <w:szCs w:val="11"/>
          <w:b w:val="1"/>
          <w:bCs w:val="1"/>
          <w:color w:val="auto"/>
        </w:rPr>
        <w:t xml:space="preserve"> </w:t>
      </w:r>
      <w:r>
        <w:rPr>
          <w:rFonts w:ascii="Arial" w:cs="Arial" w:eastAsia="Arial" w:hAnsi="Arial"/>
          <w:sz w:val="11"/>
          <w:szCs w:val="11"/>
          <w:color w:val="auto"/>
        </w:rPr>
        <w:t>Financial Institutions Working with Customers Affected by the Coronavirus”. This guidance encourages financial institutions to work prudently with borrowers that may be unable to meet their contractual obligations because of the effects of COVID-19. The guidance goes on to explain that in consultation with the Financial Accounting Standards Board staff that the federal banking agencies conclude that short-term modifications (e.g. six months or less) made on a good faith basis to borrowers who were current (less than 30 days past due) as of the implementation date of a relief program are not TDRs. In addition, on March 27, 2020, the CARES Act was signed into law. Section 4013 of the CARES Act also addressed COVID-19 related modifications and specified that COVID-19 related modifications on loans that were current (less than 30 days past due) as of December 31, 2019 are not TDRs. We are assisting both commercial and retail (mortgage and installment) borrowers with reduced or suspended payments. Commercial loan accommodations are typically a three month interest-only period while retail loan (mortgage and installment) forbearances have primarily been payment suspensions for three months. For loans subject to these forbearance agreements each borrower is required to resume making regularly scheduled loan payments at the end of the forbearance period. The deferred principal and interest will be repaid based upon individualized agreements. Options for repayment include separate repayment plans, extending the term of the loan or re-amortizing the loan based upon the affordability of the payment in relationship to a reduced income. While some borrowers may elect to make a lump sum payment, we anticipate the majority will require some type of repayment plan. During the forbearance period, the loan will not be reported as past due in keeping with the guidance discussed previously.</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A summary of COVID-19 accommodations that had been entered into under this guidance as of December 31, 2021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20" w:type="dxa"/>
            <w:vAlign w:val="bottom"/>
            <w:gridSpan w:val="6"/>
          </w:tcPr>
          <w:p>
            <w:pPr>
              <w:ind w:left="540"/>
              <w:spacing w:after="0"/>
              <w:rPr>
                <w:sz w:val="20"/>
                <w:szCs w:val="20"/>
                <w:color w:val="auto"/>
              </w:rPr>
            </w:pPr>
            <w:r>
              <w:rPr>
                <w:rFonts w:ascii="Arial" w:cs="Arial" w:eastAsia="Arial" w:hAnsi="Arial"/>
                <w:sz w:val="12"/>
                <w:szCs w:val="12"/>
                <w:color w:val="auto"/>
              </w:rPr>
              <w:t>COVID-19 Accomodations</w:t>
            </w:r>
          </w:p>
        </w:tc>
        <w:tc>
          <w:tcPr>
            <w:tcW w:w="160" w:type="dxa"/>
            <w:vAlign w:val="bottom"/>
          </w:tcPr>
          <w:p>
            <w:pPr>
              <w:spacing w:after="0"/>
              <w:rPr>
                <w:sz w:val="13"/>
                <w:szCs w:val="13"/>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2"/>
                <w:szCs w:val="12"/>
                <w:color w:val="auto"/>
                <w:w w:val="89"/>
              </w:rPr>
              <w:t>Total</w:t>
            </w:r>
          </w:p>
        </w:tc>
        <w:tc>
          <w:tcPr>
            <w:tcW w:w="180" w:type="dxa"/>
            <w:vAlign w:val="bottom"/>
          </w:tcPr>
          <w:p>
            <w:pPr>
              <w:spacing w:after="0"/>
              <w:rPr>
                <w:sz w:val="13"/>
                <w:szCs w:val="13"/>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2"/>
                <w:szCs w:val="12"/>
                <w:color w:val="auto"/>
                <w:w w:val="92"/>
              </w:rPr>
              <w:t>% of Total</w:t>
            </w:r>
          </w:p>
        </w:tc>
      </w:tr>
      <w:tr>
        <w:trPr>
          <w:trHeight w:val="142"/>
        </w:trPr>
        <w:tc>
          <w:tcPr>
            <w:tcW w:w="58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Loan Category</w:t>
            </w:r>
          </w:p>
        </w:tc>
        <w:tc>
          <w:tcPr>
            <w:tcW w:w="120" w:type="dxa"/>
            <w:vAlign w:val="bottom"/>
            <w:tcBorders>
              <w:top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2"/>
                <w:szCs w:val="12"/>
                <w:color w:val="auto"/>
              </w:rPr>
              <w:t>Amounts (#)</w:t>
            </w: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2"/>
                <w:szCs w:val="12"/>
                <w:color w:val="auto"/>
              </w:rPr>
              <w:t>Amounts ($)</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100"/>
              <w:spacing w:after="0"/>
              <w:rPr>
                <w:sz w:val="20"/>
                <w:szCs w:val="20"/>
                <w:color w:val="auto"/>
              </w:rPr>
            </w:pPr>
            <w:r>
              <w:rPr>
                <w:rFonts w:ascii="Arial" w:cs="Arial" w:eastAsia="Arial" w:hAnsi="Arial"/>
                <w:sz w:val="12"/>
                <w:szCs w:val="12"/>
                <w:color w:val="auto"/>
                <w:w w:val="91"/>
              </w:rPr>
              <w:t>Loans</w:t>
            </w: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100"/>
              <w:spacing w:after="0"/>
              <w:rPr>
                <w:sz w:val="20"/>
                <w:szCs w:val="20"/>
                <w:color w:val="auto"/>
              </w:rPr>
            </w:pPr>
            <w:r>
              <w:rPr>
                <w:rFonts w:ascii="Arial" w:cs="Arial" w:eastAsia="Arial" w:hAnsi="Arial"/>
                <w:sz w:val="12"/>
                <w:szCs w:val="12"/>
                <w:color w:val="auto"/>
                <w:w w:val="91"/>
              </w:rPr>
              <w:t>Loans</w:t>
            </w:r>
          </w:p>
        </w:tc>
        <w:tc>
          <w:tcPr>
            <w:tcW w:w="120" w:type="dxa"/>
            <w:vAlign w:val="bottom"/>
          </w:tcPr>
          <w:p>
            <w:pPr>
              <w:spacing w:after="0"/>
              <w:rPr>
                <w:sz w:val="12"/>
                <w:szCs w:val="12"/>
                <w:color w:val="auto"/>
              </w:rPr>
            </w:pPr>
          </w:p>
        </w:tc>
      </w:tr>
      <w:tr>
        <w:trPr>
          <w:trHeight w:val="142"/>
        </w:trPr>
        <w:tc>
          <w:tcPr>
            <w:tcW w:w="5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(Dollars in</w:t>
            </w:r>
          </w:p>
        </w:tc>
        <w:tc>
          <w:tcPr>
            <w:tcW w:w="1360" w:type="dxa"/>
            <w:vAlign w:val="bottom"/>
            <w:gridSpan w:val="4"/>
          </w:tcPr>
          <w:p>
            <w:pPr>
              <w:jc w:val="right"/>
              <w:ind w:right="740"/>
              <w:spacing w:after="0"/>
              <w:rPr>
                <w:sz w:val="20"/>
                <w:szCs w:val="20"/>
                <w:color w:val="auto"/>
              </w:rPr>
            </w:pPr>
            <w:r>
              <w:rPr>
                <w:rFonts w:ascii="Arial" w:cs="Arial" w:eastAsia="Arial" w:hAnsi="Arial"/>
                <w:sz w:val="12"/>
                <w:szCs w:val="12"/>
                <w:color w:val="auto"/>
                <w:w w:val="90"/>
              </w:rPr>
              <w:t>thousands)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5880" w:type="dxa"/>
            <w:vAlign w:val="bottom"/>
            <w:shd w:val="clear" w:color="auto" w:fill="CCEEFF"/>
          </w:tcPr>
          <w:p>
            <w:pPr>
              <w:spacing w:after="0"/>
              <w:rPr>
                <w:sz w:val="20"/>
                <w:szCs w:val="20"/>
                <w:color w:val="auto"/>
              </w:rPr>
            </w:pPr>
            <w:r>
              <w:rPr>
                <w:rFonts w:ascii="Arial" w:cs="Arial" w:eastAsia="Arial" w:hAnsi="Arial"/>
                <w:sz w:val="12"/>
                <w:szCs w:val="12"/>
                <w:color w:val="auto"/>
              </w:rPr>
              <w:t>Commercial</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1,203,581</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0.0%</w:t>
            </w:r>
          </w:p>
        </w:tc>
      </w:tr>
      <w:tr>
        <w:trPr>
          <w:trHeight w:val="144"/>
        </w:trPr>
        <w:tc>
          <w:tcPr>
            <w:tcW w:w="5880" w:type="dxa"/>
            <w:vAlign w:val="bottom"/>
          </w:tcPr>
          <w:p>
            <w:pPr>
              <w:spacing w:after="0"/>
              <w:rPr>
                <w:sz w:val="20"/>
                <w:szCs w:val="20"/>
                <w:color w:val="auto"/>
              </w:rPr>
            </w:pPr>
            <w:r>
              <w:rPr>
                <w:rFonts w:ascii="Arial" w:cs="Arial" w:eastAsia="Arial" w:hAnsi="Arial"/>
                <w:sz w:val="12"/>
                <w:szCs w:val="12"/>
                <w:color w:val="auto"/>
              </w:rPr>
              <w:t>Mortgage</w:t>
            </w:r>
          </w:p>
        </w:tc>
        <w:tc>
          <w:tcPr>
            <w:tcW w:w="1260" w:type="dxa"/>
            <w:vAlign w:val="bottom"/>
            <w:gridSpan w:val="2"/>
          </w:tcPr>
          <w:p>
            <w:pPr>
              <w:jc w:val="right"/>
              <w:spacing w:after="0"/>
              <w:rPr>
                <w:sz w:val="20"/>
                <w:szCs w:val="20"/>
                <w:color w:val="auto"/>
              </w:rPr>
            </w:pPr>
            <w:r>
              <w:rPr>
                <w:rFonts w:ascii="Arial" w:cs="Arial" w:eastAsia="Arial" w:hAnsi="Arial"/>
                <w:sz w:val="12"/>
                <w:szCs w:val="12"/>
                <w:color w:val="auto"/>
              </w:rPr>
              <w:t>22</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2"/>
                <w:szCs w:val="12"/>
                <w:color w:val="auto"/>
              </w:rPr>
              <w:t>2,278</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1,139,659</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2"/>
                <w:szCs w:val="12"/>
                <w:color w:val="auto"/>
              </w:rPr>
              <w:t>0.2%</w:t>
            </w:r>
          </w:p>
        </w:tc>
      </w:tr>
      <w:tr>
        <w:trPr>
          <w:trHeight w:val="144"/>
        </w:trPr>
        <w:tc>
          <w:tcPr>
            <w:tcW w:w="5880" w:type="dxa"/>
            <w:vAlign w:val="bottom"/>
            <w:shd w:val="clear" w:color="auto" w:fill="CCEEFF"/>
          </w:tcPr>
          <w:p>
            <w:pPr>
              <w:spacing w:after="0"/>
              <w:rPr>
                <w:sz w:val="20"/>
                <w:szCs w:val="20"/>
                <w:color w:val="auto"/>
              </w:rPr>
            </w:pPr>
            <w:r>
              <w:rPr>
                <w:rFonts w:ascii="Arial" w:cs="Arial" w:eastAsia="Arial" w:hAnsi="Arial"/>
                <w:sz w:val="12"/>
                <w:szCs w:val="12"/>
                <w:color w:val="auto"/>
              </w:rPr>
              <w:t>Installment</w:t>
            </w: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55</w:t>
            </w:r>
          </w:p>
        </w:tc>
        <w:tc>
          <w:tcPr>
            <w:tcW w:w="14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561,805</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0.0%</w:t>
            </w:r>
          </w:p>
        </w:tc>
      </w:tr>
      <w:tr>
        <w:trPr>
          <w:trHeight w:val="20"/>
        </w:trPr>
        <w:tc>
          <w:tcPr>
            <w:tcW w:w="58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5880" w:type="dxa"/>
            <w:vAlign w:val="bottom"/>
          </w:tcPr>
          <w:p>
            <w:pPr>
              <w:ind w:left="100"/>
              <w:spacing w:after="0"/>
              <w:rPr>
                <w:sz w:val="20"/>
                <w:szCs w:val="20"/>
                <w:color w:val="auto"/>
              </w:rPr>
            </w:pPr>
            <w:r>
              <w:rPr>
                <w:rFonts w:ascii="Arial" w:cs="Arial" w:eastAsia="Arial" w:hAnsi="Arial"/>
                <w:sz w:val="12"/>
                <w:szCs w:val="12"/>
                <w:color w:val="auto"/>
              </w:rPr>
              <w:t>Total</w:t>
            </w:r>
          </w:p>
        </w:tc>
        <w:tc>
          <w:tcPr>
            <w:tcW w:w="12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23</w:t>
            </w:r>
          </w:p>
        </w:tc>
        <w:tc>
          <w:tcPr>
            <w:tcW w:w="240" w:type="dxa"/>
            <w:vAlign w:val="bottom"/>
          </w:tcPr>
          <w:p>
            <w:pPr>
              <w:spacing w:after="0"/>
              <w:rPr>
                <w:sz w:val="12"/>
                <w:szCs w:val="12"/>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20"/>
              <w:spacing w:after="0"/>
              <w:rPr>
                <w:sz w:val="20"/>
                <w:szCs w:val="20"/>
                <w:color w:val="auto"/>
              </w:rPr>
            </w:pPr>
            <w:r>
              <w:rPr>
                <w:rFonts w:ascii="Arial" w:cs="Arial" w:eastAsia="Arial" w:hAnsi="Arial"/>
                <w:sz w:val="12"/>
                <w:szCs w:val="12"/>
                <w:color w:val="auto"/>
              </w:rPr>
              <w:t>2,333</w:t>
            </w:r>
          </w:p>
        </w:tc>
        <w:tc>
          <w:tcPr>
            <w:tcW w:w="140" w:type="dxa"/>
            <w:vAlign w:val="bottom"/>
          </w:tcPr>
          <w:p>
            <w:pPr>
              <w:spacing w:after="0"/>
              <w:rPr>
                <w:sz w:val="12"/>
                <w:szCs w:val="12"/>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2,905,045</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2"/>
                <w:szCs w:val="12"/>
                <w:color w:val="auto"/>
              </w:rPr>
              <w:t>0.1%</w:t>
            </w:r>
          </w:p>
        </w:tc>
      </w:tr>
      <w:tr>
        <w:trPr>
          <w:trHeight w:val="20"/>
        </w:trPr>
        <w:tc>
          <w:tcPr>
            <w:tcW w:w="5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0"/>
        </w:trPr>
        <w:tc>
          <w:tcPr>
            <w:tcW w:w="5880" w:type="dxa"/>
            <w:vAlign w:val="bottom"/>
            <w:shd w:val="clear" w:color="auto" w:fill="CCEEFF"/>
          </w:tcPr>
          <w:p>
            <w:pPr>
              <w:spacing w:after="0" w:line="120" w:lineRule="exact"/>
              <w:rPr>
                <w:sz w:val="20"/>
                <w:szCs w:val="20"/>
                <w:color w:val="auto"/>
              </w:rPr>
            </w:pPr>
            <w:r>
              <w:rPr>
                <w:rFonts w:ascii="Arial" w:cs="Arial" w:eastAsia="Arial" w:hAnsi="Arial"/>
                <w:sz w:val="12"/>
                <w:szCs w:val="12"/>
                <w:color w:val="auto"/>
              </w:rPr>
              <w:t>Mortgage loans serviced for others(1)</w:t>
            </w: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46</w:t>
            </w: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5,163</w:t>
            </w:r>
          </w:p>
        </w:tc>
        <w:tc>
          <w:tcPr>
            <w:tcW w:w="8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980" w:type="dxa"/>
            <w:vAlign w:val="bottom"/>
            <w:tcBorders>
              <w:right w:val="single" w:sz="8" w:color="CCEEFF"/>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3,323,521</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0"/>
              <w:spacing w:after="0" w:line="120" w:lineRule="exact"/>
              <w:rPr>
                <w:sz w:val="20"/>
                <w:szCs w:val="20"/>
                <w:color w:val="auto"/>
              </w:rPr>
            </w:pPr>
            <w:r>
              <w:rPr>
                <w:rFonts w:ascii="Arial" w:cs="Arial" w:eastAsia="Arial" w:hAnsi="Arial"/>
                <w:sz w:val="12"/>
                <w:szCs w:val="12"/>
                <w:color w:val="auto"/>
              </w:rPr>
              <w:t>0.2%</w:t>
            </w:r>
          </w:p>
        </w:tc>
      </w:tr>
      <w:tr>
        <w:trPr>
          <w:trHeight w:val="264"/>
        </w:trPr>
        <w:tc>
          <w:tcPr>
            <w:tcW w:w="5880" w:type="dxa"/>
            <w:vAlign w:val="bottom"/>
            <w:tcBorders>
              <w:top w:val="single" w:sz="8" w:color="CCEEFF"/>
            </w:tcBorders>
          </w:tcPr>
          <w:p>
            <w:pPr>
              <w:spacing w:after="0"/>
              <w:rPr>
                <w:sz w:val="20"/>
                <w:szCs w:val="20"/>
                <w:color w:val="auto"/>
              </w:rPr>
            </w:pPr>
            <w:r>
              <w:rPr>
                <w:rFonts w:ascii="Arial" w:cs="Arial" w:eastAsia="Arial" w:hAnsi="Arial"/>
                <w:sz w:val="12"/>
                <w:szCs w:val="12"/>
                <w:color w:val="auto"/>
              </w:rPr>
              <w:t>1)  We have delegated authority from all investors to grant these deferrals on their behalf.</w:t>
            </w:r>
          </w:p>
        </w:tc>
        <w:tc>
          <w:tcPr>
            <w:tcW w:w="120" w:type="dxa"/>
            <w:vAlign w:val="bottom"/>
            <w:tcBorders>
              <w:top w:val="single" w:sz="8" w:color="CCEEFF"/>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r>
      <w:tr>
        <w:trPr>
          <w:trHeight w:val="288"/>
        </w:trPr>
        <w:tc>
          <w:tcPr>
            <w:tcW w:w="5880" w:type="dxa"/>
            <w:vAlign w:val="bottom"/>
          </w:tcPr>
          <w:p>
            <w:pPr>
              <w:ind w:left="200"/>
              <w:spacing w:after="0"/>
              <w:rPr>
                <w:sz w:val="20"/>
                <w:szCs w:val="20"/>
                <w:color w:val="auto"/>
              </w:rPr>
            </w:pPr>
            <w:r>
              <w:rPr>
                <w:rFonts w:ascii="Arial" w:cs="Arial" w:eastAsia="Arial" w:hAnsi="Arial"/>
                <w:sz w:val="12"/>
                <w:szCs w:val="12"/>
                <w:color w:val="auto"/>
              </w:rPr>
              <w:t>Information on subsequent COVID-19 accommodation extensions for portfolio loans follows (1):</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8"/>
        </w:trPr>
        <w:tc>
          <w:tcPr>
            <w:tcW w:w="5880" w:type="dxa"/>
            <w:vAlign w:val="bottom"/>
          </w:tcPr>
          <w:p>
            <w:pPr>
              <w:spacing w:after="0"/>
              <w:rPr>
                <w:sz w:val="20"/>
                <w:szCs w:val="20"/>
                <w:color w:val="auto"/>
              </w:rPr>
            </w:pPr>
            <w:r>
              <w:rPr>
                <w:rFonts w:ascii="Arial" w:cs="Arial" w:eastAsia="Arial" w:hAnsi="Arial"/>
                <w:sz w:val="12"/>
                <w:szCs w:val="12"/>
                <w:color w:val="auto"/>
              </w:rPr>
              <w:t>Loan Category</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2"/>
                <w:szCs w:val="12"/>
                <w:color w:val="auto"/>
                <w:w w:val="94"/>
              </w:rPr>
              <w:t>Amount (#)</w:t>
            </w:r>
          </w:p>
        </w:tc>
        <w:tc>
          <w:tcPr>
            <w:tcW w:w="180" w:type="dxa"/>
            <w:vAlign w:val="bottom"/>
          </w:tcPr>
          <w:p>
            <w:pPr>
              <w:spacing w:after="0"/>
              <w:rPr>
                <w:sz w:val="24"/>
                <w:szCs w:val="2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2"/>
                <w:szCs w:val="12"/>
                <w:color w:val="auto"/>
                <w:w w:val="94"/>
              </w:rPr>
              <w:t>Amount ($)</w:t>
            </w:r>
          </w:p>
        </w:tc>
      </w:tr>
      <w:tr>
        <w:trPr>
          <w:trHeight w:val="142"/>
        </w:trPr>
        <w:tc>
          <w:tcPr>
            <w:tcW w:w="58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(Dollars</w:t>
            </w:r>
          </w:p>
        </w:tc>
        <w:tc>
          <w:tcPr>
            <w:tcW w:w="200" w:type="dxa"/>
            <w:vAlign w:val="bottom"/>
          </w:tcPr>
          <w:p>
            <w:pPr>
              <w:spacing w:after="0"/>
              <w:rPr>
                <w:sz w:val="20"/>
                <w:szCs w:val="20"/>
                <w:color w:val="auto"/>
              </w:rPr>
            </w:pPr>
            <w:r>
              <w:rPr>
                <w:rFonts w:ascii="Arial" w:cs="Arial" w:eastAsia="Arial" w:hAnsi="Arial"/>
                <w:sz w:val="12"/>
                <w:szCs w:val="12"/>
                <w:color w:val="auto"/>
              </w:rPr>
              <w:t>in</w:t>
            </w:r>
          </w:p>
        </w:tc>
        <w:tc>
          <w:tcPr>
            <w:tcW w:w="1120" w:type="dxa"/>
            <w:vAlign w:val="bottom"/>
            <w:tcBorders>
              <w:top w:val="single" w:sz="8" w:color="auto"/>
            </w:tcBorders>
            <w:gridSpan w:val="2"/>
          </w:tcPr>
          <w:p>
            <w:pPr>
              <w:spacing w:after="0"/>
              <w:rPr>
                <w:sz w:val="20"/>
                <w:szCs w:val="20"/>
                <w:color w:val="auto"/>
              </w:rPr>
            </w:pPr>
            <w:r>
              <w:rPr>
                <w:rFonts w:ascii="Arial" w:cs="Arial" w:eastAsia="Arial" w:hAnsi="Arial"/>
                <w:sz w:val="12"/>
                <w:szCs w:val="12"/>
                <w:color w:val="auto"/>
              </w:rPr>
              <w:t>thousands)</w:t>
            </w:r>
          </w:p>
        </w:tc>
        <w:tc>
          <w:tcPr>
            <w:tcW w:w="120" w:type="dxa"/>
            <w:vAlign w:val="bottom"/>
          </w:tcPr>
          <w:p>
            <w:pPr>
              <w:spacing w:after="0"/>
              <w:rPr>
                <w:sz w:val="12"/>
                <w:szCs w:val="12"/>
                <w:color w:val="auto"/>
              </w:rPr>
            </w:pPr>
          </w:p>
        </w:tc>
      </w:tr>
      <w:tr>
        <w:trPr>
          <w:trHeight w:val="144"/>
        </w:trPr>
        <w:tc>
          <w:tcPr>
            <w:tcW w:w="5880" w:type="dxa"/>
            <w:vAlign w:val="bottom"/>
            <w:shd w:val="clear" w:color="auto" w:fill="CCEEFF"/>
          </w:tcPr>
          <w:p>
            <w:pPr>
              <w:spacing w:after="0"/>
              <w:rPr>
                <w:sz w:val="20"/>
                <w:szCs w:val="20"/>
                <w:color w:val="auto"/>
              </w:rPr>
            </w:pPr>
            <w:r>
              <w:rPr>
                <w:rFonts w:ascii="Arial" w:cs="Arial" w:eastAsia="Arial" w:hAnsi="Arial"/>
                <w:sz w:val="12"/>
                <w:szCs w:val="12"/>
                <w:color w:val="auto"/>
              </w:rPr>
              <w:t>Commercial</w:t>
            </w: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144"/>
        </w:trPr>
        <w:tc>
          <w:tcPr>
            <w:tcW w:w="5880" w:type="dxa"/>
            <w:vAlign w:val="bottom"/>
          </w:tcPr>
          <w:p>
            <w:pPr>
              <w:spacing w:after="0"/>
              <w:rPr>
                <w:sz w:val="20"/>
                <w:szCs w:val="20"/>
                <w:color w:val="auto"/>
              </w:rPr>
            </w:pPr>
            <w:r>
              <w:rPr>
                <w:rFonts w:ascii="Arial" w:cs="Arial" w:eastAsia="Arial" w:hAnsi="Arial"/>
                <w:sz w:val="12"/>
                <w:szCs w:val="12"/>
                <w:color w:val="auto"/>
              </w:rPr>
              <w:t>Mortgage</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19</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2,194</w:t>
            </w:r>
          </w:p>
        </w:tc>
      </w:tr>
      <w:tr>
        <w:trPr>
          <w:trHeight w:val="144"/>
        </w:trPr>
        <w:tc>
          <w:tcPr>
            <w:tcW w:w="5880" w:type="dxa"/>
            <w:vAlign w:val="bottom"/>
            <w:shd w:val="clear" w:color="auto" w:fill="CCEEFF"/>
          </w:tcPr>
          <w:p>
            <w:pPr>
              <w:spacing w:after="0"/>
              <w:rPr>
                <w:sz w:val="20"/>
                <w:szCs w:val="20"/>
                <w:color w:val="auto"/>
              </w:rPr>
            </w:pPr>
            <w:r>
              <w:rPr>
                <w:rFonts w:ascii="Arial" w:cs="Arial" w:eastAsia="Arial" w:hAnsi="Arial"/>
                <w:sz w:val="12"/>
                <w:szCs w:val="12"/>
                <w:color w:val="auto"/>
              </w:rPr>
              <w:t>Installment</w:t>
            </w: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20"/>
        </w:trPr>
        <w:tc>
          <w:tcPr>
            <w:tcW w:w="58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5880" w:type="dxa"/>
            <w:vAlign w:val="bottom"/>
          </w:tcPr>
          <w:p>
            <w:pPr>
              <w:ind w:left="80"/>
              <w:spacing w:after="0"/>
              <w:rPr>
                <w:sz w:val="20"/>
                <w:szCs w:val="20"/>
                <w:color w:val="auto"/>
              </w:rPr>
            </w:pPr>
            <w:r>
              <w:rPr>
                <w:rFonts w:ascii="Arial" w:cs="Arial" w:eastAsia="Arial" w:hAnsi="Arial"/>
                <w:sz w:val="12"/>
                <w:szCs w:val="12"/>
                <w:color w:val="auto"/>
              </w:rPr>
              <w:t>Total</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19</w:t>
            </w:r>
          </w:p>
        </w:tc>
        <w:tc>
          <w:tcPr>
            <w:tcW w:w="200" w:type="dxa"/>
            <w:vAlign w:val="bottom"/>
          </w:tcPr>
          <w:p>
            <w:pPr>
              <w:spacing w:after="0"/>
              <w:rPr>
                <w:sz w:val="12"/>
                <w:szCs w:val="12"/>
                <w:color w:val="auto"/>
              </w:rPr>
            </w:pPr>
          </w:p>
        </w:tc>
        <w:tc>
          <w:tcPr>
            <w:tcW w:w="180" w:type="dxa"/>
            <w:vAlign w:val="bottom"/>
          </w:tcPr>
          <w:p>
            <w:pPr>
              <w:spacing w:after="0"/>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2,194</w:t>
            </w:r>
          </w:p>
        </w:tc>
      </w:tr>
      <w:tr>
        <w:trPr>
          <w:trHeight w:val="20"/>
        </w:trPr>
        <w:tc>
          <w:tcPr>
            <w:tcW w:w="5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131445</wp:posOffset>
            </wp:positionV>
            <wp:extent cx="1074420" cy="114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2">
                      <a:extLst>
                        <a:ext uri="{28A0092B-C50C-407E-A947-70E740481C1C}"/>
                      </a:extLst>
                    </a:blip>
                    <a:srcRect/>
                    <a:stretch>
                      <a:fillRect/>
                    </a:stretch>
                  </pic:blipFill>
                  <pic:spPr bwMode="auto">
                    <a:xfrm>
                      <a:off x="0" y="0"/>
                      <a:ext cx="1074420" cy="1143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2"/>
          <w:szCs w:val="12"/>
          <w:color w:val="auto"/>
        </w:rPr>
        <w:t>(1) Subsequent accommodations are extensions of the original accommodations that were given as summarized in the paragraph above.</w:t>
      </w:r>
    </w:p>
    <w:p>
      <w:pPr>
        <w:spacing w:after="0" w:line="263" w:lineRule="exact"/>
        <w:rPr>
          <w:sz w:val="20"/>
          <w:szCs w:val="20"/>
          <w:color w:val="auto"/>
        </w:rPr>
      </w:pPr>
    </w:p>
    <w:p>
      <w:pPr>
        <w:jc w:val="center"/>
        <w:ind w:right="-259"/>
        <w:spacing w:after="0"/>
        <w:rPr>
          <w:sz w:val="20"/>
          <w:szCs w:val="20"/>
          <w:color w:val="auto"/>
        </w:rPr>
      </w:pPr>
      <w:r>
        <w:rPr>
          <w:rFonts w:ascii="Arial" w:cs="Arial" w:eastAsia="Arial" w:hAnsi="Arial"/>
          <w:sz w:val="10"/>
          <w:szCs w:val="1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86" w:name="page87"/>
    <w:bookmarkEnd w:id="86"/>
    <w:p>
      <w:pPr>
        <w:jc w:val="center"/>
        <w:ind w:right="-259"/>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27" w:lineRule="exact"/>
        <w:rPr>
          <w:sz w:val="20"/>
          <w:szCs w:val="20"/>
          <w:color w:val="auto"/>
        </w:rPr>
      </w:pPr>
    </w:p>
    <w:p>
      <w:pPr>
        <w:jc w:val="both"/>
        <w:ind w:firstLine="216"/>
        <w:spacing w:after="0" w:line="279" w:lineRule="auto"/>
        <w:rPr>
          <w:sz w:val="20"/>
          <w:szCs w:val="20"/>
          <w:color w:val="auto"/>
        </w:rPr>
      </w:pPr>
      <w:r>
        <w:rPr>
          <w:rFonts w:ascii="Arial" w:cs="Arial" w:eastAsia="Arial" w:hAnsi="Arial"/>
          <w:sz w:val="11"/>
          <w:szCs w:val="11"/>
          <w:color w:val="auto"/>
        </w:rPr>
        <w:t>The CARES Act also included an initial $349 billion loan program administered through the U.S. Small Business Administration (‘‘SBA’’) referred to as the PPP. Under the PPP, small businesses and other entities and individuals could apply for loans from existing SBA lenders and other approved regulated lenders that enrolled in the program, subject to numerous limitations and eligibility criteria. We are participating as a lender in the PPP. The PPP opened on April 3, 2020 intending to provide American small businesses with eight weeks of cash-flow assistance through 100% federally guaranteed loans through the SBA. In late April 2020 the Paycheck Protection Program and Health Care Enhancement Act, added another $310 billion in funding while the Paycheck Protection Program Flexibility Act made certain changes to the program, by allowing for more time to spend the funds, and making it easier to get a loan fully forgiven. The PPP initially closed on August 8, 2020 (“Round 1”). On December 27, 2020, the Economic Aid to Hard-Hit Small Businesses, Nonprofits, and Venues Act (‘‘Economic Aid Act’’) was signed into law which allocated an additional $284 billion in funding for the PPP (“Round 2”). The Economic Aid Act reopened the PPP through March 31, 2021 with generally the same terms and conditions as originally enacted under the CARES Act while clarifying eligibility and ineligibility for certain entities and expanding the permitted uses of PPP funds. In addition, the Economic Aid Act simplified the loan forgiveness process for PPP loans of $150,000 or less. The Economic Aid Act also established second draw loans for entities that had already used the initial PPP funds, subject to numerous limitations and eligibility criteria. PPP Round 2 loans are eligible for forgiveness similar to Round 1 PPP loans, subject to limitations set forth in the Economic Aid Act. Round 2 closed on May 31, 2021.</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440" w:type="dxa"/>
            <w:vAlign w:val="bottom"/>
          </w:tcPr>
          <w:p>
            <w:pPr>
              <w:ind w:left="200"/>
              <w:spacing w:after="0"/>
              <w:rPr>
                <w:sz w:val="20"/>
                <w:szCs w:val="20"/>
                <w:color w:val="auto"/>
              </w:rPr>
            </w:pPr>
            <w:r>
              <w:rPr>
                <w:rFonts w:ascii="Arial" w:cs="Arial" w:eastAsia="Arial" w:hAnsi="Arial"/>
                <w:sz w:val="12"/>
                <w:szCs w:val="12"/>
                <w:color w:val="auto"/>
              </w:rPr>
              <w:t>PPP loans outstanding at December 31 follows:</w:t>
            </w:r>
          </w:p>
        </w:tc>
        <w:tc>
          <w:tcPr>
            <w:tcW w:w="1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288"/>
        </w:trPr>
        <w:tc>
          <w:tcPr>
            <w:tcW w:w="4440" w:type="dxa"/>
            <w:vAlign w:val="bottom"/>
          </w:tcPr>
          <w:p>
            <w:pPr>
              <w:spacing w:after="0"/>
              <w:rPr>
                <w:sz w:val="24"/>
                <w:szCs w:val="24"/>
                <w:color w:val="auto"/>
              </w:rPr>
            </w:pPr>
          </w:p>
        </w:tc>
        <w:tc>
          <w:tcPr>
            <w:tcW w:w="1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2021</w:t>
            </w: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2020</w:t>
            </w:r>
          </w:p>
        </w:tc>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r>
      <w:tr>
        <w:trPr>
          <w:trHeight w:val="142"/>
        </w:trPr>
        <w:tc>
          <w:tcPr>
            <w:tcW w:w="4440" w:type="dxa"/>
            <w:vAlign w:val="bottom"/>
          </w:tcPr>
          <w:p>
            <w:pPr>
              <w:spacing w:after="0"/>
              <w:rPr>
                <w:sz w:val="12"/>
                <w:szCs w:val="12"/>
                <w:color w:val="auto"/>
              </w:rPr>
            </w:pPr>
          </w:p>
        </w:tc>
        <w:tc>
          <w:tcPr>
            <w:tcW w:w="120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Amount (#)</w:t>
            </w:r>
          </w:p>
        </w:tc>
        <w:tc>
          <w:tcPr>
            <w:tcW w:w="6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Amount ($)</w:t>
            </w: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Amount (#)</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Amount ($)</w:t>
            </w:r>
          </w:p>
        </w:tc>
        <w:tc>
          <w:tcPr>
            <w:tcW w:w="320" w:type="dxa"/>
            <w:vAlign w:val="bottom"/>
          </w:tcPr>
          <w:p>
            <w:pPr>
              <w:spacing w:after="0"/>
              <w:rPr>
                <w:sz w:val="12"/>
                <w:szCs w:val="12"/>
                <w:color w:val="auto"/>
              </w:rPr>
            </w:pPr>
          </w:p>
        </w:tc>
      </w:tr>
      <w:tr>
        <w:trPr>
          <w:trHeight w:val="142"/>
        </w:trPr>
        <w:tc>
          <w:tcPr>
            <w:tcW w:w="44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60" w:type="dxa"/>
            <w:vAlign w:val="bottom"/>
            <w:gridSpan w:val="4"/>
          </w:tcPr>
          <w:p>
            <w:pPr>
              <w:ind w:left="660"/>
              <w:spacing w:after="0"/>
              <w:rPr>
                <w:sz w:val="20"/>
                <w:szCs w:val="20"/>
                <w:color w:val="auto"/>
              </w:rPr>
            </w:pPr>
            <w:r>
              <w:rPr>
                <w:rFonts w:ascii="Arial" w:cs="Arial" w:eastAsia="Arial" w:hAnsi="Arial"/>
                <w:sz w:val="12"/>
                <w:szCs w:val="12"/>
                <w:color w:val="auto"/>
                <w:w w:val="92"/>
              </w:rPr>
              <w:t>(Dollars in thousands)</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44"/>
        </w:trPr>
        <w:tc>
          <w:tcPr>
            <w:tcW w:w="44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Closed and outstanding - Round 1 loans</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197</w:t>
            </w: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1,483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169,782</w:t>
            </w:r>
          </w:p>
        </w:tc>
      </w:tr>
      <w:tr>
        <w:trPr>
          <w:trHeight w:val="144"/>
        </w:trPr>
        <w:tc>
          <w:tcPr>
            <w:tcW w:w="4440" w:type="dxa"/>
            <w:vAlign w:val="bottom"/>
          </w:tcPr>
          <w:p>
            <w:pPr>
              <w:ind w:left="260"/>
              <w:spacing w:after="0"/>
              <w:rPr>
                <w:sz w:val="20"/>
                <w:szCs w:val="20"/>
                <w:color w:val="auto"/>
              </w:rPr>
            </w:pPr>
            <w:r>
              <w:rPr>
                <w:rFonts w:ascii="Arial" w:cs="Arial" w:eastAsia="Arial" w:hAnsi="Arial"/>
                <w:sz w:val="12"/>
                <w:szCs w:val="12"/>
                <w:color w:val="auto"/>
              </w:rPr>
              <w:t>Closed and outstanding - Round 2 loans</w:t>
            </w:r>
          </w:p>
        </w:tc>
        <w:tc>
          <w:tcPr>
            <w:tcW w:w="1200" w:type="dxa"/>
            <w:vAlign w:val="bottom"/>
          </w:tcPr>
          <w:p>
            <w:pPr>
              <w:jc w:val="right"/>
              <w:spacing w:after="0"/>
              <w:rPr>
                <w:sz w:val="20"/>
                <w:szCs w:val="20"/>
                <w:color w:val="auto"/>
              </w:rPr>
            </w:pPr>
            <w:r>
              <w:rPr>
                <w:rFonts w:ascii="Arial" w:cs="Arial" w:eastAsia="Arial" w:hAnsi="Arial"/>
                <w:sz w:val="12"/>
                <w:szCs w:val="12"/>
                <w:color w:val="auto"/>
              </w:rPr>
              <w:t>180</w:t>
            </w: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0" w:type="dxa"/>
            <w:vAlign w:val="bottom"/>
            <w:gridSpan w:val="3"/>
          </w:tcPr>
          <w:p>
            <w:pPr>
              <w:jc w:val="right"/>
              <w:ind w:right="620"/>
              <w:spacing w:after="0"/>
              <w:rPr>
                <w:sz w:val="20"/>
                <w:szCs w:val="20"/>
                <w:color w:val="auto"/>
              </w:rPr>
            </w:pPr>
            <w:r>
              <w:rPr>
                <w:rFonts w:ascii="Arial" w:cs="Arial" w:eastAsia="Arial" w:hAnsi="Arial"/>
                <w:sz w:val="12"/>
                <w:szCs w:val="12"/>
                <w:color w:val="auto"/>
              </w:rPr>
              <w:t>26,167</w:t>
            </w:r>
          </w:p>
        </w:tc>
        <w:tc>
          <w:tcPr>
            <w:tcW w:w="36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r>
      <w:tr>
        <w:trPr>
          <w:trHeight w:val="182"/>
        </w:trPr>
        <w:tc>
          <w:tcPr>
            <w:tcW w:w="4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2"/>
                <w:szCs w:val="12"/>
                <w:color w:val="auto"/>
              </w:rPr>
              <w:t>Total closed and outstanding</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186</w:t>
            </w:r>
          </w:p>
        </w:tc>
        <w:tc>
          <w:tcPr>
            <w:tcW w:w="64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26,364</w:t>
            </w:r>
          </w:p>
        </w:tc>
        <w:tc>
          <w:tcPr>
            <w:tcW w:w="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1,483</w:t>
            </w:r>
          </w:p>
        </w:tc>
        <w:tc>
          <w:tcPr>
            <w:tcW w:w="2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169,782</w:t>
            </w:r>
          </w:p>
        </w:tc>
        <w:tc>
          <w:tcPr>
            <w:tcW w:w="320" w:type="dxa"/>
            <w:vAlign w:val="bottom"/>
            <w:tcBorders>
              <w:bottom w:val="single" w:sz="8" w:color="CCEEFF"/>
            </w:tcBorders>
            <w:shd w:val="clear" w:color="auto" w:fill="CCEEFF"/>
          </w:tcPr>
          <w:p>
            <w:pPr>
              <w:spacing w:after="0"/>
              <w:rPr>
                <w:sz w:val="15"/>
                <w:szCs w:val="15"/>
                <w:color w:val="auto"/>
              </w:rPr>
            </w:pPr>
          </w:p>
        </w:tc>
      </w:tr>
      <w:tr>
        <w:trPr>
          <w:trHeight w:val="120"/>
        </w:trPr>
        <w:tc>
          <w:tcPr>
            <w:tcW w:w="4440" w:type="dxa"/>
            <w:vAlign w:val="bottom"/>
          </w:tcPr>
          <w:p>
            <w:pPr>
              <w:ind w:left="260"/>
              <w:spacing w:after="0" w:line="120" w:lineRule="exact"/>
              <w:rPr>
                <w:sz w:val="20"/>
                <w:szCs w:val="20"/>
                <w:color w:val="auto"/>
              </w:rPr>
            </w:pPr>
            <w:r>
              <w:rPr>
                <w:rFonts w:ascii="Arial" w:cs="Arial" w:eastAsia="Arial" w:hAnsi="Arial"/>
                <w:sz w:val="12"/>
                <w:szCs w:val="12"/>
                <w:color w:val="auto"/>
              </w:rPr>
              <w:t>Unaccreted net fees remaining at period end</w:t>
            </w:r>
          </w:p>
        </w:tc>
        <w:tc>
          <w:tcPr>
            <w:tcW w:w="1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80" w:type="dxa"/>
            <w:vAlign w:val="bottom"/>
          </w:tcPr>
          <w:p>
            <w:pPr>
              <w:jc w:val="right"/>
              <w:spacing w:after="0" w:line="120"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0"/>
              <w:spacing w:after="0" w:line="120" w:lineRule="exact"/>
              <w:rPr>
                <w:sz w:val="20"/>
                <w:szCs w:val="20"/>
                <w:color w:val="auto"/>
              </w:rPr>
            </w:pPr>
            <w:r>
              <w:rPr>
                <w:rFonts w:ascii="Arial" w:cs="Arial" w:eastAsia="Arial" w:hAnsi="Arial"/>
                <w:sz w:val="12"/>
                <w:szCs w:val="12"/>
                <w:color w:val="auto"/>
              </w:rPr>
              <w:t>806</w:t>
            </w:r>
          </w:p>
        </w:tc>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tcPr>
          <w:p>
            <w:pPr>
              <w:jc w:val="right"/>
              <w:spacing w:after="0" w:line="120" w:lineRule="exact"/>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320"/>
              <w:spacing w:after="0" w:line="120" w:lineRule="exact"/>
              <w:rPr>
                <w:sz w:val="20"/>
                <w:szCs w:val="20"/>
                <w:color w:val="auto"/>
              </w:rPr>
            </w:pPr>
            <w:r>
              <w:rPr>
                <w:rFonts w:ascii="Arial" w:cs="Arial" w:eastAsia="Arial" w:hAnsi="Arial"/>
                <w:sz w:val="12"/>
                <w:szCs w:val="12"/>
                <w:color w:val="auto"/>
              </w:rPr>
              <w:t>3,216</w:t>
            </w:r>
          </w:p>
        </w:tc>
      </w:tr>
      <w:tr>
        <w:trPr>
          <w:trHeight w:val="20"/>
        </w:trPr>
        <w:tc>
          <w:tcPr>
            <w:tcW w:w="4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135" w:lineRule="exact"/>
        <w:rPr>
          <w:sz w:val="20"/>
          <w:szCs w:val="20"/>
          <w:color w:val="auto"/>
        </w:rPr>
      </w:pPr>
    </w:p>
    <w:p>
      <w:pPr>
        <w:jc w:val="both"/>
        <w:ind w:firstLine="208"/>
        <w:spacing w:after="0" w:line="263" w:lineRule="auto"/>
        <w:tabs>
          <w:tab w:leader="none" w:pos="452" w:val="left"/>
        </w:tabs>
        <w:numPr>
          <w:ilvl w:val="0"/>
          <w:numId w:val="30"/>
        </w:numPr>
        <w:rPr>
          <w:rFonts w:ascii="Arial" w:cs="Arial" w:eastAsia="Arial" w:hAnsi="Arial"/>
          <w:sz w:val="12"/>
          <w:szCs w:val="12"/>
          <w:color w:val="auto"/>
        </w:rPr>
      </w:pPr>
      <w:r>
        <w:rPr>
          <w:rFonts w:ascii="Arial" w:cs="Arial" w:eastAsia="Arial" w:hAnsi="Arial"/>
          <w:sz w:val="12"/>
          <w:szCs w:val="12"/>
          <w:color w:val="auto"/>
        </w:rPr>
        <w:t>loans are included in the commercial and industrial class of the commercial loan portfolio segment. As these loans are 100% guaranteed through the SBA the allowance for credit losses recorded on these loans is zero. PPP loans funded totaled $135.5 million, $261.1 million and zero during the years ended December 31, 2021, 2020 and 2019, respectively. Interest and fees on loans in our consolidated statement of operations includes $8.9 million, $5.6 million and zero during the years ended December 31, 2021, 2020 and 2019, respectively related to the accretion of net loan fees on PPP loans.</w:t>
      </w:r>
    </w:p>
    <w:p>
      <w:pPr>
        <w:spacing w:after="0" w:line="73" w:lineRule="exact"/>
        <w:rPr>
          <w:sz w:val="20"/>
          <w:szCs w:val="20"/>
          <w:color w:val="auto"/>
        </w:rPr>
      </w:pPr>
    </w:p>
    <w:p>
      <w:pPr>
        <w:ind w:firstLine="216"/>
        <w:spacing w:after="0" w:line="283" w:lineRule="auto"/>
        <w:rPr>
          <w:sz w:val="20"/>
          <w:szCs w:val="20"/>
          <w:color w:val="auto"/>
        </w:rPr>
      </w:pPr>
      <w:r>
        <w:rPr>
          <w:rFonts w:ascii="Arial" w:cs="Arial" w:eastAsia="Arial" w:hAnsi="Arial"/>
          <w:sz w:val="12"/>
          <w:szCs w:val="12"/>
          <w:b w:val="1"/>
          <w:bCs w:val="1"/>
          <w:color w:val="auto"/>
        </w:rPr>
        <w:t xml:space="preserve">Credit Quality Indicators </w:t>
      </w:r>
      <w:r>
        <w:rPr>
          <w:rFonts w:ascii="Arial" w:cs="Arial" w:eastAsia="Arial" w:hAnsi="Arial"/>
          <w:sz w:val="12"/>
          <w:szCs w:val="12"/>
          <w:color w:val="auto"/>
        </w:rPr>
        <w:t>– As part of our on-going monitoring of the credit quality of our loan portfolios, we track certain credit quality indicators including (a) risk grade of commercial loans, (b) the level of classified</w:t>
      </w:r>
      <w:r>
        <w:rPr>
          <w:rFonts w:ascii="Arial" w:cs="Arial" w:eastAsia="Arial" w:hAnsi="Arial"/>
          <w:sz w:val="12"/>
          <w:szCs w:val="12"/>
          <w:b w:val="1"/>
          <w:bCs w:val="1"/>
          <w:color w:val="auto"/>
        </w:rPr>
        <w:t xml:space="preserve"> </w:t>
      </w:r>
      <w:r>
        <w:rPr>
          <w:rFonts w:ascii="Arial" w:cs="Arial" w:eastAsia="Arial" w:hAnsi="Arial"/>
          <w:sz w:val="12"/>
          <w:szCs w:val="12"/>
          <w:color w:val="auto"/>
        </w:rPr>
        <w:t>commercial loans, (c) credit scores of mortgage and installment loan borrowers, and (d) delinquency history and non-performing loans.</w:t>
      </w:r>
    </w:p>
    <w:p>
      <w:pPr>
        <w:spacing w:after="0" w:line="111" w:lineRule="exact"/>
        <w:rPr>
          <w:sz w:val="20"/>
          <w:szCs w:val="20"/>
          <w:color w:val="auto"/>
        </w:rPr>
      </w:pPr>
    </w:p>
    <w:p>
      <w:pPr>
        <w:ind w:left="200"/>
        <w:spacing w:after="0"/>
        <w:rPr>
          <w:sz w:val="20"/>
          <w:szCs w:val="20"/>
          <w:color w:val="auto"/>
        </w:rPr>
      </w:pPr>
      <w:r>
        <w:rPr>
          <w:rFonts w:ascii="Arial" w:cs="Arial" w:eastAsia="Arial" w:hAnsi="Arial"/>
          <w:sz w:val="10"/>
          <w:szCs w:val="10"/>
          <w:color w:val="auto"/>
        </w:rPr>
        <w:t>For commercial loans, we use a loan rating system that is similar to those employed by state and federal banking regulators. Loans are graded on a scale of 1 to 12. A description of the general characteristics of the ratings follows:</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Rating 1 through 6</w:t>
      </w:r>
      <w:r>
        <w:rPr>
          <w:rFonts w:ascii="Arial" w:cs="Arial" w:eastAsia="Arial" w:hAnsi="Arial"/>
          <w:sz w:val="12"/>
          <w:szCs w:val="12"/>
          <w:color w:val="auto"/>
        </w:rPr>
        <w:t>: These loans are generally referred to as our ‘‘non-watch’’ commercial credits that include very high or exceptional credit fundamentals through acceptable credit fundamentals.</w:t>
      </w:r>
    </w:p>
    <w:p>
      <w:pPr>
        <w:spacing w:after="0" w:line="150" w:lineRule="exact"/>
        <w:rPr>
          <w:sz w:val="20"/>
          <w:szCs w:val="20"/>
          <w:color w:val="auto"/>
        </w:rPr>
      </w:pPr>
    </w:p>
    <w:p>
      <w:pPr>
        <w:ind w:right="20" w:firstLine="216"/>
        <w:spacing w:after="0" w:line="276" w:lineRule="auto"/>
        <w:rPr>
          <w:sz w:val="20"/>
          <w:szCs w:val="20"/>
          <w:color w:val="auto"/>
        </w:rPr>
      </w:pPr>
      <w:r>
        <w:rPr>
          <w:rFonts w:ascii="Arial" w:cs="Arial" w:eastAsia="Arial" w:hAnsi="Arial"/>
          <w:sz w:val="12"/>
          <w:szCs w:val="12"/>
          <w:i w:val="1"/>
          <w:iCs w:val="1"/>
          <w:color w:val="auto"/>
        </w:rPr>
        <w:t>Rating 7 and 8</w:t>
      </w:r>
      <w:r>
        <w:rPr>
          <w:rFonts w:ascii="Arial" w:cs="Arial" w:eastAsia="Arial" w:hAnsi="Arial"/>
          <w:sz w:val="12"/>
          <w:szCs w:val="12"/>
          <w:color w:val="auto"/>
        </w:rPr>
        <w:t>: These loans are generally referred to as our ‘‘watch’’ commercial credits. These ratings include loans to borrowers that exhibit potential credit weakness or downward trends. If not checked or cured these trends</w:t>
      </w:r>
      <w:r>
        <w:rPr>
          <w:rFonts w:ascii="Arial" w:cs="Arial" w:eastAsia="Arial" w:hAnsi="Arial"/>
          <w:sz w:val="12"/>
          <w:szCs w:val="12"/>
          <w:i w:val="1"/>
          <w:iCs w:val="1"/>
          <w:color w:val="auto"/>
        </w:rPr>
        <w:t xml:space="preserve"> </w:t>
      </w:r>
      <w:r>
        <w:rPr>
          <w:rFonts w:ascii="Arial" w:cs="Arial" w:eastAsia="Arial" w:hAnsi="Arial"/>
          <w:sz w:val="12"/>
          <w:szCs w:val="12"/>
          <w:color w:val="auto"/>
        </w:rPr>
        <w:t>could weaken our asset or credit position. While potentially weak, no loss of principal or interest is envisioned with these ratings.</w:t>
      </w:r>
    </w:p>
    <w:p>
      <w:pPr>
        <w:spacing w:after="0" w:line="115"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i w:val="1"/>
          <w:iCs w:val="1"/>
          <w:color w:val="auto"/>
        </w:rPr>
        <w:t>Rating 9</w:t>
      </w:r>
      <w:r>
        <w:rPr>
          <w:rFonts w:ascii="Arial" w:cs="Arial" w:eastAsia="Arial" w:hAnsi="Arial"/>
          <w:sz w:val="12"/>
          <w:szCs w:val="12"/>
          <w:color w:val="auto"/>
        </w:rPr>
        <w:t>: These loans are generally referred to as our ‘‘substandard accruing’’ commercial credits. This rating includes loans to borrowers that exhibit a well-defined weakness where payment default is probable and loss is possible</w:t>
      </w:r>
      <w:r>
        <w:rPr>
          <w:rFonts w:ascii="Arial" w:cs="Arial" w:eastAsia="Arial" w:hAnsi="Arial"/>
          <w:sz w:val="12"/>
          <w:szCs w:val="12"/>
          <w:i w:val="1"/>
          <w:iCs w:val="1"/>
          <w:color w:val="auto"/>
        </w:rPr>
        <w:t xml:space="preserve"> </w:t>
      </w:r>
      <w:r>
        <w:rPr>
          <w:rFonts w:ascii="Arial" w:cs="Arial" w:eastAsia="Arial" w:hAnsi="Arial"/>
          <w:sz w:val="12"/>
          <w:szCs w:val="12"/>
          <w:color w:val="auto"/>
        </w:rPr>
        <w:t>if deficiencies are not corrected. Generally, loans with this rating are considered collectible as to both principal and interest primarily due to collateral coverage.</w:t>
      </w:r>
    </w:p>
    <w:p>
      <w:pPr>
        <w:spacing w:after="0" w:line="115"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i w:val="1"/>
          <w:iCs w:val="1"/>
          <w:color w:val="auto"/>
        </w:rPr>
        <w:t>Rating 10 and 11</w:t>
      </w:r>
      <w:r>
        <w:rPr>
          <w:rFonts w:ascii="Arial" w:cs="Arial" w:eastAsia="Arial" w:hAnsi="Arial"/>
          <w:sz w:val="12"/>
          <w:szCs w:val="12"/>
          <w:color w:val="auto"/>
        </w:rPr>
        <w:t>: These loans are generally referred to as our ‘‘substandard - non-accrual’’ and ‘‘doubtful’’ commercial credits. These ratings include loans to borrowers with weaknesses that make collection of debt in full, on the</w:t>
      </w:r>
      <w:r>
        <w:rPr>
          <w:rFonts w:ascii="Arial" w:cs="Arial" w:eastAsia="Arial" w:hAnsi="Arial"/>
          <w:sz w:val="12"/>
          <w:szCs w:val="12"/>
          <w:i w:val="1"/>
          <w:iCs w:val="1"/>
          <w:color w:val="auto"/>
        </w:rPr>
        <w:t xml:space="preserve"> </w:t>
      </w:r>
      <w:r>
        <w:rPr>
          <w:rFonts w:ascii="Arial" w:cs="Arial" w:eastAsia="Arial" w:hAnsi="Arial"/>
          <w:sz w:val="12"/>
          <w:szCs w:val="12"/>
          <w:color w:val="auto"/>
        </w:rPr>
        <w:t>basis of current facts, conditions and values at best questionable and at worst improbable. All of these loans are placed in non-accrual.</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57"/>
        </w:trPr>
        <w:tc>
          <w:tcPr>
            <w:tcW w:w="1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180" w:type="dxa"/>
            <w:vAlign w:val="bottom"/>
            <w:gridSpan w:val="17"/>
          </w:tcPr>
          <w:p>
            <w:pPr>
              <w:jc w:val="right"/>
              <w:ind w:right="120"/>
              <w:spacing w:after="0"/>
              <w:rPr>
                <w:sz w:val="20"/>
                <w:szCs w:val="20"/>
                <w:color w:val="auto"/>
              </w:rPr>
            </w:pPr>
            <w:r>
              <w:rPr>
                <w:rFonts w:ascii="Arial" w:cs="Arial" w:eastAsia="Arial" w:hAnsi="Arial"/>
                <w:sz w:val="12"/>
                <w:szCs w:val="12"/>
                <w:b w:val="1"/>
                <w:bCs w:val="1"/>
                <w:color w:val="auto"/>
              </w:rPr>
              <w:t>NOTES TO CONSOLIDATED FINANCIAL STATEMENTS − (Continued)</w:t>
            </w: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9060" w:type="dxa"/>
            <w:vAlign w:val="bottom"/>
            <w:gridSpan w:val="29"/>
          </w:tcPr>
          <w:p>
            <w:pPr>
              <w:ind w:left="200"/>
              <w:spacing w:after="0"/>
              <w:rPr>
                <w:sz w:val="20"/>
                <w:szCs w:val="20"/>
                <w:color w:val="auto"/>
              </w:rPr>
            </w:pPr>
            <w:r>
              <w:rPr>
                <w:rFonts w:ascii="Arial" w:cs="Arial" w:eastAsia="Arial" w:hAnsi="Arial"/>
                <w:sz w:val="12"/>
                <w:szCs w:val="12"/>
                <w:i w:val="1"/>
                <w:iCs w:val="1"/>
                <w:color w:val="auto"/>
                <w:w w:val="90"/>
              </w:rPr>
              <w:t>Rating 12</w:t>
            </w:r>
            <w:r>
              <w:rPr>
                <w:rFonts w:ascii="Arial" w:cs="Arial" w:eastAsia="Arial" w:hAnsi="Arial"/>
                <w:sz w:val="12"/>
                <w:szCs w:val="12"/>
                <w:color w:val="auto"/>
                <w:w w:val="90"/>
              </w:rPr>
              <w:t>: These loans are generally referred to as our ‘‘loss’’ commercial credits. This rating includes loans to borrowers that are deemed incapable of repayment and are charged-off.</w:t>
            </w: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6220" w:type="dxa"/>
            <w:vAlign w:val="bottom"/>
            <w:gridSpan w:val="16"/>
          </w:tcPr>
          <w:p>
            <w:pPr>
              <w:ind w:left="200"/>
              <w:spacing w:after="0"/>
              <w:rPr>
                <w:sz w:val="20"/>
                <w:szCs w:val="20"/>
                <w:color w:val="auto"/>
              </w:rPr>
            </w:pPr>
            <w:r>
              <w:rPr>
                <w:rFonts w:ascii="Arial" w:cs="Arial" w:eastAsia="Arial" w:hAnsi="Arial"/>
                <w:sz w:val="12"/>
                <w:szCs w:val="12"/>
                <w:color w:val="231F20"/>
                <w:w w:val="91"/>
              </w:rPr>
              <w:t>The following table summarizes loan ratings by loan class for our commercial loan portfolio segment at December 31, 2021:</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8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2"/>
                <w:szCs w:val="12"/>
                <w:color w:val="auto"/>
                <w:w w:val="99"/>
              </w:rPr>
              <w:t>Commercial</w:t>
            </w:r>
          </w:p>
        </w:tc>
        <w:tc>
          <w:tcPr>
            <w:tcW w:w="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gridSpan w:val="4"/>
          </w:tcPr>
          <w:p>
            <w:pPr>
              <w:jc w:val="center"/>
              <w:ind w:right="380"/>
              <w:spacing w:after="0" w:line="133" w:lineRule="exact"/>
              <w:rPr>
                <w:sz w:val="20"/>
                <w:szCs w:val="20"/>
                <w:color w:val="auto"/>
              </w:rPr>
            </w:pPr>
            <w:r>
              <w:rPr>
                <w:rFonts w:ascii="Arial" w:cs="Arial" w:eastAsia="Arial" w:hAnsi="Arial"/>
                <w:sz w:val="12"/>
                <w:szCs w:val="12"/>
                <w:color w:val="auto"/>
                <w:w w:val="94"/>
              </w:rPr>
              <w:t>Revolving</w:t>
            </w:r>
          </w:p>
        </w:tc>
        <w:tc>
          <w:tcPr>
            <w:tcW w:w="0" w:type="dxa"/>
            <w:vAlign w:val="bottom"/>
          </w:tcPr>
          <w:p>
            <w:pPr>
              <w:spacing w:after="0"/>
              <w:rPr>
                <w:sz w:val="1"/>
                <w:szCs w:val="1"/>
                <w:color w:val="auto"/>
              </w:rPr>
            </w:pPr>
          </w:p>
        </w:tc>
      </w:tr>
      <w:tr>
        <w:trPr>
          <w:trHeight w:val="144"/>
        </w:trPr>
        <w:tc>
          <w:tcPr>
            <w:tcW w:w="1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40" w:type="dxa"/>
            <w:vAlign w:val="bottom"/>
            <w:gridSpan w:val="13"/>
            <w:vMerge w:val="restart"/>
          </w:tcPr>
          <w:p>
            <w:pPr>
              <w:ind w:left="400"/>
              <w:spacing w:after="0"/>
              <w:rPr>
                <w:sz w:val="20"/>
                <w:szCs w:val="20"/>
                <w:color w:val="auto"/>
              </w:rPr>
            </w:pPr>
            <w:r>
              <w:rPr>
                <w:rFonts w:ascii="Arial" w:cs="Arial" w:eastAsia="Arial" w:hAnsi="Arial"/>
                <w:sz w:val="12"/>
                <w:szCs w:val="12"/>
                <w:color w:val="auto"/>
                <w:w w:val="97"/>
              </w:rPr>
              <w:t>Term Loans Amortized Cost Basis by Origination Year</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4"/>
          </w:tcPr>
          <w:p>
            <w:pPr>
              <w:jc w:val="center"/>
              <w:ind w:right="380"/>
              <w:spacing w:after="0"/>
              <w:rPr>
                <w:sz w:val="20"/>
                <w:szCs w:val="20"/>
                <w:color w:val="auto"/>
              </w:rPr>
            </w:pPr>
            <w:r>
              <w:rPr>
                <w:rFonts w:ascii="Arial" w:cs="Arial" w:eastAsia="Arial" w:hAnsi="Arial"/>
                <w:sz w:val="12"/>
                <w:szCs w:val="12"/>
                <w:color w:val="auto"/>
                <w:w w:val="91"/>
              </w:rPr>
              <w:t>Loans</w:t>
            </w:r>
          </w:p>
        </w:tc>
        <w:tc>
          <w:tcPr>
            <w:tcW w:w="0" w:type="dxa"/>
            <w:vAlign w:val="bottom"/>
          </w:tcPr>
          <w:p>
            <w:pPr>
              <w:spacing w:after="0"/>
              <w:rPr>
                <w:sz w:val="1"/>
                <w:szCs w:val="1"/>
                <w:color w:val="auto"/>
              </w:rPr>
            </w:pPr>
          </w:p>
        </w:tc>
      </w:tr>
      <w:tr>
        <w:trPr>
          <w:trHeight w:val="135"/>
        </w:trPr>
        <w:tc>
          <w:tcPr>
            <w:tcW w:w="186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240" w:type="dxa"/>
            <w:vAlign w:val="bottom"/>
            <w:tcBorders>
              <w:bottom w:val="single" w:sz="8" w:color="auto"/>
            </w:tcBorders>
            <w:gridSpan w:val="13"/>
            <w:vMerge w:val="continue"/>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gridSpan w:val="4"/>
          </w:tcPr>
          <w:p>
            <w:pPr>
              <w:jc w:val="center"/>
              <w:ind w:right="360"/>
              <w:spacing w:after="0" w:line="135" w:lineRule="exact"/>
              <w:rPr>
                <w:sz w:val="20"/>
                <w:szCs w:val="20"/>
                <w:color w:val="auto"/>
              </w:rPr>
            </w:pPr>
            <w:r>
              <w:rPr>
                <w:rFonts w:ascii="Arial" w:cs="Arial" w:eastAsia="Arial" w:hAnsi="Arial"/>
                <w:sz w:val="12"/>
                <w:szCs w:val="12"/>
                <w:color w:val="auto"/>
                <w:w w:val="96"/>
              </w:rPr>
              <w:t>Amortized</w:t>
            </w:r>
          </w:p>
        </w:tc>
        <w:tc>
          <w:tcPr>
            <w:tcW w:w="0" w:type="dxa"/>
            <w:vAlign w:val="bottom"/>
          </w:tcPr>
          <w:p>
            <w:pPr>
              <w:spacing w:after="0"/>
              <w:rPr>
                <w:sz w:val="1"/>
                <w:szCs w:val="1"/>
                <w:color w:val="auto"/>
              </w:rPr>
            </w:pPr>
          </w:p>
        </w:tc>
      </w:tr>
      <w:tr>
        <w:trPr>
          <w:trHeight w:val="142"/>
        </w:trPr>
        <w:tc>
          <w:tcPr>
            <w:tcW w:w="18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rPr>
              <w:t>2021</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rPr>
              <w:t>2020</w:t>
            </w:r>
          </w:p>
        </w:tc>
        <w:tc>
          <w:tcPr>
            <w:tcW w:w="5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ind w:left="80"/>
              <w:spacing w:after="0"/>
              <w:rPr>
                <w:sz w:val="20"/>
                <w:szCs w:val="20"/>
                <w:color w:val="auto"/>
              </w:rPr>
            </w:pPr>
            <w:r>
              <w:rPr>
                <w:rFonts w:ascii="Arial" w:cs="Arial" w:eastAsia="Arial" w:hAnsi="Arial"/>
                <w:sz w:val="12"/>
                <w:szCs w:val="12"/>
                <w:color w:val="auto"/>
              </w:rPr>
              <w:t>2019</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rPr>
              <w:t>2018</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2017</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rPr>
              <w:t>Prior</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0"/>
              </w:rPr>
              <w:t>Cost Basis</w:t>
            </w:r>
          </w:p>
        </w:tc>
        <w:tc>
          <w:tcPr>
            <w:tcW w:w="30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860" w:type="dxa"/>
            <w:vAlign w:val="bottom"/>
            <w:vMerge w:val="restart"/>
          </w:tcPr>
          <w:p>
            <w:pPr>
              <w:ind w:left="200"/>
              <w:spacing w:after="0"/>
              <w:rPr>
                <w:sz w:val="20"/>
                <w:szCs w:val="20"/>
                <w:color w:val="auto"/>
              </w:rPr>
            </w:pPr>
            <w:r>
              <w:rPr>
                <w:rFonts w:ascii="Arial" w:cs="Arial" w:eastAsia="Arial" w:hAnsi="Arial"/>
                <w:sz w:val="12"/>
                <w:szCs w:val="12"/>
                <w:color w:val="auto"/>
              </w:rPr>
              <w:t>December 31, 2021</w:t>
            </w: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gridSpan w:val="5"/>
          </w:tcPr>
          <w:p>
            <w:pPr>
              <w:jc w:val="right"/>
              <w:ind w:right="80"/>
              <w:spacing w:after="0"/>
              <w:rPr>
                <w:sz w:val="20"/>
                <w:szCs w:val="20"/>
                <w:color w:val="auto"/>
              </w:rPr>
            </w:pPr>
            <w:r>
              <w:rPr>
                <w:rFonts w:ascii="Arial" w:cs="Arial" w:eastAsia="Arial" w:hAnsi="Arial"/>
                <w:sz w:val="12"/>
                <w:szCs w:val="12"/>
                <w:color w:val="auto"/>
                <w:w w:val="88"/>
              </w:rPr>
              <w:t>(In thousands)</w:t>
            </w: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86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860" w:type="dxa"/>
            <w:vAlign w:val="bottom"/>
          </w:tcPr>
          <w:p>
            <w:pPr>
              <w:ind w:left="320"/>
              <w:spacing w:after="0"/>
              <w:rPr>
                <w:sz w:val="20"/>
                <w:szCs w:val="20"/>
                <w:color w:val="auto"/>
              </w:rPr>
            </w:pPr>
            <w:r>
              <w:rPr>
                <w:rFonts w:ascii="Arial" w:cs="Arial" w:eastAsia="Arial" w:hAnsi="Arial"/>
                <w:sz w:val="12"/>
                <w:szCs w:val="12"/>
                <w:color w:val="auto"/>
              </w:rPr>
              <w:t>Commercial and industrial</w:t>
            </w: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860" w:type="dxa"/>
            <w:vAlign w:val="bottom"/>
            <w:shd w:val="clear" w:color="auto" w:fill="CCEEFF"/>
          </w:tcPr>
          <w:p>
            <w:pPr>
              <w:ind w:left="320"/>
              <w:spacing w:after="0"/>
              <w:rPr>
                <w:sz w:val="20"/>
                <w:szCs w:val="20"/>
                <w:color w:val="auto"/>
              </w:rPr>
            </w:pPr>
            <w:r>
              <w:rPr>
                <w:rFonts w:ascii="Arial" w:cs="Arial" w:eastAsia="Arial" w:hAnsi="Arial"/>
                <w:sz w:val="12"/>
                <w:szCs w:val="12"/>
                <w:color w:val="auto"/>
              </w:rPr>
              <w:t>Non-watch (1-6)</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121,917</w:t>
            </w: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69,856</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ind w:left="8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56,984</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44,827</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38,307</w:t>
            </w: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96,261</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144,579</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60" w:type="dxa"/>
            <w:vAlign w:val="bottom"/>
          </w:tcPr>
          <w:p>
            <w:pPr>
              <w:ind w:left="320"/>
              <w:spacing w:after="0"/>
              <w:rPr>
                <w:sz w:val="20"/>
                <w:szCs w:val="20"/>
                <w:color w:val="auto"/>
              </w:rPr>
            </w:pPr>
            <w:r>
              <w:rPr>
                <w:rFonts w:ascii="Arial" w:cs="Arial" w:eastAsia="Arial" w:hAnsi="Arial"/>
                <w:sz w:val="12"/>
                <w:szCs w:val="12"/>
                <w:color w:val="auto"/>
              </w:rPr>
              <w:t>Watch (7-8)</w:t>
            </w:r>
          </w:p>
        </w:tc>
        <w:tc>
          <w:tcPr>
            <w:tcW w:w="340" w:type="dxa"/>
            <w:vAlign w:val="bottom"/>
          </w:tcPr>
          <w:p>
            <w:pPr>
              <w:spacing w:after="0"/>
              <w:rPr>
                <w:sz w:val="12"/>
                <w:szCs w:val="12"/>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rPr>
              <w:t>81</w:t>
            </w: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532</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1,294</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2"/>
                <w:szCs w:val="12"/>
                <w:color w:val="auto"/>
              </w:rPr>
              <w:t>362</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6,274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476</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60" w:type="dxa"/>
            <w:vAlign w:val="bottom"/>
            <w:shd w:val="clear" w:color="auto" w:fill="CCEEFF"/>
          </w:tcPr>
          <w:p>
            <w:pPr>
              <w:ind w:left="320"/>
              <w:spacing w:after="0"/>
              <w:rPr>
                <w:sz w:val="20"/>
                <w:szCs w:val="20"/>
                <w:color w:val="auto"/>
              </w:rPr>
            </w:pPr>
            <w:r>
              <w:rPr>
                <w:rFonts w:ascii="Arial" w:cs="Arial" w:eastAsia="Arial" w:hAnsi="Arial"/>
                <w:sz w:val="12"/>
                <w:szCs w:val="12"/>
                <w:color w:val="auto"/>
              </w:rPr>
              <w:t>Substandard Accrual (9)</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1,569</w:t>
            </w: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2</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1,159</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247</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1,530</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6,793</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60" w:type="dxa"/>
            <w:vAlign w:val="bottom"/>
          </w:tcPr>
          <w:p>
            <w:pPr>
              <w:ind w:left="320"/>
              <w:spacing w:after="0"/>
              <w:rPr>
                <w:sz w:val="20"/>
                <w:szCs w:val="20"/>
                <w:color w:val="auto"/>
              </w:rPr>
            </w:pPr>
            <w:r>
              <w:rPr>
                <w:rFonts w:ascii="Arial" w:cs="Arial" w:eastAsia="Arial" w:hAnsi="Arial"/>
                <w:sz w:val="12"/>
                <w:szCs w:val="12"/>
                <w:color w:val="auto"/>
              </w:rPr>
              <w:t>Non-Accrual (10-11)</w:t>
            </w:r>
          </w:p>
        </w:tc>
        <w:tc>
          <w:tcPr>
            <w:tcW w:w="340" w:type="dxa"/>
            <w:vAlign w:val="bottom"/>
          </w:tcPr>
          <w:p>
            <w:pPr>
              <w:spacing w:after="0"/>
              <w:rPr>
                <w:sz w:val="12"/>
                <w:szCs w:val="12"/>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62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60" w:type="dxa"/>
            <w:vAlign w:val="bottom"/>
            <w:shd w:val="clear" w:color="auto" w:fill="CCEEFF"/>
          </w:tcPr>
          <w:p>
            <w:pPr>
              <w:ind w:left="420"/>
              <w:spacing w:after="0"/>
              <w:rPr>
                <w:sz w:val="20"/>
                <w:szCs w:val="20"/>
                <w:color w:val="auto"/>
              </w:rPr>
            </w:pPr>
            <w:r>
              <w:rPr>
                <w:rFonts w:ascii="Arial" w:cs="Arial" w:eastAsia="Arial" w:hAnsi="Arial"/>
                <w:sz w:val="12"/>
                <w:szCs w:val="12"/>
                <w:color w:val="auto"/>
              </w:rPr>
              <w:t>Total</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123,567</w:t>
            </w:r>
          </w:p>
        </w:tc>
        <w:tc>
          <w:tcPr>
            <w:tcW w:w="480" w:type="dxa"/>
            <w:vAlign w:val="bottom"/>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69,858</w:t>
            </w:r>
          </w:p>
        </w:tc>
        <w:tc>
          <w:tcPr>
            <w:tcW w:w="50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2"/>
                <w:szCs w:val="12"/>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58,675</w:t>
            </w: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46,368</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38,669</w:t>
            </w: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104,127</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151,848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1860" w:type="dxa"/>
            <w:vAlign w:val="bottom"/>
            <w:tcBorders>
              <w:top w:val="single" w:sz="8" w:color="CCEEFF"/>
            </w:tcBorders>
          </w:tcPr>
          <w:p>
            <w:pPr>
              <w:jc w:val="right"/>
              <w:ind w:right="440"/>
              <w:spacing w:after="0" w:line="111" w:lineRule="exact"/>
              <w:rPr>
                <w:sz w:val="20"/>
                <w:szCs w:val="20"/>
                <w:color w:val="auto"/>
              </w:rPr>
            </w:pPr>
            <w:r>
              <w:rPr>
                <w:rFonts w:ascii="Arial" w:cs="Arial" w:eastAsia="Arial" w:hAnsi="Arial"/>
                <w:sz w:val="12"/>
                <w:szCs w:val="12"/>
                <w:color w:val="auto"/>
                <w:w w:val="97"/>
              </w:rPr>
              <w:t>Accrued interest excluded</w:t>
            </w:r>
          </w:p>
        </w:tc>
        <w:tc>
          <w:tcPr>
            <w:tcW w:w="3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480" w:type="dxa"/>
            <w:vAlign w:val="bottom"/>
            <w:tcBorders>
              <w:top w:val="single" w:sz="8" w:color="CCEEFF"/>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500" w:type="dxa"/>
            <w:vAlign w:val="bottom"/>
            <w:tcBorders>
              <w:top w:val="single" w:sz="8" w:color="CCEEFF"/>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4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60" w:type="dxa"/>
            <w:vAlign w:val="bottom"/>
            <w:tcBorders>
              <w:top w:val="single" w:sz="8" w:color="CCEEFF"/>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40" w:type="dxa"/>
            <w:vAlign w:val="bottom"/>
            <w:tcBorders>
              <w:top w:val="single" w:sz="8" w:color="CCEEFF"/>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40" w:type="dxa"/>
            <w:vAlign w:val="bottom"/>
            <w:tcBorders>
              <w:top w:val="single" w:sz="8" w:color="CCEEFF"/>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80" w:type="dxa"/>
            <w:vAlign w:val="bottom"/>
            <w:tcBorders>
              <w:top w:val="single" w:sz="8" w:color="CCEEFF"/>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60" w:type="dxa"/>
            <w:vAlign w:val="bottom"/>
            <w:tcBorders>
              <w:top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860" w:type="dxa"/>
            <w:vAlign w:val="bottom"/>
          </w:tcPr>
          <w:p>
            <w:pPr>
              <w:ind w:left="200"/>
              <w:spacing w:after="0"/>
              <w:rPr>
                <w:sz w:val="20"/>
                <w:szCs w:val="20"/>
                <w:color w:val="auto"/>
              </w:rPr>
            </w:pPr>
            <w:r>
              <w:rPr>
                <w:rFonts w:ascii="Arial" w:cs="Arial" w:eastAsia="Arial" w:hAnsi="Arial"/>
                <w:sz w:val="12"/>
                <w:szCs w:val="12"/>
                <w:color w:val="auto"/>
              </w:rPr>
              <w:t>from total</w:t>
            </w: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rPr>
              <w:t>314</w:t>
            </w:r>
          </w:p>
        </w:tc>
        <w:tc>
          <w:tcPr>
            <w:tcW w:w="480" w:type="dxa"/>
            <w:vAlign w:val="bottom"/>
          </w:tcPr>
          <w:p>
            <w:pPr>
              <w:spacing w:after="0"/>
              <w:rPr>
                <w:sz w:val="13"/>
                <w:szCs w:val="13"/>
                <w:color w:val="auto"/>
              </w:rPr>
            </w:pPr>
          </w:p>
        </w:tc>
        <w:tc>
          <w:tcPr>
            <w:tcW w:w="36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2"/>
                <w:szCs w:val="12"/>
                <w:color w:val="auto"/>
              </w:rPr>
              <w:t>153</w:t>
            </w:r>
          </w:p>
        </w:tc>
        <w:tc>
          <w:tcPr>
            <w:tcW w:w="140" w:type="dxa"/>
            <w:vAlign w:val="bottom"/>
          </w:tcPr>
          <w:p>
            <w:pPr>
              <w:spacing w:after="0"/>
              <w:rPr>
                <w:sz w:val="13"/>
                <w:szCs w:val="13"/>
                <w:color w:val="auto"/>
              </w:rPr>
            </w:pPr>
          </w:p>
        </w:tc>
        <w:tc>
          <w:tcPr>
            <w:tcW w:w="220" w:type="dxa"/>
            <w:vAlign w:val="bottom"/>
          </w:tcPr>
          <w:p>
            <w:pPr>
              <w:ind w:left="8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105</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229</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2"/>
                <w:szCs w:val="12"/>
                <w:color w:val="auto"/>
              </w:rPr>
              <w:t>90</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240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242</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18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860" w:type="dxa"/>
            <w:vAlign w:val="bottom"/>
          </w:tcPr>
          <w:p>
            <w:pPr>
              <w:ind w:left="320"/>
              <w:spacing w:after="0"/>
              <w:rPr>
                <w:sz w:val="20"/>
                <w:szCs w:val="20"/>
                <w:color w:val="auto"/>
              </w:rPr>
            </w:pPr>
            <w:r>
              <w:rPr>
                <w:rFonts w:ascii="Arial" w:cs="Arial" w:eastAsia="Arial" w:hAnsi="Arial"/>
                <w:sz w:val="12"/>
                <w:szCs w:val="12"/>
                <w:color w:val="auto"/>
              </w:rPr>
              <w:t>Commercial real estate</w:t>
            </w: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60" w:type="dxa"/>
            <w:vAlign w:val="bottom"/>
            <w:shd w:val="clear" w:color="auto" w:fill="CCEEFF"/>
          </w:tcPr>
          <w:p>
            <w:pPr>
              <w:ind w:left="320"/>
              <w:spacing w:after="0"/>
              <w:rPr>
                <w:sz w:val="20"/>
                <w:szCs w:val="20"/>
                <w:color w:val="auto"/>
              </w:rPr>
            </w:pPr>
            <w:r>
              <w:rPr>
                <w:rFonts w:ascii="Arial" w:cs="Arial" w:eastAsia="Arial" w:hAnsi="Arial"/>
                <w:sz w:val="12"/>
                <w:szCs w:val="12"/>
                <w:color w:val="auto"/>
              </w:rPr>
              <w:t>Non-watch (1-6)</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123,330</w:t>
            </w: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55,479</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ind w:left="8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108,056</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75,828</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39,123</w:t>
            </w: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160,199</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31,551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60" w:type="dxa"/>
            <w:vAlign w:val="bottom"/>
          </w:tcPr>
          <w:p>
            <w:pPr>
              <w:ind w:left="320"/>
              <w:spacing w:after="0"/>
              <w:rPr>
                <w:sz w:val="20"/>
                <w:szCs w:val="20"/>
                <w:color w:val="auto"/>
              </w:rPr>
            </w:pPr>
            <w:r>
              <w:rPr>
                <w:rFonts w:ascii="Arial" w:cs="Arial" w:eastAsia="Arial" w:hAnsi="Arial"/>
                <w:sz w:val="12"/>
                <w:szCs w:val="12"/>
                <w:color w:val="auto"/>
              </w:rPr>
              <w:t>Watch (7-8)</w:t>
            </w:r>
          </w:p>
        </w:tc>
        <w:tc>
          <w:tcPr>
            <w:tcW w:w="340" w:type="dxa"/>
            <w:vAlign w:val="bottom"/>
          </w:tcPr>
          <w:p>
            <w:pPr>
              <w:spacing w:after="0"/>
              <w:rPr>
                <w:sz w:val="12"/>
                <w:szCs w:val="12"/>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2"/>
                <w:szCs w:val="12"/>
                <w:color w:val="auto"/>
              </w:rPr>
              <w:t>324</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3,028</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7,678</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2"/>
                <w:szCs w:val="12"/>
                <w:color w:val="auto"/>
              </w:rPr>
              <w:t>1,708</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1,423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60" w:type="dxa"/>
            <w:vAlign w:val="bottom"/>
            <w:shd w:val="clear" w:color="auto" w:fill="CCEEFF"/>
          </w:tcPr>
          <w:p>
            <w:pPr>
              <w:ind w:left="320"/>
              <w:spacing w:after="0"/>
              <w:rPr>
                <w:sz w:val="20"/>
                <w:szCs w:val="20"/>
                <w:color w:val="auto"/>
              </w:rPr>
            </w:pPr>
            <w:r>
              <w:rPr>
                <w:rFonts w:ascii="Arial" w:cs="Arial" w:eastAsia="Arial" w:hAnsi="Arial"/>
                <w:sz w:val="12"/>
                <w:szCs w:val="12"/>
                <w:color w:val="auto"/>
              </w:rPr>
              <w:t>Substandard Accrual (9)</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441</w:t>
            </w: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1,193</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1,108</w:t>
            </w: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60" w:type="dxa"/>
            <w:vAlign w:val="bottom"/>
          </w:tcPr>
          <w:p>
            <w:pPr>
              <w:ind w:left="320"/>
              <w:spacing w:after="0"/>
              <w:rPr>
                <w:sz w:val="20"/>
                <w:szCs w:val="20"/>
                <w:color w:val="auto"/>
              </w:rPr>
            </w:pPr>
            <w:r>
              <w:rPr>
                <w:rFonts w:ascii="Arial" w:cs="Arial" w:eastAsia="Arial" w:hAnsi="Arial"/>
                <w:sz w:val="12"/>
                <w:szCs w:val="12"/>
                <w:color w:val="auto"/>
              </w:rPr>
              <w:t>Non-Accrual (10-11)</w:t>
            </w:r>
          </w:p>
        </w:tc>
        <w:tc>
          <w:tcPr>
            <w:tcW w:w="340" w:type="dxa"/>
            <w:vAlign w:val="bottom"/>
          </w:tcPr>
          <w:p>
            <w:pPr>
              <w:spacing w:after="0"/>
              <w:rPr>
                <w:sz w:val="12"/>
                <w:szCs w:val="12"/>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60" w:type="dxa"/>
            <w:vAlign w:val="bottom"/>
            <w:shd w:val="clear" w:color="auto" w:fill="CCEEFF"/>
          </w:tcPr>
          <w:p>
            <w:pPr>
              <w:ind w:left="420"/>
              <w:spacing w:after="0"/>
              <w:rPr>
                <w:sz w:val="20"/>
                <w:szCs w:val="20"/>
                <w:color w:val="auto"/>
              </w:rPr>
            </w:pPr>
            <w:r>
              <w:rPr>
                <w:rFonts w:ascii="Arial" w:cs="Arial" w:eastAsia="Arial" w:hAnsi="Arial"/>
                <w:sz w:val="12"/>
                <w:szCs w:val="12"/>
                <w:color w:val="auto"/>
              </w:rPr>
              <w:t>Total</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123,771</w:t>
            </w:r>
          </w:p>
        </w:tc>
        <w:tc>
          <w:tcPr>
            <w:tcW w:w="480" w:type="dxa"/>
            <w:vAlign w:val="bottom"/>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55,803</w:t>
            </w:r>
          </w:p>
        </w:tc>
        <w:tc>
          <w:tcPr>
            <w:tcW w:w="50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2"/>
                <w:szCs w:val="12"/>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111,084</w:t>
            </w: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84,699</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41,939</w:t>
            </w: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161,622</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31,551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1860" w:type="dxa"/>
            <w:vAlign w:val="bottom"/>
            <w:tcBorders>
              <w:top w:val="single" w:sz="8" w:color="CCEEFF"/>
            </w:tcBorders>
          </w:tcPr>
          <w:p>
            <w:pPr>
              <w:jc w:val="right"/>
              <w:ind w:right="440"/>
              <w:spacing w:after="0" w:line="111" w:lineRule="exact"/>
              <w:rPr>
                <w:sz w:val="20"/>
                <w:szCs w:val="20"/>
                <w:color w:val="auto"/>
              </w:rPr>
            </w:pPr>
            <w:r>
              <w:rPr>
                <w:rFonts w:ascii="Arial" w:cs="Arial" w:eastAsia="Arial" w:hAnsi="Arial"/>
                <w:sz w:val="12"/>
                <w:szCs w:val="12"/>
                <w:color w:val="auto"/>
                <w:w w:val="97"/>
              </w:rPr>
              <w:t>Accrued interest excluded</w:t>
            </w:r>
          </w:p>
        </w:tc>
        <w:tc>
          <w:tcPr>
            <w:tcW w:w="3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480" w:type="dxa"/>
            <w:vAlign w:val="bottom"/>
            <w:tcBorders>
              <w:top w:val="single" w:sz="8" w:color="CCEEFF"/>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500" w:type="dxa"/>
            <w:vAlign w:val="bottom"/>
            <w:tcBorders>
              <w:top w:val="single" w:sz="8" w:color="CCEEFF"/>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4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60" w:type="dxa"/>
            <w:vAlign w:val="bottom"/>
            <w:tcBorders>
              <w:top w:val="single" w:sz="8" w:color="CCEEFF"/>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40" w:type="dxa"/>
            <w:vAlign w:val="bottom"/>
            <w:tcBorders>
              <w:top w:val="single" w:sz="8" w:color="CCEEFF"/>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40" w:type="dxa"/>
            <w:vAlign w:val="bottom"/>
            <w:tcBorders>
              <w:top w:val="single" w:sz="8" w:color="CCEEFF"/>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80" w:type="dxa"/>
            <w:vAlign w:val="bottom"/>
            <w:tcBorders>
              <w:top w:val="single" w:sz="8" w:color="CCEEFF"/>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60" w:type="dxa"/>
            <w:vAlign w:val="bottom"/>
            <w:tcBorders>
              <w:top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860" w:type="dxa"/>
            <w:vAlign w:val="bottom"/>
          </w:tcPr>
          <w:p>
            <w:pPr>
              <w:ind w:left="200"/>
              <w:spacing w:after="0"/>
              <w:rPr>
                <w:sz w:val="20"/>
                <w:szCs w:val="20"/>
                <w:color w:val="auto"/>
              </w:rPr>
            </w:pPr>
            <w:r>
              <w:rPr>
                <w:rFonts w:ascii="Arial" w:cs="Arial" w:eastAsia="Arial" w:hAnsi="Arial"/>
                <w:sz w:val="12"/>
                <w:szCs w:val="12"/>
                <w:color w:val="auto"/>
              </w:rPr>
              <w:t>from total</w:t>
            </w: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rPr>
              <w:t>182</w:t>
            </w:r>
          </w:p>
        </w:tc>
        <w:tc>
          <w:tcPr>
            <w:tcW w:w="480" w:type="dxa"/>
            <w:vAlign w:val="bottom"/>
          </w:tcPr>
          <w:p>
            <w:pPr>
              <w:spacing w:after="0"/>
              <w:rPr>
                <w:sz w:val="13"/>
                <w:szCs w:val="13"/>
                <w:color w:val="auto"/>
              </w:rPr>
            </w:pPr>
          </w:p>
        </w:tc>
        <w:tc>
          <w:tcPr>
            <w:tcW w:w="36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2"/>
                <w:szCs w:val="12"/>
                <w:color w:val="auto"/>
              </w:rPr>
              <w:t>81</w:t>
            </w:r>
          </w:p>
        </w:tc>
        <w:tc>
          <w:tcPr>
            <w:tcW w:w="140" w:type="dxa"/>
            <w:vAlign w:val="bottom"/>
          </w:tcPr>
          <w:p>
            <w:pPr>
              <w:spacing w:after="0"/>
              <w:rPr>
                <w:sz w:val="13"/>
                <w:szCs w:val="13"/>
                <w:color w:val="auto"/>
              </w:rPr>
            </w:pPr>
          </w:p>
        </w:tc>
        <w:tc>
          <w:tcPr>
            <w:tcW w:w="220" w:type="dxa"/>
            <w:vAlign w:val="bottom"/>
          </w:tcPr>
          <w:p>
            <w:pPr>
              <w:ind w:left="8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233</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203</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2"/>
                <w:szCs w:val="12"/>
                <w:color w:val="auto"/>
              </w:rPr>
              <w:t>94</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325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47</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18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860" w:type="dxa"/>
            <w:vAlign w:val="bottom"/>
          </w:tcPr>
          <w:p>
            <w:pPr>
              <w:ind w:left="320"/>
              <w:spacing w:after="0"/>
              <w:rPr>
                <w:sz w:val="20"/>
                <w:szCs w:val="20"/>
                <w:color w:val="auto"/>
              </w:rPr>
            </w:pPr>
            <w:r>
              <w:rPr>
                <w:rFonts w:ascii="Arial" w:cs="Arial" w:eastAsia="Arial" w:hAnsi="Arial"/>
                <w:sz w:val="12"/>
                <w:szCs w:val="12"/>
                <w:color w:val="auto"/>
              </w:rPr>
              <w:t>Total Commercial</w:t>
            </w: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60" w:type="dxa"/>
            <w:vAlign w:val="bottom"/>
            <w:shd w:val="clear" w:color="auto" w:fill="CCEEFF"/>
          </w:tcPr>
          <w:p>
            <w:pPr>
              <w:ind w:left="320"/>
              <w:spacing w:after="0"/>
              <w:rPr>
                <w:sz w:val="20"/>
                <w:szCs w:val="20"/>
                <w:color w:val="auto"/>
              </w:rPr>
            </w:pPr>
            <w:r>
              <w:rPr>
                <w:rFonts w:ascii="Arial" w:cs="Arial" w:eastAsia="Arial" w:hAnsi="Arial"/>
                <w:sz w:val="12"/>
                <w:szCs w:val="12"/>
                <w:color w:val="auto"/>
              </w:rPr>
              <w:t>Non-watch (1-6)</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245,247</w:t>
            </w: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125,335</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ind w:left="8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165,040</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120,655</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77,430</w:t>
            </w: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256,460</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176,130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60" w:type="dxa"/>
            <w:vAlign w:val="bottom"/>
          </w:tcPr>
          <w:p>
            <w:pPr>
              <w:ind w:left="320"/>
              <w:spacing w:after="0"/>
              <w:rPr>
                <w:sz w:val="20"/>
                <w:szCs w:val="20"/>
                <w:color w:val="auto"/>
              </w:rPr>
            </w:pPr>
            <w:r>
              <w:rPr>
                <w:rFonts w:ascii="Arial" w:cs="Arial" w:eastAsia="Arial" w:hAnsi="Arial"/>
                <w:sz w:val="12"/>
                <w:szCs w:val="12"/>
                <w:color w:val="auto"/>
              </w:rPr>
              <w:t>Watch (7-8)</w:t>
            </w:r>
          </w:p>
        </w:tc>
        <w:tc>
          <w:tcPr>
            <w:tcW w:w="340" w:type="dxa"/>
            <w:vAlign w:val="bottom"/>
          </w:tcPr>
          <w:p>
            <w:pPr>
              <w:spacing w:after="0"/>
              <w:rPr>
                <w:sz w:val="12"/>
                <w:szCs w:val="12"/>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rPr>
              <w:t>81</w:t>
            </w: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2"/>
                <w:szCs w:val="12"/>
                <w:color w:val="auto"/>
              </w:rPr>
              <w:t>324</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3,560</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8,972</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2"/>
                <w:szCs w:val="12"/>
                <w:color w:val="auto"/>
              </w:rPr>
              <w:t>2,070</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7,697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476</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60" w:type="dxa"/>
            <w:vAlign w:val="bottom"/>
            <w:shd w:val="clear" w:color="auto" w:fill="CCEEFF"/>
          </w:tcPr>
          <w:p>
            <w:pPr>
              <w:ind w:left="320"/>
              <w:spacing w:after="0"/>
              <w:rPr>
                <w:sz w:val="20"/>
                <w:szCs w:val="20"/>
                <w:color w:val="auto"/>
              </w:rPr>
            </w:pPr>
            <w:r>
              <w:rPr>
                <w:rFonts w:ascii="Arial" w:cs="Arial" w:eastAsia="Arial" w:hAnsi="Arial"/>
                <w:sz w:val="12"/>
                <w:szCs w:val="12"/>
                <w:color w:val="auto"/>
              </w:rPr>
              <w:t>Substandard Accrual (9)</w:t>
            </w:r>
          </w:p>
        </w:tc>
        <w:tc>
          <w:tcPr>
            <w:tcW w:w="3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2,010</w:t>
            </w: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2</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1,159</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1,440</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1,108</w:t>
            </w: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1,530</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6,793</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60" w:type="dxa"/>
            <w:vAlign w:val="bottom"/>
          </w:tcPr>
          <w:p>
            <w:pPr>
              <w:ind w:left="320"/>
              <w:spacing w:after="0"/>
              <w:rPr>
                <w:sz w:val="20"/>
                <w:szCs w:val="20"/>
                <w:color w:val="auto"/>
              </w:rPr>
            </w:pPr>
            <w:r>
              <w:rPr>
                <w:rFonts w:ascii="Arial" w:cs="Arial" w:eastAsia="Arial" w:hAnsi="Arial"/>
                <w:sz w:val="12"/>
                <w:szCs w:val="12"/>
                <w:color w:val="auto"/>
              </w:rPr>
              <w:t>Non-Accrual (10-11)</w:t>
            </w:r>
          </w:p>
        </w:tc>
        <w:tc>
          <w:tcPr>
            <w:tcW w:w="340" w:type="dxa"/>
            <w:vAlign w:val="bottom"/>
          </w:tcPr>
          <w:p>
            <w:pPr>
              <w:spacing w:after="0"/>
              <w:rPr>
                <w:sz w:val="12"/>
                <w:szCs w:val="12"/>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62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60" w:type="dxa"/>
            <w:vAlign w:val="bottom"/>
            <w:shd w:val="clear" w:color="auto" w:fill="CCEEFF"/>
          </w:tcPr>
          <w:p>
            <w:pPr>
              <w:ind w:left="420"/>
              <w:spacing w:after="0"/>
              <w:rPr>
                <w:sz w:val="20"/>
                <w:szCs w:val="20"/>
                <w:color w:val="auto"/>
              </w:rPr>
            </w:pPr>
            <w:r>
              <w:rPr>
                <w:rFonts w:ascii="Arial" w:cs="Arial" w:eastAsia="Arial" w:hAnsi="Arial"/>
                <w:sz w:val="12"/>
                <w:szCs w:val="12"/>
                <w:color w:val="auto"/>
              </w:rPr>
              <w:t>Total</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247,338</w:t>
            </w:r>
          </w:p>
        </w:tc>
        <w:tc>
          <w:tcPr>
            <w:tcW w:w="480" w:type="dxa"/>
            <w:vAlign w:val="bottom"/>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125,661</w:t>
            </w:r>
          </w:p>
        </w:tc>
        <w:tc>
          <w:tcPr>
            <w:tcW w:w="50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2"/>
                <w:szCs w:val="12"/>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169,759</w:t>
            </w: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131,067</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80,608</w:t>
            </w: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265,749</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183,399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1860" w:type="dxa"/>
            <w:vAlign w:val="bottom"/>
            <w:tcBorders>
              <w:top w:val="single" w:sz="8" w:color="CCEEFF"/>
            </w:tcBorders>
          </w:tcPr>
          <w:p>
            <w:pPr>
              <w:jc w:val="right"/>
              <w:ind w:right="440"/>
              <w:spacing w:after="0" w:line="111" w:lineRule="exact"/>
              <w:rPr>
                <w:sz w:val="20"/>
                <w:szCs w:val="20"/>
                <w:color w:val="auto"/>
              </w:rPr>
            </w:pPr>
            <w:r>
              <w:rPr>
                <w:rFonts w:ascii="Arial" w:cs="Arial" w:eastAsia="Arial" w:hAnsi="Arial"/>
                <w:sz w:val="12"/>
                <w:szCs w:val="12"/>
                <w:color w:val="auto"/>
                <w:w w:val="97"/>
              </w:rPr>
              <w:t>Accrued interest excluded</w:t>
            </w:r>
          </w:p>
        </w:tc>
        <w:tc>
          <w:tcPr>
            <w:tcW w:w="3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480" w:type="dxa"/>
            <w:vAlign w:val="bottom"/>
            <w:tcBorders>
              <w:top w:val="single" w:sz="8" w:color="CCEEFF"/>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500" w:type="dxa"/>
            <w:vAlign w:val="bottom"/>
            <w:tcBorders>
              <w:top w:val="single" w:sz="8" w:color="CCEEFF"/>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4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60" w:type="dxa"/>
            <w:vAlign w:val="bottom"/>
            <w:tcBorders>
              <w:top w:val="single" w:sz="8" w:color="CCEEFF"/>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40" w:type="dxa"/>
            <w:vAlign w:val="bottom"/>
            <w:tcBorders>
              <w:top w:val="single" w:sz="8" w:color="CCEEFF"/>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40" w:type="dxa"/>
            <w:vAlign w:val="bottom"/>
            <w:tcBorders>
              <w:top w:val="single" w:sz="8" w:color="CCEEFF"/>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80" w:type="dxa"/>
            <w:vAlign w:val="bottom"/>
            <w:tcBorders>
              <w:top w:val="single" w:sz="8" w:color="CCEEFF"/>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60" w:type="dxa"/>
            <w:vAlign w:val="bottom"/>
            <w:tcBorders>
              <w:top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860" w:type="dxa"/>
            <w:vAlign w:val="bottom"/>
          </w:tcPr>
          <w:p>
            <w:pPr>
              <w:ind w:left="200"/>
              <w:spacing w:after="0"/>
              <w:rPr>
                <w:sz w:val="20"/>
                <w:szCs w:val="20"/>
                <w:color w:val="auto"/>
              </w:rPr>
            </w:pPr>
            <w:r>
              <w:rPr>
                <w:rFonts w:ascii="Arial" w:cs="Arial" w:eastAsia="Arial" w:hAnsi="Arial"/>
                <w:sz w:val="12"/>
                <w:szCs w:val="12"/>
                <w:color w:val="auto"/>
              </w:rPr>
              <w:t>from total</w:t>
            </w: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496</w:t>
            </w: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2"/>
                <w:szCs w:val="12"/>
                <w:color w:val="auto"/>
              </w:rPr>
              <w:t>234</w:t>
            </w:r>
          </w:p>
        </w:tc>
        <w:tc>
          <w:tcPr>
            <w:tcW w:w="140" w:type="dxa"/>
            <w:vAlign w:val="bottom"/>
          </w:tcPr>
          <w:p>
            <w:pPr>
              <w:spacing w:after="0"/>
              <w:rPr>
                <w:sz w:val="13"/>
                <w:szCs w:val="13"/>
                <w:color w:val="auto"/>
              </w:rPr>
            </w:pPr>
          </w:p>
        </w:tc>
        <w:tc>
          <w:tcPr>
            <w:tcW w:w="220" w:type="dxa"/>
            <w:vAlign w:val="bottom"/>
          </w:tcPr>
          <w:p>
            <w:pPr>
              <w:ind w:left="8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338</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432</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2"/>
                <w:szCs w:val="12"/>
                <w:color w:val="auto"/>
              </w:rPr>
              <w:t>184</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565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289</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220" w:type="dxa"/>
            <w:vAlign w:val="bottom"/>
            <w:gridSpan w:val="16"/>
          </w:tcPr>
          <w:p>
            <w:pPr>
              <w:ind w:left="200"/>
              <w:spacing w:after="0"/>
              <w:rPr>
                <w:sz w:val="20"/>
                <w:szCs w:val="20"/>
                <w:color w:val="auto"/>
              </w:rPr>
            </w:pPr>
            <w:r>
              <w:rPr>
                <w:rFonts w:ascii="Arial" w:cs="Arial" w:eastAsia="Arial" w:hAnsi="Arial"/>
                <w:sz w:val="12"/>
                <w:szCs w:val="12"/>
                <w:color w:val="auto"/>
                <w:w w:val="91"/>
              </w:rPr>
              <w:t>The following table summarizes loan ratings by loan class for our commercial portfolio loan segment at December 31, 2020:</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1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2"/>
                <w:szCs w:val="12"/>
                <w:b w:val="1"/>
                <w:bCs w:val="1"/>
                <w:color w:val="auto"/>
              </w:rPr>
              <w:t>Commercial</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4"/>
          </w:tcPr>
          <w:p>
            <w:pPr>
              <w:jc w:val="center"/>
              <w:ind w:right="420"/>
              <w:spacing w:after="0" w:line="129" w:lineRule="exact"/>
              <w:rPr>
                <w:sz w:val="20"/>
                <w:szCs w:val="20"/>
                <w:color w:val="auto"/>
              </w:rPr>
            </w:pPr>
            <w:r>
              <w:rPr>
                <w:rFonts w:ascii="Arial" w:cs="Arial" w:eastAsia="Arial" w:hAnsi="Arial"/>
                <w:sz w:val="12"/>
                <w:szCs w:val="12"/>
                <w:b w:val="1"/>
                <w:bCs w:val="1"/>
                <w:color w:val="auto"/>
                <w:w w:val="89"/>
              </w:rPr>
              <w:t>Substandard</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3"/>
          </w:tcPr>
          <w:p>
            <w:pPr>
              <w:jc w:val="center"/>
              <w:ind w:right="660"/>
              <w:spacing w:after="0" w:line="129" w:lineRule="exact"/>
              <w:rPr>
                <w:sz w:val="20"/>
                <w:szCs w:val="20"/>
                <w:color w:val="auto"/>
              </w:rPr>
            </w:pPr>
            <w:r>
              <w:rPr>
                <w:rFonts w:ascii="Arial" w:cs="Arial" w:eastAsia="Arial" w:hAnsi="Arial"/>
                <w:sz w:val="12"/>
                <w:szCs w:val="12"/>
                <w:b w:val="1"/>
                <w:bCs w:val="1"/>
                <w:color w:val="auto"/>
                <w:w w:val="94"/>
              </w:rPr>
              <w:t>Non-</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5"/>
          </w:tcPr>
          <w:p>
            <w:pPr>
              <w:ind w:left="100"/>
              <w:spacing w:after="0"/>
              <w:rPr>
                <w:sz w:val="20"/>
                <w:szCs w:val="20"/>
                <w:color w:val="auto"/>
              </w:rPr>
            </w:pPr>
            <w:r>
              <w:rPr>
                <w:rFonts w:ascii="Arial" w:cs="Arial" w:eastAsia="Arial" w:hAnsi="Arial"/>
                <w:sz w:val="12"/>
                <w:szCs w:val="12"/>
                <w:b w:val="1"/>
                <w:bCs w:val="1"/>
                <w:color w:val="auto"/>
              </w:rPr>
              <w:t>Non-watch</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ind w:left="20"/>
              <w:spacing w:after="0"/>
              <w:rPr>
                <w:sz w:val="20"/>
                <w:szCs w:val="20"/>
                <w:color w:val="auto"/>
              </w:rPr>
            </w:pPr>
            <w:r>
              <w:rPr>
                <w:rFonts w:ascii="Arial" w:cs="Arial" w:eastAsia="Arial" w:hAnsi="Arial"/>
                <w:sz w:val="12"/>
                <w:szCs w:val="12"/>
                <w:b w:val="1"/>
                <w:bCs w:val="1"/>
                <w:color w:val="auto"/>
              </w:rPr>
              <w:t>Watch</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gridSpan w:val="4"/>
          </w:tcPr>
          <w:p>
            <w:pPr>
              <w:jc w:val="center"/>
              <w:ind w:right="420"/>
              <w:spacing w:after="0"/>
              <w:rPr>
                <w:sz w:val="20"/>
                <w:szCs w:val="20"/>
                <w:color w:val="auto"/>
              </w:rPr>
            </w:pPr>
            <w:r>
              <w:rPr>
                <w:rFonts w:ascii="Arial" w:cs="Arial" w:eastAsia="Arial" w:hAnsi="Arial"/>
                <w:sz w:val="12"/>
                <w:szCs w:val="12"/>
                <w:b w:val="1"/>
                <w:bCs w:val="1"/>
                <w:color w:val="auto"/>
                <w:w w:val="95"/>
              </w:rPr>
              <w:t>Accrual</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4"/>
          </w:tcPr>
          <w:p>
            <w:pPr>
              <w:jc w:val="center"/>
              <w:ind w:right="480"/>
              <w:spacing w:after="0"/>
              <w:rPr>
                <w:sz w:val="20"/>
                <w:szCs w:val="20"/>
                <w:color w:val="auto"/>
              </w:rPr>
            </w:pPr>
            <w:r>
              <w:rPr>
                <w:rFonts w:ascii="Arial" w:cs="Arial" w:eastAsia="Arial" w:hAnsi="Arial"/>
                <w:sz w:val="12"/>
                <w:szCs w:val="12"/>
                <w:b w:val="1"/>
                <w:bCs w:val="1"/>
                <w:color w:val="auto"/>
                <w:w w:val="95"/>
              </w:rPr>
              <w:t>Accrual</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1-6</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ind w:right="260"/>
              <w:spacing w:after="0"/>
              <w:rPr>
                <w:sz w:val="20"/>
                <w:szCs w:val="20"/>
                <w:color w:val="auto"/>
              </w:rPr>
            </w:pPr>
            <w:r>
              <w:rPr>
                <w:rFonts w:ascii="Arial" w:cs="Arial" w:eastAsia="Arial" w:hAnsi="Arial"/>
                <w:sz w:val="12"/>
                <w:szCs w:val="12"/>
                <w:b w:val="1"/>
                <w:bCs w:val="1"/>
                <w:color w:val="auto"/>
              </w:rPr>
              <w:t>7-8</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jc w:val="center"/>
              <w:ind w:right="200"/>
              <w:spacing w:after="0"/>
              <w:rPr>
                <w:sz w:val="20"/>
                <w:szCs w:val="20"/>
                <w:color w:val="auto"/>
              </w:rPr>
            </w:pPr>
            <w:r>
              <w:rPr>
                <w:rFonts w:ascii="Arial" w:cs="Arial" w:eastAsia="Arial" w:hAnsi="Arial"/>
                <w:sz w:val="12"/>
                <w:szCs w:val="12"/>
                <w:b w:val="1"/>
                <w:bCs w:val="1"/>
                <w:color w:val="auto"/>
                <w:w w:val="89"/>
              </w:rPr>
              <w:t>9</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center"/>
              <w:ind w:right="200"/>
              <w:spacing w:after="0"/>
              <w:rPr>
                <w:sz w:val="20"/>
                <w:szCs w:val="20"/>
                <w:color w:val="auto"/>
              </w:rPr>
            </w:pPr>
            <w:r>
              <w:rPr>
                <w:rFonts w:ascii="Arial" w:cs="Arial" w:eastAsia="Arial" w:hAnsi="Arial"/>
                <w:sz w:val="12"/>
                <w:szCs w:val="12"/>
                <w:b w:val="1"/>
                <w:bCs w:val="1"/>
                <w:color w:val="auto"/>
                <w:w w:val="84"/>
              </w:rPr>
              <w:t>10-11</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gridSpan w:val="4"/>
          </w:tcPr>
          <w:p>
            <w:pPr>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5"/>
        </w:trPr>
        <w:tc>
          <w:tcPr>
            <w:tcW w:w="1860" w:type="dxa"/>
            <w:vAlign w:val="bottom"/>
            <w:vMerge w:val="restart"/>
          </w:tcPr>
          <w:p>
            <w:pPr>
              <w:spacing w:after="0"/>
              <w:rPr>
                <w:sz w:val="20"/>
                <w:szCs w:val="20"/>
                <w:color w:val="auto"/>
              </w:rPr>
            </w:pPr>
            <w:r>
              <w:rPr>
                <w:rFonts w:ascii="Arial" w:cs="Arial" w:eastAsia="Arial" w:hAnsi="Arial"/>
                <w:sz w:val="12"/>
                <w:szCs w:val="12"/>
                <w:color w:val="auto"/>
              </w:rPr>
              <w:t>December 31, 2020</w:t>
            </w: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3"/>
          </w:tcPr>
          <w:p>
            <w:pPr>
              <w:jc w:val="center"/>
              <w:ind w:right="200"/>
              <w:spacing w:after="0"/>
              <w:rPr>
                <w:sz w:val="20"/>
                <w:szCs w:val="20"/>
                <w:color w:val="auto"/>
              </w:rPr>
            </w:pPr>
            <w:r>
              <w:rPr>
                <w:rFonts w:ascii="Arial" w:cs="Arial" w:eastAsia="Arial" w:hAnsi="Arial"/>
                <w:sz w:val="12"/>
                <w:szCs w:val="12"/>
                <w:b w:val="1"/>
                <w:bCs w:val="1"/>
                <w:color w:val="auto"/>
                <w:w w:val="89"/>
              </w:rPr>
              <w:t>(In thousands)</w:t>
            </w:r>
          </w:p>
        </w:tc>
        <w:tc>
          <w:tcPr>
            <w:tcW w:w="22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86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860" w:type="dxa"/>
            <w:vAlign w:val="bottom"/>
            <w:shd w:val="clear" w:color="auto" w:fill="CCEEFF"/>
          </w:tcPr>
          <w:p>
            <w:pPr>
              <w:jc w:val="right"/>
              <w:ind w:right="440"/>
              <w:spacing w:after="0"/>
              <w:rPr>
                <w:sz w:val="20"/>
                <w:szCs w:val="20"/>
                <w:color w:val="auto"/>
              </w:rPr>
            </w:pPr>
            <w:r>
              <w:rPr>
                <w:rFonts w:ascii="Arial" w:cs="Arial" w:eastAsia="Arial" w:hAnsi="Arial"/>
                <w:sz w:val="12"/>
                <w:szCs w:val="12"/>
                <w:color w:val="auto"/>
                <w:w w:val="96"/>
              </w:rPr>
              <w:t>Commercial and industrial</w:t>
            </w:r>
          </w:p>
        </w:tc>
        <w:tc>
          <w:tcPr>
            <w:tcW w:w="3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32"/>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637,826</w:t>
            </w:r>
          </w:p>
        </w:tc>
        <w:tc>
          <w:tcPr>
            <w:tcW w:w="2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w w:val="71"/>
              </w:rPr>
              <w:t>$</w:t>
            </w:r>
          </w:p>
        </w:tc>
        <w:tc>
          <w:tcPr>
            <w:tcW w:w="12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32,765</w:t>
            </w:r>
          </w:p>
        </w:tc>
        <w:tc>
          <w:tcPr>
            <w:tcW w:w="10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4,341</w:t>
            </w:r>
          </w:p>
        </w:tc>
        <w:tc>
          <w:tcPr>
            <w:tcW w:w="1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w w:val="71"/>
              </w:rPr>
              <w:t>$</w:t>
            </w:r>
          </w:p>
        </w:tc>
        <w:tc>
          <w:tcPr>
            <w:tcW w:w="1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1,387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676,319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60" w:type="dxa"/>
            <w:vAlign w:val="bottom"/>
          </w:tcPr>
          <w:p>
            <w:pPr>
              <w:ind w:left="80"/>
              <w:spacing w:after="0"/>
              <w:rPr>
                <w:sz w:val="20"/>
                <w:szCs w:val="20"/>
                <w:color w:val="auto"/>
              </w:rPr>
            </w:pPr>
            <w:r>
              <w:rPr>
                <w:rFonts w:ascii="Arial" w:cs="Arial" w:eastAsia="Arial" w:hAnsi="Arial"/>
                <w:sz w:val="12"/>
                <w:szCs w:val="12"/>
                <w:color w:val="auto"/>
              </w:rPr>
              <w:t>Commercial real estate</w:t>
            </w: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2"/>
                <w:szCs w:val="12"/>
                <w:color w:val="auto"/>
              </w:rPr>
              <w:t>561,382</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2"/>
                <w:szCs w:val="12"/>
                <w:color w:val="auto"/>
              </w:rPr>
              <w:t>5,978</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2"/>
                <w:szCs w:val="12"/>
                <w:color w:val="auto"/>
              </w:rPr>
              <w:t>2,272</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2"/>
                <w:szCs w:val="12"/>
                <w:color w:val="auto"/>
              </w:rPr>
              <w:t>569,632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Total</w:t>
            </w:r>
          </w:p>
        </w:tc>
        <w:tc>
          <w:tcPr>
            <w:tcW w:w="3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1,199,208</w:t>
            </w: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w w:val="71"/>
              </w:rPr>
              <w:t>$</w:t>
            </w: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38,743</w:t>
            </w: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6,613</w:t>
            </w:r>
          </w:p>
        </w:tc>
        <w:tc>
          <w:tcPr>
            <w:tcW w:w="2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1,387</w:t>
            </w: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1,245,951</w:t>
            </w:r>
          </w:p>
        </w:tc>
        <w:tc>
          <w:tcPr>
            <w:tcW w:w="120" w:type="dxa"/>
            <w:vAlign w:val="bottom"/>
            <w:tcBorders>
              <w:bottom w:val="single" w:sz="8" w:color="CCEEFF"/>
            </w:tcBorders>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1860" w:type="dxa"/>
            <w:vAlign w:val="bottom"/>
          </w:tcPr>
          <w:p>
            <w:pPr>
              <w:spacing w:after="0" w:line="120" w:lineRule="exact"/>
              <w:rPr>
                <w:sz w:val="20"/>
                <w:szCs w:val="20"/>
                <w:color w:val="auto"/>
              </w:rPr>
            </w:pPr>
            <w:r>
              <w:rPr>
                <w:rFonts w:ascii="Arial" w:cs="Arial" w:eastAsia="Arial" w:hAnsi="Arial"/>
                <w:sz w:val="12"/>
                <w:szCs w:val="12"/>
                <w:color w:val="auto"/>
              </w:rPr>
              <w:t>Accrued interest included in total</w:t>
            </w: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gridSpan w:val="3"/>
          </w:tcPr>
          <w:p>
            <w:pPr>
              <w:jc w:val="right"/>
              <w:ind w:right="32"/>
              <w:spacing w:after="0" w:line="120"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0"/>
                <w:szCs w:val="10"/>
                <w:color w:val="auto"/>
              </w:rPr>
            </w:pPr>
          </w:p>
        </w:tc>
        <w:tc>
          <w:tcPr>
            <w:tcW w:w="800" w:type="dxa"/>
            <w:vAlign w:val="bottom"/>
            <w:gridSpan w:val="3"/>
          </w:tcPr>
          <w:p>
            <w:pPr>
              <w:jc w:val="right"/>
              <w:ind w:right="20"/>
              <w:spacing w:after="0" w:line="120" w:lineRule="exact"/>
              <w:rPr>
                <w:sz w:val="20"/>
                <w:szCs w:val="20"/>
                <w:color w:val="auto"/>
              </w:rPr>
            </w:pPr>
            <w:r>
              <w:rPr>
                <w:rFonts w:ascii="Arial" w:cs="Arial" w:eastAsia="Arial" w:hAnsi="Arial"/>
                <w:sz w:val="12"/>
                <w:szCs w:val="12"/>
                <w:color w:val="auto"/>
              </w:rPr>
              <w:t>3,408</w:t>
            </w:r>
          </w:p>
        </w:tc>
        <w:tc>
          <w:tcPr>
            <w:tcW w:w="220" w:type="dxa"/>
            <w:vAlign w:val="bottom"/>
          </w:tcPr>
          <w:p>
            <w:pPr>
              <w:spacing w:after="0"/>
              <w:rPr>
                <w:sz w:val="10"/>
                <w:szCs w:val="10"/>
                <w:color w:val="auto"/>
              </w:rPr>
            </w:pPr>
          </w:p>
        </w:tc>
        <w:tc>
          <w:tcPr>
            <w:tcW w:w="200" w:type="dxa"/>
            <w:vAlign w:val="bottom"/>
            <w:gridSpan w:val="2"/>
          </w:tcPr>
          <w:p>
            <w:pPr>
              <w:jc w:val="right"/>
              <w:ind w:right="140"/>
              <w:spacing w:after="0"/>
              <w:rPr>
                <w:sz w:val="20"/>
                <w:szCs w:val="20"/>
                <w:color w:val="auto"/>
              </w:rPr>
            </w:pPr>
            <w:r>
              <w:rPr>
                <w:rFonts w:ascii="Arial" w:cs="Arial" w:eastAsia="Arial" w:hAnsi="Arial"/>
                <w:sz w:val="10"/>
                <w:szCs w:val="10"/>
                <w:color w:val="auto"/>
                <w:w w:val="71"/>
              </w:rPr>
              <w:t>$</w:t>
            </w:r>
          </w:p>
        </w:tc>
        <w:tc>
          <w:tcPr>
            <w:tcW w:w="120" w:type="dxa"/>
            <w:vAlign w:val="bottom"/>
          </w:tcPr>
          <w:p>
            <w:pPr>
              <w:spacing w:after="0"/>
              <w:rPr>
                <w:sz w:val="10"/>
                <w:szCs w:val="10"/>
                <w:color w:val="auto"/>
              </w:rPr>
            </w:pPr>
          </w:p>
        </w:tc>
        <w:tc>
          <w:tcPr>
            <w:tcW w:w="1040" w:type="dxa"/>
            <w:vAlign w:val="bottom"/>
            <w:gridSpan w:val="3"/>
          </w:tcPr>
          <w:p>
            <w:pPr>
              <w:jc w:val="right"/>
              <w:ind w:right="220"/>
              <w:spacing w:after="0" w:line="120" w:lineRule="exact"/>
              <w:rPr>
                <w:sz w:val="20"/>
                <w:szCs w:val="20"/>
                <w:color w:val="auto"/>
              </w:rPr>
            </w:pPr>
            <w:r>
              <w:rPr>
                <w:rFonts w:ascii="Arial" w:cs="Arial" w:eastAsia="Arial" w:hAnsi="Arial"/>
                <w:sz w:val="12"/>
                <w:szCs w:val="12"/>
                <w:color w:val="auto"/>
              </w:rPr>
              <w:t>105</w:t>
            </w:r>
          </w:p>
        </w:tc>
        <w:tc>
          <w:tcPr>
            <w:tcW w:w="100" w:type="dxa"/>
            <w:vAlign w:val="bottom"/>
            <w:gridSpan w:val="2"/>
          </w:tcPr>
          <w:p>
            <w:pPr>
              <w:jc w:val="right"/>
              <w:ind w:right="40"/>
              <w:spacing w:after="0"/>
              <w:rPr>
                <w:sz w:val="20"/>
                <w:szCs w:val="20"/>
                <w:color w:val="auto"/>
              </w:rPr>
            </w:pPr>
            <w:r>
              <w:rPr>
                <w:rFonts w:ascii="Arial" w:cs="Arial" w:eastAsia="Arial" w:hAnsi="Arial"/>
                <w:sz w:val="10"/>
                <w:szCs w:val="10"/>
                <w:color w:val="auto"/>
                <w:w w:val="71"/>
              </w:rPr>
              <w:t>$</w:t>
            </w:r>
          </w:p>
        </w:tc>
        <w:tc>
          <w:tcPr>
            <w:tcW w:w="300" w:type="dxa"/>
            <w:vAlign w:val="bottom"/>
          </w:tcPr>
          <w:p>
            <w:pPr>
              <w:spacing w:after="0"/>
              <w:rPr>
                <w:sz w:val="10"/>
                <w:szCs w:val="10"/>
                <w:color w:val="auto"/>
              </w:rPr>
            </w:pPr>
          </w:p>
        </w:tc>
        <w:tc>
          <w:tcPr>
            <w:tcW w:w="940" w:type="dxa"/>
            <w:vAlign w:val="bottom"/>
            <w:gridSpan w:val="3"/>
          </w:tcPr>
          <w:p>
            <w:pPr>
              <w:jc w:val="right"/>
              <w:ind w:right="220"/>
              <w:spacing w:after="0" w:line="120" w:lineRule="exact"/>
              <w:rPr>
                <w:sz w:val="20"/>
                <w:szCs w:val="20"/>
                <w:color w:val="auto"/>
              </w:rPr>
            </w:pPr>
            <w:r>
              <w:rPr>
                <w:rFonts w:ascii="Arial" w:cs="Arial" w:eastAsia="Arial" w:hAnsi="Arial"/>
                <w:sz w:val="12"/>
                <w:szCs w:val="12"/>
                <w:color w:val="auto"/>
              </w:rPr>
              <w:t>23</w:t>
            </w:r>
          </w:p>
        </w:tc>
        <w:tc>
          <w:tcPr>
            <w:tcW w:w="160" w:type="dxa"/>
            <w:vAlign w:val="bottom"/>
            <w:gridSpan w:val="2"/>
          </w:tcPr>
          <w:p>
            <w:pPr>
              <w:jc w:val="right"/>
              <w:ind w:right="100"/>
              <w:spacing w:after="0"/>
              <w:rPr>
                <w:sz w:val="20"/>
                <w:szCs w:val="20"/>
                <w:color w:val="auto"/>
              </w:rPr>
            </w:pPr>
            <w:r>
              <w:rPr>
                <w:rFonts w:ascii="Arial" w:cs="Arial" w:eastAsia="Arial" w:hAnsi="Arial"/>
                <w:sz w:val="10"/>
                <w:szCs w:val="10"/>
                <w:color w:val="auto"/>
                <w:w w:val="71"/>
              </w:rPr>
              <w:t>$</w:t>
            </w:r>
          </w:p>
        </w:tc>
        <w:tc>
          <w:tcPr>
            <w:tcW w:w="180" w:type="dxa"/>
            <w:vAlign w:val="bottom"/>
          </w:tcPr>
          <w:p>
            <w:pPr>
              <w:spacing w:after="0"/>
              <w:rPr>
                <w:sz w:val="10"/>
                <w:szCs w:val="10"/>
                <w:color w:val="auto"/>
              </w:rPr>
            </w:pPr>
          </w:p>
        </w:tc>
        <w:tc>
          <w:tcPr>
            <w:tcW w:w="1000" w:type="dxa"/>
            <w:vAlign w:val="bottom"/>
            <w:gridSpan w:val="3"/>
          </w:tcPr>
          <w:p>
            <w:pPr>
              <w:jc w:val="right"/>
              <w:ind w:right="220"/>
              <w:spacing w:after="0" w:line="120" w:lineRule="exact"/>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tcPr>
          <w:p>
            <w:pPr>
              <w:spacing w:after="0"/>
              <w:rPr>
                <w:sz w:val="10"/>
                <w:szCs w:val="10"/>
                <w:color w:val="auto"/>
              </w:rPr>
            </w:pPr>
          </w:p>
        </w:tc>
        <w:tc>
          <w:tcPr>
            <w:tcW w:w="860" w:type="dxa"/>
            <w:vAlign w:val="bottom"/>
            <w:gridSpan w:val="3"/>
          </w:tcPr>
          <w:p>
            <w:pPr>
              <w:jc w:val="right"/>
              <w:ind w:right="120"/>
              <w:spacing w:after="0" w:line="120" w:lineRule="exact"/>
              <w:rPr>
                <w:sz w:val="20"/>
                <w:szCs w:val="20"/>
                <w:color w:val="auto"/>
              </w:rPr>
            </w:pPr>
            <w:r>
              <w:rPr>
                <w:rFonts w:ascii="Arial" w:cs="Arial" w:eastAsia="Arial" w:hAnsi="Arial"/>
                <w:sz w:val="12"/>
                <w:szCs w:val="12"/>
                <w:color w:val="auto"/>
              </w:rPr>
              <w:t>3,536</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1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4"/>
          </w:tcPr>
          <w:p>
            <w:pPr>
              <w:jc w:val="right"/>
              <w:ind w:right="220"/>
              <w:spacing w:after="0"/>
              <w:rPr>
                <w:sz w:val="20"/>
                <w:szCs w:val="20"/>
                <w:color w:val="auto"/>
              </w:rPr>
            </w:pPr>
            <w:r>
              <w:rPr>
                <w:rFonts w:ascii="Arial" w:cs="Arial" w:eastAsia="Arial" w:hAnsi="Arial"/>
                <w:sz w:val="10"/>
                <w:szCs w:val="10"/>
                <w:color w:val="auto"/>
              </w:rPr>
              <w:t>68</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300" w:top="127" w:right="239" w:bottom="1440" w:gutter="0" w:footer="0" w:header="0"/>
        </w:sectPr>
      </w:pPr>
    </w:p>
    <w:bookmarkStart w:id="88" w:name="page89"/>
    <w:bookmarkEnd w:id="88"/>
    <w:p>
      <w:pPr>
        <w:jc w:val="center"/>
        <w:ind w:right="-139"/>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27" w:lineRule="exact"/>
        <w:rPr>
          <w:sz w:val="20"/>
          <w:szCs w:val="20"/>
          <w:color w:val="auto"/>
        </w:rPr>
      </w:pPr>
    </w:p>
    <w:p>
      <w:pPr>
        <w:ind w:right="60" w:firstLine="324"/>
        <w:spacing w:after="0" w:line="276" w:lineRule="auto"/>
        <w:rPr>
          <w:sz w:val="20"/>
          <w:szCs w:val="20"/>
          <w:color w:val="auto"/>
        </w:rPr>
      </w:pPr>
      <w:r>
        <w:rPr>
          <w:rFonts w:ascii="Arial" w:cs="Arial" w:eastAsia="Arial" w:hAnsi="Arial"/>
          <w:sz w:val="12"/>
          <w:szCs w:val="12"/>
          <w:color w:val="auto"/>
        </w:rPr>
        <w:t>For each of our mortgage and installment portfolio segment classes we generally monitor credit quality based on the credit scores of the borrowers. These credit scores are generally updated semi-annually. The following tables summarize credit scores by loan class for our mortgage and installment loan portfolio segments at December 31, 2021:</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7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w w:val="98"/>
              </w:rPr>
              <w:t>Mortgage (1)</w:t>
            </w: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Revo</w:t>
            </w:r>
          </w:p>
        </w:tc>
        <w:tc>
          <w:tcPr>
            <w:tcW w:w="0" w:type="dxa"/>
            <w:vAlign w:val="bottom"/>
          </w:tcPr>
          <w:p>
            <w:pPr>
              <w:spacing w:after="0"/>
              <w:rPr>
                <w:sz w:val="1"/>
                <w:szCs w:val="1"/>
                <w:color w:val="auto"/>
              </w:rPr>
            </w:pPr>
          </w:p>
        </w:tc>
      </w:tr>
      <w:tr>
        <w:trPr>
          <w:trHeight w:val="144"/>
        </w:trPr>
        <w:tc>
          <w:tcPr>
            <w:tcW w:w="2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20" w:type="dxa"/>
            <w:vAlign w:val="bottom"/>
            <w:gridSpan w:val="8"/>
            <w:vMerge w:val="restart"/>
          </w:tcPr>
          <w:p>
            <w:pPr>
              <w:ind w:left="160"/>
              <w:spacing w:after="0"/>
              <w:rPr>
                <w:sz w:val="20"/>
                <w:szCs w:val="20"/>
                <w:color w:val="auto"/>
              </w:rPr>
            </w:pPr>
            <w:r>
              <w:rPr>
                <w:rFonts w:ascii="Arial" w:cs="Arial" w:eastAsia="Arial" w:hAnsi="Arial"/>
                <w:sz w:val="12"/>
                <w:szCs w:val="12"/>
                <w:color w:val="auto"/>
              </w:rPr>
              <w:t>Term Loans Amortized Cost Basis by Origination Year</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2"/>
                <w:szCs w:val="12"/>
                <w:color w:val="auto"/>
              </w:rPr>
              <w:t>Lo</w:t>
            </w: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220" w:type="dxa"/>
            <w:vAlign w:val="bottom"/>
            <w:tcBorders>
              <w:bottom w:val="single" w:sz="8" w:color="auto"/>
            </w:tcBorders>
            <w:gridSpan w:val="8"/>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Amo</w:t>
            </w:r>
          </w:p>
        </w:tc>
        <w:tc>
          <w:tcPr>
            <w:tcW w:w="0" w:type="dxa"/>
            <w:vAlign w:val="bottom"/>
          </w:tcPr>
          <w:p>
            <w:pPr>
              <w:spacing w:after="0"/>
              <w:rPr>
                <w:sz w:val="1"/>
                <w:szCs w:val="1"/>
                <w:color w:val="auto"/>
              </w:rPr>
            </w:pPr>
          </w:p>
        </w:tc>
      </w:tr>
      <w:tr>
        <w:trPr>
          <w:trHeight w:val="142"/>
        </w:trPr>
        <w:tc>
          <w:tcPr>
            <w:tcW w:w="27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rPr>
              <w:t>2021</w:t>
            </w:r>
          </w:p>
        </w:tc>
        <w:tc>
          <w:tcPr>
            <w:tcW w:w="5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rPr>
              <w:t>2020</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2019</w:t>
            </w:r>
          </w:p>
        </w:tc>
        <w:tc>
          <w:tcPr>
            <w:tcW w:w="5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2018</w:t>
            </w:r>
          </w:p>
        </w:tc>
        <w:tc>
          <w:tcPr>
            <w:tcW w:w="5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2017</w:t>
            </w:r>
          </w:p>
        </w:tc>
        <w:tc>
          <w:tcPr>
            <w:tcW w:w="5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Prior</w:t>
            </w:r>
          </w:p>
        </w:tc>
        <w:tc>
          <w:tcPr>
            <w:tcW w:w="500" w:type="dxa"/>
            <w:vAlign w:val="bottom"/>
          </w:tcPr>
          <w:p>
            <w:pPr>
              <w:spacing w:after="0"/>
              <w:rPr>
                <w:sz w:val="12"/>
                <w:szCs w:val="12"/>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Cost</w:t>
            </w:r>
          </w:p>
        </w:tc>
        <w:tc>
          <w:tcPr>
            <w:tcW w:w="0" w:type="dxa"/>
            <w:vAlign w:val="bottom"/>
          </w:tcPr>
          <w:p>
            <w:pPr>
              <w:spacing w:after="0"/>
              <w:rPr>
                <w:sz w:val="1"/>
                <w:szCs w:val="1"/>
                <w:color w:val="auto"/>
              </w:rPr>
            </w:pPr>
          </w:p>
        </w:tc>
      </w:tr>
      <w:tr>
        <w:trPr>
          <w:trHeight w:val="151"/>
        </w:trPr>
        <w:tc>
          <w:tcPr>
            <w:tcW w:w="2740" w:type="dxa"/>
            <w:vAlign w:val="bottom"/>
            <w:vMerge w:val="restart"/>
          </w:tcPr>
          <w:p>
            <w:pPr>
              <w:ind w:left="200"/>
              <w:spacing w:after="0"/>
              <w:rPr>
                <w:sz w:val="20"/>
                <w:szCs w:val="20"/>
                <w:color w:val="auto"/>
              </w:rPr>
            </w:pPr>
            <w:r>
              <w:rPr>
                <w:rFonts w:ascii="Arial" w:cs="Arial" w:eastAsia="Arial" w:hAnsi="Arial"/>
                <w:sz w:val="12"/>
                <w:szCs w:val="12"/>
                <w:color w:val="auto"/>
              </w:rPr>
              <w:t>December 31, 2021</w:t>
            </w: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gridSpan w:val="2"/>
          </w:tcPr>
          <w:p>
            <w:pPr>
              <w:spacing w:after="0"/>
              <w:rPr>
                <w:sz w:val="20"/>
                <w:szCs w:val="20"/>
                <w:color w:val="auto"/>
              </w:rPr>
            </w:pPr>
            <w:r>
              <w:rPr>
                <w:rFonts w:ascii="Arial" w:cs="Arial" w:eastAsia="Arial" w:hAnsi="Arial"/>
                <w:sz w:val="12"/>
                <w:szCs w:val="12"/>
                <w:color w:val="auto"/>
                <w:w w:val="88"/>
              </w:rPr>
              <w:t>(In thousands)</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74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740" w:type="dxa"/>
            <w:vAlign w:val="bottom"/>
          </w:tcPr>
          <w:p>
            <w:pPr>
              <w:ind w:left="320"/>
              <w:spacing w:after="0"/>
              <w:rPr>
                <w:sz w:val="20"/>
                <w:szCs w:val="20"/>
                <w:color w:val="auto"/>
              </w:rPr>
            </w:pPr>
            <w:r>
              <w:rPr>
                <w:rFonts w:ascii="Arial" w:cs="Arial" w:eastAsia="Arial" w:hAnsi="Arial"/>
                <w:sz w:val="12"/>
                <w:szCs w:val="12"/>
                <w:color w:val="auto"/>
              </w:rPr>
              <w:t>1-4 family owner occupied - jumbo</w:t>
            </w: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740" w:type="dxa"/>
            <w:vAlign w:val="bottom"/>
            <w:shd w:val="clear" w:color="auto" w:fill="CCEEFF"/>
          </w:tcPr>
          <w:p>
            <w:pPr>
              <w:ind w:left="420"/>
              <w:spacing w:after="0"/>
              <w:rPr>
                <w:sz w:val="20"/>
                <w:szCs w:val="20"/>
                <w:color w:val="auto"/>
              </w:rPr>
            </w:pPr>
            <w:r>
              <w:rPr>
                <w:rFonts w:ascii="Arial" w:cs="Arial" w:eastAsia="Arial" w:hAnsi="Arial"/>
                <w:sz w:val="12"/>
                <w:szCs w:val="12"/>
                <w:color w:val="auto"/>
              </w:rPr>
              <w:t>800 and above</w:t>
            </w:r>
          </w:p>
        </w:tc>
        <w:tc>
          <w:tcPr>
            <w:tcW w:w="3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31,137</w:t>
            </w:r>
          </w:p>
        </w:tc>
        <w:tc>
          <w:tcPr>
            <w:tcW w:w="3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17,652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8,491</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2,565</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2"/>
                <w:szCs w:val="12"/>
                <w:color w:val="auto"/>
              </w:rPr>
              <w:t>7,516</w:t>
            </w:r>
          </w:p>
        </w:tc>
        <w:tc>
          <w:tcPr>
            <w:tcW w:w="3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527</w:t>
            </w:r>
          </w:p>
        </w:tc>
        <w:tc>
          <w:tcPr>
            <w:tcW w:w="4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40" w:type="dxa"/>
            <w:vAlign w:val="bottom"/>
          </w:tcPr>
          <w:p>
            <w:pPr>
              <w:ind w:left="420"/>
              <w:spacing w:after="0"/>
              <w:rPr>
                <w:sz w:val="20"/>
                <w:szCs w:val="20"/>
                <w:color w:val="auto"/>
              </w:rPr>
            </w:pPr>
            <w:r>
              <w:rPr>
                <w:rFonts w:ascii="Arial" w:cs="Arial" w:eastAsia="Arial" w:hAnsi="Arial"/>
                <w:sz w:val="12"/>
                <w:szCs w:val="12"/>
                <w:color w:val="auto"/>
              </w:rPr>
              <w:t>750-799</w:t>
            </w:r>
          </w:p>
        </w:tc>
        <w:tc>
          <w:tcPr>
            <w:tcW w:w="3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135,292</w:t>
            </w: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92,590</w:t>
            </w: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2"/>
                <w:szCs w:val="12"/>
                <w:color w:val="auto"/>
              </w:rPr>
              <w:t>30,072</w:t>
            </w:r>
          </w:p>
        </w:tc>
        <w:tc>
          <w:tcPr>
            <w:tcW w:w="340" w:type="dxa"/>
            <w:vAlign w:val="bottom"/>
          </w:tcPr>
          <w:p>
            <w:pPr>
              <w:spacing w:after="0"/>
              <w:rPr>
                <w:sz w:val="12"/>
                <w:szCs w:val="12"/>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2"/>
                <w:szCs w:val="12"/>
                <w:color w:val="auto"/>
              </w:rPr>
              <w:t>7,118</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2"/>
                <w:szCs w:val="12"/>
                <w:color w:val="auto"/>
              </w:rPr>
              <w:t>9,469</w:t>
            </w:r>
          </w:p>
        </w:tc>
        <w:tc>
          <w:tcPr>
            <w:tcW w:w="340" w:type="dxa"/>
            <w:vAlign w:val="bottom"/>
          </w:tcPr>
          <w:p>
            <w:pPr>
              <w:spacing w:after="0"/>
              <w:rPr>
                <w:sz w:val="12"/>
                <w:szCs w:val="12"/>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2"/>
                <w:szCs w:val="12"/>
                <w:color w:val="auto"/>
              </w:rPr>
              <w:t>5,043</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40" w:type="dxa"/>
            <w:vAlign w:val="bottom"/>
            <w:shd w:val="clear" w:color="auto" w:fill="CCEEFF"/>
          </w:tcPr>
          <w:p>
            <w:pPr>
              <w:ind w:left="420"/>
              <w:spacing w:after="0"/>
              <w:rPr>
                <w:sz w:val="20"/>
                <w:szCs w:val="20"/>
                <w:color w:val="auto"/>
              </w:rPr>
            </w:pPr>
            <w:r>
              <w:rPr>
                <w:rFonts w:ascii="Arial" w:cs="Arial" w:eastAsia="Arial" w:hAnsi="Arial"/>
                <w:sz w:val="12"/>
                <w:szCs w:val="12"/>
                <w:color w:val="auto"/>
              </w:rPr>
              <w:t>700-749</w:t>
            </w:r>
          </w:p>
        </w:tc>
        <w:tc>
          <w:tcPr>
            <w:tcW w:w="3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67,255</w:t>
            </w:r>
          </w:p>
        </w:tc>
        <w:tc>
          <w:tcPr>
            <w:tcW w:w="3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34,665</w:t>
            </w:r>
          </w:p>
        </w:tc>
        <w:tc>
          <w:tcPr>
            <w:tcW w:w="3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13,765</w:t>
            </w:r>
          </w:p>
        </w:tc>
        <w:tc>
          <w:tcPr>
            <w:tcW w:w="3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4,421</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2"/>
                <w:szCs w:val="12"/>
                <w:color w:val="auto"/>
              </w:rPr>
              <w:t>7,748</w:t>
            </w:r>
          </w:p>
        </w:tc>
        <w:tc>
          <w:tcPr>
            <w:tcW w:w="3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4,856</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40" w:type="dxa"/>
            <w:vAlign w:val="bottom"/>
          </w:tcPr>
          <w:p>
            <w:pPr>
              <w:ind w:left="420"/>
              <w:spacing w:after="0"/>
              <w:rPr>
                <w:sz w:val="20"/>
                <w:szCs w:val="20"/>
                <w:color w:val="auto"/>
              </w:rPr>
            </w:pPr>
            <w:r>
              <w:rPr>
                <w:rFonts w:ascii="Arial" w:cs="Arial" w:eastAsia="Arial" w:hAnsi="Arial"/>
                <w:sz w:val="12"/>
                <w:szCs w:val="12"/>
                <w:color w:val="auto"/>
              </w:rPr>
              <w:t>650-699</w:t>
            </w:r>
          </w:p>
        </w:tc>
        <w:tc>
          <w:tcPr>
            <w:tcW w:w="360" w:type="dxa"/>
            <w:vAlign w:val="bottom"/>
          </w:tcPr>
          <w:p>
            <w:pPr>
              <w:spacing w:after="0"/>
              <w:rPr>
                <w:sz w:val="12"/>
                <w:szCs w:val="12"/>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2"/>
                <w:szCs w:val="12"/>
                <w:color w:val="auto"/>
              </w:rPr>
              <w:t>19,367</w:t>
            </w:r>
          </w:p>
        </w:tc>
        <w:tc>
          <w:tcPr>
            <w:tcW w:w="36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10,313</w:t>
            </w: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2"/>
                <w:szCs w:val="12"/>
                <w:color w:val="auto"/>
              </w:rPr>
              <w:t>5,447</w:t>
            </w:r>
          </w:p>
        </w:tc>
        <w:tc>
          <w:tcPr>
            <w:tcW w:w="340" w:type="dxa"/>
            <w:vAlign w:val="bottom"/>
          </w:tcPr>
          <w:p>
            <w:pPr>
              <w:spacing w:after="0"/>
              <w:rPr>
                <w:sz w:val="12"/>
                <w:szCs w:val="12"/>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2"/>
                <w:szCs w:val="12"/>
                <w:color w:val="auto"/>
              </w:rPr>
              <w:t>5,285</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2"/>
                <w:szCs w:val="12"/>
                <w:color w:val="auto"/>
              </w:rPr>
              <w:t>6,080</w:t>
            </w:r>
          </w:p>
        </w:tc>
        <w:tc>
          <w:tcPr>
            <w:tcW w:w="340" w:type="dxa"/>
            <w:vAlign w:val="bottom"/>
          </w:tcPr>
          <w:p>
            <w:pPr>
              <w:spacing w:after="0"/>
              <w:rPr>
                <w:sz w:val="12"/>
                <w:szCs w:val="12"/>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2"/>
                <w:szCs w:val="12"/>
                <w:color w:val="auto"/>
              </w:rPr>
              <w:t>690</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40" w:type="dxa"/>
            <w:vAlign w:val="bottom"/>
            <w:shd w:val="clear" w:color="auto" w:fill="CCEEFF"/>
          </w:tcPr>
          <w:p>
            <w:pPr>
              <w:ind w:left="420"/>
              <w:spacing w:after="0"/>
              <w:rPr>
                <w:sz w:val="20"/>
                <w:szCs w:val="20"/>
                <w:color w:val="auto"/>
              </w:rPr>
            </w:pPr>
            <w:r>
              <w:rPr>
                <w:rFonts w:ascii="Arial" w:cs="Arial" w:eastAsia="Arial" w:hAnsi="Arial"/>
                <w:sz w:val="12"/>
                <w:szCs w:val="12"/>
                <w:color w:val="auto"/>
              </w:rPr>
              <w:t>600-649</w:t>
            </w:r>
          </w:p>
        </w:tc>
        <w:tc>
          <w:tcPr>
            <w:tcW w:w="3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2,050</w:t>
            </w: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2,638</w:t>
            </w:r>
          </w:p>
        </w:tc>
        <w:tc>
          <w:tcPr>
            <w:tcW w:w="3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506</w:t>
            </w:r>
          </w:p>
        </w:tc>
        <w:tc>
          <w:tcPr>
            <w:tcW w:w="3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1,013</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2"/>
                <w:szCs w:val="12"/>
                <w:color w:val="auto"/>
              </w:rPr>
              <w:t>837</w:t>
            </w:r>
          </w:p>
        </w:tc>
        <w:tc>
          <w:tcPr>
            <w:tcW w:w="3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976</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40" w:type="dxa"/>
            <w:vAlign w:val="bottom"/>
          </w:tcPr>
          <w:p>
            <w:pPr>
              <w:ind w:left="420"/>
              <w:spacing w:after="0"/>
              <w:rPr>
                <w:sz w:val="20"/>
                <w:szCs w:val="20"/>
                <w:color w:val="auto"/>
              </w:rPr>
            </w:pPr>
            <w:r>
              <w:rPr>
                <w:rFonts w:ascii="Arial" w:cs="Arial" w:eastAsia="Arial" w:hAnsi="Arial"/>
                <w:sz w:val="12"/>
                <w:szCs w:val="12"/>
                <w:color w:val="auto"/>
              </w:rPr>
              <w:t>550-599</w:t>
            </w:r>
          </w:p>
        </w:tc>
        <w:tc>
          <w:tcPr>
            <w:tcW w:w="3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469</w:t>
            </w: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2"/>
                <w:szCs w:val="12"/>
                <w:color w:val="auto"/>
              </w:rPr>
              <w:t>781</w:t>
            </w:r>
          </w:p>
        </w:tc>
        <w:tc>
          <w:tcPr>
            <w:tcW w:w="340" w:type="dxa"/>
            <w:vAlign w:val="bottom"/>
          </w:tcPr>
          <w:p>
            <w:pPr>
              <w:spacing w:after="0"/>
              <w:rPr>
                <w:sz w:val="12"/>
                <w:szCs w:val="12"/>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40" w:type="dxa"/>
            <w:vAlign w:val="bottom"/>
            <w:shd w:val="clear" w:color="auto" w:fill="CCEEFF"/>
          </w:tcPr>
          <w:p>
            <w:pPr>
              <w:ind w:left="420"/>
              <w:spacing w:after="0"/>
              <w:rPr>
                <w:sz w:val="20"/>
                <w:szCs w:val="20"/>
                <w:color w:val="auto"/>
              </w:rPr>
            </w:pPr>
            <w:r>
              <w:rPr>
                <w:rFonts w:ascii="Arial" w:cs="Arial" w:eastAsia="Arial" w:hAnsi="Arial"/>
                <w:sz w:val="12"/>
                <w:szCs w:val="12"/>
                <w:color w:val="auto"/>
              </w:rPr>
              <w:t>500-549</w:t>
            </w:r>
          </w:p>
        </w:tc>
        <w:tc>
          <w:tcPr>
            <w:tcW w:w="3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1,411</w:t>
            </w:r>
          </w:p>
        </w:tc>
        <w:tc>
          <w:tcPr>
            <w:tcW w:w="3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40" w:type="dxa"/>
            <w:vAlign w:val="bottom"/>
          </w:tcPr>
          <w:p>
            <w:pPr>
              <w:ind w:left="420"/>
              <w:spacing w:after="0"/>
              <w:rPr>
                <w:sz w:val="20"/>
                <w:szCs w:val="20"/>
                <w:color w:val="auto"/>
              </w:rPr>
            </w:pPr>
            <w:r>
              <w:rPr>
                <w:rFonts w:ascii="Arial" w:cs="Arial" w:eastAsia="Arial" w:hAnsi="Arial"/>
                <w:sz w:val="12"/>
                <w:szCs w:val="12"/>
                <w:color w:val="auto"/>
              </w:rPr>
              <w:t>Under 500</w:t>
            </w:r>
          </w:p>
        </w:tc>
        <w:tc>
          <w:tcPr>
            <w:tcW w:w="3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2"/>
                <w:szCs w:val="12"/>
                <w:color w:val="auto"/>
              </w:rPr>
              <w:t>607</w:t>
            </w:r>
          </w:p>
        </w:tc>
        <w:tc>
          <w:tcPr>
            <w:tcW w:w="340" w:type="dxa"/>
            <w:vAlign w:val="bottom"/>
          </w:tcPr>
          <w:p>
            <w:pPr>
              <w:spacing w:after="0"/>
              <w:rPr>
                <w:sz w:val="12"/>
                <w:szCs w:val="12"/>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40" w:type="dxa"/>
            <w:vAlign w:val="bottom"/>
            <w:shd w:val="clear" w:color="auto" w:fill="CCEEFF"/>
          </w:tcPr>
          <w:p>
            <w:pPr>
              <w:ind w:left="420"/>
              <w:spacing w:after="0"/>
              <w:rPr>
                <w:sz w:val="20"/>
                <w:szCs w:val="20"/>
                <w:color w:val="auto"/>
              </w:rPr>
            </w:pPr>
            <w:r>
              <w:rPr>
                <w:rFonts w:ascii="Arial" w:cs="Arial" w:eastAsia="Arial" w:hAnsi="Arial"/>
                <w:sz w:val="12"/>
                <w:szCs w:val="12"/>
                <w:color w:val="auto"/>
              </w:rPr>
              <w:t>Unknown</w:t>
            </w:r>
          </w:p>
        </w:tc>
        <w:tc>
          <w:tcPr>
            <w:tcW w:w="3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740" w:type="dxa"/>
            <w:vAlign w:val="bottom"/>
          </w:tcPr>
          <w:p>
            <w:pPr>
              <w:ind w:left="540"/>
              <w:spacing w:after="0" w:line="124" w:lineRule="exact"/>
              <w:rPr>
                <w:sz w:val="20"/>
                <w:szCs w:val="20"/>
                <w:color w:val="auto"/>
              </w:rPr>
            </w:pPr>
            <w:r>
              <w:rPr>
                <w:rFonts w:ascii="Arial" w:cs="Arial" w:eastAsia="Arial" w:hAnsi="Arial"/>
                <w:sz w:val="12"/>
                <w:szCs w:val="12"/>
                <w:color w:val="auto"/>
              </w:rPr>
              <w:t>Total</w:t>
            </w:r>
          </w:p>
        </w:tc>
        <w:tc>
          <w:tcPr>
            <w:tcW w:w="360" w:type="dxa"/>
            <w:vAlign w:val="bottom"/>
          </w:tcPr>
          <w:p>
            <w:pPr>
              <w:jc w:val="right"/>
              <w:ind w:right="20"/>
              <w:spacing w:after="0" w:line="124" w:lineRule="exact"/>
              <w:rPr>
                <w:sz w:val="20"/>
                <w:szCs w:val="20"/>
                <w:color w:val="auto"/>
              </w:rPr>
            </w:pPr>
            <w:r>
              <w:rPr>
                <w:rFonts w:ascii="Arial" w:cs="Arial" w:eastAsia="Arial" w:hAnsi="Arial"/>
                <w:sz w:val="12"/>
                <w:szCs w:val="12"/>
                <w:color w:val="auto"/>
              </w:rPr>
              <w:t>$</w:t>
            </w:r>
          </w:p>
        </w:tc>
        <w:tc>
          <w:tcPr>
            <w:tcW w:w="540" w:type="dxa"/>
            <w:vAlign w:val="bottom"/>
          </w:tcPr>
          <w:p>
            <w:pPr>
              <w:jc w:val="right"/>
              <w:spacing w:after="0" w:line="124" w:lineRule="exact"/>
              <w:rPr>
                <w:sz w:val="20"/>
                <w:szCs w:val="20"/>
                <w:color w:val="auto"/>
              </w:rPr>
            </w:pPr>
            <w:r>
              <w:rPr>
                <w:rFonts w:ascii="Arial" w:cs="Arial" w:eastAsia="Arial" w:hAnsi="Arial"/>
                <w:sz w:val="12"/>
                <w:szCs w:val="12"/>
                <w:color w:val="auto"/>
              </w:rPr>
              <w:t>255,101</w:t>
            </w:r>
          </w:p>
        </w:tc>
        <w:tc>
          <w:tcPr>
            <w:tcW w:w="500" w:type="dxa"/>
            <w:vAlign w:val="bottom"/>
          </w:tcPr>
          <w:p>
            <w:pPr>
              <w:spacing w:after="0"/>
              <w:rPr>
                <w:sz w:val="12"/>
                <w:szCs w:val="12"/>
                <w:color w:val="auto"/>
              </w:rPr>
            </w:pPr>
          </w:p>
        </w:tc>
        <w:tc>
          <w:tcPr>
            <w:tcW w:w="360" w:type="dxa"/>
            <w:vAlign w:val="bottom"/>
          </w:tcPr>
          <w:p>
            <w:pPr>
              <w:jc w:val="right"/>
              <w:ind w:right="20"/>
              <w:spacing w:after="0" w:line="124" w:lineRule="exact"/>
              <w:rPr>
                <w:sz w:val="20"/>
                <w:szCs w:val="20"/>
                <w:color w:val="auto"/>
              </w:rPr>
            </w:pPr>
            <w:r>
              <w:rPr>
                <w:rFonts w:ascii="Arial" w:cs="Arial" w:eastAsia="Arial" w:hAnsi="Arial"/>
                <w:sz w:val="12"/>
                <w:szCs w:val="12"/>
                <w:color w:val="auto"/>
              </w:rPr>
              <w:t>$</w:t>
            </w:r>
          </w:p>
        </w:tc>
        <w:tc>
          <w:tcPr>
            <w:tcW w:w="540" w:type="dxa"/>
            <w:vAlign w:val="bottom"/>
          </w:tcPr>
          <w:p>
            <w:pPr>
              <w:jc w:val="right"/>
              <w:spacing w:after="0" w:line="124" w:lineRule="exact"/>
              <w:rPr>
                <w:sz w:val="20"/>
                <w:szCs w:val="20"/>
                <w:color w:val="auto"/>
              </w:rPr>
            </w:pPr>
            <w:r>
              <w:rPr>
                <w:rFonts w:ascii="Arial" w:cs="Arial" w:eastAsia="Arial" w:hAnsi="Arial"/>
                <w:sz w:val="12"/>
                <w:szCs w:val="12"/>
                <w:color w:val="auto"/>
              </w:rPr>
              <w:t>159,738</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jc w:val="right"/>
              <w:spacing w:after="0" w:line="124" w:lineRule="exact"/>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500"/>
              <w:spacing w:after="0" w:line="124" w:lineRule="exact"/>
              <w:rPr>
                <w:sz w:val="20"/>
                <w:szCs w:val="20"/>
                <w:color w:val="auto"/>
              </w:rPr>
            </w:pPr>
            <w:r>
              <w:rPr>
                <w:rFonts w:ascii="Arial" w:cs="Arial" w:eastAsia="Arial" w:hAnsi="Arial"/>
                <w:sz w:val="12"/>
                <w:szCs w:val="12"/>
                <w:color w:val="auto"/>
              </w:rPr>
              <w:t>58,281</w:t>
            </w:r>
          </w:p>
        </w:tc>
        <w:tc>
          <w:tcPr>
            <w:tcW w:w="340" w:type="dxa"/>
            <w:vAlign w:val="bottom"/>
          </w:tcPr>
          <w:p>
            <w:pPr>
              <w:jc w:val="right"/>
              <w:spacing w:after="0" w:line="124" w:lineRule="exact"/>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440"/>
              <w:spacing w:after="0" w:line="124" w:lineRule="exact"/>
              <w:rPr>
                <w:sz w:val="20"/>
                <w:szCs w:val="20"/>
                <w:color w:val="auto"/>
              </w:rPr>
            </w:pPr>
            <w:r>
              <w:rPr>
                <w:rFonts w:ascii="Arial" w:cs="Arial" w:eastAsia="Arial" w:hAnsi="Arial"/>
                <w:sz w:val="12"/>
                <w:szCs w:val="12"/>
                <w:color w:val="auto"/>
              </w:rPr>
              <w:t>20,402</w:t>
            </w:r>
          </w:p>
        </w:tc>
        <w:tc>
          <w:tcPr>
            <w:tcW w:w="200" w:type="dxa"/>
            <w:vAlign w:val="bottom"/>
          </w:tcPr>
          <w:p>
            <w:pPr>
              <w:spacing w:after="0"/>
              <w:rPr>
                <w:sz w:val="12"/>
                <w:szCs w:val="12"/>
                <w:color w:val="auto"/>
              </w:rPr>
            </w:pPr>
          </w:p>
        </w:tc>
        <w:tc>
          <w:tcPr>
            <w:tcW w:w="140" w:type="dxa"/>
            <w:vAlign w:val="bottom"/>
          </w:tcPr>
          <w:p>
            <w:pPr>
              <w:jc w:val="right"/>
              <w:spacing w:after="0" w:line="124" w:lineRule="exact"/>
              <w:rPr>
                <w:sz w:val="20"/>
                <w:szCs w:val="20"/>
                <w:color w:val="auto"/>
              </w:rPr>
            </w:pPr>
            <w:r>
              <w:rPr>
                <w:rFonts w:ascii="Arial" w:cs="Arial" w:eastAsia="Arial" w:hAnsi="Arial"/>
                <w:sz w:val="12"/>
                <w:szCs w:val="12"/>
                <w:color w:val="auto"/>
                <w:w w:val="89"/>
              </w:rPr>
              <w:t>$</w:t>
            </w:r>
          </w:p>
        </w:tc>
        <w:tc>
          <w:tcPr>
            <w:tcW w:w="1000" w:type="dxa"/>
            <w:vAlign w:val="bottom"/>
            <w:gridSpan w:val="2"/>
          </w:tcPr>
          <w:p>
            <w:pPr>
              <w:jc w:val="right"/>
              <w:ind w:right="520"/>
              <w:spacing w:after="0" w:line="124" w:lineRule="exact"/>
              <w:rPr>
                <w:sz w:val="20"/>
                <w:szCs w:val="20"/>
                <w:color w:val="auto"/>
              </w:rPr>
            </w:pPr>
            <w:r>
              <w:rPr>
                <w:rFonts w:ascii="Arial" w:cs="Arial" w:eastAsia="Arial" w:hAnsi="Arial"/>
                <w:sz w:val="12"/>
                <w:szCs w:val="12"/>
                <w:color w:val="auto"/>
              </w:rPr>
              <w:t>33,038</w:t>
            </w:r>
          </w:p>
        </w:tc>
        <w:tc>
          <w:tcPr>
            <w:tcW w:w="340" w:type="dxa"/>
            <w:vAlign w:val="bottom"/>
          </w:tcPr>
          <w:p>
            <w:pPr>
              <w:jc w:val="right"/>
              <w:ind w:right="20"/>
              <w:spacing w:after="0" w:line="124" w:lineRule="exact"/>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500"/>
              <w:spacing w:after="0" w:line="124" w:lineRule="exact"/>
              <w:rPr>
                <w:sz w:val="20"/>
                <w:szCs w:val="20"/>
                <w:color w:val="auto"/>
              </w:rPr>
            </w:pPr>
            <w:r>
              <w:rPr>
                <w:rFonts w:ascii="Arial" w:cs="Arial" w:eastAsia="Arial" w:hAnsi="Arial"/>
                <w:sz w:val="12"/>
                <w:szCs w:val="12"/>
                <w:color w:val="auto"/>
              </w:rPr>
              <w:t>12,092</w:t>
            </w:r>
          </w:p>
        </w:tc>
        <w:tc>
          <w:tcPr>
            <w:tcW w:w="440" w:type="dxa"/>
            <w:vAlign w:val="bottom"/>
          </w:tcPr>
          <w:p>
            <w:pPr>
              <w:jc w:val="right"/>
              <w:ind w:right="100"/>
              <w:spacing w:after="0" w:line="124"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740" w:type="dxa"/>
            <w:vAlign w:val="bottom"/>
            <w:tcBorders>
              <w:bottom w:val="single" w:sz="8" w:color="CCEEFF"/>
            </w:tcBorders>
            <w:shd w:val="clear" w:color="auto" w:fill="CCEEFF"/>
          </w:tcPr>
          <w:p>
            <w:pPr>
              <w:ind w:left="320"/>
              <w:spacing w:after="0" w:line="120" w:lineRule="exact"/>
              <w:rPr>
                <w:sz w:val="20"/>
                <w:szCs w:val="20"/>
                <w:color w:val="auto"/>
              </w:rPr>
            </w:pPr>
            <w:r>
              <w:rPr>
                <w:rFonts w:ascii="Arial" w:cs="Arial" w:eastAsia="Arial" w:hAnsi="Arial"/>
                <w:sz w:val="12"/>
                <w:szCs w:val="12"/>
                <w:color w:val="auto"/>
              </w:rPr>
              <w:t>Accrued interest excluded from total</w:t>
            </w:r>
          </w:p>
        </w:tc>
        <w:tc>
          <w:tcPr>
            <w:tcW w:w="360" w:type="dxa"/>
            <w:vAlign w:val="bottom"/>
            <w:tcBorders>
              <w:bottom w:val="single" w:sz="8" w:color="auto"/>
            </w:tcBorders>
            <w:shd w:val="clear" w:color="auto" w:fill="CCEEFF"/>
          </w:tcPr>
          <w:p>
            <w:pPr>
              <w:jc w:val="right"/>
              <w:ind w:right="20"/>
              <w:spacing w:after="0" w:line="120" w:lineRule="exact"/>
              <w:rPr>
                <w:sz w:val="20"/>
                <w:szCs w:val="20"/>
                <w:color w:val="auto"/>
              </w:rPr>
            </w:pPr>
            <w:r>
              <w:rPr>
                <w:rFonts w:ascii="Arial" w:cs="Arial" w:eastAsia="Arial" w:hAnsi="Arial"/>
                <w:sz w:val="12"/>
                <w:szCs w:val="12"/>
                <w:color w:val="auto"/>
              </w:rPr>
              <w:t>$</w:t>
            </w:r>
          </w:p>
        </w:tc>
        <w:tc>
          <w:tcPr>
            <w:tcW w:w="54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557</w:t>
            </w:r>
          </w:p>
        </w:tc>
        <w:tc>
          <w:tcPr>
            <w:tcW w:w="5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0"/>
              <w:spacing w:after="0" w:line="120" w:lineRule="exact"/>
              <w:rPr>
                <w:sz w:val="20"/>
                <w:szCs w:val="20"/>
                <w:color w:val="auto"/>
              </w:rPr>
            </w:pPr>
            <w:r>
              <w:rPr>
                <w:rFonts w:ascii="Arial" w:cs="Arial" w:eastAsia="Arial" w:hAnsi="Arial"/>
                <w:sz w:val="12"/>
                <w:szCs w:val="12"/>
                <w:color w:val="auto"/>
              </w:rPr>
              <w:t>$</w:t>
            </w:r>
          </w:p>
        </w:tc>
        <w:tc>
          <w:tcPr>
            <w:tcW w:w="54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370</w:t>
            </w:r>
          </w:p>
        </w:tc>
        <w:tc>
          <w:tcPr>
            <w:tcW w:w="14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w:t>
            </w:r>
          </w:p>
        </w:tc>
        <w:tc>
          <w:tcPr>
            <w:tcW w:w="48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163</w:t>
            </w:r>
          </w:p>
        </w:tc>
        <w:tc>
          <w:tcPr>
            <w:tcW w:w="5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w:t>
            </w:r>
          </w:p>
        </w:tc>
        <w:tc>
          <w:tcPr>
            <w:tcW w:w="50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77</w:t>
            </w:r>
          </w:p>
        </w:tc>
        <w:tc>
          <w:tcPr>
            <w:tcW w:w="5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w w:val="89"/>
              </w:rPr>
              <w:t>$</w:t>
            </w:r>
          </w:p>
        </w:tc>
        <w:tc>
          <w:tcPr>
            <w:tcW w:w="48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87</w:t>
            </w:r>
          </w:p>
        </w:tc>
        <w:tc>
          <w:tcPr>
            <w:tcW w:w="52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0"/>
              <w:spacing w:after="0" w:line="120" w:lineRule="exact"/>
              <w:rPr>
                <w:sz w:val="20"/>
                <w:szCs w:val="20"/>
                <w:color w:val="auto"/>
              </w:rPr>
            </w:pPr>
            <w:r>
              <w:rPr>
                <w:rFonts w:ascii="Arial" w:cs="Arial" w:eastAsia="Arial" w:hAnsi="Arial"/>
                <w:sz w:val="12"/>
                <w:szCs w:val="12"/>
                <w:color w:val="auto"/>
              </w:rPr>
              <w:t>$</w:t>
            </w:r>
          </w:p>
        </w:tc>
        <w:tc>
          <w:tcPr>
            <w:tcW w:w="48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33</w:t>
            </w:r>
          </w:p>
        </w:tc>
        <w:tc>
          <w:tcPr>
            <w:tcW w:w="5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ind w:right="100"/>
              <w:spacing w:after="0" w:line="120" w:lineRule="exact"/>
              <w:rPr>
                <w:sz w:val="20"/>
                <w:szCs w:val="20"/>
                <w:color w:val="auto"/>
              </w:rPr>
            </w:pPr>
            <w:r>
              <w:rPr>
                <w:rFonts w:ascii="Arial" w:cs="Arial" w:eastAsia="Arial" w:hAnsi="Arial"/>
                <w:sz w:val="12"/>
                <w:szCs w:val="12"/>
                <w:color w:val="auto"/>
              </w:rPr>
              <w:t>$</w:t>
            </w:r>
          </w:p>
        </w:tc>
        <w:tc>
          <w:tcPr>
            <w:tcW w:w="6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740" w:type="dxa"/>
            <w:vAlign w:val="bottom"/>
            <w:shd w:val="clear" w:color="auto" w:fill="CCEEFF"/>
          </w:tcPr>
          <w:p>
            <w:pPr>
              <w:ind w:left="320"/>
              <w:spacing w:after="0"/>
              <w:rPr>
                <w:sz w:val="20"/>
                <w:szCs w:val="20"/>
                <w:color w:val="auto"/>
              </w:rPr>
            </w:pPr>
            <w:r>
              <w:rPr>
                <w:rFonts w:ascii="Arial" w:cs="Arial" w:eastAsia="Arial" w:hAnsi="Arial"/>
                <w:sz w:val="12"/>
                <w:szCs w:val="12"/>
                <w:color w:val="auto"/>
              </w:rPr>
              <w:t>1-4 family owner occupied - non-jumbo</w:t>
            </w:r>
          </w:p>
        </w:tc>
        <w:tc>
          <w:tcPr>
            <w:tcW w:w="3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40" w:type="dxa"/>
            <w:vAlign w:val="bottom"/>
          </w:tcPr>
          <w:p>
            <w:pPr>
              <w:ind w:left="420"/>
              <w:spacing w:after="0"/>
              <w:rPr>
                <w:sz w:val="20"/>
                <w:szCs w:val="20"/>
                <w:color w:val="auto"/>
              </w:rPr>
            </w:pPr>
            <w:r>
              <w:rPr>
                <w:rFonts w:ascii="Arial" w:cs="Arial" w:eastAsia="Arial" w:hAnsi="Arial"/>
                <w:sz w:val="12"/>
                <w:szCs w:val="12"/>
                <w:color w:val="auto"/>
              </w:rPr>
              <w:t>800 and above</w:t>
            </w:r>
          </w:p>
        </w:tc>
        <w:tc>
          <w:tcPr>
            <w:tcW w:w="36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6,185</w:t>
            </w:r>
          </w:p>
        </w:tc>
        <w:tc>
          <w:tcPr>
            <w:tcW w:w="500" w:type="dxa"/>
            <w:vAlign w:val="bottom"/>
          </w:tcPr>
          <w:p>
            <w:pPr>
              <w:spacing w:after="0"/>
              <w:rPr>
                <w:sz w:val="12"/>
                <w:szCs w:val="12"/>
                <w:color w:val="auto"/>
              </w:rPr>
            </w:pPr>
          </w:p>
        </w:tc>
        <w:tc>
          <w:tcPr>
            <w:tcW w:w="36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5,534</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500"/>
              <w:spacing w:after="0"/>
              <w:rPr>
                <w:sz w:val="20"/>
                <w:szCs w:val="20"/>
                <w:color w:val="auto"/>
              </w:rPr>
            </w:pPr>
            <w:r>
              <w:rPr>
                <w:rFonts w:ascii="Arial" w:cs="Arial" w:eastAsia="Arial" w:hAnsi="Arial"/>
                <w:sz w:val="12"/>
                <w:szCs w:val="12"/>
                <w:color w:val="auto"/>
              </w:rPr>
              <w:t>3,756</w:t>
            </w: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440"/>
              <w:spacing w:after="0"/>
              <w:rPr>
                <w:sz w:val="20"/>
                <w:szCs w:val="20"/>
                <w:color w:val="auto"/>
              </w:rPr>
            </w:pPr>
            <w:r>
              <w:rPr>
                <w:rFonts w:ascii="Arial" w:cs="Arial" w:eastAsia="Arial" w:hAnsi="Arial"/>
                <w:sz w:val="12"/>
                <w:szCs w:val="12"/>
                <w:color w:val="auto"/>
              </w:rPr>
              <w:t>2,514</w:t>
            </w:r>
          </w:p>
        </w:tc>
        <w:tc>
          <w:tcPr>
            <w:tcW w:w="20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gridSpan w:val="2"/>
          </w:tcPr>
          <w:p>
            <w:pPr>
              <w:jc w:val="right"/>
              <w:ind w:right="520"/>
              <w:spacing w:after="0"/>
              <w:rPr>
                <w:sz w:val="20"/>
                <w:szCs w:val="20"/>
                <w:color w:val="auto"/>
              </w:rPr>
            </w:pPr>
            <w:r>
              <w:rPr>
                <w:rFonts w:ascii="Arial" w:cs="Arial" w:eastAsia="Arial" w:hAnsi="Arial"/>
                <w:sz w:val="12"/>
                <w:szCs w:val="12"/>
                <w:color w:val="auto"/>
              </w:rPr>
              <w:t>3,566</w:t>
            </w:r>
          </w:p>
        </w:tc>
        <w:tc>
          <w:tcPr>
            <w:tcW w:w="34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500"/>
              <w:spacing w:after="0"/>
              <w:rPr>
                <w:sz w:val="20"/>
                <w:szCs w:val="20"/>
                <w:color w:val="auto"/>
              </w:rPr>
            </w:pPr>
            <w:r>
              <w:rPr>
                <w:rFonts w:ascii="Arial" w:cs="Arial" w:eastAsia="Arial" w:hAnsi="Arial"/>
                <w:sz w:val="12"/>
                <w:szCs w:val="12"/>
                <w:color w:val="auto"/>
              </w:rPr>
              <w:t>4,569</w:t>
            </w:r>
          </w:p>
        </w:tc>
        <w:tc>
          <w:tcPr>
            <w:tcW w:w="44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40" w:type="dxa"/>
            <w:vAlign w:val="bottom"/>
            <w:shd w:val="clear" w:color="auto" w:fill="CCEEFF"/>
          </w:tcPr>
          <w:p>
            <w:pPr>
              <w:ind w:left="420"/>
              <w:spacing w:after="0"/>
              <w:rPr>
                <w:sz w:val="20"/>
                <w:szCs w:val="20"/>
                <w:color w:val="auto"/>
              </w:rPr>
            </w:pPr>
            <w:r>
              <w:rPr>
                <w:rFonts w:ascii="Arial" w:cs="Arial" w:eastAsia="Arial" w:hAnsi="Arial"/>
                <w:sz w:val="12"/>
                <w:szCs w:val="12"/>
                <w:color w:val="auto"/>
              </w:rPr>
              <w:t>750-799</w:t>
            </w:r>
          </w:p>
        </w:tc>
        <w:tc>
          <w:tcPr>
            <w:tcW w:w="3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33,227</w:t>
            </w:r>
          </w:p>
        </w:tc>
        <w:tc>
          <w:tcPr>
            <w:tcW w:w="3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20,300</w:t>
            </w:r>
          </w:p>
        </w:tc>
        <w:tc>
          <w:tcPr>
            <w:tcW w:w="3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9,688</w:t>
            </w:r>
          </w:p>
        </w:tc>
        <w:tc>
          <w:tcPr>
            <w:tcW w:w="3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5,664</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2"/>
                <w:szCs w:val="12"/>
                <w:color w:val="auto"/>
              </w:rPr>
              <w:t>8,887</w:t>
            </w:r>
          </w:p>
        </w:tc>
        <w:tc>
          <w:tcPr>
            <w:tcW w:w="3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12,498</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40" w:type="dxa"/>
            <w:vAlign w:val="bottom"/>
          </w:tcPr>
          <w:p>
            <w:pPr>
              <w:ind w:left="420"/>
              <w:spacing w:after="0"/>
              <w:rPr>
                <w:sz w:val="20"/>
                <w:szCs w:val="20"/>
                <w:color w:val="auto"/>
              </w:rPr>
            </w:pPr>
            <w:r>
              <w:rPr>
                <w:rFonts w:ascii="Arial" w:cs="Arial" w:eastAsia="Arial" w:hAnsi="Arial"/>
                <w:sz w:val="12"/>
                <w:szCs w:val="12"/>
                <w:color w:val="auto"/>
              </w:rPr>
              <w:t>700-749</w:t>
            </w:r>
          </w:p>
        </w:tc>
        <w:tc>
          <w:tcPr>
            <w:tcW w:w="360" w:type="dxa"/>
            <w:vAlign w:val="bottom"/>
          </w:tcPr>
          <w:p>
            <w:pPr>
              <w:spacing w:after="0"/>
              <w:rPr>
                <w:sz w:val="12"/>
                <w:szCs w:val="12"/>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2"/>
                <w:szCs w:val="12"/>
                <w:color w:val="auto"/>
              </w:rPr>
              <w:t>19,317</w:t>
            </w:r>
          </w:p>
        </w:tc>
        <w:tc>
          <w:tcPr>
            <w:tcW w:w="36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10,572</w:t>
            </w: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2"/>
                <w:szCs w:val="12"/>
                <w:color w:val="auto"/>
              </w:rPr>
              <w:t>4,813</w:t>
            </w:r>
          </w:p>
        </w:tc>
        <w:tc>
          <w:tcPr>
            <w:tcW w:w="340" w:type="dxa"/>
            <w:vAlign w:val="bottom"/>
          </w:tcPr>
          <w:p>
            <w:pPr>
              <w:spacing w:after="0"/>
              <w:rPr>
                <w:sz w:val="12"/>
                <w:szCs w:val="12"/>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2"/>
                <w:szCs w:val="12"/>
                <w:color w:val="auto"/>
              </w:rPr>
              <w:t>4,035</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2"/>
                <w:szCs w:val="12"/>
                <w:color w:val="auto"/>
              </w:rPr>
              <w:t>5,008</w:t>
            </w:r>
          </w:p>
        </w:tc>
        <w:tc>
          <w:tcPr>
            <w:tcW w:w="340" w:type="dxa"/>
            <w:vAlign w:val="bottom"/>
          </w:tcPr>
          <w:p>
            <w:pPr>
              <w:spacing w:after="0"/>
              <w:rPr>
                <w:sz w:val="12"/>
                <w:szCs w:val="12"/>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2"/>
                <w:szCs w:val="12"/>
                <w:color w:val="auto"/>
              </w:rPr>
              <w:t>21,806</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40" w:type="dxa"/>
            <w:vAlign w:val="bottom"/>
            <w:shd w:val="clear" w:color="auto" w:fill="CCEEFF"/>
          </w:tcPr>
          <w:p>
            <w:pPr>
              <w:ind w:left="420"/>
              <w:spacing w:after="0"/>
              <w:rPr>
                <w:sz w:val="20"/>
                <w:szCs w:val="20"/>
                <w:color w:val="auto"/>
              </w:rPr>
            </w:pPr>
            <w:r>
              <w:rPr>
                <w:rFonts w:ascii="Arial" w:cs="Arial" w:eastAsia="Arial" w:hAnsi="Arial"/>
                <w:sz w:val="12"/>
                <w:szCs w:val="12"/>
                <w:color w:val="auto"/>
              </w:rPr>
              <w:t>650-699</w:t>
            </w:r>
          </w:p>
        </w:tc>
        <w:tc>
          <w:tcPr>
            <w:tcW w:w="3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6,593</w:t>
            </w: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4,233</w:t>
            </w:r>
          </w:p>
        </w:tc>
        <w:tc>
          <w:tcPr>
            <w:tcW w:w="3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3,217</w:t>
            </w:r>
          </w:p>
        </w:tc>
        <w:tc>
          <w:tcPr>
            <w:tcW w:w="3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2,010</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2"/>
                <w:szCs w:val="12"/>
                <w:color w:val="auto"/>
              </w:rPr>
              <w:t>3,135</w:t>
            </w:r>
          </w:p>
        </w:tc>
        <w:tc>
          <w:tcPr>
            <w:tcW w:w="3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12,423</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40" w:type="dxa"/>
            <w:vAlign w:val="bottom"/>
          </w:tcPr>
          <w:p>
            <w:pPr>
              <w:ind w:left="420"/>
              <w:spacing w:after="0"/>
              <w:rPr>
                <w:sz w:val="20"/>
                <w:szCs w:val="20"/>
                <w:color w:val="auto"/>
              </w:rPr>
            </w:pPr>
            <w:r>
              <w:rPr>
                <w:rFonts w:ascii="Arial" w:cs="Arial" w:eastAsia="Arial" w:hAnsi="Arial"/>
                <w:sz w:val="12"/>
                <w:szCs w:val="12"/>
                <w:color w:val="auto"/>
              </w:rPr>
              <w:t>600-649</w:t>
            </w:r>
          </w:p>
        </w:tc>
        <w:tc>
          <w:tcPr>
            <w:tcW w:w="3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2,119</w:t>
            </w: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1,082</w:t>
            </w: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2"/>
                <w:szCs w:val="12"/>
                <w:color w:val="auto"/>
              </w:rPr>
              <w:t>1,051</w:t>
            </w:r>
          </w:p>
        </w:tc>
        <w:tc>
          <w:tcPr>
            <w:tcW w:w="340" w:type="dxa"/>
            <w:vAlign w:val="bottom"/>
          </w:tcPr>
          <w:p>
            <w:pPr>
              <w:spacing w:after="0"/>
              <w:rPr>
                <w:sz w:val="12"/>
                <w:szCs w:val="12"/>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2"/>
                <w:szCs w:val="12"/>
                <w:color w:val="auto"/>
              </w:rPr>
              <w:t>1,549</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2"/>
                <w:szCs w:val="12"/>
                <w:color w:val="auto"/>
              </w:rPr>
              <w:t>1,660</w:t>
            </w:r>
          </w:p>
        </w:tc>
        <w:tc>
          <w:tcPr>
            <w:tcW w:w="340" w:type="dxa"/>
            <w:vAlign w:val="bottom"/>
          </w:tcPr>
          <w:p>
            <w:pPr>
              <w:spacing w:after="0"/>
              <w:rPr>
                <w:sz w:val="12"/>
                <w:szCs w:val="12"/>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2"/>
                <w:szCs w:val="12"/>
                <w:color w:val="auto"/>
              </w:rPr>
              <w:t>8,663</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40" w:type="dxa"/>
            <w:vAlign w:val="bottom"/>
            <w:shd w:val="clear" w:color="auto" w:fill="CCEEFF"/>
          </w:tcPr>
          <w:p>
            <w:pPr>
              <w:ind w:left="420"/>
              <w:spacing w:after="0"/>
              <w:rPr>
                <w:sz w:val="20"/>
                <w:szCs w:val="20"/>
                <w:color w:val="auto"/>
              </w:rPr>
            </w:pPr>
            <w:r>
              <w:rPr>
                <w:rFonts w:ascii="Arial" w:cs="Arial" w:eastAsia="Arial" w:hAnsi="Arial"/>
                <w:sz w:val="12"/>
                <w:szCs w:val="12"/>
                <w:color w:val="auto"/>
              </w:rPr>
              <w:t>550-599</w:t>
            </w:r>
          </w:p>
        </w:tc>
        <w:tc>
          <w:tcPr>
            <w:tcW w:w="3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295</w:t>
            </w:r>
          </w:p>
        </w:tc>
        <w:tc>
          <w:tcPr>
            <w:tcW w:w="3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1,076</w:t>
            </w:r>
          </w:p>
        </w:tc>
        <w:tc>
          <w:tcPr>
            <w:tcW w:w="3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758</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2"/>
                <w:szCs w:val="12"/>
                <w:color w:val="auto"/>
              </w:rPr>
              <w:t>1,023</w:t>
            </w:r>
          </w:p>
        </w:tc>
        <w:tc>
          <w:tcPr>
            <w:tcW w:w="3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5,802</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40" w:type="dxa"/>
            <w:vAlign w:val="bottom"/>
          </w:tcPr>
          <w:p>
            <w:pPr>
              <w:ind w:left="420"/>
              <w:spacing w:after="0"/>
              <w:rPr>
                <w:sz w:val="20"/>
                <w:szCs w:val="20"/>
                <w:color w:val="auto"/>
              </w:rPr>
            </w:pPr>
            <w:r>
              <w:rPr>
                <w:rFonts w:ascii="Arial" w:cs="Arial" w:eastAsia="Arial" w:hAnsi="Arial"/>
                <w:sz w:val="12"/>
                <w:szCs w:val="12"/>
                <w:color w:val="auto"/>
              </w:rPr>
              <w:t>500-549</w:t>
            </w:r>
          </w:p>
        </w:tc>
        <w:tc>
          <w:tcPr>
            <w:tcW w:w="3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57</w:t>
            </w: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2"/>
                <w:szCs w:val="12"/>
                <w:color w:val="auto"/>
              </w:rPr>
              <w:t>421</w:t>
            </w:r>
          </w:p>
        </w:tc>
        <w:tc>
          <w:tcPr>
            <w:tcW w:w="340" w:type="dxa"/>
            <w:vAlign w:val="bottom"/>
          </w:tcPr>
          <w:p>
            <w:pPr>
              <w:spacing w:after="0"/>
              <w:rPr>
                <w:sz w:val="12"/>
                <w:szCs w:val="12"/>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2"/>
                <w:szCs w:val="12"/>
                <w:color w:val="auto"/>
              </w:rPr>
              <w:t>327</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2"/>
                <w:szCs w:val="12"/>
                <w:color w:val="auto"/>
              </w:rPr>
              <w:t>510</w:t>
            </w:r>
          </w:p>
        </w:tc>
        <w:tc>
          <w:tcPr>
            <w:tcW w:w="340" w:type="dxa"/>
            <w:vAlign w:val="bottom"/>
          </w:tcPr>
          <w:p>
            <w:pPr>
              <w:spacing w:after="0"/>
              <w:rPr>
                <w:sz w:val="12"/>
                <w:szCs w:val="12"/>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2"/>
                <w:szCs w:val="12"/>
                <w:color w:val="auto"/>
              </w:rPr>
              <w:t>3,169</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40" w:type="dxa"/>
            <w:vAlign w:val="bottom"/>
            <w:shd w:val="clear" w:color="auto" w:fill="CCEEFF"/>
          </w:tcPr>
          <w:p>
            <w:pPr>
              <w:ind w:left="420"/>
              <w:spacing w:after="0"/>
              <w:rPr>
                <w:sz w:val="20"/>
                <w:szCs w:val="20"/>
                <w:color w:val="auto"/>
              </w:rPr>
            </w:pPr>
            <w:r>
              <w:rPr>
                <w:rFonts w:ascii="Arial" w:cs="Arial" w:eastAsia="Arial" w:hAnsi="Arial"/>
                <w:sz w:val="12"/>
                <w:szCs w:val="12"/>
                <w:color w:val="auto"/>
              </w:rPr>
              <w:t>Under 500</w:t>
            </w:r>
          </w:p>
        </w:tc>
        <w:tc>
          <w:tcPr>
            <w:tcW w:w="3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616</w:t>
            </w:r>
          </w:p>
        </w:tc>
        <w:tc>
          <w:tcPr>
            <w:tcW w:w="3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284</w:t>
            </w:r>
          </w:p>
        </w:tc>
        <w:tc>
          <w:tcPr>
            <w:tcW w:w="3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394</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2"/>
                <w:szCs w:val="12"/>
                <w:color w:val="auto"/>
              </w:rPr>
              <w:t>250</w:t>
            </w:r>
          </w:p>
        </w:tc>
        <w:tc>
          <w:tcPr>
            <w:tcW w:w="3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684</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40" w:type="dxa"/>
            <w:vAlign w:val="bottom"/>
          </w:tcPr>
          <w:p>
            <w:pPr>
              <w:ind w:left="420"/>
              <w:spacing w:after="0"/>
              <w:rPr>
                <w:sz w:val="20"/>
                <w:szCs w:val="20"/>
                <w:color w:val="auto"/>
              </w:rPr>
            </w:pPr>
            <w:r>
              <w:rPr>
                <w:rFonts w:ascii="Arial" w:cs="Arial" w:eastAsia="Arial" w:hAnsi="Arial"/>
                <w:sz w:val="12"/>
                <w:szCs w:val="12"/>
                <w:color w:val="auto"/>
              </w:rPr>
              <w:t>Unknown</w:t>
            </w:r>
          </w:p>
        </w:tc>
        <w:tc>
          <w:tcPr>
            <w:tcW w:w="3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740" w:type="dxa"/>
            <w:vAlign w:val="bottom"/>
            <w:tcBorders>
              <w:bottom w:val="single" w:sz="8" w:color="CCEEFF"/>
            </w:tcBorders>
            <w:shd w:val="clear" w:color="auto" w:fill="CCEEFF"/>
          </w:tcPr>
          <w:p>
            <w:pPr>
              <w:ind w:left="540"/>
              <w:spacing w:after="0" w:line="124" w:lineRule="exact"/>
              <w:rPr>
                <w:sz w:val="20"/>
                <w:szCs w:val="20"/>
                <w:color w:val="auto"/>
              </w:rPr>
            </w:pPr>
            <w:r>
              <w:rPr>
                <w:rFonts w:ascii="Arial" w:cs="Arial" w:eastAsia="Arial" w:hAnsi="Arial"/>
                <w:sz w:val="12"/>
                <w:szCs w:val="12"/>
                <w:color w:val="auto"/>
              </w:rPr>
              <w:t>Total</w:t>
            </w:r>
          </w:p>
        </w:tc>
        <w:tc>
          <w:tcPr>
            <w:tcW w:w="360" w:type="dxa"/>
            <w:vAlign w:val="bottom"/>
            <w:tcBorders>
              <w:top w:val="single" w:sz="8" w:color="auto"/>
              <w:bottom w:val="single" w:sz="8" w:color="auto"/>
            </w:tcBorders>
            <w:shd w:val="clear" w:color="auto" w:fill="CCEEFF"/>
          </w:tcPr>
          <w:p>
            <w:pPr>
              <w:jc w:val="right"/>
              <w:ind w:right="20"/>
              <w:spacing w:after="0" w:line="124" w:lineRule="exact"/>
              <w:rPr>
                <w:sz w:val="20"/>
                <w:szCs w:val="20"/>
                <w:color w:val="auto"/>
              </w:rPr>
            </w:pPr>
            <w:r>
              <w:rPr>
                <w:rFonts w:ascii="Arial" w:cs="Arial" w:eastAsia="Arial" w:hAnsi="Arial"/>
                <w:sz w:val="12"/>
                <w:szCs w:val="12"/>
                <w:color w:val="auto"/>
              </w:rPr>
              <w:t>$</w:t>
            </w:r>
          </w:p>
        </w:tc>
        <w:tc>
          <w:tcPr>
            <w:tcW w:w="54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67,441</w:t>
            </w:r>
          </w:p>
        </w:tc>
        <w:tc>
          <w:tcPr>
            <w:tcW w:w="5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ind w:right="20"/>
              <w:spacing w:after="0" w:line="124" w:lineRule="exact"/>
              <w:rPr>
                <w:sz w:val="20"/>
                <w:szCs w:val="20"/>
                <w:color w:val="auto"/>
              </w:rPr>
            </w:pPr>
            <w:r>
              <w:rPr>
                <w:rFonts w:ascii="Arial" w:cs="Arial" w:eastAsia="Arial" w:hAnsi="Arial"/>
                <w:sz w:val="12"/>
                <w:szCs w:val="12"/>
                <w:color w:val="auto"/>
              </w:rPr>
              <w:t>$</w:t>
            </w:r>
          </w:p>
        </w:tc>
        <w:tc>
          <w:tcPr>
            <w:tcW w:w="54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42,689</w:t>
            </w:r>
          </w:p>
        </w:tc>
        <w:tc>
          <w:tcPr>
            <w:tcW w:w="1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w:t>
            </w:r>
          </w:p>
        </w:tc>
        <w:tc>
          <w:tcPr>
            <w:tcW w:w="48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24,306</w:t>
            </w:r>
          </w:p>
        </w:tc>
        <w:tc>
          <w:tcPr>
            <w:tcW w:w="5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w:t>
            </w:r>
          </w:p>
        </w:tc>
        <w:tc>
          <w:tcPr>
            <w:tcW w:w="50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17,251</w:t>
            </w:r>
          </w:p>
        </w:tc>
        <w:tc>
          <w:tcPr>
            <w:tcW w:w="5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w w:val="89"/>
              </w:rPr>
              <w:t>$</w:t>
            </w:r>
          </w:p>
        </w:tc>
        <w:tc>
          <w:tcPr>
            <w:tcW w:w="48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24,039</w:t>
            </w:r>
          </w:p>
        </w:tc>
        <w:tc>
          <w:tcPr>
            <w:tcW w:w="5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20"/>
              <w:spacing w:after="0" w:line="124" w:lineRule="exact"/>
              <w:rPr>
                <w:sz w:val="20"/>
                <w:szCs w:val="20"/>
                <w:color w:val="auto"/>
              </w:rPr>
            </w:pPr>
            <w:r>
              <w:rPr>
                <w:rFonts w:ascii="Arial" w:cs="Arial" w:eastAsia="Arial" w:hAnsi="Arial"/>
                <w:sz w:val="12"/>
                <w:szCs w:val="12"/>
                <w:color w:val="auto"/>
              </w:rPr>
              <w:t>$</w:t>
            </w:r>
          </w:p>
        </w:tc>
        <w:tc>
          <w:tcPr>
            <w:tcW w:w="48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69,614</w:t>
            </w:r>
          </w:p>
        </w:tc>
        <w:tc>
          <w:tcPr>
            <w:tcW w:w="5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jc w:val="right"/>
              <w:ind w:right="100"/>
              <w:spacing w:after="0" w:line="124" w:lineRule="exact"/>
              <w:rPr>
                <w:sz w:val="20"/>
                <w:szCs w:val="20"/>
                <w:color w:val="auto"/>
              </w:rPr>
            </w:pPr>
            <w:r>
              <w:rPr>
                <w:rFonts w:ascii="Arial" w:cs="Arial" w:eastAsia="Arial" w:hAnsi="Arial"/>
                <w:sz w:val="12"/>
                <w:szCs w:val="12"/>
                <w:color w:val="auto"/>
              </w:rPr>
              <w:t>$</w:t>
            </w:r>
          </w:p>
        </w:tc>
        <w:tc>
          <w:tcPr>
            <w:tcW w:w="60" w:type="dxa"/>
            <w:vAlign w:val="bottom"/>
            <w:tcBorders>
              <w:top w:val="single" w:sz="8" w:color="auto"/>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740" w:type="dxa"/>
            <w:vAlign w:val="bottom"/>
          </w:tcPr>
          <w:p>
            <w:pPr>
              <w:ind w:left="320"/>
              <w:spacing w:after="0" w:line="120" w:lineRule="exact"/>
              <w:rPr>
                <w:sz w:val="20"/>
                <w:szCs w:val="20"/>
                <w:color w:val="auto"/>
              </w:rPr>
            </w:pPr>
            <w:r>
              <w:rPr>
                <w:rFonts w:ascii="Arial" w:cs="Arial" w:eastAsia="Arial" w:hAnsi="Arial"/>
                <w:sz w:val="12"/>
                <w:szCs w:val="12"/>
                <w:color w:val="auto"/>
              </w:rPr>
              <w:t>Accrued interest excluded from total</w:t>
            </w:r>
          </w:p>
        </w:tc>
        <w:tc>
          <w:tcPr>
            <w:tcW w:w="360" w:type="dxa"/>
            <w:vAlign w:val="bottom"/>
          </w:tcPr>
          <w:p>
            <w:pPr>
              <w:jc w:val="right"/>
              <w:ind w:right="20"/>
              <w:spacing w:after="0" w:line="120" w:lineRule="exact"/>
              <w:rPr>
                <w:sz w:val="20"/>
                <w:szCs w:val="20"/>
                <w:color w:val="auto"/>
              </w:rPr>
            </w:pPr>
            <w:r>
              <w:rPr>
                <w:rFonts w:ascii="Arial" w:cs="Arial" w:eastAsia="Arial" w:hAnsi="Arial"/>
                <w:sz w:val="12"/>
                <w:szCs w:val="12"/>
                <w:color w:val="auto"/>
              </w:rPr>
              <w:t>$</w:t>
            </w:r>
          </w:p>
        </w:tc>
        <w:tc>
          <w:tcPr>
            <w:tcW w:w="540" w:type="dxa"/>
            <w:vAlign w:val="bottom"/>
          </w:tcPr>
          <w:p>
            <w:pPr>
              <w:jc w:val="right"/>
              <w:spacing w:after="0" w:line="120" w:lineRule="exact"/>
              <w:rPr>
                <w:sz w:val="20"/>
                <w:szCs w:val="20"/>
                <w:color w:val="auto"/>
              </w:rPr>
            </w:pPr>
            <w:r>
              <w:rPr>
                <w:rFonts w:ascii="Arial" w:cs="Arial" w:eastAsia="Arial" w:hAnsi="Arial"/>
                <w:sz w:val="12"/>
                <w:szCs w:val="12"/>
                <w:color w:val="auto"/>
              </w:rPr>
              <w:t>208</w:t>
            </w:r>
          </w:p>
        </w:tc>
        <w:tc>
          <w:tcPr>
            <w:tcW w:w="500" w:type="dxa"/>
            <w:vAlign w:val="bottom"/>
          </w:tcPr>
          <w:p>
            <w:pPr>
              <w:spacing w:after="0"/>
              <w:rPr>
                <w:sz w:val="10"/>
                <w:szCs w:val="10"/>
                <w:color w:val="auto"/>
              </w:rPr>
            </w:pPr>
          </w:p>
        </w:tc>
        <w:tc>
          <w:tcPr>
            <w:tcW w:w="360" w:type="dxa"/>
            <w:vAlign w:val="bottom"/>
          </w:tcPr>
          <w:p>
            <w:pPr>
              <w:jc w:val="right"/>
              <w:ind w:right="20"/>
              <w:spacing w:after="0" w:line="120" w:lineRule="exact"/>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40"/>
              <w:spacing w:after="0" w:line="120" w:lineRule="exact"/>
              <w:rPr>
                <w:sz w:val="20"/>
                <w:szCs w:val="20"/>
                <w:color w:val="auto"/>
              </w:rPr>
            </w:pPr>
            <w:r>
              <w:rPr>
                <w:rFonts w:ascii="Arial" w:cs="Arial" w:eastAsia="Arial" w:hAnsi="Arial"/>
                <w:sz w:val="12"/>
                <w:szCs w:val="12"/>
                <w:color w:val="auto"/>
              </w:rPr>
              <w:t>97</w:t>
            </w:r>
          </w:p>
        </w:tc>
        <w:tc>
          <w:tcPr>
            <w:tcW w:w="700" w:type="dxa"/>
            <w:vAlign w:val="bottom"/>
            <w:gridSpan w:val="2"/>
          </w:tcPr>
          <w:p>
            <w:pPr>
              <w:jc w:val="right"/>
              <w:spacing w:after="0" w:line="120" w:lineRule="exact"/>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500"/>
              <w:spacing w:after="0" w:line="120" w:lineRule="exact"/>
              <w:rPr>
                <w:sz w:val="20"/>
                <w:szCs w:val="20"/>
                <w:color w:val="auto"/>
              </w:rPr>
            </w:pPr>
            <w:r>
              <w:rPr>
                <w:rFonts w:ascii="Arial" w:cs="Arial" w:eastAsia="Arial" w:hAnsi="Arial"/>
                <w:sz w:val="12"/>
                <w:szCs w:val="12"/>
                <w:color w:val="auto"/>
              </w:rPr>
              <w:t>84</w:t>
            </w:r>
          </w:p>
        </w:tc>
        <w:tc>
          <w:tcPr>
            <w:tcW w:w="340" w:type="dxa"/>
            <w:vAlign w:val="bottom"/>
          </w:tcPr>
          <w:p>
            <w:pPr>
              <w:jc w:val="right"/>
              <w:spacing w:after="0" w:line="120" w:lineRule="exact"/>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440"/>
              <w:spacing w:after="0" w:line="120" w:lineRule="exact"/>
              <w:rPr>
                <w:sz w:val="20"/>
                <w:szCs w:val="20"/>
                <w:color w:val="auto"/>
              </w:rPr>
            </w:pPr>
            <w:r>
              <w:rPr>
                <w:rFonts w:ascii="Arial" w:cs="Arial" w:eastAsia="Arial" w:hAnsi="Arial"/>
                <w:sz w:val="12"/>
                <w:szCs w:val="12"/>
                <w:color w:val="auto"/>
              </w:rPr>
              <w:t>58</w:t>
            </w:r>
          </w:p>
        </w:tc>
        <w:tc>
          <w:tcPr>
            <w:tcW w:w="200" w:type="dxa"/>
            <w:vAlign w:val="bottom"/>
          </w:tcPr>
          <w:p>
            <w:pPr>
              <w:spacing w:after="0"/>
              <w:rPr>
                <w:sz w:val="10"/>
                <w:szCs w:val="10"/>
                <w:color w:val="auto"/>
              </w:rPr>
            </w:pPr>
          </w:p>
        </w:tc>
        <w:tc>
          <w:tcPr>
            <w:tcW w:w="140" w:type="dxa"/>
            <w:vAlign w:val="bottom"/>
          </w:tcPr>
          <w:p>
            <w:pPr>
              <w:jc w:val="right"/>
              <w:spacing w:after="0" w:line="120" w:lineRule="exact"/>
              <w:rPr>
                <w:sz w:val="20"/>
                <w:szCs w:val="20"/>
                <w:color w:val="auto"/>
              </w:rPr>
            </w:pPr>
            <w:r>
              <w:rPr>
                <w:rFonts w:ascii="Arial" w:cs="Arial" w:eastAsia="Arial" w:hAnsi="Arial"/>
                <w:sz w:val="12"/>
                <w:szCs w:val="12"/>
                <w:color w:val="auto"/>
                <w:w w:val="89"/>
              </w:rPr>
              <w:t>$</w:t>
            </w:r>
          </w:p>
        </w:tc>
        <w:tc>
          <w:tcPr>
            <w:tcW w:w="1000" w:type="dxa"/>
            <w:vAlign w:val="bottom"/>
            <w:gridSpan w:val="2"/>
          </w:tcPr>
          <w:p>
            <w:pPr>
              <w:jc w:val="right"/>
              <w:ind w:right="520"/>
              <w:spacing w:after="0" w:line="120" w:lineRule="exact"/>
              <w:rPr>
                <w:sz w:val="20"/>
                <w:szCs w:val="20"/>
                <w:color w:val="auto"/>
              </w:rPr>
            </w:pPr>
            <w:r>
              <w:rPr>
                <w:rFonts w:ascii="Arial" w:cs="Arial" w:eastAsia="Arial" w:hAnsi="Arial"/>
                <w:sz w:val="12"/>
                <w:szCs w:val="12"/>
                <w:color w:val="auto"/>
              </w:rPr>
              <w:t>68</w:t>
            </w:r>
          </w:p>
        </w:tc>
        <w:tc>
          <w:tcPr>
            <w:tcW w:w="340" w:type="dxa"/>
            <w:vAlign w:val="bottom"/>
          </w:tcPr>
          <w:p>
            <w:pPr>
              <w:jc w:val="right"/>
              <w:ind w:right="20"/>
              <w:spacing w:after="0" w:line="120" w:lineRule="exact"/>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500"/>
              <w:spacing w:after="0" w:line="120" w:lineRule="exact"/>
              <w:rPr>
                <w:sz w:val="20"/>
                <w:szCs w:val="20"/>
                <w:color w:val="auto"/>
              </w:rPr>
            </w:pPr>
            <w:r>
              <w:rPr>
                <w:rFonts w:ascii="Arial" w:cs="Arial" w:eastAsia="Arial" w:hAnsi="Arial"/>
                <w:sz w:val="12"/>
                <w:szCs w:val="12"/>
                <w:color w:val="auto"/>
              </w:rPr>
              <w:t>226</w:t>
            </w:r>
          </w:p>
        </w:tc>
        <w:tc>
          <w:tcPr>
            <w:tcW w:w="440" w:type="dxa"/>
            <w:vAlign w:val="bottom"/>
          </w:tcPr>
          <w:p>
            <w:pPr>
              <w:jc w:val="right"/>
              <w:ind w:right="100"/>
              <w:spacing w:after="0" w:line="120"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7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740" w:type="dxa"/>
            <w:vAlign w:val="bottom"/>
          </w:tcPr>
          <w:p>
            <w:pPr>
              <w:ind w:left="320"/>
              <w:spacing w:after="0"/>
              <w:rPr>
                <w:sz w:val="20"/>
                <w:szCs w:val="20"/>
                <w:color w:val="auto"/>
              </w:rPr>
            </w:pPr>
            <w:r>
              <w:rPr>
                <w:rFonts w:ascii="Arial" w:cs="Arial" w:eastAsia="Arial" w:hAnsi="Arial"/>
                <w:sz w:val="12"/>
                <w:szCs w:val="12"/>
                <w:color w:val="auto"/>
              </w:rPr>
              <w:t>1-4 family non-owner occupied</w:t>
            </w: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40" w:type="dxa"/>
            <w:vAlign w:val="bottom"/>
            <w:shd w:val="clear" w:color="auto" w:fill="CCEEFF"/>
          </w:tcPr>
          <w:p>
            <w:pPr>
              <w:ind w:left="420"/>
              <w:spacing w:after="0"/>
              <w:rPr>
                <w:sz w:val="20"/>
                <w:szCs w:val="20"/>
                <w:color w:val="auto"/>
              </w:rPr>
            </w:pPr>
            <w:r>
              <w:rPr>
                <w:rFonts w:ascii="Arial" w:cs="Arial" w:eastAsia="Arial" w:hAnsi="Arial"/>
                <w:sz w:val="12"/>
                <w:szCs w:val="12"/>
                <w:color w:val="auto"/>
              </w:rPr>
              <w:t>800 and above</w:t>
            </w:r>
          </w:p>
        </w:tc>
        <w:tc>
          <w:tcPr>
            <w:tcW w:w="3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15,406</w:t>
            </w:r>
          </w:p>
        </w:tc>
        <w:tc>
          <w:tcPr>
            <w:tcW w:w="3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1,786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2,857</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1,459</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2"/>
                <w:szCs w:val="12"/>
                <w:color w:val="auto"/>
              </w:rPr>
              <w:t>2,627</w:t>
            </w:r>
          </w:p>
        </w:tc>
        <w:tc>
          <w:tcPr>
            <w:tcW w:w="3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5,058</w:t>
            </w:r>
          </w:p>
        </w:tc>
        <w:tc>
          <w:tcPr>
            <w:tcW w:w="4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40" w:type="dxa"/>
            <w:vAlign w:val="bottom"/>
          </w:tcPr>
          <w:p>
            <w:pPr>
              <w:ind w:left="420"/>
              <w:spacing w:after="0"/>
              <w:rPr>
                <w:sz w:val="20"/>
                <w:szCs w:val="20"/>
                <w:color w:val="auto"/>
              </w:rPr>
            </w:pPr>
            <w:r>
              <w:rPr>
                <w:rFonts w:ascii="Arial" w:cs="Arial" w:eastAsia="Arial" w:hAnsi="Arial"/>
                <w:sz w:val="12"/>
                <w:szCs w:val="12"/>
                <w:color w:val="auto"/>
              </w:rPr>
              <w:t>750-799</w:t>
            </w:r>
          </w:p>
        </w:tc>
        <w:tc>
          <w:tcPr>
            <w:tcW w:w="360" w:type="dxa"/>
            <w:vAlign w:val="bottom"/>
          </w:tcPr>
          <w:p>
            <w:pPr>
              <w:spacing w:after="0"/>
              <w:rPr>
                <w:sz w:val="12"/>
                <w:szCs w:val="12"/>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2"/>
                <w:szCs w:val="12"/>
                <w:color w:val="auto"/>
              </w:rPr>
              <w:t>44,201</w:t>
            </w:r>
          </w:p>
        </w:tc>
        <w:tc>
          <w:tcPr>
            <w:tcW w:w="36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21,885</w:t>
            </w: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2"/>
                <w:szCs w:val="12"/>
                <w:color w:val="auto"/>
              </w:rPr>
              <w:t>10,517</w:t>
            </w:r>
          </w:p>
        </w:tc>
        <w:tc>
          <w:tcPr>
            <w:tcW w:w="340" w:type="dxa"/>
            <w:vAlign w:val="bottom"/>
          </w:tcPr>
          <w:p>
            <w:pPr>
              <w:spacing w:after="0"/>
              <w:rPr>
                <w:sz w:val="12"/>
                <w:szCs w:val="12"/>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2"/>
                <w:szCs w:val="12"/>
                <w:color w:val="auto"/>
              </w:rPr>
              <w:t>3,667</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2"/>
                <w:szCs w:val="12"/>
                <w:color w:val="auto"/>
              </w:rPr>
              <w:t>6,956</w:t>
            </w:r>
          </w:p>
        </w:tc>
        <w:tc>
          <w:tcPr>
            <w:tcW w:w="340" w:type="dxa"/>
            <w:vAlign w:val="bottom"/>
          </w:tcPr>
          <w:p>
            <w:pPr>
              <w:spacing w:after="0"/>
              <w:rPr>
                <w:sz w:val="12"/>
                <w:szCs w:val="12"/>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2"/>
                <w:szCs w:val="12"/>
                <w:color w:val="auto"/>
              </w:rPr>
              <w:t>10,004</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40" w:type="dxa"/>
            <w:vAlign w:val="bottom"/>
            <w:shd w:val="clear" w:color="auto" w:fill="CCEEFF"/>
          </w:tcPr>
          <w:p>
            <w:pPr>
              <w:ind w:left="420"/>
              <w:spacing w:after="0"/>
              <w:rPr>
                <w:sz w:val="20"/>
                <w:szCs w:val="20"/>
                <w:color w:val="auto"/>
              </w:rPr>
            </w:pPr>
            <w:r>
              <w:rPr>
                <w:rFonts w:ascii="Arial" w:cs="Arial" w:eastAsia="Arial" w:hAnsi="Arial"/>
                <w:sz w:val="12"/>
                <w:szCs w:val="12"/>
                <w:color w:val="auto"/>
              </w:rPr>
              <w:t>700-749</w:t>
            </w:r>
          </w:p>
        </w:tc>
        <w:tc>
          <w:tcPr>
            <w:tcW w:w="3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16,486</w:t>
            </w:r>
          </w:p>
        </w:tc>
        <w:tc>
          <w:tcPr>
            <w:tcW w:w="3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7,807</w:t>
            </w:r>
          </w:p>
        </w:tc>
        <w:tc>
          <w:tcPr>
            <w:tcW w:w="3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2,764</w:t>
            </w:r>
          </w:p>
        </w:tc>
        <w:tc>
          <w:tcPr>
            <w:tcW w:w="3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1,878</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2"/>
                <w:szCs w:val="12"/>
                <w:color w:val="auto"/>
              </w:rPr>
              <w:t>966</w:t>
            </w:r>
          </w:p>
        </w:tc>
        <w:tc>
          <w:tcPr>
            <w:tcW w:w="3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6,095</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40" w:type="dxa"/>
            <w:vAlign w:val="bottom"/>
          </w:tcPr>
          <w:p>
            <w:pPr>
              <w:ind w:left="420"/>
              <w:spacing w:after="0"/>
              <w:rPr>
                <w:sz w:val="20"/>
                <w:szCs w:val="20"/>
                <w:color w:val="auto"/>
              </w:rPr>
            </w:pPr>
            <w:r>
              <w:rPr>
                <w:rFonts w:ascii="Arial" w:cs="Arial" w:eastAsia="Arial" w:hAnsi="Arial"/>
                <w:sz w:val="12"/>
                <w:szCs w:val="12"/>
                <w:color w:val="auto"/>
              </w:rPr>
              <w:t>650-699</w:t>
            </w:r>
          </w:p>
        </w:tc>
        <w:tc>
          <w:tcPr>
            <w:tcW w:w="3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6,617</w:t>
            </w: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3,095</w:t>
            </w: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2"/>
                <w:szCs w:val="12"/>
                <w:color w:val="auto"/>
              </w:rPr>
              <w:t>257</w:t>
            </w:r>
          </w:p>
        </w:tc>
        <w:tc>
          <w:tcPr>
            <w:tcW w:w="340" w:type="dxa"/>
            <w:vAlign w:val="bottom"/>
          </w:tcPr>
          <w:p>
            <w:pPr>
              <w:spacing w:after="0"/>
              <w:rPr>
                <w:sz w:val="12"/>
                <w:szCs w:val="12"/>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2"/>
                <w:szCs w:val="12"/>
                <w:color w:val="auto"/>
              </w:rPr>
              <w:t>299</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2"/>
                <w:szCs w:val="12"/>
                <w:color w:val="auto"/>
              </w:rPr>
              <w:t>248</w:t>
            </w:r>
          </w:p>
        </w:tc>
        <w:tc>
          <w:tcPr>
            <w:tcW w:w="340" w:type="dxa"/>
            <w:vAlign w:val="bottom"/>
          </w:tcPr>
          <w:p>
            <w:pPr>
              <w:spacing w:after="0"/>
              <w:rPr>
                <w:sz w:val="12"/>
                <w:szCs w:val="12"/>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2"/>
                <w:szCs w:val="12"/>
                <w:color w:val="auto"/>
              </w:rPr>
              <w:t>6,019</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40" w:type="dxa"/>
            <w:vAlign w:val="bottom"/>
            <w:shd w:val="clear" w:color="auto" w:fill="CCEEFF"/>
          </w:tcPr>
          <w:p>
            <w:pPr>
              <w:ind w:left="420"/>
              <w:spacing w:after="0"/>
              <w:rPr>
                <w:sz w:val="20"/>
                <w:szCs w:val="20"/>
                <w:color w:val="auto"/>
              </w:rPr>
            </w:pPr>
            <w:r>
              <w:rPr>
                <w:rFonts w:ascii="Arial" w:cs="Arial" w:eastAsia="Arial" w:hAnsi="Arial"/>
                <w:sz w:val="12"/>
                <w:szCs w:val="12"/>
                <w:color w:val="auto"/>
              </w:rPr>
              <w:t>600-649</w:t>
            </w:r>
          </w:p>
        </w:tc>
        <w:tc>
          <w:tcPr>
            <w:tcW w:w="3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w:t>
            </w: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57</w:t>
            </w:r>
          </w:p>
        </w:tc>
        <w:tc>
          <w:tcPr>
            <w:tcW w:w="3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108</w:t>
            </w:r>
          </w:p>
        </w:tc>
        <w:tc>
          <w:tcPr>
            <w:tcW w:w="3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282</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2"/>
                <w:szCs w:val="12"/>
                <w:color w:val="auto"/>
              </w:rPr>
              <w:t>174</w:t>
            </w:r>
          </w:p>
        </w:tc>
        <w:tc>
          <w:tcPr>
            <w:tcW w:w="3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2,051</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40" w:type="dxa"/>
            <w:vAlign w:val="bottom"/>
          </w:tcPr>
          <w:p>
            <w:pPr>
              <w:ind w:left="420"/>
              <w:spacing w:after="0"/>
              <w:rPr>
                <w:sz w:val="20"/>
                <w:szCs w:val="20"/>
                <w:color w:val="auto"/>
              </w:rPr>
            </w:pPr>
            <w:r>
              <w:rPr>
                <w:rFonts w:ascii="Arial" w:cs="Arial" w:eastAsia="Arial" w:hAnsi="Arial"/>
                <w:sz w:val="12"/>
                <w:szCs w:val="12"/>
                <w:color w:val="auto"/>
              </w:rPr>
              <w:t>550-599</w:t>
            </w:r>
          </w:p>
        </w:tc>
        <w:tc>
          <w:tcPr>
            <w:tcW w:w="3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25</w:t>
            </w: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2"/>
                <w:szCs w:val="12"/>
                <w:color w:val="auto"/>
              </w:rPr>
              <w:t>192</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2"/>
                <w:szCs w:val="12"/>
                <w:color w:val="auto"/>
              </w:rPr>
              <w:t>1,121</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40" w:type="dxa"/>
            <w:vAlign w:val="bottom"/>
            <w:shd w:val="clear" w:color="auto" w:fill="CCEEFF"/>
          </w:tcPr>
          <w:p>
            <w:pPr>
              <w:ind w:left="420"/>
              <w:spacing w:after="0"/>
              <w:rPr>
                <w:sz w:val="20"/>
                <w:szCs w:val="20"/>
                <w:color w:val="auto"/>
              </w:rPr>
            </w:pPr>
            <w:r>
              <w:rPr>
                <w:rFonts w:ascii="Arial" w:cs="Arial" w:eastAsia="Arial" w:hAnsi="Arial"/>
                <w:sz w:val="12"/>
                <w:szCs w:val="12"/>
                <w:color w:val="auto"/>
              </w:rPr>
              <w:t>500-549</w:t>
            </w:r>
          </w:p>
        </w:tc>
        <w:tc>
          <w:tcPr>
            <w:tcW w:w="3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55</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638</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40" w:type="dxa"/>
            <w:vAlign w:val="bottom"/>
          </w:tcPr>
          <w:p>
            <w:pPr>
              <w:ind w:left="420"/>
              <w:spacing w:after="0"/>
              <w:rPr>
                <w:sz w:val="20"/>
                <w:szCs w:val="20"/>
                <w:color w:val="auto"/>
              </w:rPr>
            </w:pPr>
            <w:r>
              <w:rPr>
                <w:rFonts w:ascii="Arial" w:cs="Arial" w:eastAsia="Arial" w:hAnsi="Arial"/>
                <w:sz w:val="12"/>
                <w:szCs w:val="12"/>
                <w:color w:val="auto"/>
              </w:rPr>
              <w:t>Under 500</w:t>
            </w:r>
          </w:p>
        </w:tc>
        <w:tc>
          <w:tcPr>
            <w:tcW w:w="3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2"/>
                <w:szCs w:val="12"/>
                <w:color w:val="auto"/>
              </w:rPr>
              <w:t>172</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40" w:type="dxa"/>
            <w:vAlign w:val="bottom"/>
            <w:shd w:val="clear" w:color="auto" w:fill="CCEEFF"/>
          </w:tcPr>
          <w:p>
            <w:pPr>
              <w:ind w:left="420"/>
              <w:spacing w:after="0"/>
              <w:rPr>
                <w:sz w:val="20"/>
                <w:szCs w:val="20"/>
                <w:color w:val="auto"/>
              </w:rPr>
            </w:pPr>
            <w:r>
              <w:rPr>
                <w:rFonts w:ascii="Arial" w:cs="Arial" w:eastAsia="Arial" w:hAnsi="Arial"/>
                <w:sz w:val="12"/>
                <w:szCs w:val="12"/>
                <w:color w:val="auto"/>
              </w:rPr>
              <w:t>Unknown</w:t>
            </w:r>
          </w:p>
        </w:tc>
        <w:tc>
          <w:tcPr>
            <w:tcW w:w="3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740" w:type="dxa"/>
            <w:vAlign w:val="bottom"/>
          </w:tcPr>
          <w:p>
            <w:pPr>
              <w:ind w:left="540"/>
              <w:spacing w:after="0" w:line="124" w:lineRule="exact"/>
              <w:rPr>
                <w:sz w:val="20"/>
                <w:szCs w:val="20"/>
                <w:color w:val="auto"/>
              </w:rPr>
            </w:pPr>
            <w:r>
              <w:rPr>
                <w:rFonts w:ascii="Arial" w:cs="Arial" w:eastAsia="Arial" w:hAnsi="Arial"/>
                <w:sz w:val="12"/>
                <w:szCs w:val="12"/>
                <w:color w:val="auto"/>
              </w:rPr>
              <w:t>Total</w:t>
            </w:r>
          </w:p>
        </w:tc>
        <w:tc>
          <w:tcPr>
            <w:tcW w:w="360" w:type="dxa"/>
            <w:vAlign w:val="bottom"/>
          </w:tcPr>
          <w:p>
            <w:pPr>
              <w:jc w:val="right"/>
              <w:ind w:right="20"/>
              <w:spacing w:after="0" w:line="124" w:lineRule="exact"/>
              <w:rPr>
                <w:sz w:val="20"/>
                <w:szCs w:val="20"/>
                <w:color w:val="auto"/>
              </w:rPr>
            </w:pPr>
            <w:r>
              <w:rPr>
                <w:rFonts w:ascii="Arial" w:cs="Arial" w:eastAsia="Arial" w:hAnsi="Arial"/>
                <w:sz w:val="12"/>
                <w:szCs w:val="12"/>
                <w:color w:val="auto"/>
              </w:rPr>
              <w:t>$</w:t>
            </w:r>
          </w:p>
        </w:tc>
        <w:tc>
          <w:tcPr>
            <w:tcW w:w="540" w:type="dxa"/>
            <w:vAlign w:val="bottom"/>
          </w:tcPr>
          <w:p>
            <w:pPr>
              <w:jc w:val="right"/>
              <w:spacing w:after="0" w:line="124" w:lineRule="exact"/>
              <w:rPr>
                <w:sz w:val="20"/>
                <w:szCs w:val="20"/>
                <w:color w:val="auto"/>
              </w:rPr>
            </w:pPr>
            <w:r>
              <w:rPr>
                <w:rFonts w:ascii="Arial" w:cs="Arial" w:eastAsia="Arial" w:hAnsi="Arial"/>
                <w:sz w:val="12"/>
                <w:szCs w:val="12"/>
                <w:color w:val="auto"/>
              </w:rPr>
              <w:t>82,835</w:t>
            </w:r>
          </w:p>
        </w:tc>
        <w:tc>
          <w:tcPr>
            <w:tcW w:w="500" w:type="dxa"/>
            <w:vAlign w:val="bottom"/>
          </w:tcPr>
          <w:p>
            <w:pPr>
              <w:spacing w:after="0"/>
              <w:rPr>
                <w:sz w:val="12"/>
                <w:szCs w:val="12"/>
                <w:color w:val="auto"/>
              </w:rPr>
            </w:pPr>
          </w:p>
        </w:tc>
        <w:tc>
          <w:tcPr>
            <w:tcW w:w="360" w:type="dxa"/>
            <w:vAlign w:val="bottom"/>
          </w:tcPr>
          <w:p>
            <w:pPr>
              <w:jc w:val="right"/>
              <w:ind w:right="20"/>
              <w:spacing w:after="0" w:line="124" w:lineRule="exact"/>
              <w:rPr>
                <w:sz w:val="20"/>
                <w:szCs w:val="20"/>
                <w:color w:val="auto"/>
              </w:rPr>
            </w:pPr>
            <w:r>
              <w:rPr>
                <w:rFonts w:ascii="Arial" w:cs="Arial" w:eastAsia="Arial" w:hAnsi="Arial"/>
                <w:sz w:val="12"/>
                <w:szCs w:val="12"/>
                <w:color w:val="auto"/>
              </w:rPr>
              <w:t>$</w:t>
            </w:r>
          </w:p>
        </w:tc>
        <w:tc>
          <w:tcPr>
            <w:tcW w:w="540" w:type="dxa"/>
            <w:vAlign w:val="bottom"/>
          </w:tcPr>
          <w:p>
            <w:pPr>
              <w:jc w:val="right"/>
              <w:spacing w:after="0" w:line="124" w:lineRule="exact"/>
              <w:rPr>
                <w:sz w:val="20"/>
                <w:szCs w:val="20"/>
                <w:color w:val="auto"/>
              </w:rPr>
            </w:pPr>
            <w:r>
              <w:rPr>
                <w:rFonts w:ascii="Arial" w:cs="Arial" w:eastAsia="Arial" w:hAnsi="Arial"/>
                <w:sz w:val="12"/>
                <w:szCs w:val="12"/>
                <w:color w:val="auto"/>
              </w:rPr>
              <w:t>34,655</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jc w:val="right"/>
              <w:spacing w:after="0" w:line="124" w:lineRule="exact"/>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500"/>
              <w:spacing w:after="0" w:line="124" w:lineRule="exact"/>
              <w:rPr>
                <w:sz w:val="20"/>
                <w:szCs w:val="20"/>
                <w:color w:val="auto"/>
              </w:rPr>
            </w:pPr>
            <w:r>
              <w:rPr>
                <w:rFonts w:ascii="Arial" w:cs="Arial" w:eastAsia="Arial" w:hAnsi="Arial"/>
                <w:sz w:val="12"/>
                <w:szCs w:val="12"/>
                <w:color w:val="auto"/>
              </w:rPr>
              <w:t>16,503</w:t>
            </w:r>
          </w:p>
        </w:tc>
        <w:tc>
          <w:tcPr>
            <w:tcW w:w="340" w:type="dxa"/>
            <w:vAlign w:val="bottom"/>
          </w:tcPr>
          <w:p>
            <w:pPr>
              <w:jc w:val="right"/>
              <w:spacing w:after="0" w:line="124" w:lineRule="exact"/>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440"/>
              <w:spacing w:after="0" w:line="124" w:lineRule="exact"/>
              <w:rPr>
                <w:sz w:val="20"/>
                <w:szCs w:val="20"/>
                <w:color w:val="auto"/>
              </w:rPr>
            </w:pPr>
            <w:r>
              <w:rPr>
                <w:rFonts w:ascii="Arial" w:cs="Arial" w:eastAsia="Arial" w:hAnsi="Arial"/>
                <w:sz w:val="12"/>
                <w:szCs w:val="12"/>
                <w:color w:val="auto"/>
              </w:rPr>
              <w:t>7,832</w:t>
            </w:r>
          </w:p>
        </w:tc>
        <w:tc>
          <w:tcPr>
            <w:tcW w:w="200" w:type="dxa"/>
            <w:vAlign w:val="bottom"/>
          </w:tcPr>
          <w:p>
            <w:pPr>
              <w:spacing w:after="0"/>
              <w:rPr>
                <w:sz w:val="12"/>
                <w:szCs w:val="12"/>
                <w:color w:val="auto"/>
              </w:rPr>
            </w:pPr>
          </w:p>
        </w:tc>
        <w:tc>
          <w:tcPr>
            <w:tcW w:w="140" w:type="dxa"/>
            <w:vAlign w:val="bottom"/>
          </w:tcPr>
          <w:p>
            <w:pPr>
              <w:jc w:val="right"/>
              <w:spacing w:after="0" w:line="124" w:lineRule="exact"/>
              <w:rPr>
                <w:sz w:val="20"/>
                <w:szCs w:val="20"/>
                <w:color w:val="auto"/>
              </w:rPr>
            </w:pPr>
            <w:r>
              <w:rPr>
                <w:rFonts w:ascii="Arial" w:cs="Arial" w:eastAsia="Arial" w:hAnsi="Arial"/>
                <w:sz w:val="12"/>
                <w:szCs w:val="12"/>
                <w:color w:val="auto"/>
                <w:w w:val="89"/>
              </w:rPr>
              <w:t>$</w:t>
            </w:r>
          </w:p>
        </w:tc>
        <w:tc>
          <w:tcPr>
            <w:tcW w:w="1000" w:type="dxa"/>
            <w:vAlign w:val="bottom"/>
            <w:gridSpan w:val="2"/>
          </w:tcPr>
          <w:p>
            <w:pPr>
              <w:jc w:val="right"/>
              <w:ind w:right="520"/>
              <w:spacing w:after="0" w:line="124" w:lineRule="exact"/>
              <w:rPr>
                <w:sz w:val="20"/>
                <w:szCs w:val="20"/>
                <w:color w:val="auto"/>
              </w:rPr>
            </w:pPr>
            <w:r>
              <w:rPr>
                <w:rFonts w:ascii="Arial" w:cs="Arial" w:eastAsia="Arial" w:hAnsi="Arial"/>
                <w:sz w:val="12"/>
                <w:szCs w:val="12"/>
                <w:color w:val="auto"/>
              </w:rPr>
              <w:t>10,971</w:t>
            </w:r>
          </w:p>
        </w:tc>
        <w:tc>
          <w:tcPr>
            <w:tcW w:w="340" w:type="dxa"/>
            <w:vAlign w:val="bottom"/>
          </w:tcPr>
          <w:p>
            <w:pPr>
              <w:jc w:val="right"/>
              <w:ind w:right="20"/>
              <w:spacing w:after="0" w:line="124" w:lineRule="exact"/>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500"/>
              <w:spacing w:after="0" w:line="124" w:lineRule="exact"/>
              <w:rPr>
                <w:sz w:val="20"/>
                <w:szCs w:val="20"/>
                <w:color w:val="auto"/>
              </w:rPr>
            </w:pPr>
            <w:r>
              <w:rPr>
                <w:rFonts w:ascii="Arial" w:cs="Arial" w:eastAsia="Arial" w:hAnsi="Arial"/>
                <w:sz w:val="12"/>
                <w:szCs w:val="12"/>
                <w:color w:val="auto"/>
              </w:rPr>
              <w:t>31,158</w:t>
            </w:r>
          </w:p>
        </w:tc>
        <w:tc>
          <w:tcPr>
            <w:tcW w:w="440" w:type="dxa"/>
            <w:vAlign w:val="bottom"/>
          </w:tcPr>
          <w:p>
            <w:pPr>
              <w:jc w:val="right"/>
              <w:ind w:right="100"/>
              <w:spacing w:after="0" w:line="124"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740" w:type="dxa"/>
            <w:vAlign w:val="bottom"/>
            <w:tcBorders>
              <w:bottom w:val="single" w:sz="8" w:color="CCEEFF"/>
            </w:tcBorders>
            <w:shd w:val="clear" w:color="auto" w:fill="CCEEFF"/>
          </w:tcPr>
          <w:p>
            <w:pPr>
              <w:ind w:left="320"/>
              <w:spacing w:after="0" w:line="120" w:lineRule="exact"/>
              <w:rPr>
                <w:sz w:val="20"/>
                <w:szCs w:val="20"/>
                <w:color w:val="auto"/>
              </w:rPr>
            </w:pPr>
            <w:r>
              <w:rPr>
                <w:rFonts w:ascii="Arial" w:cs="Arial" w:eastAsia="Arial" w:hAnsi="Arial"/>
                <w:sz w:val="12"/>
                <w:szCs w:val="12"/>
                <w:color w:val="auto"/>
              </w:rPr>
              <w:t>Accrued interest excluded from total</w:t>
            </w:r>
          </w:p>
        </w:tc>
        <w:tc>
          <w:tcPr>
            <w:tcW w:w="360" w:type="dxa"/>
            <w:vAlign w:val="bottom"/>
            <w:tcBorders>
              <w:bottom w:val="single" w:sz="8" w:color="auto"/>
            </w:tcBorders>
            <w:shd w:val="clear" w:color="auto" w:fill="CCEEFF"/>
          </w:tcPr>
          <w:p>
            <w:pPr>
              <w:jc w:val="right"/>
              <w:ind w:right="20"/>
              <w:spacing w:after="0" w:line="120" w:lineRule="exact"/>
              <w:rPr>
                <w:sz w:val="20"/>
                <w:szCs w:val="20"/>
                <w:color w:val="auto"/>
              </w:rPr>
            </w:pPr>
            <w:r>
              <w:rPr>
                <w:rFonts w:ascii="Arial" w:cs="Arial" w:eastAsia="Arial" w:hAnsi="Arial"/>
                <w:sz w:val="12"/>
                <w:szCs w:val="12"/>
                <w:color w:val="auto"/>
              </w:rPr>
              <w:t>$</w:t>
            </w:r>
          </w:p>
        </w:tc>
        <w:tc>
          <w:tcPr>
            <w:tcW w:w="54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171</w:t>
            </w:r>
          </w:p>
        </w:tc>
        <w:tc>
          <w:tcPr>
            <w:tcW w:w="5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0"/>
              <w:spacing w:after="0" w:line="120" w:lineRule="exact"/>
              <w:rPr>
                <w:sz w:val="20"/>
                <w:szCs w:val="20"/>
                <w:color w:val="auto"/>
              </w:rPr>
            </w:pPr>
            <w:r>
              <w:rPr>
                <w:rFonts w:ascii="Arial" w:cs="Arial" w:eastAsia="Arial" w:hAnsi="Arial"/>
                <w:sz w:val="12"/>
                <w:szCs w:val="12"/>
                <w:color w:val="auto"/>
              </w:rPr>
              <w:t>$</w:t>
            </w:r>
          </w:p>
        </w:tc>
        <w:tc>
          <w:tcPr>
            <w:tcW w:w="54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95</w:t>
            </w:r>
          </w:p>
        </w:tc>
        <w:tc>
          <w:tcPr>
            <w:tcW w:w="14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w:t>
            </w:r>
          </w:p>
        </w:tc>
        <w:tc>
          <w:tcPr>
            <w:tcW w:w="48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46</w:t>
            </w:r>
          </w:p>
        </w:tc>
        <w:tc>
          <w:tcPr>
            <w:tcW w:w="5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w:t>
            </w:r>
          </w:p>
        </w:tc>
        <w:tc>
          <w:tcPr>
            <w:tcW w:w="50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23</w:t>
            </w:r>
          </w:p>
        </w:tc>
        <w:tc>
          <w:tcPr>
            <w:tcW w:w="5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w w:val="89"/>
              </w:rPr>
              <w:t>$</w:t>
            </w:r>
          </w:p>
        </w:tc>
        <w:tc>
          <w:tcPr>
            <w:tcW w:w="48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33</w:t>
            </w:r>
          </w:p>
        </w:tc>
        <w:tc>
          <w:tcPr>
            <w:tcW w:w="52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0"/>
              <w:spacing w:after="0" w:line="120" w:lineRule="exact"/>
              <w:rPr>
                <w:sz w:val="20"/>
                <w:szCs w:val="20"/>
                <w:color w:val="auto"/>
              </w:rPr>
            </w:pPr>
            <w:r>
              <w:rPr>
                <w:rFonts w:ascii="Arial" w:cs="Arial" w:eastAsia="Arial" w:hAnsi="Arial"/>
                <w:sz w:val="12"/>
                <w:szCs w:val="12"/>
                <w:color w:val="auto"/>
              </w:rPr>
              <w:t>$</w:t>
            </w:r>
          </w:p>
        </w:tc>
        <w:tc>
          <w:tcPr>
            <w:tcW w:w="48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107</w:t>
            </w:r>
          </w:p>
        </w:tc>
        <w:tc>
          <w:tcPr>
            <w:tcW w:w="5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ind w:right="100"/>
              <w:spacing w:after="0" w:line="120" w:lineRule="exact"/>
              <w:rPr>
                <w:sz w:val="20"/>
                <w:szCs w:val="20"/>
                <w:color w:val="auto"/>
              </w:rPr>
            </w:pPr>
            <w:r>
              <w:rPr>
                <w:rFonts w:ascii="Arial" w:cs="Arial" w:eastAsia="Arial" w:hAnsi="Arial"/>
                <w:sz w:val="12"/>
                <w:szCs w:val="12"/>
                <w:color w:val="auto"/>
              </w:rPr>
              <w:t>$</w:t>
            </w:r>
          </w:p>
        </w:tc>
        <w:tc>
          <w:tcPr>
            <w:tcW w:w="6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740" w:type="dxa"/>
            <w:vAlign w:val="bottom"/>
            <w:shd w:val="clear" w:color="auto" w:fill="CCEEFF"/>
          </w:tcPr>
          <w:p>
            <w:pPr>
              <w:ind w:left="320"/>
              <w:spacing w:after="0"/>
              <w:rPr>
                <w:sz w:val="20"/>
                <w:szCs w:val="20"/>
                <w:color w:val="auto"/>
              </w:rPr>
            </w:pPr>
            <w:r>
              <w:rPr>
                <w:rFonts w:ascii="Arial" w:cs="Arial" w:eastAsia="Arial" w:hAnsi="Arial"/>
                <w:sz w:val="12"/>
                <w:szCs w:val="12"/>
                <w:color w:val="auto"/>
              </w:rPr>
              <w:t>1-4 family - 2nd lien</w:t>
            </w:r>
          </w:p>
        </w:tc>
        <w:tc>
          <w:tcPr>
            <w:tcW w:w="3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40" w:type="dxa"/>
            <w:vAlign w:val="bottom"/>
          </w:tcPr>
          <w:p>
            <w:pPr>
              <w:ind w:left="420"/>
              <w:spacing w:after="0"/>
              <w:rPr>
                <w:sz w:val="20"/>
                <w:szCs w:val="20"/>
                <w:color w:val="auto"/>
              </w:rPr>
            </w:pPr>
            <w:r>
              <w:rPr>
                <w:rFonts w:ascii="Arial" w:cs="Arial" w:eastAsia="Arial" w:hAnsi="Arial"/>
                <w:sz w:val="12"/>
                <w:szCs w:val="12"/>
                <w:color w:val="auto"/>
              </w:rPr>
              <w:t>800 and above</w:t>
            </w:r>
          </w:p>
        </w:tc>
        <w:tc>
          <w:tcPr>
            <w:tcW w:w="36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415</w:t>
            </w:r>
          </w:p>
        </w:tc>
        <w:tc>
          <w:tcPr>
            <w:tcW w:w="500" w:type="dxa"/>
            <w:vAlign w:val="bottom"/>
          </w:tcPr>
          <w:p>
            <w:pPr>
              <w:spacing w:after="0"/>
              <w:rPr>
                <w:sz w:val="12"/>
                <w:szCs w:val="12"/>
                <w:color w:val="auto"/>
              </w:rPr>
            </w:pPr>
          </w:p>
        </w:tc>
        <w:tc>
          <w:tcPr>
            <w:tcW w:w="36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964</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500"/>
              <w:spacing w:after="0"/>
              <w:rPr>
                <w:sz w:val="20"/>
                <w:szCs w:val="20"/>
                <w:color w:val="auto"/>
              </w:rPr>
            </w:pPr>
            <w:r>
              <w:rPr>
                <w:rFonts w:ascii="Arial" w:cs="Arial" w:eastAsia="Arial" w:hAnsi="Arial"/>
                <w:sz w:val="12"/>
                <w:szCs w:val="12"/>
                <w:color w:val="auto"/>
              </w:rPr>
              <w:t>426</w:t>
            </w: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440"/>
              <w:spacing w:after="0"/>
              <w:rPr>
                <w:sz w:val="20"/>
                <w:szCs w:val="20"/>
                <w:color w:val="auto"/>
              </w:rPr>
            </w:pPr>
            <w:r>
              <w:rPr>
                <w:rFonts w:ascii="Arial" w:cs="Arial" w:eastAsia="Arial" w:hAnsi="Arial"/>
                <w:sz w:val="12"/>
                <w:szCs w:val="12"/>
                <w:color w:val="auto"/>
              </w:rPr>
              <w:t>95</w:t>
            </w:r>
          </w:p>
        </w:tc>
        <w:tc>
          <w:tcPr>
            <w:tcW w:w="20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gridSpan w:val="2"/>
          </w:tcPr>
          <w:p>
            <w:pPr>
              <w:jc w:val="right"/>
              <w:ind w:right="520"/>
              <w:spacing w:after="0"/>
              <w:rPr>
                <w:sz w:val="20"/>
                <w:szCs w:val="20"/>
                <w:color w:val="auto"/>
              </w:rPr>
            </w:pPr>
            <w:r>
              <w:rPr>
                <w:rFonts w:ascii="Arial" w:cs="Arial" w:eastAsia="Arial" w:hAnsi="Arial"/>
                <w:sz w:val="12"/>
                <w:szCs w:val="12"/>
                <w:color w:val="auto"/>
              </w:rPr>
              <w:t>266</w:t>
            </w:r>
          </w:p>
        </w:tc>
        <w:tc>
          <w:tcPr>
            <w:tcW w:w="34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500"/>
              <w:spacing w:after="0"/>
              <w:rPr>
                <w:sz w:val="20"/>
                <w:szCs w:val="20"/>
                <w:color w:val="auto"/>
              </w:rPr>
            </w:pPr>
            <w:r>
              <w:rPr>
                <w:rFonts w:ascii="Arial" w:cs="Arial" w:eastAsia="Arial" w:hAnsi="Arial"/>
                <w:sz w:val="12"/>
                <w:szCs w:val="12"/>
                <w:color w:val="auto"/>
              </w:rPr>
              <w:t>353</w:t>
            </w:r>
          </w:p>
        </w:tc>
        <w:tc>
          <w:tcPr>
            <w:tcW w:w="44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40" w:type="dxa"/>
            <w:vAlign w:val="bottom"/>
            <w:shd w:val="clear" w:color="auto" w:fill="CCEEFF"/>
          </w:tcPr>
          <w:p>
            <w:pPr>
              <w:ind w:left="420"/>
              <w:spacing w:after="0"/>
              <w:rPr>
                <w:sz w:val="20"/>
                <w:szCs w:val="20"/>
                <w:color w:val="auto"/>
              </w:rPr>
            </w:pPr>
            <w:r>
              <w:rPr>
                <w:rFonts w:ascii="Arial" w:cs="Arial" w:eastAsia="Arial" w:hAnsi="Arial"/>
                <w:sz w:val="12"/>
                <w:szCs w:val="12"/>
                <w:color w:val="auto"/>
              </w:rPr>
              <w:t>750-799</w:t>
            </w:r>
          </w:p>
        </w:tc>
        <w:tc>
          <w:tcPr>
            <w:tcW w:w="3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2,161</w:t>
            </w: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2,413</w:t>
            </w:r>
          </w:p>
        </w:tc>
        <w:tc>
          <w:tcPr>
            <w:tcW w:w="3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714</w:t>
            </w:r>
          </w:p>
        </w:tc>
        <w:tc>
          <w:tcPr>
            <w:tcW w:w="3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1,332</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2"/>
                <w:szCs w:val="12"/>
                <w:color w:val="auto"/>
              </w:rPr>
              <w:t>1,859</w:t>
            </w:r>
          </w:p>
        </w:tc>
        <w:tc>
          <w:tcPr>
            <w:tcW w:w="3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2,415</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40" w:type="dxa"/>
            <w:vAlign w:val="bottom"/>
          </w:tcPr>
          <w:p>
            <w:pPr>
              <w:ind w:left="420"/>
              <w:spacing w:after="0"/>
              <w:rPr>
                <w:sz w:val="20"/>
                <w:szCs w:val="20"/>
                <w:color w:val="auto"/>
              </w:rPr>
            </w:pPr>
            <w:r>
              <w:rPr>
                <w:rFonts w:ascii="Arial" w:cs="Arial" w:eastAsia="Arial" w:hAnsi="Arial"/>
                <w:sz w:val="12"/>
                <w:szCs w:val="12"/>
                <w:color w:val="auto"/>
              </w:rPr>
              <w:t>700-749</w:t>
            </w:r>
          </w:p>
        </w:tc>
        <w:tc>
          <w:tcPr>
            <w:tcW w:w="3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1,307</w:t>
            </w: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1,049</w:t>
            </w: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2"/>
                <w:szCs w:val="12"/>
                <w:color w:val="auto"/>
              </w:rPr>
              <w:t>771</w:t>
            </w:r>
          </w:p>
        </w:tc>
        <w:tc>
          <w:tcPr>
            <w:tcW w:w="340" w:type="dxa"/>
            <w:vAlign w:val="bottom"/>
          </w:tcPr>
          <w:p>
            <w:pPr>
              <w:spacing w:after="0"/>
              <w:rPr>
                <w:sz w:val="12"/>
                <w:szCs w:val="12"/>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2"/>
                <w:szCs w:val="12"/>
                <w:color w:val="auto"/>
              </w:rPr>
              <w:t>561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2"/>
                <w:szCs w:val="12"/>
                <w:color w:val="auto"/>
              </w:rPr>
              <w:t>1,374</w:t>
            </w:r>
          </w:p>
        </w:tc>
        <w:tc>
          <w:tcPr>
            <w:tcW w:w="340" w:type="dxa"/>
            <w:vAlign w:val="bottom"/>
          </w:tcPr>
          <w:p>
            <w:pPr>
              <w:spacing w:after="0"/>
              <w:rPr>
                <w:sz w:val="12"/>
                <w:szCs w:val="12"/>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2"/>
                <w:szCs w:val="12"/>
                <w:color w:val="auto"/>
              </w:rPr>
              <w:t>2,365</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40" w:type="dxa"/>
            <w:vAlign w:val="bottom"/>
            <w:shd w:val="clear" w:color="auto" w:fill="CCEEFF"/>
          </w:tcPr>
          <w:p>
            <w:pPr>
              <w:ind w:left="420"/>
              <w:spacing w:after="0"/>
              <w:rPr>
                <w:sz w:val="20"/>
                <w:szCs w:val="20"/>
                <w:color w:val="auto"/>
              </w:rPr>
            </w:pPr>
            <w:r>
              <w:rPr>
                <w:rFonts w:ascii="Arial" w:cs="Arial" w:eastAsia="Arial" w:hAnsi="Arial"/>
                <w:sz w:val="12"/>
                <w:szCs w:val="12"/>
                <w:color w:val="auto"/>
              </w:rPr>
              <w:t>650-699</w:t>
            </w:r>
          </w:p>
        </w:tc>
        <w:tc>
          <w:tcPr>
            <w:tcW w:w="3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w:t>
            </w: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309</w:t>
            </w:r>
          </w:p>
        </w:tc>
        <w:tc>
          <w:tcPr>
            <w:tcW w:w="3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460</w:t>
            </w:r>
          </w:p>
        </w:tc>
        <w:tc>
          <w:tcPr>
            <w:tcW w:w="3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405</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2"/>
                <w:szCs w:val="12"/>
                <w:color w:val="auto"/>
              </w:rPr>
              <w:t>140</w:t>
            </w:r>
          </w:p>
        </w:tc>
        <w:tc>
          <w:tcPr>
            <w:tcW w:w="3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1,639</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40" w:type="dxa"/>
            <w:vAlign w:val="bottom"/>
          </w:tcPr>
          <w:p>
            <w:pPr>
              <w:ind w:left="420"/>
              <w:spacing w:after="0"/>
              <w:rPr>
                <w:sz w:val="20"/>
                <w:szCs w:val="20"/>
                <w:color w:val="auto"/>
              </w:rPr>
            </w:pPr>
            <w:r>
              <w:rPr>
                <w:rFonts w:ascii="Arial" w:cs="Arial" w:eastAsia="Arial" w:hAnsi="Arial"/>
                <w:sz w:val="12"/>
                <w:szCs w:val="12"/>
                <w:color w:val="auto"/>
              </w:rPr>
              <w:t>600-649</w:t>
            </w:r>
          </w:p>
        </w:tc>
        <w:tc>
          <w:tcPr>
            <w:tcW w:w="3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177</w:t>
            </w: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2"/>
                <w:szCs w:val="12"/>
                <w:color w:val="auto"/>
              </w:rPr>
              <w:t>72</w:t>
            </w:r>
          </w:p>
        </w:tc>
        <w:tc>
          <w:tcPr>
            <w:tcW w:w="340" w:type="dxa"/>
            <w:vAlign w:val="bottom"/>
          </w:tcPr>
          <w:p>
            <w:pPr>
              <w:spacing w:after="0"/>
              <w:rPr>
                <w:sz w:val="12"/>
                <w:szCs w:val="12"/>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2"/>
                <w:szCs w:val="12"/>
                <w:color w:val="auto"/>
              </w:rPr>
              <w:t>106</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2"/>
                <w:szCs w:val="12"/>
                <w:color w:val="auto"/>
              </w:rPr>
              <w:t>92</w:t>
            </w:r>
          </w:p>
        </w:tc>
        <w:tc>
          <w:tcPr>
            <w:tcW w:w="340" w:type="dxa"/>
            <w:vAlign w:val="bottom"/>
          </w:tcPr>
          <w:p>
            <w:pPr>
              <w:spacing w:after="0"/>
              <w:rPr>
                <w:sz w:val="12"/>
                <w:szCs w:val="12"/>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2"/>
                <w:szCs w:val="12"/>
                <w:color w:val="auto"/>
              </w:rPr>
              <w:t>1,143</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40" w:type="dxa"/>
            <w:vAlign w:val="bottom"/>
            <w:shd w:val="clear" w:color="auto" w:fill="CCEEFF"/>
          </w:tcPr>
          <w:p>
            <w:pPr>
              <w:ind w:left="420"/>
              <w:spacing w:after="0"/>
              <w:rPr>
                <w:sz w:val="20"/>
                <w:szCs w:val="20"/>
                <w:color w:val="auto"/>
              </w:rPr>
            </w:pPr>
            <w:r>
              <w:rPr>
                <w:rFonts w:ascii="Arial" w:cs="Arial" w:eastAsia="Arial" w:hAnsi="Arial"/>
                <w:sz w:val="12"/>
                <w:szCs w:val="12"/>
                <w:color w:val="auto"/>
              </w:rPr>
              <w:t>550-599</w:t>
            </w:r>
          </w:p>
        </w:tc>
        <w:tc>
          <w:tcPr>
            <w:tcW w:w="3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61</w:t>
            </w:r>
          </w:p>
        </w:tc>
        <w:tc>
          <w:tcPr>
            <w:tcW w:w="3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476</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40" w:type="dxa"/>
            <w:vAlign w:val="bottom"/>
          </w:tcPr>
          <w:p>
            <w:pPr>
              <w:ind w:left="420"/>
              <w:spacing w:after="0"/>
              <w:rPr>
                <w:sz w:val="20"/>
                <w:szCs w:val="20"/>
                <w:color w:val="auto"/>
              </w:rPr>
            </w:pPr>
            <w:r>
              <w:rPr>
                <w:rFonts w:ascii="Arial" w:cs="Arial" w:eastAsia="Arial" w:hAnsi="Arial"/>
                <w:sz w:val="12"/>
                <w:szCs w:val="12"/>
                <w:color w:val="auto"/>
              </w:rPr>
              <w:t>500-549</w:t>
            </w:r>
          </w:p>
        </w:tc>
        <w:tc>
          <w:tcPr>
            <w:tcW w:w="3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2"/>
                <w:szCs w:val="12"/>
                <w:color w:val="auto"/>
              </w:rPr>
              <w:t>99</w:t>
            </w:r>
          </w:p>
        </w:tc>
        <w:tc>
          <w:tcPr>
            <w:tcW w:w="340" w:type="dxa"/>
            <w:vAlign w:val="bottom"/>
          </w:tcPr>
          <w:p>
            <w:pPr>
              <w:spacing w:after="0"/>
              <w:rPr>
                <w:sz w:val="12"/>
                <w:szCs w:val="12"/>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2"/>
                <w:szCs w:val="12"/>
                <w:color w:val="auto"/>
              </w:rPr>
              <w:t>89</w:t>
            </w:r>
          </w:p>
        </w:tc>
        <w:tc>
          <w:tcPr>
            <w:tcW w:w="340" w:type="dxa"/>
            <w:vAlign w:val="bottom"/>
          </w:tcPr>
          <w:p>
            <w:pPr>
              <w:spacing w:after="0"/>
              <w:rPr>
                <w:sz w:val="12"/>
                <w:szCs w:val="12"/>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2"/>
                <w:szCs w:val="12"/>
                <w:color w:val="auto"/>
              </w:rPr>
              <w:t>190</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40" w:type="dxa"/>
            <w:vAlign w:val="bottom"/>
            <w:shd w:val="clear" w:color="auto" w:fill="CCEEFF"/>
          </w:tcPr>
          <w:p>
            <w:pPr>
              <w:ind w:left="420"/>
              <w:spacing w:after="0"/>
              <w:rPr>
                <w:sz w:val="20"/>
                <w:szCs w:val="20"/>
                <w:color w:val="auto"/>
              </w:rPr>
            </w:pPr>
            <w:r>
              <w:rPr>
                <w:rFonts w:ascii="Arial" w:cs="Arial" w:eastAsia="Arial" w:hAnsi="Arial"/>
                <w:sz w:val="12"/>
                <w:szCs w:val="12"/>
                <w:color w:val="auto"/>
              </w:rPr>
              <w:t>Under 500</w:t>
            </w:r>
          </w:p>
        </w:tc>
        <w:tc>
          <w:tcPr>
            <w:tcW w:w="3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54</w:t>
            </w:r>
          </w:p>
        </w:tc>
        <w:tc>
          <w:tcPr>
            <w:tcW w:w="3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3</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2"/>
                <w:szCs w:val="12"/>
                <w:color w:val="auto"/>
              </w:rPr>
              <w:t>60</w:t>
            </w:r>
          </w:p>
        </w:tc>
        <w:tc>
          <w:tcPr>
            <w:tcW w:w="3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16</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40" w:type="dxa"/>
            <w:vAlign w:val="bottom"/>
          </w:tcPr>
          <w:p>
            <w:pPr>
              <w:ind w:left="420"/>
              <w:spacing w:after="0"/>
              <w:rPr>
                <w:sz w:val="20"/>
                <w:szCs w:val="20"/>
                <w:color w:val="auto"/>
              </w:rPr>
            </w:pPr>
            <w:r>
              <w:rPr>
                <w:rFonts w:ascii="Arial" w:cs="Arial" w:eastAsia="Arial" w:hAnsi="Arial"/>
                <w:sz w:val="12"/>
                <w:szCs w:val="12"/>
                <w:color w:val="auto"/>
              </w:rPr>
              <w:t>Unknown</w:t>
            </w:r>
          </w:p>
        </w:tc>
        <w:tc>
          <w:tcPr>
            <w:tcW w:w="3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740" w:type="dxa"/>
            <w:vAlign w:val="bottom"/>
            <w:tcBorders>
              <w:bottom w:val="single" w:sz="8" w:color="CCEEFF"/>
            </w:tcBorders>
            <w:shd w:val="clear" w:color="auto" w:fill="CCEEFF"/>
          </w:tcPr>
          <w:p>
            <w:pPr>
              <w:ind w:left="540"/>
              <w:spacing w:after="0" w:line="124" w:lineRule="exact"/>
              <w:rPr>
                <w:sz w:val="20"/>
                <w:szCs w:val="20"/>
                <w:color w:val="auto"/>
              </w:rPr>
            </w:pPr>
            <w:r>
              <w:rPr>
                <w:rFonts w:ascii="Arial" w:cs="Arial" w:eastAsia="Arial" w:hAnsi="Arial"/>
                <w:sz w:val="12"/>
                <w:szCs w:val="12"/>
                <w:color w:val="auto"/>
              </w:rPr>
              <w:t>Total</w:t>
            </w:r>
          </w:p>
        </w:tc>
        <w:tc>
          <w:tcPr>
            <w:tcW w:w="360" w:type="dxa"/>
            <w:vAlign w:val="bottom"/>
            <w:tcBorders>
              <w:top w:val="single" w:sz="8" w:color="auto"/>
              <w:bottom w:val="single" w:sz="8" w:color="auto"/>
            </w:tcBorders>
            <w:shd w:val="clear" w:color="auto" w:fill="CCEEFF"/>
          </w:tcPr>
          <w:p>
            <w:pPr>
              <w:jc w:val="right"/>
              <w:ind w:right="20"/>
              <w:spacing w:after="0" w:line="124" w:lineRule="exact"/>
              <w:rPr>
                <w:sz w:val="20"/>
                <w:szCs w:val="20"/>
                <w:color w:val="auto"/>
              </w:rPr>
            </w:pPr>
            <w:r>
              <w:rPr>
                <w:rFonts w:ascii="Arial" w:cs="Arial" w:eastAsia="Arial" w:hAnsi="Arial"/>
                <w:sz w:val="12"/>
                <w:szCs w:val="12"/>
                <w:color w:val="auto"/>
              </w:rPr>
              <w:t>$</w:t>
            </w:r>
          </w:p>
        </w:tc>
        <w:tc>
          <w:tcPr>
            <w:tcW w:w="54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4,005</w:t>
            </w:r>
          </w:p>
        </w:tc>
        <w:tc>
          <w:tcPr>
            <w:tcW w:w="5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ind w:right="20"/>
              <w:spacing w:after="0" w:line="124" w:lineRule="exact"/>
              <w:rPr>
                <w:sz w:val="20"/>
                <w:szCs w:val="20"/>
                <w:color w:val="auto"/>
              </w:rPr>
            </w:pPr>
            <w:r>
              <w:rPr>
                <w:rFonts w:ascii="Arial" w:cs="Arial" w:eastAsia="Arial" w:hAnsi="Arial"/>
                <w:sz w:val="12"/>
                <w:szCs w:val="12"/>
                <w:color w:val="auto"/>
              </w:rPr>
              <w:t>$</w:t>
            </w:r>
          </w:p>
        </w:tc>
        <w:tc>
          <w:tcPr>
            <w:tcW w:w="54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4,912</w:t>
            </w:r>
          </w:p>
        </w:tc>
        <w:tc>
          <w:tcPr>
            <w:tcW w:w="1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w:t>
            </w:r>
          </w:p>
        </w:tc>
        <w:tc>
          <w:tcPr>
            <w:tcW w:w="48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2,657</w:t>
            </w:r>
          </w:p>
        </w:tc>
        <w:tc>
          <w:tcPr>
            <w:tcW w:w="5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w:t>
            </w:r>
          </w:p>
        </w:tc>
        <w:tc>
          <w:tcPr>
            <w:tcW w:w="50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2,502</w:t>
            </w:r>
          </w:p>
        </w:tc>
        <w:tc>
          <w:tcPr>
            <w:tcW w:w="5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w w:val="89"/>
              </w:rPr>
              <w:t>$</w:t>
            </w:r>
          </w:p>
        </w:tc>
        <w:tc>
          <w:tcPr>
            <w:tcW w:w="48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3,880</w:t>
            </w:r>
          </w:p>
        </w:tc>
        <w:tc>
          <w:tcPr>
            <w:tcW w:w="5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20"/>
              <w:spacing w:after="0" w:line="124" w:lineRule="exact"/>
              <w:rPr>
                <w:sz w:val="20"/>
                <w:szCs w:val="20"/>
                <w:color w:val="auto"/>
              </w:rPr>
            </w:pPr>
            <w:r>
              <w:rPr>
                <w:rFonts w:ascii="Arial" w:cs="Arial" w:eastAsia="Arial" w:hAnsi="Arial"/>
                <w:sz w:val="12"/>
                <w:szCs w:val="12"/>
                <w:color w:val="auto"/>
              </w:rPr>
              <w:t>$</w:t>
            </w:r>
          </w:p>
        </w:tc>
        <w:tc>
          <w:tcPr>
            <w:tcW w:w="48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8,597</w:t>
            </w:r>
          </w:p>
        </w:tc>
        <w:tc>
          <w:tcPr>
            <w:tcW w:w="5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jc w:val="right"/>
              <w:ind w:right="100"/>
              <w:spacing w:after="0" w:line="124" w:lineRule="exact"/>
              <w:rPr>
                <w:sz w:val="20"/>
                <w:szCs w:val="20"/>
                <w:color w:val="auto"/>
              </w:rPr>
            </w:pPr>
            <w:r>
              <w:rPr>
                <w:rFonts w:ascii="Arial" w:cs="Arial" w:eastAsia="Arial" w:hAnsi="Arial"/>
                <w:sz w:val="12"/>
                <w:szCs w:val="12"/>
                <w:color w:val="auto"/>
              </w:rPr>
              <w:t>$</w:t>
            </w:r>
          </w:p>
        </w:tc>
        <w:tc>
          <w:tcPr>
            <w:tcW w:w="60" w:type="dxa"/>
            <w:vAlign w:val="bottom"/>
            <w:tcBorders>
              <w:top w:val="single" w:sz="8" w:color="auto"/>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740" w:type="dxa"/>
            <w:vAlign w:val="bottom"/>
          </w:tcPr>
          <w:p>
            <w:pPr>
              <w:ind w:left="320"/>
              <w:spacing w:after="0" w:line="120" w:lineRule="exact"/>
              <w:rPr>
                <w:sz w:val="20"/>
                <w:szCs w:val="20"/>
                <w:color w:val="auto"/>
              </w:rPr>
            </w:pPr>
            <w:r>
              <w:rPr>
                <w:rFonts w:ascii="Arial" w:cs="Arial" w:eastAsia="Arial" w:hAnsi="Arial"/>
                <w:sz w:val="12"/>
                <w:szCs w:val="12"/>
                <w:color w:val="auto"/>
              </w:rPr>
              <w:t>Accrued interest excluded from total</w:t>
            </w:r>
          </w:p>
        </w:tc>
        <w:tc>
          <w:tcPr>
            <w:tcW w:w="360" w:type="dxa"/>
            <w:vAlign w:val="bottom"/>
          </w:tcPr>
          <w:p>
            <w:pPr>
              <w:jc w:val="right"/>
              <w:ind w:right="20"/>
              <w:spacing w:after="0" w:line="120" w:lineRule="exact"/>
              <w:rPr>
                <w:sz w:val="20"/>
                <w:szCs w:val="20"/>
                <w:color w:val="auto"/>
              </w:rPr>
            </w:pPr>
            <w:r>
              <w:rPr>
                <w:rFonts w:ascii="Arial" w:cs="Arial" w:eastAsia="Arial" w:hAnsi="Arial"/>
                <w:sz w:val="12"/>
                <w:szCs w:val="12"/>
                <w:color w:val="auto"/>
              </w:rPr>
              <w:t>$</w:t>
            </w:r>
          </w:p>
        </w:tc>
        <w:tc>
          <w:tcPr>
            <w:tcW w:w="540" w:type="dxa"/>
            <w:vAlign w:val="bottom"/>
          </w:tcPr>
          <w:p>
            <w:pPr>
              <w:jc w:val="right"/>
              <w:spacing w:after="0" w:line="120" w:lineRule="exact"/>
              <w:rPr>
                <w:sz w:val="20"/>
                <w:szCs w:val="20"/>
                <w:color w:val="auto"/>
              </w:rPr>
            </w:pPr>
            <w:r>
              <w:rPr>
                <w:rFonts w:ascii="Arial" w:cs="Arial" w:eastAsia="Arial" w:hAnsi="Arial"/>
                <w:sz w:val="12"/>
                <w:szCs w:val="12"/>
                <w:color w:val="auto"/>
              </w:rPr>
              <w:t>7</w:t>
            </w:r>
          </w:p>
        </w:tc>
        <w:tc>
          <w:tcPr>
            <w:tcW w:w="500" w:type="dxa"/>
            <w:vAlign w:val="bottom"/>
          </w:tcPr>
          <w:p>
            <w:pPr>
              <w:spacing w:after="0"/>
              <w:rPr>
                <w:sz w:val="10"/>
                <w:szCs w:val="10"/>
                <w:color w:val="auto"/>
              </w:rPr>
            </w:pPr>
          </w:p>
        </w:tc>
        <w:tc>
          <w:tcPr>
            <w:tcW w:w="360" w:type="dxa"/>
            <w:vAlign w:val="bottom"/>
          </w:tcPr>
          <w:p>
            <w:pPr>
              <w:jc w:val="right"/>
              <w:ind w:right="20"/>
              <w:spacing w:after="0" w:line="120" w:lineRule="exact"/>
              <w:rPr>
                <w:sz w:val="20"/>
                <w:szCs w:val="20"/>
                <w:color w:val="auto"/>
              </w:rPr>
            </w:pPr>
            <w:r>
              <w:rPr>
                <w:rFonts w:ascii="Arial" w:cs="Arial" w:eastAsia="Arial" w:hAnsi="Arial"/>
                <w:sz w:val="12"/>
                <w:szCs w:val="12"/>
                <w:color w:val="auto"/>
              </w:rPr>
              <w:t>$</w:t>
            </w:r>
          </w:p>
        </w:tc>
        <w:tc>
          <w:tcPr>
            <w:tcW w:w="540" w:type="dxa"/>
            <w:vAlign w:val="bottom"/>
          </w:tcPr>
          <w:p>
            <w:pPr>
              <w:jc w:val="right"/>
              <w:spacing w:after="0" w:line="120" w:lineRule="exact"/>
              <w:rPr>
                <w:sz w:val="20"/>
                <w:szCs w:val="20"/>
                <w:color w:val="auto"/>
              </w:rPr>
            </w:pPr>
            <w:r>
              <w:rPr>
                <w:rFonts w:ascii="Arial" w:cs="Arial" w:eastAsia="Arial" w:hAnsi="Arial"/>
                <w:sz w:val="12"/>
                <w:szCs w:val="12"/>
                <w:color w:val="auto"/>
              </w:rPr>
              <w:t>9</w:t>
            </w: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jc w:val="right"/>
              <w:spacing w:after="0" w:line="120" w:lineRule="exact"/>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500"/>
              <w:spacing w:after="0" w:line="120" w:lineRule="exact"/>
              <w:rPr>
                <w:sz w:val="20"/>
                <w:szCs w:val="20"/>
                <w:color w:val="auto"/>
              </w:rPr>
            </w:pPr>
            <w:r>
              <w:rPr>
                <w:rFonts w:ascii="Arial" w:cs="Arial" w:eastAsia="Arial" w:hAnsi="Arial"/>
                <w:sz w:val="12"/>
                <w:szCs w:val="12"/>
                <w:color w:val="auto"/>
              </w:rPr>
              <w:t>9</w:t>
            </w:r>
          </w:p>
        </w:tc>
        <w:tc>
          <w:tcPr>
            <w:tcW w:w="340" w:type="dxa"/>
            <w:vAlign w:val="bottom"/>
          </w:tcPr>
          <w:p>
            <w:pPr>
              <w:jc w:val="right"/>
              <w:spacing w:after="0" w:line="120" w:lineRule="exact"/>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440"/>
              <w:spacing w:after="0" w:line="120" w:lineRule="exact"/>
              <w:rPr>
                <w:sz w:val="20"/>
                <w:szCs w:val="20"/>
                <w:color w:val="auto"/>
              </w:rPr>
            </w:pPr>
            <w:r>
              <w:rPr>
                <w:rFonts w:ascii="Arial" w:cs="Arial" w:eastAsia="Arial" w:hAnsi="Arial"/>
                <w:sz w:val="12"/>
                <w:szCs w:val="12"/>
                <w:color w:val="auto"/>
              </w:rPr>
              <w:t>5</w:t>
            </w:r>
          </w:p>
        </w:tc>
        <w:tc>
          <w:tcPr>
            <w:tcW w:w="200" w:type="dxa"/>
            <w:vAlign w:val="bottom"/>
          </w:tcPr>
          <w:p>
            <w:pPr>
              <w:spacing w:after="0"/>
              <w:rPr>
                <w:sz w:val="10"/>
                <w:szCs w:val="10"/>
                <w:color w:val="auto"/>
              </w:rPr>
            </w:pPr>
          </w:p>
        </w:tc>
        <w:tc>
          <w:tcPr>
            <w:tcW w:w="140" w:type="dxa"/>
            <w:vAlign w:val="bottom"/>
          </w:tcPr>
          <w:p>
            <w:pPr>
              <w:jc w:val="right"/>
              <w:spacing w:after="0" w:line="120" w:lineRule="exact"/>
              <w:rPr>
                <w:sz w:val="20"/>
                <w:szCs w:val="20"/>
                <w:color w:val="auto"/>
              </w:rPr>
            </w:pPr>
            <w:r>
              <w:rPr>
                <w:rFonts w:ascii="Arial" w:cs="Arial" w:eastAsia="Arial" w:hAnsi="Arial"/>
                <w:sz w:val="12"/>
                <w:szCs w:val="12"/>
                <w:color w:val="auto"/>
                <w:w w:val="89"/>
              </w:rPr>
              <w:t>$</w:t>
            </w:r>
          </w:p>
        </w:tc>
        <w:tc>
          <w:tcPr>
            <w:tcW w:w="1000" w:type="dxa"/>
            <w:vAlign w:val="bottom"/>
            <w:gridSpan w:val="2"/>
          </w:tcPr>
          <w:p>
            <w:pPr>
              <w:jc w:val="right"/>
              <w:ind w:right="520"/>
              <w:spacing w:after="0" w:line="120" w:lineRule="exact"/>
              <w:rPr>
                <w:sz w:val="20"/>
                <w:szCs w:val="20"/>
                <w:color w:val="auto"/>
              </w:rPr>
            </w:pPr>
            <w:r>
              <w:rPr>
                <w:rFonts w:ascii="Arial" w:cs="Arial" w:eastAsia="Arial" w:hAnsi="Arial"/>
                <w:sz w:val="12"/>
                <w:szCs w:val="12"/>
                <w:color w:val="auto"/>
              </w:rPr>
              <w:t>8</w:t>
            </w:r>
          </w:p>
        </w:tc>
        <w:tc>
          <w:tcPr>
            <w:tcW w:w="340" w:type="dxa"/>
            <w:vAlign w:val="bottom"/>
          </w:tcPr>
          <w:p>
            <w:pPr>
              <w:jc w:val="right"/>
              <w:ind w:right="20"/>
              <w:spacing w:after="0" w:line="120" w:lineRule="exact"/>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500"/>
              <w:spacing w:after="0" w:line="120" w:lineRule="exact"/>
              <w:rPr>
                <w:sz w:val="20"/>
                <w:szCs w:val="20"/>
                <w:color w:val="auto"/>
              </w:rPr>
            </w:pPr>
            <w:r>
              <w:rPr>
                <w:rFonts w:ascii="Arial" w:cs="Arial" w:eastAsia="Arial" w:hAnsi="Arial"/>
                <w:sz w:val="12"/>
                <w:szCs w:val="12"/>
                <w:color w:val="auto"/>
              </w:rPr>
              <w:t>34</w:t>
            </w:r>
          </w:p>
        </w:tc>
        <w:tc>
          <w:tcPr>
            <w:tcW w:w="440" w:type="dxa"/>
            <w:vAlign w:val="bottom"/>
          </w:tcPr>
          <w:p>
            <w:pPr>
              <w:jc w:val="right"/>
              <w:ind w:right="100"/>
              <w:spacing w:after="0" w:line="120"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0"/>
                <w:szCs w:val="10"/>
                <w:color w:val="auto"/>
              </w:rPr>
              <w:t>69</w:t>
            </w: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300" w:top="127" w:right="239" w:bottom="1440" w:gutter="0" w:footer="0" w:header="0"/>
        </w:sectPr>
      </w:pPr>
    </w:p>
    <w:bookmarkStart w:id="89" w:name="page90"/>
    <w:bookmarkEnd w:id="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80" w:type="dxa"/>
            <w:vAlign w:val="bottom"/>
            <w:gridSpan w:val="12"/>
          </w:tcPr>
          <w:p>
            <w:pPr>
              <w:ind w:left="160"/>
              <w:spacing w:after="0"/>
              <w:rPr>
                <w:sz w:val="20"/>
                <w:szCs w:val="20"/>
                <w:color w:val="auto"/>
              </w:rPr>
            </w:pPr>
            <w:r>
              <w:rPr>
                <w:rFonts w:ascii="Arial" w:cs="Arial" w:eastAsia="Arial" w:hAnsi="Arial"/>
                <w:sz w:val="12"/>
                <w:szCs w:val="12"/>
                <w:b w:val="1"/>
                <w:bCs w:val="1"/>
                <w:color w:val="auto"/>
              </w:rPr>
              <w:t>NOTES TO CONSOLIDATED FINANCIAL STATEMENTS − (Continued)</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25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340" w:type="dxa"/>
            <w:vAlign w:val="bottom"/>
            <w:tcBorders>
              <w:bottom w:val="single" w:sz="8" w:color="auto"/>
            </w:tcBorders>
            <w:gridSpan w:val="6"/>
          </w:tcPr>
          <w:p>
            <w:pPr>
              <w:jc w:val="center"/>
              <w:ind w:right="600"/>
              <w:spacing w:after="0"/>
              <w:rPr>
                <w:sz w:val="20"/>
                <w:szCs w:val="20"/>
                <w:color w:val="auto"/>
              </w:rPr>
            </w:pPr>
            <w:r>
              <w:rPr>
                <w:rFonts w:ascii="Arial" w:cs="Arial" w:eastAsia="Arial" w:hAnsi="Arial"/>
                <w:sz w:val="12"/>
                <w:szCs w:val="12"/>
                <w:color w:val="auto"/>
                <w:w w:val="92"/>
              </w:rPr>
              <w:t>Mortgage - continued (1)</w:t>
            </w:r>
          </w:p>
        </w:tc>
        <w:tc>
          <w:tcPr>
            <w:tcW w:w="3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3"/>
        </w:trPr>
        <w:tc>
          <w:tcPr>
            <w:tcW w:w="2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gridSpan w:val="2"/>
          </w:tcPr>
          <w:p>
            <w:pPr>
              <w:ind w:left="280"/>
              <w:spacing w:after="0" w:line="133" w:lineRule="exact"/>
              <w:rPr>
                <w:sz w:val="20"/>
                <w:szCs w:val="20"/>
                <w:color w:val="auto"/>
              </w:rPr>
            </w:pPr>
            <w:r>
              <w:rPr>
                <w:rFonts w:ascii="Arial" w:cs="Arial" w:eastAsia="Arial" w:hAnsi="Arial"/>
                <w:sz w:val="12"/>
                <w:szCs w:val="12"/>
                <w:color w:val="auto"/>
                <w:w w:val="85"/>
              </w:rPr>
              <w:t>Revo</w:t>
            </w:r>
          </w:p>
        </w:tc>
        <w:tc>
          <w:tcPr>
            <w:tcW w:w="0" w:type="dxa"/>
            <w:vAlign w:val="bottom"/>
          </w:tcPr>
          <w:p>
            <w:pPr>
              <w:spacing w:after="0"/>
              <w:rPr>
                <w:sz w:val="1"/>
                <w:szCs w:val="1"/>
                <w:color w:val="auto"/>
              </w:rPr>
            </w:pPr>
          </w:p>
        </w:tc>
      </w:tr>
      <w:tr>
        <w:trPr>
          <w:trHeight w:val="144"/>
        </w:trPr>
        <w:tc>
          <w:tcPr>
            <w:tcW w:w="2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60" w:type="dxa"/>
            <w:vAlign w:val="bottom"/>
            <w:gridSpan w:val="8"/>
            <w:vMerge w:val="restart"/>
          </w:tcPr>
          <w:p>
            <w:pPr>
              <w:ind w:left="180"/>
              <w:spacing w:after="0"/>
              <w:rPr>
                <w:sz w:val="20"/>
                <w:szCs w:val="20"/>
                <w:color w:val="auto"/>
              </w:rPr>
            </w:pPr>
            <w:r>
              <w:rPr>
                <w:rFonts w:ascii="Arial" w:cs="Arial" w:eastAsia="Arial" w:hAnsi="Arial"/>
                <w:sz w:val="12"/>
                <w:szCs w:val="12"/>
                <w:color w:val="auto"/>
              </w:rPr>
              <w:t>Term Loans Amortized Cost Basis by Origination Year</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Lo</w:t>
            </w: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260" w:type="dxa"/>
            <w:vAlign w:val="bottom"/>
            <w:tcBorders>
              <w:bottom w:val="single" w:sz="8" w:color="auto"/>
            </w:tcBorders>
            <w:gridSpan w:val="8"/>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Amor</w:t>
            </w:r>
          </w:p>
        </w:tc>
        <w:tc>
          <w:tcPr>
            <w:tcW w:w="0" w:type="dxa"/>
            <w:vAlign w:val="bottom"/>
          </w:tcPr>
          <w:p>
            <w:pPr>
              <w:spacing w:after="0"/>
              <w:rPr>
                <w:sz w:val="1"/>
                <w:szCs w:val="1"/>
                <w:color w:val="auto"/>
              </w:rPr>
            </w:pPr>
          </w:p>
        </w:tc>
      </w:tr>
      <w:tr>
        <w:trPr>
          <w:trHeight w:val="142"/>
        </w:trPr>
        <w:tc>
          <w:tcPr>
            <w:tcW w:w="25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rPr>
              <w:t>2021</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rPr>
              <w:t>2020</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rPr>
              <w:t>2019</w:t>
            </w:r>
          </w:p>
        </w:tc>
        <w:tc>
          <w:tcPr>
            <w:tcW w:w="5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2018</w:t>
            </w:r>
          </w:p>
        </w:tc>
        <w:tc>
          <w:tcPr>
            <w:tcW w:w="5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2017</w:t>
            </w:r>
          </w:p>
        </w:tc>
        <w:tc>
          <w:tcPr>
            <w:tcW w:w="5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rPr>
              <w:t>Prior</w:t>
            </w:r>
          </w:p>
        </w:tc>
        <w:tc>
          <w:tcPr>
            <w:tcW w:w="500" w:type="dxa"/>
            <w:vAlign w:val="bottom"/>
          </w:tcPr>
          <w:p>
            <w:pPr>
              <w:spacing w:after="0"/>
              <w:rPr>
                <w:sz w:val="12"/>
                <w:szCs w:val="12"/>
                <w:color w:val="auto"/>
              </w:rPr>
            </w:pPr>
          </w:p>
        </w:tc>
        <w:tc>
          <w:tcPr>
            <w:tcW w:w="540" w:type="dxa"/>
            <w:vAlign w:val="bottom"/>
            <w:tcBorders>
              <w:bottom w:val="single" w:sz="8" w:color="auto"/>
            </w:tcBorders>
            <w:gridSpan w:val="2"/>
          </w:tcPr>
          <w:p>
            <w:pPr>
              <w:ind w:left="280"/>
              <w:spacing w:after="0"/>
              <w:rPr>
                <w:sz w:val="20"/>
                <w:szCs w:val="20"/>
                <w:color w:val="auto"/>
              </w:rPr>
            </w:pPr>
            <w:r>
              <w:rPr>
                <w:rFonts w:ascii="Arial" w:cs="Arial" w:eastAsia="Arial" w:hAnsi="Arial"/>
                <w:sz w:val="12"/>
                <w:szCs w:val="12"/>
                <w:color w:val="auto"/>
                <w:w w:val="97"/>
              </w:rPr>
              <w:t>Cost</w:t>
            </w:r>
          </w:p>
        </w:tc>
        <w:tc>
          <w:tcPr>
            <w:tcW w:w="0" w:type="dxa"/>
            <w:vAlign w:val="bottom"/>
          </w:tcPr>
          <w:p>
            <w:pPr>
              <w:spacing w:after="0"/>
              <w:rPr>
                <w:sz w:val="1"/>
                <w:szCs w:val="1"/>
                <w:color w:val="auto"/>
              </w:rPr>
            </w:pPr>
          </w:p>
        </w:tc>
      </w:tr>
      <w:tr>
        <w:trPr>
          <w:trHeight w:val="151"/>
        </w:trPr>
        <w:tc>
          <w:tcPr>
            <w:tcW w:w="2580" w:type="dxa"/>
            <w:vAlign w:val="bottom"/>
            <w:vMerge w:val="restart"/>
          </w:tcPr>
          <w:p>
            <w:pPr>
              <w:ind w:left="200"/>
              <w:spacing w:after="0"/>
              <w:rPr>
                <w:sz w:val="20"/>
                <w:szCs w:val="20"/>
                <w:color w:val="auto"/>
              </w:rPr>
            </w:pPr>
            <w:r>
              <w:rPr>
                <w:rFonts w:ascii="Arial" w:cs="Arial" w:eastAsia="Arial" w:hAnsi="Arial"/>
                <w:sz w:val="12"/>
                <w:szCs w:val="12"/>
                <w:color w:val="auto"/>
              </w:rPr>
              <w:t>December 31, 2021</w:t>
            </w: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gridSpan w:val="2"/>
          </w:tcPr>
          <w:p>
            <w:pPr>
              <w:jc w:val="center"/>
              <w:spacing w:after="0"/>
              <w:rPr>
                <w:sz w:val="20"/>
                <w:szCs w:val="20"/>
                <w:color w:val="auto"/>
              </w:rPr>
            </w:pPr>
            <w:r>
              <w:rPr>
                <w:rFonts w:ascii="Arial" w:cs="Arial" w:eastAsia="Arial" w:hAnsi="Arial"/>
                <w:sz w:val="12"/>
                <w:szCs w:val="12"/>
                <w:color w:val="auto"/>
                <w:w w:val="91"/>
              </w:rPr>
              <w:t>(In thousands)</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58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580" w:type="dxa"/>
            <w:vAlign w:val="bottom"/>
          </w:tcPr>
          <w:p>
            <w:pPr>
              <w:ind w:left="320"/>
              <w:spacing w:after="0"/>
              <w:rPr>
                <w:sz w:val="20"/>
                <w:szCs w:val="20"/>
                <w:color w:val="auto"/>
              </w:rPr>
            </w:pPr>
            <w:r>
              <w:rPr>
                <w:rFonts w:ascii="Arial" w:cs="Arial" w:eastAsia="Arial" w:hAnsi="Arial"/>
                <w:sz w:val="12"/>
                <w:szCs w:val="12"/>
                <w:color w:val="auto"/>
              </w:rPr>
              <w:t>Resort lending</w:t>
            </w: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580" w:type="dxa"/>
            <w:vAlign w:val="bottom"/>
            <w:shd w:val="clear" w:color="auto" w:fill="CCEEFF"/>
          </w:tcPr>
          <w:p>
            <w:pPr>
              <w:ind w:left="420"/>
              <w:spacing w:after="0"/>
              <w:rPr>
                <w:sz w:val="20"/>
                <w:szCs w:val="20"/>
                <w:color w:val="auto"/>
              </w:rPr>
            </w:pPr>
            <w:r>
              <w:rPr>
                <w:rFonts w:ascii="Arial" w:cs="Arial" w:eastAsia="Arial" w:hAnsi="Arial"/>
                <w:sz w:val="12"/>
                <w:szCs w:val="12"/>
                <w:color w:val="auto"/>
              </w:rPr>
              <w:t>800 and above</w:t>
            </w:r>
          </w:p>
        </w:tc>
        <w:tc>
          <w:tcPr>
            <w:tcW w:w="3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274</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7,347</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80" w:type="dxa"/>
            <w:vAlign w:val="bottom"/>
          </w:tcPr>
          <w:p>
            <w:pPr>
              <w:ind w:left="420"/>
              <w:spacing w:after="0"/>
              <w:rPr>
                <w:sz w:val="20"/>
                <w:szCs w:val="20"/>
                <w:color w:val="auto"/>
              </w:rPr>
            </w:pPr>
            <w:r>
              <w:rPr>
                <w:rFonts w:ascii="Arial" w:cs="Arial" w:eastAsia="Arial" w:hAnsi="Arial"/>
                <w:sz w:val="12"/>
                <w:szCs w:val="12"/>
                <w:color w:val="auto"/>
              </w:rPr>
              <w:t>750-799</w:t>
            </w:r>
          </w:p>
        </w:tc>
        <w:tc>
          <w:tcPr>
            <w:tcW w:w="3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600</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1,246</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2"/>
                <w:szCs w:val="12"/>
                <w:color w:val="auto"/>
              </w:rPr>
              <w:t>250</w:t>
            </w:r>
          </w:p>
        </w:tc>
        <w:tc>
          <w:tcPr>
            <w:tcW w:w="340" w:type="dxa"/>
            <w:vAlign w:val="bottom"/>
          </w:tcPr>
          <w:p>
            <w:pPr>
              <w:spacing w:after="0"/>
              <w:rPr>
                <w:sz w:val="12"/>
                <w:szCs w:val="12"/>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2"/>
                <w:szCs w:val="12"/>
                <w:color w:val="auto"/>
              </w:rPr>
              <w:t>511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2"/>
                <w:szCs w:val="12"/>
                <w:color w:val="auto"/>
              </w:rPr>
              <w:t>63</w:t>
            </w:r>
          </w:p>
        </w:tc>
        <w:tc>
          <w:tcPr>
            <w:tcW w:w="340" w:type="dxa"/>
            <w:vAlign w:val="bottom"/>
          </w:tcPr>
          <w:p>
            <w:pPr>
              <w:spacing w:after="0"/>
              <w:rPr>
                <w:sz w:val="12"/>
                <w:szCs w:val="12"/>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2"/>
                <w:szCs w:val="12"/>
                <w:color w:val="auto"/>
              </w:rPr>
              <w:t>19,630</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80" w:type="dxa"/>
            <w:vAlign w:val="bottom"/>
            <w:shd w:val="clear" w:color="auto" w:fill="CCEEFF"/>
          </w:tcPr>
          <w:p>
            <w:pPr>
              <w:ind w:left="420"/>
              <w:spacing w:after="0"/>
              <w:rPr>
                <w:sz w:val="20"/>
                <w:szCs w:val="20"/>
                <w:color w:val="auto"/>
              </w:rPr>
            </w:pPr>
            <w:r>
              <w:rPr>
                <w:rFonts w:ascii="Arial" w:cs="Arial" w:eastAsia="Arial" w:hAnsi="Arial"/>
                <w:sz w:val="12"/>
                <w:szCs w:val="12"/>
                <w:color w:val="auto"/>
              </w:rPr>
              <w:t>700-749</w:t>
            </w:r>
          </w:p>
        </w:tc>
        <w:tc>
          <w:tcPr>
            <w:tcW w:w="3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174</w:t>
            </w: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301</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2"/>
                <w:szCs w:val="12"/>
                <w:color w:val="auto"/>
              </w:rPr>
              <w:t>67</w:t>
            </w:r>
          </w:p>
        </w:tc>
        <w:tc>
          <w:tcPr>
            <w:tcW w:w="3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9,052</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80" w:type="dxa"/>
            <w:vAlign w:val="bottom"/>
          </w:tcPr>
          <w:p>
            <w:pPr>
              <w:ind w:left="420"/>
              <w:spacing w:after="0"/>
              <w:rPr>
                <w:sz w:val="20"/>
                <w:szCs w:val="20"/>
                <w:color w:val="auto"/>
              </w:rPr>
            </w:pPr>
            <w:r>
              <w:rPr>
                <w:rFonts w:ascii="Arial" w:cs="Arial" w:eastAsia="Arial" w:hAnsi="Arial"/>
                <w:sz w:val="12"/>
                <w:szCs w:val="12"/>
                <w:color w:val="auto"/>
              </w:rPr>
              <w:t>650-699</w:t>
            </w:r>
          </w:p>
        </w:tc>
        <w:tc>
          <w:tcPr>
            <w:tcW w:w="3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951</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2"/>
                <w:szCs w:val="12"/>
                <w:color w:val="auto"/>
              </w:rPr>
              <w:t>6,057</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80" w:type="dxa"/>
            <w:vAlign w:val="bottom"/>
            <w:shd w:val="clear" w:color="auto" w:fill="CCEEFF"/>
          </w:tcPr>
          <w:p>
            <w:pPr>
              <w:ind w:left="420"/>
              <w:spacing w:after="0"/>
              <w:rPr>
                <w:sz w:val="20"/>
                <w:szCs w:val="20"/>
                <w:color w:val="auto"/>
              </w:rPr>
            </w:pPr>
            <w:r>
              <w:rPr>
                <w:rFonts w:ascii="Arial" w:cs="Arial" w:eastAsia="Arial" w:hAnsi="Arial"/>
                <w:sz w:val="12"/>
                <w:szCs w:val="12"/>
                <w:color w:val="auto"/>
              </w:rPr>
              <w:t>600-649</w:t>
            </w:r>
          </w:p>
        </w:tc>
        <w:tc>
          <w:tcPr>
            <w:tcW w:w="3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1,841</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80" w:type="dxa"/>
            <w:vAlign w:val="bottom"/>
          </w:tcPr>
          <w:p>
            <w:pPr>
              <w:ind w:left="420"/>
              <w:spacing w:after="0"/>
              <w:rPr>
                <w:sz w:val="20"/>
                <w:szCs w:val="20"/>
                <w:color w:val="auto"/>
              </w:rPr>
            </w:pPr>
            <w:r>
              <w:rPr>
                <w:rFonts w:ascii="Arial" w:cs="Arial" w:eastAsia="Arial" w:hAnsi="Arial"/>
                <w:sz w:val="12"/>
                <w:szCs w:val="12"/>
                <w:color w:val="auto"/>
              </w:rPr>
              <w:t>550-599</w:t>
            </w:r>
          </w:p>
        </w:tc>
        <w:tc>
          <w:tcPr>
            <w:tcW w:w="3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2"/>
                <w:szCs w:val="12"/>
                <w:color w:val="auto"/>
              </w:rPr>
              <w:t>80</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80" w:type="dxa"/>
            <w:vAlign w:val="bottom"/>
            <w:shd w:val="clear" w:color="auto" w:fill="CCEEFF"/>
          </w:tcPr>
          <w:p>
            <w:pPr>
              <w:ind w:left="420"/>
              <w:spacing w:after="0"/>
              <w:rPr>
                <w:sz w:val="20"/>
                <w:szCs w:val="20"/>
                <w:color w:val="auto"/>
              </w:rPr>
            </w:pPr>
            <w:r>
              <w:rPr>
                <w:rFonts w:ascii="Arial" w:cs="Arial" w:eastAsia="Arial" w:hAnsi="Arial"/>
                <w:sz w:val="12"/>
                <w:szCs w:val="12"/>
                <w:color w:val="auto"/>
              </w:rPr>
              <w:t>500-549</w:t>
            </w:r>
          </w:p>
        </w:tc>
        <w:tc>
          <w:tcPr>
            <w:tcW w:w="3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201</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80" w:type="dxa"/>
            <w:vAlign w:val="bottom"/>
          </w:tcPr>
          <w:p>
            <w:pPr>
              <w:ind w:left="420"/>
              <w:spacing w:after="0"/>
              <w:rPr>
                <w:sz w:val="20"/>
                <w:szCs w:val="20"/>
                <w:color w:val="auto"/>
              </w:rPr>
            </w:pPr>
            <w:r>
              <w:rPr>
                <w:rFonts w:ascii="Arial" w:cs="Arial" w:eastAsia="Arial" w:hAnsi="Arial"/>
                <w:sz w:val="12"/>
                <w:szCs w:val="12"/>
                <w:color w:val="auto"/>
              </w:rPr>
              <w:t>Under 500</w:t>
            </w:r>
          </w:p>
        </w:tc>
        <w:tc>
          <w:tcPr>
            <w:tcW w:w="3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80" w:type="dxa"/>
            <w:vAlign w:val="bottom"/>
            <w:shd w:val="clear" w:color="auto" w:fill="CCEEFF"/>
          </w:tcPr>
          <w:p>
            <w:pPr>
              <w:ind w:left="420"/>
              <w:spacing w:after="0"/>
              <w:rPr>
                <w:sz w:val="20"/>
                <w:szCs w:val="20"/>
                <w:color w:val="auto"/>
              </w:rPr>
            </w:pPr>
            <w:r>
              <w:rPr>
                <w:rFonts w:ascii="Arial" w:cs="Arial" w:eastAsia="Arial" w:hAnsi="Arial"/>
                <w:sz w:val="12"/>
                <w:szCs w:val="12"/>
                <w:color w:val="auto"/>
              </w:rPr>
              <w:t>Unknown</w:t>
            </w:r>
          </w:p>
        </w:tc>
        <w:tc>
          <w:tcPr>
            <w:tcW w:w="3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tcPr>
          <w:p>
            <w:pPr>
              <w:ind w:left="540"/>
              <w:spacing w:after="0"/>
              <w:rPr>
                <w:sz w:val="20"/>
                <w:szCs w:val="20"/>
                <w:color w:val="auto"/>
              </w:rPr>
            </w:pPr>
            <w:r>
              <w:rPr>
                <w:rFonts w:ascii="Arial" w:cs="Arial" w:eastAsia="Arial" w:hAnsi="Arial"/>
                <w:sz w:val="12"/>
                <w:szCs w:val="12"/>
                <w:color w:val="auto"/>
              </w:rPr>
              <w:t>Total</w:t>
            </w:r>
          </w:p>
        </w:tc>
        <w:tc>
          <w:tcPr>
            <w:tcW w:w="36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1,551</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1,420</w:t>
            </w: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500"/>
              <w:spacing w:after="0"/>
              <w:rPr>
                <w:sz w:val="20"/>
                <w:szCs w:val="20"/>
                <w:color w:val="auto"/>
              </w:rPr>
            </w:pPr>
            <w:r>
              <w:rPr>
                <w:rFonts w:ascii="Arial" w:cs="Arial" w:eastAsia="Arial" w:hAnsi="Arial"/>
                <w:sz w:val="12"/>
                <w:szCs w:val="12"/>
                <w:color w:val="auto"/>
              </w:rPr>
              <w:t>250</w:t>
            </w: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440"/>
              <w:spacing w:after="0"/>
              <w:rPr>
                <w:sz w:val="20"/>
                <w:szCs w:val="20"/>
                <w:color w:val="auto"/>
              </w:rPr>
            </w:pPr>
            <w:r>
              <w:rPr>
                <w:rFonts w:ascii="Arial" w:cs="Arial" w:eastAsia="Arial" w:hAnsi="Arial"/>
                <w:sz w:val="12"/>
                <w:szCs w:val="12"/>
                <w:color w:val="auto"/>
              </w:rPr>
              <w:t>1,086</w:t>
            </w:r>
          </w:p>
        </w:tc>
        <w:tc>
          <w:tcPr>
            <w:tcW w:w="220" w:type="dxa"/>
            <w:vAlign w:val="bottom"/>
          </w:tcPr>
          <w:p>
            <w:pPr>
              <w:spacing w:after="0"/>
              <w:rPr>
                <w:sz w:val="12"/>
                <w:szCs w:val="12"/>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520"/>
              <w:spacing w:after="0"/>
              <w:rPr>
                <w:sz w:val="20"/>
                <w:szCs w:val="20"/>
                <w:color w:val="auto"/>
              </w:rPr>
            </w:pPr>
            <w:r>
              <w:rPr>
                <w:rFonts w:ascii="Arial" w:cs="Arial" w:eastAsia="Arial" w:hAnsi="Arial"/>
                <w:sz w:val="12"/>
                <w:szCs w:val="12"/>
                <w:color w:val="auto"/>
              </w:rPr>
              <w:t>130</w:t>
            </w:r>
          </w:p>
        </w:tc>
        <w:tc>
          <w:tcPr>
            <w:tcW w:w="34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500"/>
              <w:spacing w:after="0"/>
              <w:rPr>
                <w:sz w:val="20"/>
                <w:szCs w:val="20"/>
                <w:color w:val="auto"/>
              </w:rPr>
            </w:pPr>
            <w:r>
              <w:rPr>
                <w:rFonts w:ascii="Arial" w:cs="Arial" w:eastAsia="Arial" w:hAnsi="Arial"/>
                <w:sz w:val="12"/>
                <w:szCs w:val="12"/>
                <w:color w:val="auto"/>
              </w:rPr>
              <w:t>44,208</w:t>
            </w: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580" w:type="dxa"/>
            <w:vAlign w:val="bottom"/>
            <w:tcBorders>
              <w:bottom w:val="single" w:sz="8" w:color="CCEEFF"/>
            </w:tcBorders>
            <w:shd w:val="clear" w:color="auto" w:fill="CCEEFF"/>
          </w:tcPr>
          <w:p>
            <w:pPr>
              <w:ind w:left="320"/>
              <w:spacing w:after="0" w:line="120" w:lineRule="exact"/>
              <w:rPr>
                <w:sz w:val="20"/>
                <w:szCs w:val="20"/>
                <w:color w:val="auto"/>
              </w:rPr>
            </w:pPr>
            <w:r>
              <w:rPr>
                <w:rFonts w:ascii="Arial" w:cs="Arial" w:eastAsia="Arial" w:hAnsi="Arial"/>
                <w:sz w:val="12"/>
                <w:szCs w:val="12"/>
                <w:color w:val="auto"/>
              </w:rPr>
              <w:t>Accrued interest excluded from total</w:t>
            </w:r>
          </w:p>
        </w:tc>
        <w:tc>
          <w:tcPr>
            <w:tcW w:w="360" w:type="dxa"/>
            <w:vAlign w:val="bottom"/>
            <w:tcBorders>
              <w:bottom w:val="single" w:sz="8" w:color="auto"/>
            </w:tcBorders>
            <w:shd w:val="clear" w:color="auto" w:fill="CCEEFF"/>
          </w:tcPr>
          <w:p>
            <w:pPr>
              <w:jc w:val="right"/>
              <w:ind w:right="20"/>
              <w:spacing w:after="0" w:line="120" w:lineRule="exact"/>
              <w:rPr>
                <w:sz w:val="20"/>
                <w:szCs w:val="20"/>
                <w:color w:val="auto"/>
              </w:rPr>
            </w:pPr>
            <w:r>
              <w:rPr>
                <w:rFonts w:ascii="Arial" w:cs="Arial" w:eastAsia="Arial" w:hAnsi="Arial"/>
                <w:sz w:val="12"/>
                <w:szCs w:val="12"/>
                <w:color w:val="auto"/>
              </w:rPr>
              <w:t>$</w:t>
            </w:r>
          </w:p>
        </w:tc>
        <w:tc>
          <w:tcPr>
            <w:tcW w:w="54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2</w:t>
            </w:r>
          </w:p>
        </w:tc>
        <w:tc>
          <w:tcPr>
            <w:tcW w:w="16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0"/>
              <w:spacing w:after="0" w:line="120" w:lineRule="exact"/>
              <w:rPr>
                <w:sz w:val="20"/>
                <w:szCs w:val="20"/>
                <w:color w:val="auto"/>
              </w:rPr>
            </w:pPr>
            <w:r>
              <w:rPr>
                <w:rFonts w:ascii="Arial" w:cs="Arial" w:eastAsia="Arial" w:hAnsi="Arial"/>
                <w:sz w:val="12"/>
                <w:szCs w:val="12"/>
                <w:color w:val="auto"/>
              </w:rPr>
              <w:t>$</w:t>
            </w:r>
          </w:p>
        </w:tc>
        <w:tc>
          <w:tcPr>
            <w:tcW w:w="52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3</w:t>
            </w:r>
          </w:p>
        </w:tc>
        <w:tc>
          <w:tcPr>
            <w:tcW w:w="2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w:t>
            </w:r>
          </w:p>
        </w:tc>
        <w:tc>
          <w:tcPr>
            <w:tcW w:w="54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w:t>
            </w:r>
          </w:p>
        </w:tc>
        <w:tc>
          <w:tcPr>
            <w:tcW w:w="5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w:t>
            </w:r>
          </w:p>
        </w:tc>
        <w:tc>
          <w:tcPr>
            <w:tcW w:w="50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3</w:t>
            </w:r>
          </w:p>
        </w:tc>
        <w:tc>
          <w:tcPr>
            <w:tcW w:w="5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w:t>
            </w:r>
          </w:p>
        </w:tc>
        <w:tc>
          <w:tcPr>
            <w:tcW w:w="52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0"/>
              <w:spacing w:after="0" w:line="120" w:lineRule="exact"/>
              <w:rPr>
                <w:sz w:val="20"/>
                <w:szCs w:val="20"/>
                <w:color w:val="auto"/>
              </w:rPr>
            </w:pPr>
            <w:r>
              <w:rPr>
                <w:rFonts w:ascii="Arial" w:cs="Arial" w:eastAsia="Arial" w:hAnsi="Arial"/>
                <w:sz w:val="12"/>
                <w:szCs w:val="12"/>
                <w:color w:val="auto"/>
              </w:rPr>
              <w:t>$</w:t>
            </w:r>
          </w:p>
        </w:tc>
        <w:tc>
          <w:tcPr>
            <w:tcW w:w="54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106</w:t>
            </w:r>
          </w:p>
        </w:tc>
        <w:tc>
          <w:tcPr>
            <w:tcW w:w="5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w:t>
            </w:r>
          </w:p>
        </w:tc>
        <w:tc>
          <w:tcPr>
            <w:tcW w:w="20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5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580" w:type="dxa"/>
            <w:vAlign w:val="bottom"/>
            <w:shd w:val="clear" w:color="auto" w:fill="CCEEFF"/>
          </w:tcPr>
          <w:p>
            <w:pPr>
              <w:ind w:left="320"/>
              <w:spacing w:after="0"/>
              <w:rPr>
                <w:sz w:val="20"/>
                <w:szCs w:val="20"/>
                <w:color w:val="auto"/>
              </w:rPr>
            </w:pPr>
            <w:r>
              <w:rPr>
                <w:rFonts w:ascii="Arial" w:cs="Arial" w:eastAsia="Arial" w:hAnsi="Arial"/>
                <w:sz w:val="12"/>
                <w:szCs w:val="12"/>
                <w:color w:val="auto"/>
              </w:rPr>
              <w:t>Total Mortgage</w:t>
            </w:r>
          </w:p>
        </w:tc>
        <w:tc>
          <w:tcPr>
            <w:tcW w:w="3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80" w:type="dxa"/>
            <w:vAlign w:val="bottom"/>
          </w:tcPr>
          <w:p>
            <w:pPr>
              <w:ind w:left="420"/>
              <w:spacing w:after="0"/>
              <w:rPr>
                <w:sz w:val="20"/>
                <w:szCs w:val="20"/>
                <w:color w:val="auto"/>
              </w:rPr>
            </w:pPr>
            <w:r>
              <w:rPr>
                <w:rFonts w:ascii="Arial" w:cs="Arial" w:eastAsia="Arial" w:hAnsi="Arial"/>
                <w:sz w:val="12"/>
                <w:szCs w:val="12"/>
                <w:color w:val="auto"/>
              </w:rPr>
              <w:t>800 and above</w:t>
            </w:r>
          </w:p>
        </w:tc>
        <w:tc>
          <w:tcPr>
            <w:tcW w:w="36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53,143</w:t>
            </w:r>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25,936</w:t>
            </w: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500"/>
              <w:spacing w:after="0"/>
              <w:rPr>
                <w:sz w:val="20"/>
                <w:szCs w:val="20"/>
                <w:color w:val="auto"/>
              </w:rPr>
            </w:pPr>
            <w:r>
              <w:rPr>
                <w:rFonts w:ascii="Arial" w:cs="Arial" w:eastAsia="Arial" w:hAnsi="Arial"/>
                <w:sz w:val="12"/>
                <w:szCs w:val="12"/>
                <w:color w:val="auto"/>
              </w:rPr>
              <w:t>15,530</w:t>
            </w: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440"/>
              <w:spacing w:after="0"/>
              <w:rPr>
                <w:sz w:val="20"/>
                <w:szCs w:val="20"/>
                <w:color w:val="auto"/>
              </w:rPr>
            </w:pPr>
            <w:r>
              <w:rPr>
                <w:rFonts w:ascii="Arial" w:cs="Arial" w:eastAsia="Arial" w:hAnsi="Arial"/>
                <w:sz w:val="12"/>
                <w:szCs w:val="12"/>
                <w:color w:val="auto"/>
              </w:rPr>
              <w:t>6,907</w:t>
            </w:r>
          </w:p>
        </w:tc>
        <w:tc>
          <w:tcPr>
            <w:tcW w:w="220" w:type="dxa"/>
            <w:vAlign w:val="bottom"/>
          </w:tcPr>
          <w:p>
            <w:pPr>
              <w:spacing w:after="0"/>
              <w:rPr>
                <w:sz w:val="12"/>
                <w:szCs w:val="12"/>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520"/>
              <w:spacing w:after="0"/>
              <w:rPr>
                <w:sz w:val="20"/>
                <w:szCs w:val="20"/>
                <w:color w:val="auto"/>
              </w:rPr>
            </w:pPr>
            <w:r>
              <w:rPr>
                <w:rFonts w:ascii="Arial" w:cs="Arial" w:eastAsia="Arial" w:hAnsi="Arial"/>
                <w:sz w:val="12"/>
                <w:szCs w:val="12"/>
                <w:color w:val="auto"/>
              </w:rPr>
              <w:t>13,975</w:t>
            </w:r>
          </w:p>
        </w:tc>
        <w:tc>
          <w:tcPr>
            <w:tcW w:w="34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500"/>
              <w:spacing w:after="0"/>
              <w:rPr>
                <w:sz w:val="20"/>
                <w:szCs w:val="20"/>
                <w:color w:val="auto"/>
              </w:rPr>
            </w:pPr>
            <w:r>
              <w:rPr>
                <w:rFonts w:ascii="Arial" w:cs="Arial" w:eastAsia="Arial" w:hAnsi="Arial"/>
                <w:sz w:val="12"/>
                <w:szCs w:val="12"/>
                <w:color w:val="auto"/>
              </w:rPr>
              <w:t>17,854</w:t>
            </w: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44"/>
        </w:trPr>
        <w:tc>
          <w:tcPr>
            <w:tcW w:w="2580" w:type="dxa"/>
            <w:vAlign w:val="bottom"/>
            <w:shd w:val="clear" w:color="auto" w:fill="CCEEFF"/>
          </w:tcPr>
          <w:p>
            <w:pPr>
              <w:ind w:left="420"/>
              <w:spacing w:after="0"/>
              <w:rPr>
                <w:sz w:val="20"/>
                <w:szCs w:val="20"/>
                <w:color w:val="auto"/>
              </w:rPr>
            </w:pPr>
            <w:r>
              <w:rPr>
                <w:rFonts w:ascii="Arial" w:cs="Arial" w:eastAsia="Arial" w:hAnsi="Arial"/>
                <w:sz w:val="12"/>
                <w:szCs w:val="12"/>
                <w:color w:val="auto"/>
              </w:rPr>
              <w:t>750-799</w:t>
            </w:r>
          </w:p>
        </w:tc>
        <w:tc>
          <w:tcPr>
            <w:tcW w:w="3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215,481</w:t>
            </w: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138,434</w:t>
            </w: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51,241</w:t>
            </w:r>
          </w:p>
        </w:tc>
        <w:tc>
          <w:tcPr>
            <w:tcW w:w="3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18,292</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2"/>
                <w:szCs w:val="12"/>
                <w:color w:val="auto"/>
              </w:rPr>
              <w:t>27,234</w:t>
            </w:r>
          </w:p>
        </w:tc>
        <w:tc>
          <w:tcPr>
            <w:tcW w:w="3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49,590</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44"/>
        </w:trPr>
        <w:tc>
          <w:tcPr>
            <w:tcW w:w="2580" w:type="dxa"/>
            <w:vAlign w:val="bottom"/>
          </w:tcPr>
          <w:p>
            <w:pPr>
              <w:ind w:left="420"/>
              <w:spacing w:after="0"/>
              <w:rPr>
                <w:sz w:val="20"/>
                <w:szCs w:val="20"/>
                <w:color w:val="auto"/>
              </w:rPr>
            </w:pPr>
            <w:r>
              <w:rPr>
                <w:rFonts w:ascii="Arial" w:cs="Arial" w:eastAsia="Arial" w:hAnsi="Arial"/>
                <w:sz w:val="12"/>
                <w:szCs w:val="12"/>
                <w:color w:val="auto"/>
              </w:rPr>
              <w:t>700-749</w:t>
            </w:r>
          </w:p>
        </w:tc>
        <w:tc>
          <w:tcPr>
            <w:tcW w:w="3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104,365</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54,267</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2"/>
                <w:szCs w:val="12"/>
                <w:color w:val="auto"/>
              </w:rPr>
              <w:t>22,113</w:t>
            </w:r>
          </w:p>
        </w:tc>
        <w:tc>
          <w:tcPr>
            <w:tcW w:w="340" w:type="dxa"/>
            <w:vAlign w:val="bottom"/>
          </w:tcPr>
          <w:p>
            <w:pPr>
              <w:spacing w:after="0"/>
              <w:rPr>
                <w:sz w:val="12"/>
                <w:szCs w:val="12"/>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2"/>
                <w:szCs w:val="12"/>
                <w:color w:val="auto"/>
              </w:rPr>
              <w:t>11,196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2"/>
                <w:szCs w:val="12"/>
                <w:color w:val="auto"/>
              </w:rPr>
              <w:t>15,163</w:t>
            </w:r>
          </w:p>
        </w:tc>
        <w:tc>
          <w:tcPr>
            <w:tcW w:w="340" w:type="dxa"/>
            <w:vAlign w:val="bottom"/>
          </w:tcPr>
          <w:p>
            <w:pPr>
              <w:spacing w:after="0"/>
              <w:rPr>
                <w:sz w:val="12"/>
                <w:szCs w:val="12"/>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2"/>
                <w:szCs w:val="12"/>
                <w:color w:val="auto"/>
              </w:rPr>
              <w:t>44,174</w:t>
            </w:r>
          </w:p>
        </w:tc>
        <w:tc>
          <w:tcPr>
            <w:tcW w:w="34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44"/>
        </w:trPr>
        <w:tc>
          <w:tcPr>
            <w:tcW w:w="2580" w:type="dxa"/>
            <w:vAlign w:val="bottom"/>
            <w:shd w:val="clear" w:color="auto" w:fill="CCEEFF"/>
          </w:tcPr>
          <w:p>
            <w:pPr>
              <w:ind w:left="420"/>
              <w:spacing w:after="0"/>
              <w:rPr>
                <w:sz w:val="20"/>
                <w:szCs w:val="20"/>
                <w:color w:val="auto"/>
              </w:rPr>
            </w:pPr>
            <w:r>
              <w:rPr>
                <w:rFonts w:ascii="Arial" w:cs="Arial" w:eastAsia="Arial" w:hAnsi="Arial"/>
                <w:sz w:val="12"/>
                <w:szCs w:val="12"/>
                <w:color w:val="auto"/>
              </w:rPr>
              <w:t>650-699</w:t>
            </w:r>
          </w:p>
        </w:tc>
        <w:tc>
          <w:tcPr>
            <w:tcW w:w="3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33,650</w:t>
            </w:r>
          </w:p>
        </w:tc>
        <w:tc>
          <w:tcPr>
            <w:tcW w:w="3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17,950</w:t>
            </w: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9,381</w:t>
            </w:r>
          </w:p>
        </w:tc>
        <w:tc>
          <w:tcPr>
            <w:tcW w:w="3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7,999</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2"/>
                <w:szCs w:val="12"/>
                <w:color w:val="auto"/>
              </w:rPr>
              <w:t>9,603</w:t>
            </w:r>
          </w:p>
        </w:tc>
        <w:tc>
          <w:tcPr>
            <w:tcW w:w="3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26,828</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80" w:type="dxa"/>
            <w:vAlign w:val="bottom"/>
          </w:tcPr>
          <w:p>
            <w:pPr>
              <w:ind w:left="420"/>
              <w:spacing w:after="0"/>
              <w:rPr>
                <w:sz w:val="20"/>
                <w:szCs w:val="20"/>
                <w:color w:val="auto"/>
              </w:rPr>
            </w:pPr>
            <w:r>
              <w:rPr>
                <w:rFonts w:ascii="Arial" w:cs="Arial" w:eastAsia="Arial" w:hAnsi="Arial"/>
                <w:sz w:val="12"/>
                <w:szCs w:val="12"/>
                <w:color w:val="auto"/>
              </w:rPr>
              <w:t>600-649</w:t>
            </w:r>
          </w:p>
        </w:tc>
        <w:tc>
          <w:tcPr>
            <w:tcW w:w="3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4,294</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3,954</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2"/>
                <w:szCs w:val="12"/>
                <w:color w:val="auto"/>
              </w:rPr>
              <w:t>1,737</w:t>
            </w:r>
          </w:p>
        </w:tc>
        <w:tc>
          <w:tcPr>
            <w:tcW w:w="340" w:type="dxa"/>
            <w:vAlign w:val="bottom"/>
          </w:tcPr>
          <w:p>
            <w:pPr>
              <w:spacing w:after="0"/>
              <w:rPr>
                <w:sz w:val="12"/>
                <w:szCs w:val="12"/>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2"/>
                <w:szCs w:val="12"/>
                <w:color w:val="auto"/>
              </w:rPr>
              <w:t>2,950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2"/>
                <w:szCs w:val="12"/>
                <w:color w:val="auto"/>
              </w:rPr>
              <w:t>2,763</w:t>
            </w:r>
          </w:p>
        </w:tc>
        <w:tc>
          <w:tcPr>
            <w:tcW w:w="340" w:type="dxa"/>
            <w:vAlign w:val="bottom"/>
          </w:tcPr>
          <w:p>
            <w:pPr>
              <w:spacing w:after="0"/>
              <w:rPr>
                <w:sz w:val="12"/>
                <w:szCs w:val="12"/>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2"/>
                <w:szCs w:val="12"/>
                <w:color w:val="auto"/>
              </w:rPr>
              <w:t>14,674</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80" w:type="dxa"/>
            <w:vAlign w:val="bottom"/>
            <w:shd w:val="clear" w:color="auto" w:fill="CCEEFF"/>
          </w:tcPr>
          <w:p>
            <w:pPr>
              <w:ind w:left="420"/>
              <w:spacing w:after="0"/>
              <w:rPr>
                <w:sz w:val="20"/>
                <w:szCs w:val="20"/>
                <w:color w:val="auto"/>
              </w:rPr>
            </w:pPr>
            <w:r>
              <w:rPr>
                <w:rFonts w:ascii="Arial" w:cs="Arial" w:eastAsia="Arial" w:hAnsi="Arial"/>
                <w:sz w:val="12"/>
                <w:szCs w:val="12"/>
                <w:color w:val="auto"/>
              </w:rPr>
              <w:t>550-599</w:t>
            </w:r>
          </w:p>
        </w:tc>
        <w:tc>
          <w:tcPr>
            <w:tcW w:w="3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789</w:t>
            </w: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1,137</w:t>
            </w:r>
          </w:p>
        </w:tc>
        <w:tc>
          <w:tcPr>
            <w:tcW w:w="3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950</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2"/>
                <w:szCs w:val="12"/>
                <w:color w:val="auto"/>
              </w:rPr>
              <w:t>1,804</w:t>
            </w:r>
          </w:p>
        </w:tc>
        <w:tc>
          <w:tcPr>
            <w:tcW w:w="3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7,479</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80" w:type="dxa"/>
            <w:vAlign w:val="bottom"/>
          </w:tcPr>
          <w:p>
            <w:pPr>
              <w:ind w:left="420"/>
              <w:spacing w:after="0"/>
              <w:rPr>
                <w:sz w:val="20"/>
                <w:szCs w:val="20"/>
                <w:color w:val="auto"/>
              </w:rPr>
            </w:pPr>
            <w:r>
              <w:rPr>
                <w:rFonts w:ascii="Arial" w:cs="Arial" w:eastAsia="Arial" w:hAnsi="Arial"/>
                <w:sz w:val="12"/>
                <w:szCs w:val="12"/>
                <w:color w:val="auto"/>
              </w:rPr>
              <w:t>500-549</w:t>
            </w:r>
          </w:p>
        </w:tc>
        <w:tc>
          <w:tcPr>
            <w:tcW w:w="3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1,468</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2"/>
                <w:szCs w:val="12"/>
                <w:color w:val="auto"/>
              </w:rPr>
              <w:t>520</w:t>
            </w:r>
          </w:p>
        </w:tc>
        <w:tc>
          <w:tcPr>
            <w:tcW w:w="340" w:type="dxa"/>
            <w:vAlign w:val="bottom"/>
          </w:tcPr>
          <w:p>
            <w:pPr>
              <w:spacing w:after="0"/>
              <w:rPr>
                <w:sz w:val="12"/>
                <w:szCs w:val="12"/>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2"/>
                <w:szCs w:val="12"/>
                <w:color w:val="auto"/>
              </w:rPr>
              <w:t>382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2"/>
                <w:szCs w:val="12"/>
                <w:color w:val="auto"/>
              </w:rPr>
              <w:t>599</w:t>
            </w:r>
          </w:p>
        </w:tc>
        <w:tc>
          <w:tcPr>
            <w:tcW w:w="340" w:type="dxa"/>
            <w:vAlign w:val="bottom"/>
          </w:tcPr>
          <w:p>
            <w:pPr>
              <w:spacing w:after="0"/>
              <w:rPr>
                <w:sz w:val="12"/>
                <w:szCs w:val="12"/>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2"/>
                <w:szCs w:val="12"/>
                <w:color w:val="auto"/>
              </w:rPr>
              <w:t>4,198</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80" w:type="dxa"/>
            <w:vAlign w:val="bottom"/>
            <w:shd w:val="clear" w:color="auto" w:fill="CCEEFF"/>
          </w:tcPr>
          <w:p>
            <w:pPr>
              <w:ind w:left="420"/>
              <w:spacing w:after="0"/>
              <w:rPr>
                <w:sz w:val="20"/>
                <w:szCs w:val="20"/>
                <w:color w:val="auto"/>
              </w:rPr>
            </w:pPr>
            <w:r>
              <w:rPr>
                <w:rFonts w:ascii="Arial" w:cs="Arial" w:eastAsia="Arial" w:hAnsi="Arial"/>
                <w:sz w:val="12"/>
                <w:szCs w:val="12"/>
                <w:color w:val="auto"/>
              </w:rPr>
              <w:t>Under 500</w:t>
            </w:r>
          </w:p>
        </w:tc>
        <w:tc>
          <w:tcPr>
            <w:tcW w:w="3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616</w:t>
            </w: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338</w:t>
            </w:r>
          </w:p>
        </w:tc>
        <w:tc>
          <w:tcPr>
            <w:tcW w:w="3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397</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2"/>
                <w:szCs w:val="12"/>
                <w:color w:val="auto"/>
              </w:rPr>
              <w:t>917</w:t>
            </w:r>
          </w:p>
        </w:tc>
        <w:tc>
          <w:tcPr>
            <w:tcW w:w="3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872</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80" w:type="dxa"/>
            <w:vAlign w:val="bottom"/>
          </w:tcPr>
          <w:p>
            <w:pPr>
              <w:ind w:left="420"/>
              <w:spacing w:after="0"/>
              <w:rPr>
                <w:sz w:val="20"/>
                <w:szCs w:val="20"/>
                <w:color w:val="auto"/>
              </w:rPr>
            </w:pPr>
            <w:r>
              <w:rPr>
                <w:rFonts w:ascii="Arial" w:cs="Arial" w:eastAsia="Arial" w:hAnsi="Arial"/>
                <w:sz w:val="12"/>
                <w:szCs w:val="12"/>
                <w:color w:val="auto"/>
              </w:rPr>
              <w:t>Unknown</w:t>
            </w:r>
          </w:p>
        </w:tc>
        <w:tc>
          <w:tcPr>
            <w:tcW w:w="3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5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2"/>
                <w:szCs w:val="12"/>
                <w:color w:val="auto"/>
              </w:rPr>
              <w:t>Total</w:t>
            </w:r>
          </w:p>
        </w:tc>
        <w:tc>
          <w:tcPr>
            <w:tcW w:w="3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410,933</w:t>
            </w:r>
          </w:p>
        </w:tc>
        <w:tc>
          <w:tcPr>
            <w:tcW w:w="1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243,414</w:t>
            </w:r>
          </w:p>
        </w:tc>
        <w:tc>
          <w:tcPr>
            <w:tcW w:w="2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101,997</w:t>
            </w:r>
          </w:p>
        </w:tc>
        <w:tc>
          <w:tcPr>
            <w:tcW w:w="5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49,073</w:t>
            </w:r>
          </w:p>
        </w:tc>
        <w:tc>
          <w:tcPr>
            <w:tcW w:w="5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72,058</w:t>
            </w:r>
          </w:p>
        </w:tc>
        <w:tc>
          <w:tcPr>
            <w:tcW w:w="5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165,669</w:t>
            </w:r>
          </w:p>
        </w:tc>
        <w:tc>
          <w:tcPr>
            <w:tcW w:w="5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120"/>
        </w:trPr>
        <w:tc>
          <w:tcPr>
            <w:tcW w:w="2580" w:type="dxa"/>
            <w:vAlign w:val="bottom"/>
          </w:tcPr>
          <w:p>
            <w:pPr>
              <w:ind w:left="320"/>
              <w:spacing w:after="0" w:line="120" w:lineRule="exact"/>
              <w:rPr>
                <w:sz w:val="20"/>
                <w:szCs w:val="20"/>
                <w:color w:val="auto"/>
              </w:rPr>
            </w:pPr>
            <w:r>
              <w:rPr>
                <w:rFonts w:ascii="Arial" w:cs="Arial" w:eastAsia="Arial" w:hAnsi="Arial"/>
                <w:sz w:val="12"/>
                <w:szCs w:val="12"/>
                <w:color w:val="auto"/>
              </w:rPr>
              <w:t>Accrued interest excluded from total</w:t>
            </w:r>
          </w:p>
        </w:tc>
        <w:tc>
          <w:tcPr>
            <w:tcW w:w="360" w:type="dxa"/>
            <w:vAlign w:val="bottom"/>
          </w:tcPr>
          <w:p>
            <w:pPr>
              <w:jc w:val="right"/>
              <w:ind w:right="20"/>
              <w:spacing w:after="0" w:line="120" w:lineRule="exact"/>
              <w:rPr>
                <w:sz w:val="20"/>
                <w:szCs w:val="20"/>
                <w:color w:val="auto"/>
              </w:rPr>
            </w:pPr>
            <w:r>
              <w:rPr>
                <w:rFonts w:ascii="Arial" w:cs="Arial" w:eastAsia="Arial" w:hAnsi="Arial"/>
                <w:sz w:val="12"/>
                <w:szCs w:val="12"/>
                <w:color w:val="auto"/>
              </w:rPr>
              <w:t>$</w:t>
            </w:r>
          </w:p>
        </w:tc>
        <w:tc>
          <w:tcPr>
            <w:tcW w:w="540" w:type="dxa"/>
            <w:vAlign w:val="bottom"/>
          </w:tcPr>
          <w:p>
            <w:pPr>
              <w:jc w:val="right"/>
              <w:spacing w:after="0" w:line="120" w:lineRule="exact"/>
              <w:rPr>
                <w:sz w:val="20"/>
                <w:szCs w:val="20"/>
                <w:color w:val="auto"/>
              </w:rPr>
            </w:pPr>
            <w:r>
              <w:rPr>
                <w:rFonts w:ascii="Arial" w:cs="Arial" w:eastAsia="Arial" w:hAnsi="Arial"/>
                <w:sz w:val="12"/>
                <w:szCs w:val="12"/>
                <w:color w:val="auto"/>
              </w:rPr>
              <w:t>945</w:t>
            </w:r>
          </w:p>
        </w:tc>
        <w:tc>
          <w:tcPr>
            <w:tcW w:w="160" w:type="dxa"/>
            <w:vAlign w:val="bottom"/>
          </w:tcPr>
          <w:p>
            <w:pPr>
              <w:spacing w:after="0"/>
              <w:rPr>
                <w:sz w:val="10"/>
                <w:szCs w:val="10"/>
                <w:color w:val="auto"/>
              </w:rPr>
            </w:pPr>
          </w:p>
        </w:tc>
        <w:tc>
          <w:tcPr>
            <w:tcW w:w="700" w:type="dxa"/>
            <w:vAlign w:val="bottom"/>
            <w:gridSpan w:val="2"/>
          </w:tcPr>
          <w:p>
            <w:pPr>
              <w:jc w:val="right"/>
              <w:ind w:right="20"/>
              <w:spacing w:after="0" w:line="120"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80"/>
              <w:spacing w:after="0" w:line="120" w:lineRule="exact"/>
              <w:rPr>
                <w:sz w:val="20"/>
                <w:szCs w:val="20"/>
                <w:color w:val="auto"/>
              </w:rPr>
            </w:pPr>
            <w:r>
              <w:rPr>
                <w:rFonts w:ascii="Arial" w:cs="Arial" w:eastAsia="Arial" w:hAnsi="Arial"/>
                <w:sz w:val="12"/>
                <w:szCs w:val="12"/>
                <w:color w:val="auto"/>
              </w:rPr>
              <w:t>574</w:t>
            </w:r>
          </w:p>
        </w:tc>
        <w:tc>
          <w:tcPr>
            <w:tcW w:w="660" w:type="dxa"/>
            <w:vAlign w:val="bottom"/>
            <w:gridSpan w:val="2"/>
          </w:tcPr>
          <w:p>
            <w:pPr>
              <w:jc w:val="right"/>
              <w:spacing w:after="0" w:line="120" w:lineRule="exact"/>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500"/>
              <w:spacing w:after="0" w:line="120" w:lineRule="exact"/>
              <w:rPr>
                <w:sz w:val="20"/>
                <w:szCs w:val="20"/>
                <w:color w:val="auto"/>
              </w:rPr>
            </w:pPr>
            <w:r>
              <w:rPr>
                <w:rFonts w:ascii="Arial" w:cs="Arial" w:eastAsia="Arial" w:hAnsi="Arial"/>
                <w:sz w:val="12"/>
                <w:szCs w:val="12"/>
                <w:color w:val="auto"/>
              </w:rPr>
              <w:t>302</w:t>
            </w:r>
          </w:p>
        </w:tc>
        <w:tc>
          <w:tcPr>
            <w:tcW w:w="340" w:type="dxa"/>
            <w:vAlign w:val="bottom"/>
          </w:tcPr>
          <w:p>
            <w:pPr>
              <w:jc w:val="right"/>
              <w:spacing w:after="0" w:line="120" w:lineRule="exact"/>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440"/>
              <w:spacing w:after="0" w:line="120" w:lineRule="exact"/>
              <w:rPr>
                <w:sz w:val="20"/>
                <w:szCs w:val="20"/>
                <w:color w:val="auto"/>
              </w:rPr>
            </w:pPr>
            <w:r>
              <w:rPr>
                <w:rFonts w:ascii="Arial" w:cs="Arial" w:eastAsia="Arial" w:hAnsi="Arial"/>
                <w:sz w:val="12"/>
                <w:szCs w:val="12"/>
                <w:color w:val="auto"/>
              </w:rPr>
              <w:t>166</w:t>
            </w:r>
          </w:p>
        </w:tc>
        <w:tc>
          <w:tcPr>
            <w:tcW w:w="220" w:type="dxa"/>
            <w:vAlign w:val="bottom"/>
          </w:tcPr>
          <w:p>
            <w:pPr>
              <w:spacing w:after="0"/>
              <w:rPr>
                <w:sz w:val="10"/>
                <w:szCs w:val="10"/>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520"/>
              <w:spacing w:after="0" w:line="120" w:lineRule="exact"/>
              <w:rPr>
                <w:sz w:val="20"/>
                <w:szCs w:val="20"/>
                <w:color w:val="auto"/>
              </w:rPr>
            </w:pPr>
            <w:r>
              <w:rPr>
                <w:rFonts w:ascii="Arial" w:cs="Arial" w:eastAsia="Arial" w:hAnsi="Arial"/>
                <w:sz w:val="12"/>
                <w:szCs w:val="12"/>
                <w:color w:val="auto"/>
              </w:rPr>
              <w:t>196</w:t>
            </w:r>
          </w:p>
        </w:tc>
        <w:tc>
          <w:tcPr>
            <w:tcW w:w="340" w:type="dxa"/>
            <w:vAlign w:val="bottom"/>
          </w:tcPr>
          <w:p>
            <w:pPr>
              <w:jc w:val="right"/>
              <w:ind w:right="20"/>
              <w:spacing w:after="0" w:line="120" w:lineRule="exact"/>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500"/>
              <w:spacing w:after="0" w:line="120" w:lineRule="exact"/>
              <w:rPr>
                <w:sz w:val="20"/>
                <w:szCs w:val="20"/>
                <w:color w:val="auto"/>
              </w:rPr>
            </w:pPr>
            <w:r>
              <w:rPr>
                <w:rFonts w:ascii="Arial" w:cs="Arial" w:eastAsia="Arial" w:hAnsi="Arial"/>
                <w:sz w:val="12"/>
                <w:szCs w:val="12"/>
                <w:color w:val="auto"/>
              </w:rPr>
              <w:t>506</w:t>
            </w:r>
          </w:p>
        </w:tc>
        <w:tc>
          <w:tcPr>
            <w:tcW w:w="340" w:type="dxa"/>
            <w:vAlign w:val="bottom"/>
          </w:tcPr>
          <w:p>
            <w:pPr>
              <w:jc w:val="right"/>
              <w:spacing w:after="0" w:line="120"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(1) Credit scores have been updated within the last twelve months.</w:t>
      </w:r>
    </w:p>
    <w:p>
      <w:pPr>
        <w:spacing w:after="0" w:line="272" w:lineRule="exact"/>
        <w:rPr>
          <w:sz w:val="20"/>
          <w:szCs w:val="20"/>
          <w:color w:val="auto"/>
        </w:rPr>
      </w:pPr>
    </w:p>
    <w:p>
      <w:pPr>
        <w:jc w:val="center"/>
        <w:ind w:right="-139"/>
        <w:spacing w:after="0"/>
        <w:rPr>
          <w:sz w:val="20"/>
          <w:szCs w:val="20"/>
          <w:color w:val="auto"/>
        </w:rPr>
      </w:pPr>
      <w:r>
        <w:rPr>
          <w:rFonts w:ascii="Arial" w:cs="Arial" w:eastAsia="Arial" w:hAnsi="Arial"/>
          <w:sz w:val="10"/>
          <w:szCs w:val="1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60"/>
          </w:cols>
          <w:pgMar w:left="300" w:top="127" w:right="2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57"/>
        </w:trPr>
        <w:tc>
          <w:tcPr>
            <w:tcW w:w="2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0" w:type="dxa"/>
            <w:vAlign w:val="bottom"/>
            <w:gridSpan w:val="10"/>
          </w:tcPr>
          <w:p>
            <w:pPr>
              <w:ind w:left="160"/>
              <w:spacing w:after="0"/>
              <w:rPr>
                <w:sz w:val="20"/>
                <w:szCs w:val="20"/>
                <w:color w:val="auto"/>
              </w:rPr>
            </w:pPr>
            <w:r>
              <w:rPr>
                <w:rFonts w:ascii="Arial" w:cs="Arial" w:eastAsia="Arial" w:hAnsi="Arial"/>
                <w:sz w:val="12"/>
                <w:szCs w:val="12"/>
                <w:b w:val="1"/>
                <w:bCs w:val="1"/>
                <w:color w:val="auto"/>
              </w:rPr>
              <w:t>NOTES TO CONSOLIDATED FINANCIAL STATEMENTS − (Continued)</w:t>
            </w: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25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2"/>
                <w:szCs w:val="12"/>
                <w:color w:val="auto"/>
                <w:w w:val="94"/>
              </w:rPr>
              <w:t>Installment (1)</w:t>
            </w:r>
          </w:p>
        </w:tc>
        <w:tc>
          <w:tcPr>
            <w:tcW w:w="3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25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3640" w:type="dxa"/>
            <w:vAlign w:val="bottom"/>
            <w:tcBorders>
              <w:bottom w:val="single" w:sz="8" w:color="auto"/>
            </w:tcBorders>
            <w:gridSpan w:val="8"/>
          </w:tcPr>
          <w:p>
            <w:pPr>
              <w:jc w:val="center"/>
              <w:ind w:right="680"/>
              <w:spacing w:after="0"/>
              <w:rPr>
                <w:sz w:val="20"/>
                <w:szCs w:val="20"/>
                <w:color w:val="auto"/>
              </w:rPr>
            </w:pPr>
            <w:r>
              <w:rPr>
                <w:rFonts w:ascii="Arial" w:cs="Arial" w:eastAsia="Arial" w:hAnsi="Arial"/>
                <w:sz w:val="12"/>
                <w:szCs w:val="12"/>
                <w:color w:val="auto"/>
                <w:w w:val="91"/>
              </w:rPr>
              <w:t>Term Loans Amortized Cost Basis by Origination Year</w:t>
            </w:r>
          </w:p>
        </w:tc>
        <w:tc>
          <w:tcPr>
            <w:tcW w:w="3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jc w:val="right"/>
              <w:ind w:right="160"/>
              <w:spacing w:after="0"/>
              <w:rPr>
                <w:sz w:val="20"/>
                <w:szCs w:val="20"/>
                <w:color w:val="auto"/>
              </w:rPr>
            </w:pPr>
            <w:r>
              <w:rPr>
                <w:rFonts w:ascii="Arial" w:cs="Arial" w:eastAsia="Arial" w:hAnsi="Arial"/>
                <w:sz w:val="12"/>
                <w:szCs w:val="12"/>
                <w:color w:val="auto"/>
              </w:rPr>
              <w:t>2021</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jc w:val="right"/>
              <w:ind w:right="140"/>
              <w:spacing w:after="0"/>
              <w:rPr>
                <w:sz w:val="20"/>
                <w:szCs w:val="20"/>
                <w:color w:val="auto"/>
              </w:rPr>
            </w:pPr>
            <w:r>
              <w:rPr>
                <w:rFonts w:ascii="Arial" w:cs="Arial" w:eastAsia="Arial" w:hAnsi="Arial"/>
                <w:sz w:val="12"/>
                <w:szCs w:val="12"/>
                <w:color w:val="auto"/>
              </w:rPr>
              <w:t>2020</w:t>
            </w: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jc w:val="right"/>
              <w:ind w:right="120"/>
              <w:spacing w:after="0"/>
              <w:rPr>
                <w:sz w:val="20"/>
                <w:szCs w:val="20"/>
                <w:color w:val="auto"/>
              </w:rPr>
            </w:pPr>
            <w:r>
              <w:rPr>
                <w:rFonts w:ascii="Arial" w:cs="Arial" w:eastAsia="Arial" w:hAnsi="Arial"/>
                <w:sz w:val="12"/>
                <w:szCs w:val="12"/>
                <w:color w:val="auto"/>
              </w:rPr>
              <w:t>2019</w:t>
            </w: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jc w:val="right"/>
              <w:ind w:right="140"/>
              <w:spacing w:after="0"/>
              <w:rPr>
                <w:sz w:val="20"/>
                <w:szCs w:val="20"/>
                <w:color w:val="auto"/>
              </w:rPr>
            </w:pPr>
            <w:r>
              <w:rPr>
                <w:rFonts w:ascii="Arial" w:cs="Arial" w:eastAsia="Arial" w:hAnsi="Arial"/>
                <w:sz w:val="12"/>
                <w:szCs w:val="12"/>
                <w:color w:val="auto"/>
              </w:rPr>
              <w:t>2018</w:t>
            </w: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jc w:val="right"/>
              <w:ind w:right="120"/>
              <w:spacing w:after="0"/>
              <w:rPr>
                <w:sz w:val="20"/>
                <w:szCs w:val="20"/>
                <w:color w:val="auto"/>
              </w:rPr>
            </w:pPr>
            <w:r>
              <w:rPr>
                <w:rFonts w:ascii="Arial" w:cs="Arial" w:eastAsia="Arial" w:hAnsi="Arial"/>
                <w:sz w:val="12"/>
                <w:szCs w:val="12"/>
                <w:color w:val="auto"/>
              </w:rPr>
              <w:t>2017</w:t>
            </w: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gridSpan w:val="2"/>
          </w:tcPr>
          <w:p>
            <w:pPr>
              <w:ind w:left="80"/>
              <w:spacing w:after="0"/>
              <w:rPr>
                <w:sz w:val="20"/>
                <w:szCs w:val="20"/>
                <w:color w:val="auto"/>
              </w:rPr>
            </w:pPr>
            <w:r>
              <w:rPr>
                <w:rFonts w:ascii="Arial" w:cs="Arial" w:eastAsia="Arial" w:hAnsi="Arial"/>
                <w:sz w:val="12"/>
                <w:szCs w:val="12"/>
                <w:color w:val="auto"/>
              </w:rPr>
              <w:t>Prior</w:t>
            </w:r>
          </w:p>
        </w:tc>
        <w:tc>
          <w:tcPr>
            <w:tcW w:w="36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Tota</w:t>
            </w:r>
          </w:p>
        </w:tc>
        <w:tc>
          <w:tcPr>
            <w:tcW w:w="0" w:type="dxa"/>
            <w:vAlign w:val="bottom"/>
          </w:tcPr>
          <w:p>
            <w:pPr>
              <w:spacing w:after="0"/>
              <w:rPr>
                <w:sz w:val="1"/>
                <w:szCs w:val="1"/>
                <w:color w:val="auto"/>
              </w:rPr>
            </w:pPr>
          </w:p>
        </w:tc>
      </w:tr>
      <w:tr>
        <w:trPr>
          <w:trHeight w:val="151"/>
        </w:trPr>
        <w:tc>
          <w:tcPr>
            <w:tcW w:w="2580" w:type="dxa"/>
            <w:vAlign w:val="bottom"/>
            <w:vMerge w:val="restart"/>
          </w:tcPr>
          <w:p>
            <w:pPr>
              <w:ind w:left="200"/>
              <w:spacing w:after="0"/>
              <w:rPr>
                <w:sz w:val="20"/>
                <w:szCs w:val="20"/>
                <w:color w:val="auto"/>
              </w:rPr>
            </w:pPr>
            <w:r>
              <w:rPr>
                <w:rFonts w:ascii="Arial" w:cs="Arial" w:eastAsia="Arial" w:hAnsi="Arial"/>
                <w:sz w:val="12"/>
                <w:szCs w:val="12"/>
                <w:color w:val="auto"/>
              </w:rPr>
              <w:t>December 31, 2021</w:t>
            </w:r>
          </w:p>
        </w:tc>
        <w:tc>
          <w:tcPr>
            <w:tcW w:w="3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Borders>
              <w:top w:val="single" w:sz="8" w:color="auto"/>
            </w:tcBorders>
            <w:gridSpan w:val="2"/>
          </w:tcPr>
          <w:p>
            <w:pPr>
              <w:jc w:val="center"/>
              <w:ind w:left="100"/>
              <w:spacing w:after="0"/>
              <w:rPr>
                <w:sz w:val="20"/>
                <w:szCs w:val="20"/>
                <w:color w:val="auto"/>
              </w:rPr>
            </w:pPr>
            <w:r>
              <w:rPr>
                <w:rFonts w:ascii="Arial" w:cs="Arial" w:eastAsia="Arial" w:hAnsi="Arial"/>
                <w:sz w:val="12"/>
                <w:szCs w:val="12"/>
                <w:color w:val="auto"/>
                <w:w w:val="88"/>
              </w:rPr>
              <w:t>(In thousands)</w:t>
            </w:r>
          </w:p>
        </w:tc>
        <w:tc>
          <w:tcPr>
            <w:tcW w:w="5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58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580" w:type="dxa"/>
            <w:vAlign w:val="bottom"/>
          </w:tcPr>
          <w:p>
            <w:pPr>
              <w:ind w:left="320"/>
              <w:spacing w:after="0"/>
              <w:rPr>
                <w:sz w:val="20"/>
                <w:szCs w:val="20"/>
                <w:color w:val="auto"/>
              </w:rPr>
            </w:pPr>
            <w:r>
              <w:rPr>
                <w:rFonts w:ascii="Arial" w:cs="Arial" w:eastAsia="Arial" w:hAnsi="Arial"/>
                <w:sz w:val="12"/>
                <w:szCs w:val="12"/>
                <w:color w:val="auto"/>
              </w:rPr>
              <w:t>Boat lending</w:t>
            </w: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580" w:type="dxa"/>
            <w:vAlign w:val="bottom"/>
            <w:shd w:val="clear" w:color="auto" w:fill="CCEEFF"/>
          </w:tcPr>
          <w:p>
            <w:pPr>
              <w:ind w:left="420"/>
              <w:spacing w:after="0"/>
              <w:rPr>
                <w:sz w:val="20"/>
                <w:szCs w:val="20"/>
                <w:color w:val="auto"/>
              </w:rPr>
            </w:pPr>
            <w:r>
              <w:rPr>
                <w:rFonts w:ascii="Arial" w:cs="Arial" w:eastAsia="Arial" w:hAnsi="Arial"/>
                <w:sz w:val="12"/>
                <w:szCs w:val="12"/>
                <w:color w:val="auto"/>
              </w:rPr>
              <w:t>800 and above</w:t>
            </w:r>
          </w:p>
        </w:tc>
        <w:tc>
          <w:tcPr>
            <w:tcW w:w="3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7,513</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5,786</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6,015</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4,906</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2,968</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4,433</w:t>
            </w:r>
          </w:p>
        </w:tc>
        <w:tc>
          <w:tcPr>
            <w:tcW w:w="3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44"/>
        </w:trPr>
        <w:tc>
          <w:tcPr>
            <w:tcW w:w="2580" w:type="dxa"/>
            <w:vAlign w:val="bottom"/>
          </w:tcPr>
          <w:p>
            <w:pPr>
              <w:ind w:left="420"/>
              <w:spacing w:after="0"/>
              <w:rPr>
                <w:sz w:val="20"/>
                <w:szCs w:val="20"/>
                <w:color w:val="auto"/>
              </w:rPr>
            </w:pPr>
            <w:r>
              <w:rPr>
                <w:rFonts w:ascii="Arial" w:cs="Arial" w:eastAsia="Arial" w:hAnsi="Arial"/>
                <w:sz w:val="12"/>
                <w:szCs w:val="12"/>
                <w:color w:val="auto"/>
              </w:rPr>
              <w:t>750-799</w:t>
            </w:r>
          </w:p>
        </w:tc>
        <w:tc>
          <w:tcPr>
            <w:tcW w:w="36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47,434</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2"/>
                <w:szCs w:val="12"/>
                <w:color w:val="auto"/>
              </w:rPr>
              <w:t>24,968</w:t>
            </w:r>
          </w:p>
        </w:tc>
        <w:tc>
          <w:tcPr>
            <w:tcW w:w="340" w:type="dxa"/>
            <w:vAlign w:val="bottom"/>
          </w:tcPr>
          <w:p>
            <w:pPr>
              <w:spacing w:after="0"/>
              <w:rPr>
                <w:sz w:val="12"/>
                <w:szCs w:val="12"/>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2"/>
                <w:szCs w:val="12"/>
                <w:color w:val="auto"/>
              </w:rPr>
              <w:t>21,052</w:t>
            </w:r>
          </w:p>
        </w:tc>
        <w:tc>
          <w:tcPr>
            <w:tcW w:w="340" w:type="dxa"/>
            <w:vAlign w:val="bottom"/>
          </w:tcPr>
          <w:p>
            <w:pPr>
              <w:spacing w:after="0"/>
              <w:rPr>
                <w:sz w:val="12"/>
                <w:szCs w:val="12"/>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2"/>
                <w:szCs w:val="12"/>
                <w:color w:val="auto"/>
              </w:rPr>
              <w:t>15,681</w:t>
            </w:r>
          </w:p>
        </w:tc>
        <w:tc>
          <w:tcPr>
            <w:tcW w:w="340" w:type="dxa"/>
            <w:vAlign w:val="bottom"/>
          </w:tcPr>
          <w:p>
            <w:pPr>
              <w:spacing w:after="0"/>
              <w:rPr>
                <w:sz w:val="12"/>
                <w:szCs w:val="12"/>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2"/>
                <w:szCs w:val="12"/>
                <w:color w:val="auto"/>
              </w:rPr>
              <w:t>9,797</w:t>
            </w:r>
          </w:p>
        </w:tc>
        <w:tc>
          <w:tcPr>
            <w:tcW w:w="340" w:type="dxa"/>
            <w:vAlign w:val="bottom"/>
          </w:tcPr>
          <w:p>
            <w:pPr>
              <w:spacing w:after="0"/>
              <w:rPr>
                <w:sz w:val="12"/>
                <w:szCs w:val="12"/>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2"/>
                <w:szCs w:val="12"/>
                <w:color w:val="auto"/>
              </w:rPr>
              <w:t>10,971</w:t>
            </w:r>
          </w:p>
        </w:tc>
        <w:tc>
          <w:tcPr>
            <w:tcW w:w="36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129</w:t>
            </w:r>
          </w:p>
        </w:tc>
        <w:tc>
          <w:tcPr>
            <w:tcW w:w="0" w:type="dxa"/>
            <w:vAlign w:val="bottom"/>
          </w:tcPr>
          <w:p>
            <w:pPr>
              <w:spacing w:after="0"/>
              <w:rPr>
                <w:sz w:val="1"/>
                <w:szCs w:val="1"/>
                <w:color w:val="auto"/>
              </w:rPr>
            </w:pPr>
          </w:p>
        </w:tc>
      </w:tr>
      <w:tr>
        <w:trPr>
          <w:trHeight w:val="144"/>
        </w:trPr>
        <w:tc>
          <w:tcPr>
            <w:tcW w:w="2580" w:type="dxa"/>
            <w:vAlign w:val="bottom"/>
            <w:shd w:val="clear" w:color="auto" w:fill="CCEEFF"/>
          </w:tcPr>
          <w:p>
            <w:pPr>
              <w:ind w:left="420"/>
              <w:spacing w:after="0"/>
              <w:rPr>
                <w:sz w:val="20"/>
                <w:szCs w:val="20"/>
                <w:color w:val="auto"/>
              </w:rPr>
            </w:pPr>
            <w:r>
              <w:rPr>
                <w:rFonts w:ascii="Arial" w:cs="Arial" w:eastAsia="Arial" w:hAnsi="Arial"/>
                <w:sz w:val="12"/>
                <w:szCs w:val="12"/>
                <w:color w:val="auto"/>
              </w:rPr>
              <w:t>700-749</w:t>
            </w:r>
          </w:p>
        </w:tc>
        <w:tc>
          <w:tcPr>
            <w:tcW w:w="3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19,180</w:t>
            </w:r>
          </w:p>
        </w:tc>
        <w:tc>
          <w:tcPr>
            <w:tcW w:w="3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9,724</w:t>
            </w:r>
          </w:p>
        </w:tc>
        <w:tc>
          <w:tcPr>
            <w:tcW w:w="3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8,263</w:t>
            </w:r>
          </w:p>
        </w:tc>
        <w:tc>
          <w:tcPr>
            <w:tcW w:w="3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6,467</w:t>
            </w:r>
          </w:p>
        </w:tc>
        <w:tc>
          <w:tcPr>
            <w:tcW w:w="3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3,109</w:t>
            </w:r>
          </w:p>
        </w:tc>
        <w:tc>
          <w:tcPr>
            <w:tcW w:w="3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4,953</w:t>
            </w: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w:t>
            </w:r>
          </w:p>
        </w:tc>
        <w:tc>
          <w:tcPr>
            <w:tcW w:w="0" w:type="dxa"/>
            <w:vAlign w:val="bottom"/>
          </w:tcPr>
          <w:p>
            <w:pPr>
              <w:spacing w:after="0"/>
              <w:rPr>
                <w:sz w:val="1"/>
                <w:szCs w:val="1"/>
                <w:color w:val="auto"/>
              </w:rPr>
            </w:pPr>
          </w:p>
        </w:tc>
      </w:tr>
      <w:tr>
        <w:trPr>
          <w:trHeight w:val="144"/>
        </w:trPr>
        <w:tc>
          <w:tcPr>
            <w:tcW w:w="2580" w:type="dxa"/>
            <w:vAlign w:val="bottom"/>
          </w:tcPr>
          <w:p>
            <w:pPr>
              <w:ind w:left="420"/>
              <w:spacing w:after="0"/>
              <w:rPr>
                <w:sz w:val="20"/>
                <w:szCs w:val="20"/>
                <w:color w:val="auto"/>
              </w:rPr>
            </w:pPr>
            <w:r>
              <w:rPr>
                <w:rFonts w:ascii="Arial" w:cs="Arial" w:eastAsia="Arial" w:hAnsi="Arial"/>
                <w:sz w:val="12"/>
                <w:szCs w:val="12"/>
                <w:color w:val="auto"/>
              </w:rPr>
              <w:t>650-699</w:t>
            </w:r>
          </w:p>
        </w:tc>
        <w:tc>
          <w:tcPr>
            <w:tcW w:w="3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3,845</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2"/>
                <w:szCs w:val="12"/>
                <w:color w:val="auto"/>
              </w:rPr>
              <w:t>1,679</w:t>
            </w:r>
          </w:p>
        </w:tc>
        <w:tc>
          <w:tcPr>
            <w:tcW w:w="340" w:type="dxa"/>
            <w:vAlign w:val="bottom"/>
          </w:tcPr>
          <w:p>
            <w:pPr>
              <w:spacing w:after="0"/>
              <w:rPr>
                <w:sz w:val="12"/>
                <w:szCs w:val="12"/>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2"/>
                <w:szCs w:val="12"/>
                <w:color w:val="auto"/>
              </w:rPr>
              <w:t>2,301</w:t>
            </w:r>
          </w:p>
        </w:tc>
        <w:tc>
          <w:tcPr>
            <w:tcW w:w="340" w:type="dxa"/>
            <w:vAlign w:val="bottom"/>
          </w:tcPr>
          <w:p>
            <w:pPr>
              <w:spacing w:after="0"/>
              <w:rPr>
                <w:sz w:val="12"/>
                <w:szCs w:val="12"/>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2"/>
                <w:szCs w:val="12"/>
                <w:color w:val="auto"/>
              </w:rPr>
              <w:t>1,223</w:t>
            </w:r>
          </w:p>
        </w:tc>
        <w:tc>
          <w:tcPr>
            <w:tcW w:w="340" w:type="dxa"/>
            <w:vAlign w:val="bottom"/>
          </w:tcPr>
          <w:p>
            <w:pPr>
              <w:spacing w:after="0"/>
              <w:rPr>
                <w:sz w:val="12"/>
                <w:szCs w:val="12"/>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2"/>
                <w:szCs w:val="12"/>
                <w:color w:val="auto"/>
              </w:rPr>
              <w:t>1,166</w:t>
            </w:r>
          </w:p>
        </w:tc>
        <w:tc>
          <w:tcPr>
            <w:tcW w:w="340" w:type="dxa"/>
            <w:vAlign w:val="bottom"/>
          </w:tcPr>
          <w:p>
            <w:pPr>
              <w:spacing w:after="0"/>
              <w:rPr>
                <w:sz w:val="12"/>
                <w:szCs w:val="12"/>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2"/>
                <w:szCs w:val="12"/>
                <w:color w:val="auto"/>
              </w:rPr>
              <w:t>1,378</w:t>
            </w:r>
          </w:p>
        </w:tc>
        <w:tc>
          <w:tcPr>
            <w:tcW w:w="36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44"/>
        </w:trPr>
        <w:tc>
          <w:tcPr>
            <w:tcW w:w="2580" w:type="dxa"/>
            <w:vAlign w:val="bottom"/>
            <w:shd w:val="clear" w:color="auto" w:fill="CCEEFF"/>
          </w:tcPr>
          <w:p>
            <w:pPr>
              <w:ind w:left="420"/>
              <w:spacing w:after="0"/>
              <w:rPr>
                <w:sz w:val="20"/>
                <w:szCs w:val="20"/>
                <w:color w:val="auto"/>
              </w:rPr>
            </w:pPr>
            <w:r>
              <w:rPr>
                <w:rFonts w:ascii="Arial" w:cs="Arial" w:eastAsia="Arial" w:hAnsi="Arial"/>
                <w:sz w:val="12"/>
                <w:szCs w:val="12"/>
                <w:color w:val="auto"/>
              </w:rPr>
              <w:t>600-649</w:t>
            </w:r>
          </w:p>
        </w:tc>
        <w:tc>
          <w:tcPr>
            <w:tcW w:w="3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373</w:t>
            </w: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419</w:t>
            </w:r>
          </w:p>
        </w:tc>
        <w:tc>
          <w:tcPr>
            <w:tcW w:w="3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209</w:t>
            </w:r>
          </w:p>
        </w:tc>
        <w:tc>
          <w:tcPr>
            <w:tcW w:w="3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327</w:t>
            </w:r>
          </w:p>
        </w:tc>
        <w:tc>
          <w:tcPr>
            <w:tcW w:w="3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185</w:t>
            </w:r>
          </w:p>
        </w:tc>
        <w:tc>
          <w:tcPr>
            <w:tcW w:w="3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604</w:t>
            </w: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44"/>
        </w:trPr>
        <w:tc>
          <w:tcPr>
            <w:tcW w:w="2580" w:type="dxa"/>
            <w:vAlign w:val="bottom"/>
          </w:tcPr>
          <w:p>
            <w:pPr>
              <w:ind w:left="420"/>
              <w:spacing w:after="0"/>
              <w:rPr>
                <w:sz w:val="20"/>
                <w:szCs w:val="20"/>
                <w:color w:val="auto"/>
              </w:rPr>
            </w:pPr>
            <w:r>
              <w:rPr>
                <w:rFonts w:ascii="Arial" w:cs="Arial" w:eastAsia="Arial" w:hAnsi="Arial"/>
                <w:sz w:val="12"/>
                <w:szCs w:val="12"/>
                <w:color w:val="auto"/>
              </w:rPr>
              <w:t>550-599</w:t>
            </w:r>
          </w:p>
        </w:tc>
        <w:tc>
          <w:tcPr>
            <w:tcW w:w="3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237</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2"/>
                <w:szCs w:val="12"/>
                <w:color w:val="auto"/>
              </w:rPr>
              <w:t>81</w:t>
            </w:r>
          </w:p>
        </w:tc>
        <w:tc>
          <w:tcPr>
            <w:tcW w:w="340" w:type="dxa"/>
            <w:vAlign w:val="bottom"/>
          </w:tcPr>
          <w:p>
            <w:pPr>
              <w:spacing w:after="0"/>
              <w:rPr>
                <w:sz w:val="12"/>
                <w:szCs w:val="12"/>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2"/>
                <w:szCs w:val="12"/>
                <w:color w:val="auto"/>
              </w:rPr>
              <w:t>91</w:t>
            </w:r>
          </w:p>
        </w:tc>
        <w:tc>
          <w:tcPr>
            <w:tcW w:w="340" w:type="dxa"/>
            <w:vAlign w:val="bottom"/>
          </w:tcPr>
          <w:p>
            <w:pPr>
              <w:spacing w:after="0"/>
              <w:rPr>
                <w:sz w:val="12"/>
                <w:szCs w:val="12"/>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2"/>
                <w:szCs w:val="12"/>
                <w:color w:val="auto"/>
              </w:rPr>
              <w:t>113</w:t>
            </w:r>
          </w:p>
        </w:tc>
        <w:tc>
          <w:tcPr>
            <w:tcW w:w="340" w:type="dxa"/>
            <w:vAlign w:val="bottom"/>
          </w:tcPr>
          <w:p>
            <w:pPr>
              <w:spacing w:after="0"/>
              <w:rPr>
                <w:sz w:val="12"/>
                <w:szCs w:val="12"/>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2"/>
                <w:szCs w:val="12"/>
                <w:color w:val="auto"/>
              </w:rPr>
              <w:t>115</w:t>
            </w:r>
          </w:p>
        </w:tc>
        <w:tc>
          <w:tcPr>
            <w:tcW w:w="340" w:type="dxa"/>
            <w:vAlign w:val="bottom"/>
          </w:tcPr>
          <w:p>
            <w:pPr>
              <w:spacing w:after="0"/>
              <w:rPr>
                <w:sz w:val="12"/>
                <w:szCs w:val="12"/>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2"/>
                <w:szCs w:val="12"/>
                <w:color w:val="auto"/>
              </w:rPr>
              <w:t>191</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80" w:type="dxa"/>
            <w:vAlign w:val="bottom"/>
            <w:shd w:val="clear" w:color="auto" w:fill="CCEEFF"/>
          </w:tcPr>
          <w:p>
            <w:pPr>
              <w:ind w:left="420"/>
              <w:spacing w:after="0"/>
              <w:rPr>
                <w:sz w:val="20"/>
                <w:szCs w:val="20"/>
                <w:color w:val="auto"/>
              </w:rPr>
            </w:pPr>
            <w:r>
              <w:rPr>
                <w:rFonts w:ascii="Arial" w:cs="Arial" w:eastAsia="Arial" w:hAnsi="Arial"/>
                <w:sz w:val="12"/>
                <w:szCs w:val="12"/>
                <w:color w:val="auto"/>
              </w:rPr>
              <w:t>500-549</w:t>
            </w:r>
          </w:p>
        </w:tc>
        <w:tc>
          <w:tcPr>
            <w:tcW w:w="3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49</w:t>
            </w:r>
          </w:p>
        </w:tc>
        <w:tc>
          <w:tcPr>
            <w:tcW w:w="3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85</w:t>
            </w:r>
          </w:p>
        </w:tc>
        <w:tc>
          <w:tcPr>
            <w:tcW w:w="3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67</w:t>
            </w: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80" w:type="dxa"/>
            <w:vAlign w:val="bottom"/>
          </w:tcPr>
          <w:p>
            <w:pPr>
              <w:ind w:left="420"/>
              <w:spacing w:after="0"/>
              <w:rPr>
                <w:sz w:val="20"/>
                <w:szCs w:val="20"/>
                <w:color w:val="auto"/>
              </w:rPr>
            </w:pPr>
            <w:r>
              <w:rPr>
                <w:rFonts w:ascii="Arial" w:cs="Arial" w:eastAsia="Arial" w:hAnsi="Arial"/>
                <w:sz w:val="12"/>
                <w:szCs w:val="12"/>
                <w:color w:val="auto"/>
              </w:rPr>
              <w:t>Under 500</w:t>
            </w:r>
          </w:p>
        </w:tc>
        <w:tc>
          <w:tcPr>
            <w:tcW w:w="3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2"/>
                <w:szCs w:val="12"/>
                <w:color w:val="auto"/>
              </w:rPr>
              <w:t>10</w:t>
            </w:r>
          </w:p>
        </w:tc>
        <w:tc>
          <w:tcPr>
            <w:tcW w:w="340" w:type="dxa"/>
            <w:vAlign w:val="bottom"/>
          </w:tcPr>
          <w:p>
            <w:pPr>
              <w:spacing w:after="0"/>
              <w:rPr>
                <w:sz w:val="12"/>
                <w:szCs w:val="12"/>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2"/>
                <w:szCs w:val="12"/>
                <w:color w:val="auto"/>
              </w:rPr>
              <w:t>168</w:t>
            </w:r>
          </w:p>
        </w:tc>
        <w:tc>
          <w:tcPr>
            <w:tcW w:w="340" w:type="dxa"/>
            <w:vAlign w:val="bottom"/>
          </w:tcPr>
          <w:p>
            <w:pPr>
              <w:spacing w:after="0"/>
              <w:rPr>
                <w:sz w:val="12"/>
                <w:szCs w:val="12"/>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2"/>
                <w:szCs w:val="12"/>
                <w:color w:val="auto"/>
              </w:rPr>
              <w:t>4</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80" w:type="dxa"/>
            <w:vAlign w:val="bottom"/>
            <w:shd w:val="clear" w:color="auto" w:fill="CCEEFF"/>
          </w:tcPr>
          <w:p>
            <w:pPr>
              <w:ind w:left="420"/>
              <w:spacing w:after="0"/>
              <w:rPr>
                <w:sz w:val="20"/>
                <w:szCs w:val="20"/>
                <w:color w:val="auto"/>
              </w:rPr>
            </w:pPr>
            <w:r>
              <w:rPr>
                <w:rFonts w:ascii="Arial" w:cs="Arial" w:eastAsia="Arial" w:hAnsi="Arial"/>
                <w:sz w:val="12"/>
                <w:szCs w:val="12"/>
                <w:color w:val="auto"/>
              </w:rPr>
              <w:t>Unknown</w:t>
            </w:r>
          </w:p>
        </w:tc>
        <w:tc>
          <w:tcPr>
            <w:tcW w:w="3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tcPr>
          <w:p>
            <w:pPr>
              <w:ind w:left="540"/>
              <w:spacing w:after="0"/>
              <w:rPr>
                <w:sz w:val="20"/>
                <w:szCs w:val="20"/>
                <w:color w:val="auto"/>
              </w:rPr>
            </w:pPr>
            <w:r>
              <w:rPr>
                <w:rFonts w:ascii="Arial" w:cs="Arial" w:eastAsia="Arial" w:hAnsi="Arial"/>
                <w:sz w:val="12"/>
                <w:szCs w:val="12"/>
                <w:color w:val="auto"/>
              </w:rPr>
              <w:t>Total</w:t>
            </w:r>
          </w:p>
        </w:tc>
        <w:tc>
          <w:tcPr>
            <w:tcW w:w="36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78,582</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500"/>
              <w:spacing w:after="0"/>
              <w:rPr>
                <w:sz w:val="20"/>
                <w:szCs w:val="20"/>
                <w:color w:val="auto"/>
              </w:rPr>
            </w:pPr>
            <w:r>
              <w:rPr>
                <w:rFonts w:ascii="Arial" w:cs="Arial" w:eastAsia="Arial" w:hAnsi="Arial"/>
                <w:sz w:val="12"/>
                <w:szCs w:val="12"/>
                <w:color w:val="auto"/>
              </w:rPr>
              <w:t>42,706</w:t>
            </w: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500"/>
              <w:spacing w:after="0"/>
              <w:rPr>
                <w:sz w:val="20"/>
                <w:szCs w:val="20"/>
                <w:color w:val="auto"/>
              </w:rPr>
            </w:pPr>
            <w:r>
              <w:rPr>
                <w:rFonts w:ascii="Arial" w:cs="Arial" w:eastAsia="Arial" w:hAnsi="Arial"/>
                <w:sz w:val="12"/>
                <w:szCs w:val="12"/>
                <w:color w:val="auto"/>
              </w:rPr>
              <w:t>37,931</w:t>
            </w: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500"/>
              <w:spacing w:after="0"/>
              <w:rPr>
                <w:sz w:val="20"/>
                <w:szCs w:val="20"/>
                <w:color w:val="auto"/>
              </w:rPr>
            </w:pPr>
            <w:r>
              <w:rPr>
                <w:rFonts w:ascii="Arial" w:cs="Arial" w:eastAsia="Arial" w:hAnsi="Arial"/>
                <w:sz w:val="12"/>
                <w:szCs w:val="12"/>
                <w:color w:val="auto"/>
              </w:rPr>
              <w:t>28,812</w:t>
            </w: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500"/>
              <w:spacing w:after="0"/>
              <w:rPr>
                <w:sz w:val="20"/>
                <w:szCs w:val="20"/>
                <w:color w:val="auto"/>
              </w:rPr>
            </w:pPr>
            <w:r>
              <w:rPr>
                <w:rFonts w:ascii="Arial" w:cs="Arial" w:eastAsia="Arial" w:hAnsi="Arial"/>
                <w:sz w:val="12"/>
                <w:szCs w:val="12"/>
                <w:color w:val="auto"/>
              </w:rPr>
              <w:t>17,508</w:t>
            </w: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500"/>
              <w:spacing w:after="0"/>
              <w:rPr>
                <w:sz w:val="20"/>
                <w:szCs w:val="20"/>
                <w:color w:val="auto"/>
              </w:rPr>
            </w:pPr>
            <w:r>
              <w:rPr>
                <w:rFonts w:ascii="Arial" w:cs="Arial" w:eastAsia="Arial" w:hAnsi="Arial"/>
                <w:sz w:val="12"/>
                <w:szCs w:val="12"/>
                <w:color w:val="auto"/>
              </w:rPr>
              <w:t>22,601</w:t>
            </w:r>
          </w:p>
        </w:tc>
        <w:tc>
          <w:tcPr>
            <w:tcW w:w="36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300" w:type="dxa"/>
            <w:vAlign w:val="bottom"/>
          </w:tcPr>
          <w:p>
            <w:pPr>
              <w:jc w:val="right"/>
              <w:spacing w:after="0"/>
              <w:rPr>
                <w:sz w:val="20"/>
                <w:szCs w:val="20"/>
                <w:color w:val="auto"/>
              </w:rPr>
            </w:pPr>
            <w:r>
              <w:rPr>
                <w:rFonts w:ascii="Arial" w:cs="Arial" w:eastAsia="Arial" w:hAnsi="Arial"/>
                <w:sz w:val="12"/>
                <w:szCs w:val="12"/>
                <w:color w:val="auto"/>
              </w:rPr>
              <w:t>228</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580" w:type="dxa"/>
            <w:vAlign w:val="bottom"/>
            <w:tcBorders>
              <w:bottom w:val="single" w:sz="8" w:color="CCEEFF"/>
            </w:tcBorders>
            <w:shd w:val="clear" w:color="auto" w:fill="CCEEFF"/>
          </w:tcPr>
          <w:p>
            <w:pPr>
              <w:ind w:left="320"/>
              <w:spacing w:after="0" w:line="120" w:lineRule="exact"/>
              <w:rPr>
                <w:sz w:val="20"/>
                <w:szCs w:val="20"/>
                <w:color w:val="auto"/>
              </w:rPr>
            </w:pPr>
            <w:r>
              <w:rPr>
                <w:rFonts w:ascii="Arial" w:cs="Arial" w:eastAsia="Arial" w:hAnsi="Arial"/>
                <w:sz w:val="12"/>
                <w:szCs w:val="12"/>
                <w:color w:val="auto"/>
              </w:rPr>
              <w:t>Accrued interest excluded from total</w:t>
            </w:r>
          </w:p>
        </w:tc>
        <w:tc>
          <w:tcPr>
            <w:tcW w:w="360" w:type="dxa"/>
            <w:vAlign w:val="bottom"/>
            <w:tcBorders>
              <w:bottom w:val="single" w:sz="8" w:color="auto"/>
            </w:tcBorders>
            <w:shd w:val="clear" w:color="auto" w:fill="CCEEFF"/>
          </w:tcPr>
          <w:p>
            <w:pPr>
              <w:jc w:val="right"/>
              <w:ind w:right="20"/>
              <w:spacing w:after="0" w:line="120" w:lineRule="exact"/>
              <w:rPr>
                <w:sz w:val="20"/>
                <w:szCs w:val="20"/>
                <w:color w:val="auto"/>
              </w:rPr>
            </w:pPr>
            <w:r>
              <w:rPr>
                <w:rFonts w:ascii="Arial" w:cs="Arial" w:eastAsia="Arial" w:hAnsi="Arial"/>
                <w:sz w:val="12"/>
                <w:szCs w:val="12"/>
                <w:color w:val="auto"/>
              </w:rPr>
              <w:t>$</w:t>
            </w:r>
          </w:p>
        </w:tc>
        <w:tc>
          <w:tcPr>
            <w:tcW w:w="54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169</w:t>
            </w:r>
          </w:p>
        </w:tc>
        <w:tc>
          <w:tcPr>
            <w:tcW w:w="16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0"/>
              <w:spacing w:after="0" w:line="120" w:lineRule="exact"/>
              <w:rPr>
                <w:sz w:val="20"/>
                <w:szCs w:val="20"/>
                <w:color w:val="auto"/>
              </w:rPr>
            </w:pPr>
            <w:r>
              <w:rPr>
                <w:rFonts w:ascii="Arial" w:cs="Arial" w:eastAsia="Arial" w:hAnsi="Arial"/>
                <w:sz w:val="12"/>
                <w:szCs w:val="12"/>
                <w:color w:val="auto"/>
              </w:rPr>
              <w:t>$</w:t>
            </w:r>
          </w:p>
        </w:tc>
        <w:tc>
          <w:tcPr>
            <w:tcW w:w="52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102</w:t>
            </w:r>
          </w:p>
        </w:tc>
        <w:tc>
          <w:tcPr>
            <w:tcW w:w="52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w:t>
            </w:r>
          </w:p>
        </w:tc>
        <w:tc>
          <w:tcPr>
            <w:tcW w:w="48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106</w:t>
            </w:r>
          </w:p>
        </w:tc>
        <w:tc>
          <w:tcPr>
            <w:tcW w:w="5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w:t>
            </w:r>
          </w:p>
        </w:tc>
        <w:tc>
          <w:tcPr>
            <w:tcW w:w="50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69</w:t>
            </w:r>
          </w:p>
        </w:tc>
        <w:tc>
          <w:tcPr>
            <w:tcW w:w="5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w:t>
            </w:r>
          </w:p>
        </w:tc>
        <w:tc>
          <w:tcPr>
            <w:tcW w:w="48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44</w:t>
            </w:r>
          </w:p>
        </w:tc>
        <w:tc>
          <w:tcPr>
            <w:tcW w:w="5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w:t>
            </w:r>
          </w:p>
        </w:tc>
        <w:tc>
          <w:tcPr>
            <w:tcW w:w="50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47</w:t>
            </w:r>
          </w:p>
        </w:tc>
        <w:tc>
          <w:tcPr>
            <w:tcW w:w="5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0"/>
              <w:spacing w:after="0" w:line="120" w:lineRule="exact"/>
              <w:rPr>
                <w:sz w:val="20"/>
                <w:szCs w:val="20"/>
                <w:color w:val="auto"/>
              </w:rPr>
            </w:pPr>
            <w:r>
              <w:rPr>
                <w:rFonts w:ascii="Arial" w:cs="Arial" w:eastAsia="Arial" w:hAnsi="Arial"/>
                <w:sz w:val="12"/>
                <w:szCs w:val="12"/>
                <w:color w:val="auto"/>
              </w:rPr>
              <w:t>$</w:t>
            </w:r>
          </w:p>
        </w:tc>
        <w:tc>
          <w:tcPr>
            <w:tcW w:w="30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5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580" w:type="dxa"/>
            <w:vAlign w:val="bottom"/>
            <w:shd w:val="clear" w:color="auto" w:fill="CCEEFF"/>
          </w:tcPr>
          <w:p>
            <w:pPr>
              <w:ind w:left="320"/>
              <w:spacing w:after="0"/>
              <w:rPr>
                <w:sz w:val="20"/>
                <w:szCs w:val="20"/>
                <w:color w:val="auto"/>
              </w:rPr>
            </w:pPr>
            <w:r>
              <w:rPr>
                <w:rFonts w:ascii="Arial" w:cs="Arial" w:eastAsia="Arial" w:hAnsi="Arial"/>
                <w:sz w:val="12"/>
                <w:szCs w:val="12"/>
                <w:color w:val="auto"/>
              </w:rPr>
              <w:t>Recreational vehicle lending</w:t>
            </w:r>
          </w:p>
        </w:tc>
        <w:tc>
          <w:tcPr>
            <w:tcW w:w="3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80" w:type="dxa"/>
            <w:vAlign w:val="bottom"/>
          </w:tcPr>
          <w:p>
            <w:pPr>
              <w:ind w:left="420"/>
              <w:spacing w:after="0"/>
              <w:rPr>
                <w:sz w:val="20"/>
                <w:szCs w:val="20"/>
                <w:color w:val="auto"/>
              </w:rPr>
            </w:pPr>
            <w:r>
              <w:rPr>
                <w:rFonts w:ascii="Arial" w:cs="Arial" w:eastAsia="Arial" w:hAnsi="Arial"/>
                <w:sz w:val="12"/>
                <w:szCs w:val="12"/>
                <w:color w:val="auto"/>
              </w:rPr>
              <w:t>800 and above</w:t>
            </w:r>
          </w:p>
        </w:tc>
        <w:tc>
          <w:tcPr>
            <w:tcW w:w="36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8,475</w:t>
            </w:r>
          </w:p>
        </w:tc>
        <w:tc>
          <w:tcPr>
            <w:tcW w:w="16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500"/>
              <w:spacing w:after="0"/>
              <w:rPr>
                <w:sz w:val="20"/>
                <w:szCs w:val="20"/>
                <w:color w:val="auto"/>
              </w:rPr>
            </w:pPr>
            <w:r>
              <w:rPr>
                <w:rFonts w:ascii="Arial" w:cs="Arial" w:eastAsia="Arial" w:hAnsi="Arial"/>
                <w:sz w:val="12"/>
                <w:szCs w:val="12"/>
                <w:color w:val="auto"/>
              </w:rPr>
              <w:t>5,121</w:t>
            </w: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500"/>
              <w:spacing w:after="0"/>
              <w:rPr>
                <w:sz w:val="20"/>
                <w:szCs w:val="20"/>
                <w:color w:val="auto"/>
              </w:rPr>
            </w:pPr>
            <w:r>
              <w:rPr>
                <w:rFonts w:ascii="Arial" w:cs="Arial" w:eastAsia="Arial" w:hAnsi="Arial"/>
                <w:sz w:val="12"/>
                <w:szCs w:val="12"/>
                <w:color w:val="auto"/>
              </w:rPr>
              <w:t>5,837</w:t>
            </w: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500"/>
              <w:spacing w:after="0"/>
              <w:rPr>
                <w:sz w:val="20"/>
                <w:szCs w:val="20"/>
                <w:color w:val="auto"/>
              </w:rPr>
            </w:pPr>
            <w:r>
              <w:rPr>
                <w:rFonts w:ascii="Arial" w:cs="Arial" w:eastAsia="Arial" w:hAnsi="Arial"/>
                <w:sz w:val="12"/>
                <w:szCs w:val="12"/>
                <w:color w:val="auto"/>
              </w:rPr>
              <w:t>4,627</w:t>
            </w: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500"/>
              <w:spacing w:after="0"/>
              <w:rPr>
                <w:sz w:val="20"/>
                <w:szCs w:val="20"/>
                <w:color w:val="auto"/>
              </w:rPr>
            </w:pPr>
            <w:r>
              <w:rPr>
                <w:rFonts w:ascii="Arial" w:cs="Arial" w:eastAsia="Arial" w:hAnsi="Arial"/>
                <w:sz w:val="12"/>
                <w:szCs w:val="12"/>
                <w:color w:val="auto"/>
              </w:rPr>
              <w:t>2,456</w:t>
            </w: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500"/>
              <w:spacing w:after="0"/>
              <w:rPr>
                <w:sz w:val="20"/>
                <w:szCs w:val="20"/>
                <w:color w:val="auto"/>
              </w:rPr>
            </w:pPr>
            <w:r>
              <w:rPr>
                <w:rFonts w:ascii="Arial" w:cs="Arial" w:eastAsia="Arial" w:hAnsi="Arial"/>
                <w:sz w:val="12"/>
                <w:szCs w:val="12"/>
                <w:color w:val="auto"/>
              </w:rPr>
              <w:t>3,594</w:t>
            </w:r>
          </w:p>
        </w:tc>
        <w:tc>
          <w:tcPr>
            <w:tcW w:w="36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300" w:type="dxa"/>
            <w:vAlign w:val="bottom"/>
          </w:tcPr>
          <w:p>
            <w:pPr>
              <w:jc w:val="right"/>
              <w:spacing w:after="0"/>
              <w:rPr>
                <w:sz w:val="20"/>
                <w:szCs w:val="20"/>
                <w:color w:val="auto"/>
              </w:rPr>
            </w:pPr>
            <w:r>
              <w:rPr>
                <w:rFonts w:ascii="Arial" w:cs="Arial" w:eastAsia="Arial" w:hAnsi="Arial"/>
                <w:sz w:val="12"/>
                <w:szCs w:val="12"/>
                <w:color w:val="auto"/>
              </w:rPr>
              <w:t>30</w:t>
            </w:r>
          </w:p>
        </w:tc>
        <w:tc>
          <w:tcPr>
            <w:tcW w:w="0" w:type="dxa"/>
            <w:vAlign w:val="bottom"/>
          </w:tcPr>
          <w:p>
            <w:pPr>
              <w:spacing w:after="0"/>
              <w:rPr>
                <w:sz w:val="1"/>
                <w:szCs w:val="1"/>
                <w:color w:val="auto"/>
              </w:rPr>
            </w:pPr>
          </w:p>
        </w:tc>
      </w:tr>
      <w:tr>
        <w:trPr>
          <w:trHeight w:val="144"/>
        </w:trPr>
        <w:tc>
          <w:tcPr>
            <w:tcW w:w="2580" w:type="dxa"/>
            <w:vAlign w:val="bottom"/>
            <w:shd w:val="clear" w:color="auto" w:fill="CCEEFF"/>
          </w:tcPr>
          <w:p>
            <w:pPr>
              <w:ind w:left="420"/>
              <w:spacing w:after="0"/>
              <w:rPr>
                <w:sz w:val="20"/>
                <w:szCs w:val="20"/>
                <w:color w:val="auto"/>
              </w:rPr>
            </w:pPr>
            <w:r>
              <w:rPr>
                <w:rFonts w:ascii="Arial" w:cs="Arial" w:eastAsia="Arial" w:hAnsi="Arial"/>
                <w:sz w:val="12"/>
                <w:szCs w:val="12"/>
                <w:color w:val="auto"/>
              </w:rPr>
              <w:t>750-799</w:t>
            </w:r>
          </w:p>
        </w:tc>
        <w:tc>
          <w:tcPr>
            <w:tcW w:w="3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66,834</w:t>
            </w:r>
          </w:p>
        </w:tc>
        <w:tc>
          <w:tcPr>
            <w:tcW w:w="3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22,707</w:t>
            </w:r>
          </w:p>
        </w:tc>
        <w:tc>
          <w:tcPr>
            <w:tcW w:w="3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17,173</w:t>
            </w:r>
          </w:p>
        </w:tc>
        <w:tc>
          <w:tcPr>
            <w:tcW w:w="3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11,973</w:t>
            </w:r>
          </w:p>
        </w:tc>
        <w:tc>
          <w:tcPr>
            <w:tcW w:w="3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5,281</w:t>
            </w:r>
          </w:p>
        </w:tc>
        <w:tc>
          <w:tcPr>
            <w:tcW w:w="3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6,794</w:t>
            </w: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130</w:t>
            </w:r>
          </w:p>
        </w:tc>
        <w:tc>
          <w:tcPr>
            <w:tcW w:w="0" w:type="dxa"/>
            <w:vAlign w:val="bottom"/>
          </w:tcPr>
          <w:p>
            <w:pPr>
              <w:spacing w:after="0"/>
              <w:rPr>
                <w:sz w:val="1"/>
                <w:szCs w:val="1"/>
                <w:color w:val="auto"/>
              </w:rPr>
            </w:pPr>
          </w:p>
        </w:tc>
      </w:tr>
      <w:tr>
        <w:trPr>
          <w:trHeight w:val="144"/>
        </w:trPr>
        <w:tc>
          <w:tcPr>
            <w:tcW w:w="2580" w:type="dxa"/>
            <w:vAlign w:val="bottom"/>
          </w:tcPr>
          <w:p>
            <w:pPr>
              <w:ind w:left="420"/>
              <w:spacing w:after="0"/>
              <w:rPr>
                <w:sz w:val="20"/>
                <w:szCs w:val="20"/>
                <w:color w:val="auto"/>
              </w:rPr>
            </w:pPr>
            <w:r>
              <w:rPr>
                <w:rFonts w:ascii="Arial" w:cs="Arial" w:eastAsia="Arial" w:hAnsi="Arial"/>
                <w:sz w:val="12"/>
                <w:szCs w:val="12"/>
                <w:color w:val="auto"/>
              </w:rPr>
              <w:t>700-749</w:t>
            </w:r>
          </w:p>
        </w:tc>
        <w:tc>
          <w:tcPr>
            <w:tcW w:w="36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32,702</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2"/>
                <w:szCs w:val="12"/>
                <w:color w:val="auto"/>
              </w:rPr>
              <w:t>9,500</w:t>
            </w:r>
          </w:p>
        </w:tc>
        <w:tc>
          <w:tcPr>
            <w:tcW w:w="340" w:type="dxa"/>
            <w:vAlign w:val="bottom"/>
          </w:tcPr>
          <w:p>
            <w:pPr>
              <w:spacing w:after="0"/>
              <w:rPr>
                <w:sz w:val="12"/>
                <w:szCs w:val="12"/>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2"/>
                <w:szCs w:val="12"/>
                <w:color w:val="auto"/>
              </w:rPr>
              <w:t>6,169</w:t>
            </w:r>
          </w:p>
        </w:tc>
        <w:tc>
          <w:tcPr>
            <w:tcW w:w="340" w:type="dxa"/>
            <w:vAlign w:val="bottom"/>
          </w:tcPr>
          <w:p>
            <w:pPr>
              <w:spacing w:after="0"/>
              <w:rPr>
                <w:sz w:val="12"/>
                <w:szCs w:val="12"/>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2"/>
                <w:szCs w:val="12"/>
                <w:color w:val="auto"/>
              </w:rPr>
              <w:t>3,768</w:t>
            </w:r>
          </w:p>
        </w:tc>
        <w:tc>
          <w:tcPr>
            <w:tcW w:w="340" w:type="dxa"/>
            <w:vAlign w:val="bottom"/>
          </w:tcPr>
          <w:p>
            <w:pPr>
              <w:spacing w:after="0"/>
              <w:rPr>
                <w:sz w:val="12"/>
                <w:szCs w:val="12"/>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2"/>
                <w:szCs w:val="12"/>
                <w:color w:val="auto"/>
              </w:rPr>
              <w:t>1,657</w:t>
            </w:r>
          </w:p>
        </w:tc>
        <w:tc>
          <w:tcPr>
            <w:tcW w:w="340" w:type="dxa"/>
            <w:vAlign w:val="bottom"/>
          </w:tcPr>
          <w:p>
            <w:pPr>
              <w:spacing w:after="0"/>
              <w:rPr>
                <w:sz w:val="12"/>
                <w:szCs w:val="12"/>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2"/>
                <w:szCs w:val="12"/>
                <w:color w:val="auto"/>
              </w:rPr>
              <w:t>2,343</w:t>
            </w:r>
          </w:p>
        </w:tc>
        <w:tc>
          <w:tcPr>
            <w:tcW w:w="36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56</w:t>
            </w:r>
          </w:p>
        </w:tc>
        <w:tc>
          <w:tcPr>
            <w:tcW w:w="0" w:type="dxa"/>
            <w:vAlign w:val="bottom"/>
          </w:tcPr>
          <w:p>
            <w:pPr>
              <w:spacing w:after="0"/>
              <w:rPr>
                <w:sz w:val="1"/>
                <w:szCs w:val="1"/>
                <w:color w:val="auto"/>
              </w:rPr>
            </w:pPr>
          </w:p>
        </w:tc>
      </w:tr>
      <w:tr>
        <w:trPr>
          <w:trHeight w:val="144"/>
        </w:trPr>
        <w:tc>
          <w:tcPr>
            <w:tcW w:w="2580" w:type="dxa"/>
            <w:vAlign w:val="bottom"/>
            <w:shd w:val="clear" w:color="auto" w:fill="CCEEFF"/>
          </w:tcPr>
          <w:p>
            <w:pPr>
              <w:ind w:left="420"/>
              <w:spacing w:after="0"/>
              <w:rPr>
                <w:sz w:val="20"/>
                <w:szCs w:val="20"/>
                <w:color w:val="auto"/>
              </w:rPr>
            </w:pPr>
            <w:r>
              <w:rPr>
                <w:rFonts w:ascii="Arial" w:cs="Arial" w:eastAsia="Arial" w:hAnsi="Arial"/>
                <w:sz w:val="12"/>
                <w:szCs w:val="12"/>
                <w:color w:val="auto"/>
              </w:rPr>
              <w:t>650-699</w:t>
            </w:r>
          </w:p>
        </w:tc>
        <w:tc>
          <w:tcPr>
            <w:tcW w:w="3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7,390</w:t>
            </w: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2,423</w:t>
            </w:r>
          </w:p>
        </w:tc>
        <w:tc>
          <w:tcPr>
            <w:tcW w:w="3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1,842</w:t>
            </w:r>
          </w:p>
        </w:tc>
        <w:tc>
          <w:tcPr>
            <w:tcW w:w="3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948</w:t>
            </w:r>
          </w:p>
        </w:tc>
        <w:tc>
          <w:tcPr>
            <w:tcW w:w="3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649</w:t>
            </w:r>
          </w:p>
        </w:tc>
        <w:tc>
          <w:tcPr>
            <w:tcW w:w="3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905</w:t>
            </w: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144"/>
        </w:trPr>
        <w:tc>
          <w:tcPr>
            <w:tcW w:w="2580" w:type="dxa"/>
            <w:vAlign w:val="bottom"/>
          </w:tcPr>
          <w:p>
            <w:pPr>
              <w:ind w:left="420"/>
              <w:spacing w:after="0"/>
              <w:rPr>
                <w:sz w:val="20"/>
                <w:szCs w:val="20"/>
                <w:color w:val="auto"/>
              </w:rPr>
            </w:pPr>
            <w:r>
              <w:rPr>
                <w:rFonts w:ascii="Arial" w:cs="Arial" w:eastAsia="Arial" w:hAnsi="Arial"/>
                <w:sz w:val="12"/>
                <w:szCs w:val="12"/>
                <w:color w:val="auto"/>
              </w:rPr>
              <w:t>600-649</w:t>
            </w:r>
          </w:p>
        </w:tc>
        <w:tc>
          <w:tcPr>
            <w:tcW w:w="3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990</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2"/>
                <w:szCs w:val="12"/>
                <w:color w:val="auto"/>
              </w:rPr>
              <w:t>408</w:t>
            </w:r>
          </w:p>
        </w:tc>
        <w:tc>
          <w:tcPr>
            <w:tcW w:w="340" w:type="dxa"/>
            <w:vAlign w:val="bottom"/>
          </w:tcPr>
          <w:p>
            <w:pPr>
              <w:spacing w:after="0"/>
              <w:rPr>
                <w:sz w:val="12"/>
                <w:szCs w:val="12"/>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2"/>
                <w:szCs w:val="12"/>
                <w:color w:val="auto"/>
              </w:rPr>
              <w:t>291</w:t>
            </w:r>
          </w:p>
        </w:tc>
        <w:tc>
          <w:tcPr>
            <w:tcW w:w="340" w:type="dxa"/>
            <w:vAlign w:val="bottom"/>
          </w:tcPr>
          <w:p>
            <w:pPr>
              <w:spacing w:after="0"/>
              <w:rPr>
                <w:sz w:val="12"/>
                <w:szCs w:val="12"/>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2"/>
                <w:szCs w:val="12"/>
                <w:color w:val="auto"/>
              </w:rPr>
              <w:t>333</w:t>
            </w:r>
          </w:p>
        </w:tc>
        <w:tc>
          <w:tcPr>
            <w:tcW w:w="340" w:type="dxa"/>
            <w:vAlign w:val="bottom"/>
          </w:tcPr>
          <w:p>
            <w:pPr>
              <w:spacing w:after="0"/>
              <w:rPr>
                <w:sz w:val="12"/>
                <w:szCs w:val="12"/>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2"/>
                <w:szCs w:val="12"/>
                <w:color w:val="auto"/>
              </w:rPr>
              <w:t>152</w:t>
            </w:r>
          </w:p>
        </w:tc>
        <w:tc>
          <w:tcPr>
            <w:tcW w:w="340" w:type="dxa"/>
            <w:vAlign w:val="bottom"/>
          </w:tcPr>
          <w:p>
            <w:pPr>
              <w:spacing w:after="0"/>
              <w:rPr>
                <w:sz w:val="12"/>
                <w:szCs w:val="12"/>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2"/>
                <w:szCs w:val="12"/>
                <w:color w:val="auto"/>
              </w:rPr>
              <w:t>111</w:t>
            </w:r>
          </w:p>
        </w:tc>
        <w:tc>
          <w:tcPr>
            <w:tcW w:w="36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44"/>
        </w:trPr>
        <w:tc>
          <w:tcPr>
            <w:tcW w:w="2580" w:type="dxa"/>
            <w:vAlign w:val="bottom"/>
            <w:shd w:val="clear" w:color="auto" w:fill="CCEEFF"/>
          </w:tcPr>
          <w:p>
            <w:pPr>
              <w:ind w:left="420"/>
              <w:spacing w:after="0"/>
              <w:rPr>
                <w:sz w:val="20"/>
                <w:szCs w:val="20"/>
                <w:color w:val="auto"/>
              </w:rPr>
            </w:pPr>
            <w:r>
              <w:rPr>
                <w:rFonts w:ascii="Arial" w:cs="Arial" w:eastAsia="Arial" w:hAnsi="Arial"/>
                <w:sz w:val="12"/>
                <w:szCs w:val="12"/>
                <w:color w:val="auto"/>
              </w:rPr>
              <w:t>550-599</w:t>
            </w:r>
          </w:p>
        </w:tc>
        <w:tc>
          <w:tcPr>
            <w:tcW w:w="3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271</w:t>
            </w: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100</w:t>
            </w:r>
          </w:p>
        </w:tc>
        <w:tc>
          <w:tcPr>
            <w:tcW w:w="3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163</w:t>
            </w:r>
          </w:p>
        </w:tc>
        <w:tc>
          <w:tcPr>
            <w:tcW w:w="3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318</w:t>
            </w:r>
          </w:p>
        </w:tc>
        <w:tc>
          <w:tcPr>
            <w:tcW w:w="3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6</w:t>
            </w:r>
          </w:p>
        </w:tc>
        <w:tc>
          <w:tcPr>
            <w:tcW w:w="3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72</w:t>
            </w: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80" w:type="dxa"/>
            <w:vAlign w:val="bottom"/>
          </w:tcPr>
          <w:p>
            <w:pPr>
              <w:ind w:left="420"/>
              <w:spacing w:after="0"/>
              <w:rPr>
                <w:sz w:val="20"/>
                <w:szCs w:val="20"/>
                <w:color w:val="auto"/>
              </w:rPr>
            </w:pPr>
            <w:r>
              <w:rPr>
                <w:rFonts w:ascii="Arial" w:cs="Arial" w:eastAsia="Arial" w:hAnsi="Arial"/>
                <w:sz w:val="12"/>
                <w:szCs w:val="12"/>
                <w:color w:val="auto"/>
              </w:rPr>
              <w:t>500-549</w:t>
            </w:r>
          </w:p>
        </w:tc>
        <w:tc>
          <w:tcPr>
            <w:tcW w:w="3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39</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2"/>
                <w:szCs w:val="12"/>
                <w:color w:val="auto"/>
              </w:rPr>
              <w:t>21</w:t>
            </w:r>
          </w:p>
        </w:tc>
        <w:tc>
          <w:tcPr>
            <w:tcW w:w="340" w:type="dxa"/>
            <w:vAlign w:val="bottom"/>
          </w:tcPr>
          <w:p>
            <w:pPr>
              <w:spacing w:after="0"/>
              <w:rPr>
                <w:sz w:val="12"/>
                <w:szCs w:val="12"/>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2"/>
                <w:szCs w:val="12"/>
                <w:color w:val="auto"/>
              </w:rPr>
              <w:t>105</w:t>
            </w:r>
          </w:p>
        </w:tc>
        <w:tc>
          <w:tcPr>
            <w:tcW w:w="340" w:type="dxa"/>
            <w:vAlign w:val="bottom"/>
          </w:tcPr>
          <w:p>
            <w:pPr>
              <w:spacing w:after="0"/>
              <w:rPr>
                <w:sz w:val="12"/>
                <w:szCs w:val="12"/>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2"/>
                <w:szCs w:val="12"/>
                <w:color w:val="auto"/>
              </w:rPr>
              <w:t>62</w:t>
            </w:r>
          </w:p>
        </w:tc>
        <w:tc>
          <w:tcPr>
            <w:tcW w:w="340" w:type="dxa"/>
            <w:vAlign w:val="bottom"/>
          </w:tcPr>
          <w:p>
            <w:pPr>
              <w:spacing w:after="0"/>
              <w:rPr>
                <w:sz w:val="12"/>
                <w:szCs w:val="12"/>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2"/>
                <w:szCs w:val="12"/>
                <w:color w:val="auto"/>
              </w:rPr>
              <w:t>26</w:t>
            </w:r>
          </w:p>
        </w:tc>
        <w:tc>
          <w:tcPr>
            <w:tcW w:w="340" w:type="dxa"/>
            <w:vAlign w:val="bottom"/>
          </w:tcPr>
          <w:p>
            <w:pPr>
              <w:spacing w:after="0"/>
              <w:rPr>
                <w:sz w:val="12"/>
                <w:szCs w:val="12"/>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2"/>
                <w:szCs w:val="12"/>
                <w:color w:val="auto"/>
              </w:rPr>
              <w:t>91</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80" w:type="dxa"/>
            <w:vAlign w:val="bottom"/>
            <w:shd w:val="clear" w:color="auto" w:fill="CCEEFF"/>
          </w:tcPr>
          <w:p>
            <w:pPr>
              <w:ind w:left="420"/>
              <w:spacing w:after="0"/>
              <w:rPr>
                <w:sz w:val="20"/>
                <w:szCs w:val="20"/>
                <w:color w:val="auto"/>
              </w:rPr>
            </w:pPr>
            <w:r>
              <w:rPr>
                <w:rFonts w:ascii="Arial" w:cs="Arial" w:eastAsia="Arial" w:hAnsi="Arial"/>
                <w:sz w:val="12"/>
                <w:szCs w:val="12"/>
                <w:color w:val="auto"/>
              </w:rPr>
              <w:t>Under 500</w:t>
            </w:r>
          </w:p>
        </w:tc>
        <w:tc>
          <w:tcPr>
            <w:tcW w:w="3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11</w:t>
            </w:r>
          </w:p>
        </w:tc>
        <w:tc>
          <w:tcPr>
            <w:tcW w:w="3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7</w:t>
            </w: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80" w:type="dxa"/>
            <w:vAlign w:val="bottom"/>
          </w:tcPr>
          <w:p>
            <w:pPr>
              <w:ind w:left="420"/>
              <w:spacing w:after="0"/>
              <w:rPr>
                <w:sz w:val="20"/>
                <w:szCs w:val="20"/>
                <w:color w:val="auto"/>
              </w:rPr>
            </w:pPr>
            <w:r>
              <w:rPr>
                <w:rFonts w:ascii="Arial" w:cs="Arial" w:eastAsia="Arial" w:hAnsi="Arial"/>
                <w:sz w:val="12"/>
                <w:szCs w:val="12"/>
                <w:color w:val="auto"/>
              </w:rPr>
              <w:t>Unknown</w:t>
            </w:r>
          </w:p>
        </w:tc>
        <w:tc>
          <w:tcPr>
            <w:tcW w:w="3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5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2"/>
                <w:szCs w:val="12"/>
                <w:color w:val="auto"/>
              </w:rPr>
              <w:t>Total</w:t>
            </w:r>
          </w:p>
        </w:tc>
        <w:tc>
          <w:tcPr>
            <w:tcW w:w="3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116,701</w:t>
            </w:r>
          </w:p>
        </w:tc>
        <w:tc>
          <w:tcPr>
            <w:tcW w:w="1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40,280</w:t>
            </w:r>
          </w:p>
        </w:tc>
        <w:tc>
          <w:tcPr>
            <w:tcW w:w="5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31,591</w:t>
            </w:r>
          </w:p>
        </w:tc>
        <w:tc>
          <w:tcPr>
            <w:tcW w:w="5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22,029</w:t>
            </w:r>
          </w:p>
        </w:tc>
        <w:tc>
          <w:tcPr>
            <w:tcW w:w="5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10,227</w:t>
            </w:r>
          </w:p>
        </w:tc>
        <w:tc>
          <w:tcPr>
            <w:tcW w:w="5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13,917</w:t>
            </w:r>
          </w:p>
        </w:tc>
        <w:tc>
          <w:tcPr>
            <w:tcW w:w="5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234</w:t>
            </w:r>
          </w:p>
        </w:tc>
        <w:tc>
          <w:tcPr>
            <w:tcW w:w="0" w:type="dxa"/>
            <w:vAlign w:val="bottom"/>
          </w:tcPr>
          <w:p>
            <w:pPr>
              <w:spacing w:after="0"/>
              <w:rPr>
                <w:sz w:val="1"/>
                <w:szCs w:val="1"/>
                <w:color w:val="auto"/>
              </w:rPr>
            </w:pPr>
          </w:p>
        </w:tc>
      </w:tr>
      <w:tr>
        <w:trPr>
          <w:trHeight w:val="120"/>
        </w:trPr>
        <w:tc>
          <w:tcPr>
            <w:tcW w:w="2580" w:type="dxa"/>
            <w:vAlign w:val="bottom"/>
          </w:tcPr>
          <w:p>
            <w:pPr>
              <w:ind w:left="320"/>
              <w:spacing w:after="0" w:line="120" w:lineRule="exact"/>
              <w:rPr>
                <w:sz w:val="20"/>
                <w:szCs w:val="20"/>
                <w:color w:val="auto"/>
              </w:rPr>
            </w:pPr>
            <w:r>
              <w:rPr>
                <w:rFonts w:ascii="Arial" w:cs="Arial" w:eastAsia="Arial" w:hAnsi="Arial"/>
                <w:sz w:val="12"/>
                <w:szCs w:val="12"/>
                <w:color w:val="auto"/>
              </w:rPr>
              <w:t>Accrued interest excluded from total</w:t>
            </w:r>
          </w:p>
        </w:tc>
        <w:tc>
          <w:tcPr>
            <w:tcW w:w="360" w:type="dxa"/>
            <w:vAlign w:val="bottom"/>
          </w:tcPr>
          <w:p>
            <w:pPr>
              <w:jc w:val="right"/>
              <w:ind w:right="20"/>
              <w:spacing w:after="0" w:line="120" w:lineRule="exact"/>
              <w:rPr>
                <w:sz w:val="20"/>
                <w:szCs w:val="20"/>
                <w:color w:val="auto"/>
              </w:rPr>
            </w:pPr>
            <w:r>
              <w:rPr>
                <w:rFonts w:ascii="Arial" w:cs="Arial" w:eastAsia="Arial" w:hAnsi="Arial"/>
                <w:sz w:val="12"/>
                <w:szCs w:val="12"/>
                <w:color w:val="auto"/>
              </w:rPr>
              <w:t>$</w:t>
            </w:r>
          </w:p>
        </w:tc>
        <w:tc>
          <w:tcPr>
            <w:tcW w:w="540" w:type="dxa"/>
            <w:vAlign w:val="bottom"/>
          </w:tcPr>
          <w:p>
            <w:pPr>
              <w:jc w:val="right"/>
              <w:spacing w:after="0" w:line="120" w:lineRule="exact"/>
              <w:rPr>
                <w:sz w:val="20"/>
                <w:szCs w:val="20"/>
                <w:color w:val="auto"/>
              </w:rPr>
            </w:pPr>
            <w:r>
              <w:rPr>
                <w:rFonts w:ascii="Arial" w:cs="Arial" w:eastAsia="Arial" w:hAnsi="Arial"/>
                <w:sz w:val="12"/>
                <w:szCs w:val="12"/>
                <w:color w:val="auto"/>
              </w:rPr>
              <w:t>265</w:t>
            </w:r>
          </w:p>
        </w:tc>
        <w:tc>
          <w:tcPr>
            <w:tcW w:w="160" w:type="dxa"/>
            <w:vAlign w:val="bottom"/>
          </w:tcPr>
          <w:p>
            <w:pPr>
              <w:spacing w:after="0"/>
              <w:rPr>
                <w:sz w:val="10"/>
                <w:szCs w:val="10"/>
                <w:color w:val="auto"/>
              </w:rPr>
            </w:pPr>
          </w:p>
        </w:tc>
        <w:tc>
          <w:tcPr>
            <w:tcW w:w="700" w:type="dxa"/>
            <w:vAlign w:val="bottom"/>
            <w:gridSpan w:val="2"/>
          </w:tcPr>
          <w:p>
            <w:pPr>
              <w:jc w:val="right"/>
              <w:ind w:right="20"/>
              <w:spacing w:after="0" w:line="120" w:lineRule="exact"/>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500"/>
              <w:spacing w:after="0" w:line="120" w:lineRule="exact"/>
              <w:rPr>
                <w:sz w:val="20"/>
                <w:szCs w:val="20"/>
                <w:color w:val="auto"/>
              </w:rPr>
            </w:pPr>
            <w:r>
              <w:rPr>
                <w:rFonts w:ascii="Arial" w:cs="Arial" w:eastAsia="Arial" w:hAnsi="Arial"/>
                <w:sz w:val="12"/>
                <w:szCs w:val="12"/>
                <w:color w:val="auto"/>
              </w:rPr>
              <w:t>93</w:t>
            </w:r>
          </w:p>
        </w:tc>
        <w:tc>
          <w:tcPr>
            <w:tcW w:w="340" w:type="dxa"/>
            <w:vAlign w:val="bottom"/>
          </w:tcPr>
          <w:p>
            <w:pPr>
              <w:jc w:val="right"/>
              <w:spacing w:after="0" w:line="120" w:lineRule="exact"/>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500"/>
              <w:spacing w:after="0" w:line="120" w:lineRule="exact"/>
              <w:rPr>
                <w:sz w:val="20"/>
                <w:szCs w:val="20"/>
                <w:color w:val="auto"/>
              </w:rPr>
            </w:pPr>
            <w:r>
              <w:rPr>
                <w:rFonts w:ascii="Arial" w:cs="Arial" w:eastAsia="Arial" w:hAnsi="Arial"/>
                <w:sz w:val="12"/>
                <w:szCs w:val="12"/>
                <w:color w:val="auto"/>
              </w:rPr>
              <w:t>78</w:t>
            </w:r>
          </w:p>
        </w:tc>
        <w:tc>
          <w:tcPr>
            <w:tcW w:w="340" w:type="dxa"/>
            <w:vAlign w:val="bottom"/>
          </w:tcPr>
          <w:p>
            <w:pPr>
              <w:jc w:val="right"/>
              <w:spacing w:after="0" w:line="120" w:lineRule="exact"/>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500"/>
              <w:spacing w:after="0" w:line="120" w:lineRule="exact"/>
              <w:rPr>
                <w:sz w:val="20"/>
                <w:szCs w:val="20"/>
                <w:color w:val="auto"/>
              </w:rPr>
            </w:pPr>
            <w:r>
              <w:rPr>
                <w:rFonts w:ascii="Arial" w:cs="Arial" w:eastAsia="Arial" w:hAnsi="Arial"/>
                <w:sz w:val="12"/>
                <w:szCs w:val="12"/>
                <w:color w:val="auto"/>
              </w:rPr>
              <w:t>56</w:t>
            </w:r>
          </w:p>
        </w:tc>
        <w:tc>
          <w:tcPr>
            <w:tcW w:w="340" w:type="dxa"/>
            <w:vAlign w:val="bottom"/>
          </w:tcPr>
          <w:p>
            <w:pPr>
              <w:jc w:val="right"/>
              <w:spacing w:after="0" w:line="120" w:lineRule="exact"/>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500"/>
              <w:spacing w:after="0" w:line="120" w:lineRule="exact"/>
              <w:rPr>
                <w:sz w:val="20"/>
                <w:szCs w:val="20"/>
                <w:color w:val="auto"/>
              </w:rPr>
            </w:pPr>
            <w:r>
              <w:rPr>
                <w:rFonts w:ascii="Arial" w:cs="Arial" w:eastAsia="Arial" w:hAnsi="Arial"/>
                <w:sz w:val="12"/>
                <w:szCs w:val="12"/>
                <w:color w:val="auto"/>
              </w:rPr>
              <w:t>26</w:t>
            </w:r>
          </w:p>
        </w:tc>
        <w:tc>
          <w:tcPr>
            <w:tcW w:w="340" w:type="dxa"/>
            <w:vAlign w:val="bottom"/>
          </w:tcPr>
          <w:p>
            <w:pPr>
              <w:jc w:val="right"/>
              <w:spacing w:after="0" w:line="120" w:lineRule="exact"/>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500"/>
              <w:spacing w:after="0" w:line="120" w:lineRule="exact"/>
              <w:rPr>
                <w:sz w:val="20"/>
                <w:szCs w:val="20"/>
                <w:color w:val="auto"/>
              </w:rPr>
            </w:pPr>
            <w:r>
              <w:rPr>
                <w:rFonts w:ascii="Arial" w:cs="Arial" w:eastAsia="Arial" w:hAnsi="Arial"/>
                <w:sz w:val="12"/>
                <w:szCs w:val="12"/>
                <w:color w:val="auto"/>
              </w:rPr>
              <w:t>28</w:t>
            </w:r>
          </w:p>
        </w:tc>
        <w:tc>
          <w:tcPr>
            <w:tcW w:w="360" w:type="dxa"/>
            <w:vAlign w:val="bottom"/>
          </w:tcPr>
          <w:p>
            <w:pPr>
              <w:jc w:val="right"/>
              <w:ind w:right="20"/>
              <w:spacing w:after="0" w:line="120" w:lineRule="exact"/>
              <w:rPr>
                <w:sz w:val="20"/>
                <w:szCs w:val="20"/>
                <w:color w:val="auto"/>
              </w:rPr>
            </w:pPr>
            <w:r>
              <w:rPr>
                <w:rFonts w:ascii="Arial" w:cs="Arial" w:eastAsia="Arial" w:hAnsi="Arial"/>
                <w:sz w:val="12"/>
                <w:szCs w:val="12"/>
                <w:color w:val="auto"/>
              </w:rPr>
              <w:t>$</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5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580" w:type="dxa"/>
            <w:vAlign w:val="bottom"/>
          </w:tcPr>
          <w:p>
            <w:pPr>
              <w:ind w:left="320"/>
              <w:spacing w:after="0"/>
              <w:rPr>
                <w:sz w:val="20"/>
                <w:szCs w:val="20"/>
                <w:color w:val="auto"/>
              </w:rPr>
            </w:pPr>
            <w:r>
              <w:rPr>
                <w:rFonts w:ascii="Arial" w:cs="Arial" w:eastAsia="Arial" w:hAnsi="Arial"/>
                <w:sz w:val="12"/>
                <w:szCs w:val="12"/>
                <w:color w:val="auto"/>
              </w:rPr>
              <w:t>Other</w:t>
            </w: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80" w:type="dxa"/>
            <w:vAlign w:val="bottom"/>
            <w:shd w:val="clear" w:color="auto" w:fill="CCEEFF"/>
          </w:tcPr>
          <w:p>
            <w:pPr>
              <w:ind w:left="420"/>
              <w:spacing w:after="0"/>
              <w:rPr>
                <w:sz w:val="20"/>
                <w:szCs w:val="20"/>
                <w:color w:val="auto"/>
              </w:rPr>
            </w:pPr>
            <w:r>
              <w:rPr>
                <w:rFonts w:ascii="Arial" w:cs="Arial" w:eastAsia="Arial" w:hAnsi="Arial"/>
                <w:sz w:val="12"/>
                <w:szCs w:val="12"/>
                <w:color w:val="auto"/>
              </w:rPr>
              <w:t>800 and above</w:t>
            </w:r>
          </w:p>
        </w:tc>
        <w:tc>
          <w:tcPr>
            <w:tcW w:w="3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2,328</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1,424</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1,493</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882</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357</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695</w:t>
            </w:r>
          </w:p>
        </w:tc>
        <w:tc>
          <w:tcPr>
            <w:tcW w:w="3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44"/>
        </w:trPr>
        <w:tc>
          <w:tcPr>
            <w:tcW w:w="2580" w:type="dxa"/>
            <w:vAlign w:val="bottom"/>
          </w:tcPr>
          <w:p>
            <w:pPr>
              <w:ind w:left="420"/>
              <w:spacing w:after="0"/>
              <w:rPr>
                <w:sz w:val="20"/>
                <w:szCs w:val="20"/>
                <w:color w:val="auto"/>
              </w:rPr>
            </w:pPr>
            <w:r>
              <w:rPr>
                <w:rFonts w:ascii="Arial" w:cs="Arial" w:eastAsia="Arial" w:hAnsi="Arial"/>
                <w:sz w:val="12"/>
                <w:szCs w:val="12"/>
                <w:color w:val="auto"/>
              </w:rPr>
              <w:t>750-799</w:t>
            </w:r>
          </w:p>
        </w:tc>
        <w:tc>
          <w:tcPr>
            <w:tcW w:w="36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13,923</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2"/>
                <w:szCs w:val="12"/>
                <w:color w:val="auto"/>
              </w:rPr>
              <w:t>9,093</w:t>
            </w:r>
          </w:p>
        </w:tc>
        <w:tc>
          <w:tcPr>
            <w:tcW w:w="340" w:type="dxa"/>
            <w:vAlign w:val="bottom"/>
          </w:tcPr>
          <w:p>
            <w:pPr>
              <w:spacing w:after="0"/>
              <w:rPr>
                <w:sz w:val="12"/>
                <w:szCs w:val="12"/>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2"/>
                <w:szCs w:val="12"/>
                <w:color w:val="auto"/>
              </w:rPr>
              <w:t>6,074</w:t>
            </w:r>
          </w:p>
        </w:tc>
        <w:tc>
          <w:tcPr>
            <w:tcW w:w="340" w:type="dxa"/>
            <w:vAlign w:val="bottom"/>
          </w:tcPr>
          <w:p>
            <w:pPr>
              <w:spacing w:after="0"/>
              <w:rPr>
                <w:sz w:val="12"/>
                <w:szCs w:val="12"/>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2"/>
                <w:szCs w:val="12"/>
                <w:color w:val="auto"/>
              </w:rPr>
              <w:t>3,175</w:t>
            </w:r>
          </w:p>
        </w:tc>
        <w:tc>
          <w:tcPr>
            <w:tcW w:w="340" w:type="dxa"/>
            <w:vAlign w:val="bottom"/>
          </w:tcPr>
          <w:p>
            <w:pPr>
              <w:spacing w:after="0"/>
              <w:rPr>
                <w:sz w:val="12"/>
                <w:szCs w:val="12"/>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2"/>
                <w:szCs w:val="12"/>
                <w:color w:val="auto"/>
              </w:rPr>
              <w:t>2,183</w:t>
            </w:r>
          </w:p>
        </w:tc>
        <w:tc>
          <w:tcPr>
            <w:tcW w:w="340" w:type="dxa"/>
            <w:vAlign w:val="bottom"/>
          </w:tcPr>
          <w:p>
            <w:pPr>
              <w:spacing w:after="0"/>
              <w:rPr>
                <w:sz w:val="12"/>
                <w:szCs w:val="12"/>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2"/>
                <w:szCs w:val="12"/>
                <w:color w:val="auto"/>
              </w:rPr>
              <w:t>2,731</w:t>
            </w:r>
          </w:p>
        </w:tc>
        <w:tc>
          <w:tcPr>
            <w:tcW w:w="36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37</w:t>
            </w:r>
          </w:p>
        </w:tc>
        <w:tc>
          <w:tcPr>
            <w:tcW w:w="0" w:type="dxa"/>
            <w:vAlign w:val="bottom"/>
          </w:tcPr>
          <w:p>
            <w:pPr>
              <w:spacing w:after="0"/>
              <w:rPr>
                <w:sz w:val="1"/>
                <w:szCs w:val="1"/>
                <w:color w:val="auto"/>
              </w:rPr>
            </w:pPr>
          </w:p>
        </w:tc>
      </w:tr>
      <w:tr>
        <w:trPr>
          <w:trHeight w:val="144"/>
        </w:trPr>
        <w:tc>
          <w:tcPr>
            <w:tcW w:w="2580" w:type="dxa"/>
            <w:vAlign w:val="bottom"/>
            <w:shd w:val="clear" w:color="auto" w:fill="CCEEFF"/>
          </w:tcPr>
          <w:p>
            <w:pPr>
              <w:ind w:left="420"/>
              <w:spacing w:after="0"/>
              <w:rPr>
                <w:sz w:val="20"/>
                <w:szCs w:val="20"/>
                <w:color w:val="auto"/>
              </w:rPr>
            </w:pPr>
            <w:r>
              <w:rPr>
                <w:rFonts w:ascii="Arial" w:cs="Arial" w:eastAsia="Arial" w:hAnsi="Arial"/>
                <w:sz w:val="12"/>
                <w:szCs w:val="12"/>
                <w:color w:val="auto"/>
              </w:rPr>
              <w:t>700-749</w:t>
            </w:r>
          </w:p>
        </w:tc>
        <w:tc>
          <w:tcPr>
            <w:tcW w:w="3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10,791</w:t>
            </w:r>
          </w:p>
        </w:tc>
        <w:tc>
          <w:tcPr>
            <w:tcW w:w="3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5,426</w:t>
            </w:r>
          </w:p>
        </w:tc>
        <w:tc>
          <w:tcPr>
            <w:tcW w:w="3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3,301</w:t>
            </w:r>
          </w:p>
        </w:tc>
        <w:tc>
          <w:tcPr>
            <w:tcW w:w="3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1,899</w:t>
            </w:r>
          </w:p>
        </w:tc>
        <w:tc>
          <w:tcPr>
            <w:tcW w:w="3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906</w:t>
            </w:r>
          </w:p>
        </w:tc>
        <w:tc>
          <w:tcPr>
            <w:tcW w:w="3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2,194</w:t>
            </w: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w:t>
            </w:r>
          </w:p>
        </w:tc>
        <w:tc>
          <w:tcPr>
            <w:tcW w:w="0" w:type="dxa"/>
            <w:vAlign w:val="bottom"/>
          </w:tcPr>
          <w:p>
            <w:pPr>
              <w:spacing w:after="0"/>
              <w:rPr>
                <w:sz w:val="1"/>
                <w:szCs w:val="1"/>
                <w:color w:val="auto"/>
              </w:rPr>
            </w:pPr>
          </w:p>
        </w:tc>
      </w:tr>
      <w:tr>
        <w:trPr>
          <w:trHeight w:val="144"/>
        </w:trPr>
        <w:tc>
          <w:tcPr>
            <w:tcW w:w="2580" w:type="dxa"/>
            <w:vAlign w:val="bottom"/>
          </w:tcPr>
          <w:p>
            <w:pPr>
              <w:ind w:left="420"/>
              <w:spacing w:after="0"/>
              <w:rPr>
                <w:sz w:val="20"/>
                <w:szCs w:val="20"/>
                <w:color w:val="auto"/>
              </w:rPr>
            </w:pPr>
            <w:r>
              <w:rPr>
                <w:rFonts w:ascii="Arial" w:cs="Arial" w:eastAsia="Arial" w:hAnsi="Arial"/>
                <w:sz w:val="12"/>
                <w:szCs w:val="12"/>
                <w:color w:val="auto"/>
              </w:rPr>
              <w:t>650-699</w:t>
            </w:r>
          </w:p>
        </w:tc>
        <w:tc>
          <w:tcPr>
            <w:tcW w:w="36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20,167</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2"/>
                <w:szCs w:val="12"/>
                <w:color w:val="auto"/>
              </w:rPr>
              <w:t>1,715</w:t>
            </w:r>
          </w:p>
        </w:tc>
        <w:tc>
          <w:tcPr>
            <w:tcW w:w="340" w:type="dxa"/>
            <w:vAlign w:val="bottom"/>
          </w:tcPr>
          <w:p>
            <w:pPr>
              <w:spacing w:after="0"/>
              <w:rPr>
                <w:sz w:val="12"/>
                <w:szCs w:val="12"/>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2"/>
                <w:szCs w:val="12"/>
                <w:color w:val="auto"/>
              </w:rPr>
              <w:t>1,249</w:t>
            </w:r>
          </w:p>
        </w:tc>
        <w:tc>
          <w:tcPr>
            <w:tcW w:w="340" w:type="dxa"/>
            <w:vAlign w:val="bottom"/>
          </w:tcPr>
          <w:p>
            <w:pPr>
              <w:spacing w:after="0"/>
              <w:rPr>
                <w:sz w:val="12"/>
                <w:szCs w:val="12"/>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2"/>
                <w:szCs w:val="12"/>
                <w:color w:val="auto"/>
              </w:rPr>
              <w:t>657</w:t>
            </w:r>
          </w:p>
        </w:tc>
        <w:tc>
          <w:tcPr>
            <w:tcW w:w="340" w:type="dxa"/>
            <w:vAlign w:val="bottom"/>
          </w:tcPr>
          <w:p>
            <w:pPr>
              <w:spacing w:after="0"/>
              <w:rPr>
                <w:sz w:val="12"/>
                <w:szCs w:val="12"/>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2"/>
                <w:szCs w:val="12"/>
                <w:color w:val="auto"/>
              </w:rPr>
              <w:t>561</w:t>
            </w:r>
          </w:p>
        </w:tc>
        <w:tc>
          <w:tcPr>
            <w:tcW w:w="340" w:type="dxa"/>
            <w:vAlign w:val="bottom"/>
          </w:tcPr>
          <w:p>
            <w:pPr>
              <w:spacing w:after="0"/>
              <w:rPr>
                <w:sz w:val="12"/>
                <w:szCs w:val="12"/>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2"/>
                <w:szCs w:val="12"/>
                <w:color w:val="auto"/>
              </w:rPr>
              <w:t>1,332</w:t>
            </w:r>
          </w:p>
        </w:tc>
        <w:tc>
          <w:tcPr>
            <w:tcW w:w="36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25</w:t>
            </w:r>
          </w:p>
        </w:tc>
        <w:tc>
          <w:tcPr>
            <w:tcW w:w="0" w:type="dxa"/>
            <w:vAlign w:val="bottom"/>
          </w:tcPr>
          <w:p>
            <w:pPr>
              <w:spacing w:after="0"/>
              <w:rPr>
                <w:sz w:val="1"/>
                <w:szCs w:val="1"/>
                <w:color w:val="auto"/>
              </w:rPr>
            </w:pPr>
          </w:p>
        </w:tc>
      </w:tr>
      <w:tr>
        <w:trPr>
          <w:trHeight w:val="144"/>
        </w:trPr>
        <w:tc>
          <w:tcPr>
            <w:tcW w:w="2580" w:type="dxa"/>
            <w:vAlign w:val="bottom"/>
            <w:shd w:val="clear" w:color="auto" w:fill="CCEEFF"/>
          </w:tcPr>
          <w:p>
            <w:pPr>
              <w:ind w:left="420"/>
              <w:spacing w:after="0"/>
              <w:rPr>
                <w:sz w:val="20"/>
                <w:szCs w:val="20"/>
                <w:color w:val="auto"/>
              </w:rPr>
            </w:pPr>
            <w:r>
              <w:rPr>
                <w:rFonts w:ascii="Arial" w:cs="Arial" w:eastAsia="Arial" w:hAnsi="Arial"/>
                <w:sz w:val="12"/>
                <w:szCs w:val="12"/>
                <w:color w:val="auto"/>
              </w:rPr>
              <w:t>600-649</w:t>
            </w:r>
          </w:p>
        </w:tc>
        <w:tc>
          <w:tcPr>
            <w:tcW w:w="3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761</w:t>
            </w: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368</w:t>
            </w:r>
          </w:p>
        </w:tc>
        <w:tc>
          <w:tcPr>
            <w:tcW w:w="3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272</w:t>
            </w:r>
          </w:p>
        </w:tc>
        <w:tc>
          <w:tcPr>
            <w:tcW w:w="3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190</w:t>
            </w:r>
          </w:p>
        </w:tc>
        <w:tc>
          <w:tcPr>
            <w:tcW w:w="3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284</w:t>
            </w:r>
          </w:p>
        </w:tc>
        <w:tc>
          <w:tcPr>
            <w:tcW w:w="3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357</w:t>
            </w: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44"/>
        </w:trPr>
        <w:tc>
          <w:tcPr>
            <w:tcW w:w="2580" w:type="dxa"/>
            <w:vAlign w:val="bottom"/>
          </w:tcPr>
          <w:p>
            <w:pPr>
              <w:ind w:left="420"/>
              <w:spacing w:after="0"/>
              <w:rPr>
                <w:sz w:val="20"/>
                <w:szCs w:val="20"/>
                <w:color w:val="auto"/>
              </w:rPr>
            </w:pPr>
            <w:r>
              <w:rPr>
                <w:rFonts w:ascii="Arial" w:cs="Arial" w:eastAsia="Arial" w:hAnsi="Arial"/>
                <w:sz w:val="12"/>
                <w:szCs w:val="12"/>
                <w:color w:val="auto"/>
              </w:rPr>
              <w:t>550-599</w:t>
            </w:r>
          </w:p>
        </w:tc>
        <w:tc>
          <w:tcPr>
            <w:tcW w:w="3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159</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2"/>
                <w:szCs w:val="12"/>
                <w:color w:val="auto"/>
              </w:rPr>
              <w:t>42</w:t>
            </w:r>
          </w:p>
        </w:tc>
        <w:tc>
          <w:tcPr>
            <w:tcW w:w="340" w:type="dxa"/>
            <w:vAlign w:val="bottom"/>
          </w:tcPr>
          <w:p>
            <w:pPr>
              <w:spacing w:after="0"/>
              <w:rPr>
                <w:sz w:val="12"/>
                <w:szCs w:val="12"/>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2"/>
                <w:szCs w:val="12"/>
                <w:color w:val="auto"/>
              </w:rPr>
              <w:t>127</w:t>
            </w:r>
          </w:p>
        </w:tc>
        <w:tc>
          <w:tcPr>
            <w:tcW w:w="340" w:type="dxa"/>
            <w:vAlign w:val="bottom"/>
          </w:tcPr>
          <w:p>
            <w:pPr>
              <w:spacing w:after="0"/>
              <w:rPr>
                <w:sz w:val="12"/>
                <w:szCs w:val="12"/>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2"/>
                <w:szCs w:val="12"/>
                <w:color w:val="auto"/>
              </w:rPr>
              <w:t>167</w:t>
            </w:r>
          </w:p>
        </w:tc>
        <w:tc>
          <w:tcPr>
            <w:tcW w:w="340" w:type="dxa"/>
            <w:vAlign w:val="bottom"/>
          </w:tcPr>
          <w:p>
            <w:pPr>
              <w:spacing w:after="0"/>
              <w:rPr>
                <w:sz w:val="12"/>
                <w:szCs w:val="12"/>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2"/>
                <w:szCs w:val="12"/>
                <w:color w:val="auto"/>
              </w:rPr>
              <w:t>46</w:t>
            </w:r>
          </w:p>
        </w:tc>
        <w:tc>
          <w:tcPr>
            <w:tcW w:w="340" w:type="dxa"/>
            <w:vAlign w:val="bottom"/>
          </w:tcPr>
          <w:p>
            <w:pPr>
              <w:spacing w:after="0"/>
              <w:rPr>
                <w:sz w:val="12"/>
                <w:szCs w:val="12"/>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2"/>
                <w:szCs w:val="12"/>
                <w:color w:val="auto"/>
              </w:rPr>
              <w:t>154</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80" w:type="dxa"/>
            <w:vAlign w:val="bottom"/>
            <w:shd w:val="clear" w:color="auto" w:fill="CCEEFF"/>
          </w:tcPr>
          <w:p>
            <w:pPr>
              <w:ind w:left="420"/>
              <w:spacing w:after="0"/>
              <w:rPr>
                <w:sz w:val="20"/>
                <w:szCs w:val="20"/>
                <w:color w:val="auto"/>
              </w:rPr>
            </w:pPr>
            <w:r>
              <w:rPr>
                <w:rFonts w:ascii="Arial" w:cs="Arial" w:eastAsia="Arial" w:hAnsi="Arial"/>
                <w:sz w:val="12"/>
                <w:szCs w:val="12"/>
                <w:color w:val="auto"/>
              </w:rPr>
              <w:t>500-549</w:t>
            </w:r>
          </w:p>
        </w:tc>
        <w:tc>
          <w:tcPr>
            <w:tcW w:w="3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w:t>
            </w: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53</w:t>
            </w:r>
          </w:p>
        </w:tc>
        <w:tc>
          <w:tcPr>
            <w:tcW w:w="3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56</w:t>
            </w:r>
          </w:p>
        </w:tc>
        <w:tc>
          <w:tcPr>
            <w:tcW w:w="3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55</w:t>
            </w:r>
          </w:p>
        </w:tc>
        <w:tc>
          <w:tcPr>
            <w:tcW w:w="3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38</w:t>
            </w:r>
          </w:p>
        </w:tc>
        <w:tc>
          <w:tcPr>
            <w:tcW w:w="3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98</w:t>
            </w: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80" w:type="dxa"/>
            <w:vAlign w:val="bottom"/>
          </w:tcPr>
          <w:p>
            <w:pPr>
              <w:ind w:left="420"/>
              <w:spacing w:after="0"/>
              <w:rPr>
                <w:sz w:val="20"/>
                <w:szCs w:val="20"/>
                <w:color w:val="auto"/>
              </w:rPr>
            </w:pPr>
            <w:r>
              <w:rPr>
                <w:rFonts w:ascii="Arial" w:cs="Arial" w:eastAsia="Arial" w:hAnsi="Arial"/>
                <w:sz w:val="12"/>
                <w:szCs w:val="12"/>
                <w:color w:val="auto"/>
              </w:rPr>
              <w:t>Under 500</w:t>
            </w:r>
          </w:p>
        </w:tc>
        <w:tc>
          <w:tcPr>
            <w:tcW w:w="3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6</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2"/>
                <w:szCs w:val="12"/>
                <w:color w:val="auto"/>
              </w:rPr>
              <w:t>62</w:t>
            </w:r>
          </w:p>
        </w:tc>
        <w:tc>
          <w:tcPr>
            <w:tcW w:w="340" w:type="dxa"/>
            <w:vAlign w:val="bottom"/>
          </w:tcPr>
          <w:p>
            <w:pPr>
              <w:spacing w:after="0"/>
              <w:rPr>
                <w:sz w:val="12"/>
                <w:szCs w:val="12"/>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2"/>
                <w:szCs w:val="12"/>
                <w:color w:val="auto"/>
              </w:rPr>
              <w:t>42</w:t>
            </w:r>
          </w:p>
        </w:tc>
        <w:tc>
          <w:tcPr>
            <w:tcW w:w="340" w:type="dxa"/>
            <w:vAlign w:val="bottom"/>
          </w:tcPr>
          <w:p>
            <w:pPr>
              <w:spacing w:after="0"/>
              <w:rPr>
                <w:sz w:val="12"/>
                <w:szCs w:val="12"/>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2"/>
                <w:szCs w:val="12"/>
                <w:color w:val="auto"/>
              </w:rPr>
              <w:t>14</w:t>
            </w:r>
          </w:p>
        </w:tc>
        <w:tc>
          <w:tcPr>
            <w:tcW w:w="340" w:type="dxa"/>
            <w:vAlign w:val="bottom"/>
          </w:tcPr>
          <w:p>
            <w:pPr>
              <w:spacing w:after="0"/>
              <w:rPr>
                <w:sz w:val="12"/>
                <w:szCs w:val="12"/>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2"/>
                <w:szCs w:val="12"/>
                <w:color w:val="auto"/>
              </w:rPr>
              <w:t>12</w:t>
            </w:r>
          </w:p>
        </w:tc>
        <w:tc>
          <w:tcPr>
            <w:tcW w:w="340" w:type="dxa"/>
            <w:vAlign w:val="bottom"/>
          </w:tcPr>
          <w:p>
            <w:pPr>
              <w:spacing w:after="0"/>
              <w:rPr>
                <w:sz w:val="12"/>
                <w:szCs w:val="12"/>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2"/>
                <w:szCs w:val="12"/>
                <w:color w:val="auto"/>
              </w:rPr>
              <w:t>18</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80" w:type="dxa"/>
            <w:vAlign w:val="bottom"/>
            <w:shd w:val="clear" w:color="auto" w:fill="CCEEFF"/>
          </w:tcPr>
          <w:p>
            <w:pPr>
              <w:ind w:left="420"/>
              <w:spacing w:after="0"/>
              <w:rPr>
                <w:sz w:val="20"/>
                <w:szCs w:val="20"/>
                <w:color w:val="auto"/>
              </w:rPr>
            </w:pPr>
            <w:r>
              <w:rPr>
                <w:rFonts w:ascii="Arial" w:cs="Arial" w:eastAsia="Arial" w:hAnsi="Arial"/>
                <w:sz w:val="12"/>
                <w:szCs w:val="12"/>
                <w:color w:val="auto"/>
              </w:rPr>
              <w:t>Unknown</w:t>
            </w:r>
          </w:p>
        </w:tc>
        <w:tc>
          <w:tcPr>
            <w:tcW w:w="3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975</w:t>
            </w: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tcPr>
          <w:p>
            <w:pPr>
              <w:ind w:left="540"/>
              <w:spacing w:after="0"/>
              <w:rPr>
                <w:sz w:val="20"/>
                <w:szCs w:val="20"/>
                <w:color w:val="auto"/>
              </w:rPr>
            </w:pPr>
            <w:r>
              <w:rPr>
                <w:rFonts w:ascii="Arial" w:cs="Arial" w:eastAsia="Arial" w:hAnsi="Arial"/>
                <w:sz w:val="12"/>
                <w:szCs w:val="12"/>
                <w:color w:val="auto"/>
              </w:rPr>
              <w:t>Total</w:t>
            </w:r>
          </w:p>
        </w:tc>
        <w:tc>
          <w:tcPr>
            <w:tcW w:w="36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49,118</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500"/>
              <w:spacing w:after="0"/>
              <w:rPr>
                <w:sz w:val="20"/>
                <w:szCs w:val="20"/>
                <w:color w:val="auto"/>
              </w:rPr>
            </w:pPr>
            <w:r>
              <w:rPr>
                <w:rFonts w:ascii="Arial" w:cs="Arial" w:eastAsia="Arial" w:hAnsi="Arial"/>
                <w:sz w:val="12"/>
                <w:szCs w:val="12"/>
                <w:color w:val="auto"/>
              </w:rPr>
              <w:t>18,183</w:t>
            </w: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500"/>
              <w:spacing w:after="0"/>
              <w:rPr>
                <w:sz w:val="20"/>
                <w:szCs w:val="20"/>
                <w:color w:val="auto"/>
              </w:rPr>
            </w:pPr>
            <w:r>
              <w:rPr>
                <w:rFonts w:ascii="Arial" w:cs="Arial" w:eastAsia="Arial" w:hAnsi="Arial"/>
                <w:sz w:val="12"/>
                <w:szCs w:val="12"/>
                <w:color w:val="auto"/>
              </w:rPr>
              <w:t>12,614</w:t>
            </w: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500"/>
              <w:spacing w:after="0"/>
              <w:rPr>
                <w:sz w:val="20"/>
                <w:szCs w:val="20"/>
                <w:color w:val="auto"/>
              </w:rPr>
            </w:pPr>
            <w:r>
              <w:rPr>
                <w:rFonts w:ascii="Arial" w:cs="Arial" w:eastAsia="Arial" w:hAnsi="Arial"/>
                <w:sz w:val="12"/>
                <w:szCs w:val="12"/>
                <w:color w:val="auto"/>
              </w:rPr>
              <w:t>7,039</w:t>
            </w: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500"/>
              <w:spacing w:after="0"/>
              <w:rPr>
                <w:sz w:val="20"/>
                <w:szCs w:val="20"/>
                <w:color w:val="auto"/>
              </w:rPr>
            </w:pPr>
            <w:r>
              <w:rPr>
                <w:rFonts w:ascii="Arial" w:cs="Arial" w:eastAsia="Arial" w:hAnsi="Arial"/>
                <w:sz w:val="12"/>
                <w:szCs w:val="12"/>
                <w:color w:val="auto"/>
              </w:rPr>
              <w:t>4,387</w:t>
            </w: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500"/>
              <w:spacing w:after="0"/>
              <w:rPr>
                <w:sz w:val="20"/>
                <w:szCs w:val="20"/>
                <w:color w:val="auto"/>
              </w:rPr>
            </w:pPr>
            <w:r>
              <w:rPr>
                <w:rFonts w:ascii="Arial" w:cs="Arial" w:eastAsia="Arial" w:hAnsi="Arial"/>
                <w:sz w:val="12"/>
                <w:szCs w:val="12"/>
                <w:color w:val="auto"/>
              </w:rPr>
              <w:t>7,579</w:t>
            </w:r>
          </w:p>
        </w:tc>
        <w:tc>
          <w:tcPr>
            <w:tcW w:w="36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300" w:type="dxa"/>
            <w:vAlign w:val="bottom"/>
          </w:tcPr>
          <w:p>
            <w:pPr>
              <w:jc w:val="right"/>
              <w:spacing w:after="0"/>
              <w:rPr>
                <w:sz w:val="20"/>
                <w:szCs w:val="20"/>
                <w:color w:val="auto"/>
              </w:rPr>
            </w:pPr>
            <w:r>
              <w:rPr>
                <w:rFonts w:ascii="Arial" w:cs="Arial" w:eastAsia="Arial" w:hAnsi="Arial"/>
                <w:sz w:val="12"/>
                <w:szCs w:val="12"/>
                <w:color w:val="auto"/>
              </w:rPr>
              <w:t>98</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580" w:type="dxa"/>
            <w:vAlign w:val="bottom"/>
            <w:tcBorders>
              <w:bottom w:val="single" w:sz="8" w:color="CCEEFF"/>
            </w:tcBorders>
            <w:shd w:val="clear" w:color="auto" w:fill="CCEEFF"/>
          </w:tcPr>
          <w:p>
            <w:pPr>
              <w:ind w:left="320"/>
              <w:spacing w:after="0" w:line="120" w:lineRule="exact"/>
              <w:rPr>
                <w:sz w:val="20"/>
                <w:szCs w:val="20"/>
                <w:color w:val="auto"/>
              </w:rPr>
            </w:pPr>
            <w:r>
              <w:rPr>
                <w:rFonts w:ascii="Arial" w:cs="Arial" w:eastAsia="Arial" w:hAnsi="Arial"/>
                <w:sz w:val="12"/>
                <w:szCs w:val="12"/>
                <w:color w:val="auto"/>
              </w:rPr>
              <w:t>Accrued interest excluded from total</w:t>
            </w:r>
          </w:p>
        </w:tc>
        <w:tc>
          <w:tcPr>
            <w:tcW w:w="360" w:type="dxa"/>
            <w:vAlign w:val="bottom"/>
            <w:tcBorders>
              <w:bottom w:val="single" w:sz="8" w:color="auto"/>
            </w:tcBorders>
            <w:shd w:val="clear" w:color="auto" w:fill="CCEEFF"/>
          </w:tcPr>
          <w:p>
            <w:pPr>
              <w:jc w:val="right"/>
              <w:ind w:right="20"/>
              <w:spacing w:after="0" w:line="120" w:lineRule="exact"/>
              <w:rPr>
                <w:sz w:val="20"/>
                <w:szCs w:val="20"/>
                <w:color w:val="auto"/>
              </w:rPr>
            </w:pPr>
            <w:r>
              <w:rPr>
                <w:rFonts w:ascii="Arial" w:cs="Arial" w:eastAsia="Arial" w:hAnsi="Arial"/>
                <w:sz w:val="12"/>
                <w:szCs w:val="12"/>
                <w:color w:val="auto"/>
              </w:rPr>
              <w:t>$</w:t>
            </w:r>
          </w:p>
        </w:tc>
        <w:tc>
          <w:tcPr>
            <w:tcW w:w="54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73</w:t>
            </w:r>
          </w:p>
        </w:tc>
        <w:tc>
          <w:tcPr>
            <w:tcW w:w="16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0"/>
              <w:spacing w:after="0" w:line="120" w:lineRule="exact"/>
              <w:rPr>
                <w:sz w:val="20"/>
                <w:szCs w:val="20"/>
                <w:color w:val="auto"/>
              </w:rPr>
            </w:pPr>
            <w:r>
              <w:rPr>
                <w:rFonts w:ascii="Arial" w:cs="Arial" w:eastAsia="Arial" w:hAnsi="Arial"/>
                <w:sz w:val="12"/>
                <w:szCs w:val="12"/>
                <w:color w:val="auto"/>
              </w:rPr>
              <w:t>$</w:t>
            </w:r>
          </w:p>
        </w:tc>
        <w:tc>
          <w:tcPr>
            <w:tcW w:w="52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40</w:t>
            </w:r>
          </w:p>
        </w:tc>
        <w:tc>
          <w:tcPr>
            <w:tcW w:w="52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w:t>
            </w:r>
          </w:p>
        </w:tc>
        <w:tc>
          <w:tcPr>
            <w:tcW w:w="48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36</w:t>
            </w:r>
          </w:p>
        </w:tc>
        <w:tc>
          <w:tcPr>
            <w:tcW w:w="5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w:t>
            </w:r>
          </w:p>
        </w:tc>
        <w:tc>
          <w:tcPr>
            <w:tcW w:w="50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19</w:t>
            </w:r>
          </w:p>
        </w:tc>
        <w:tc>
          <w:tcPr>
            <w:tcW w:w="5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w:t>
            </w:r>
          </w:p>
        </w:tc>
        <w:tc>
          <w:tcPr>
            <w:tcW w:w="48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11</w:t>
            </w:r>
          </w:p>
        </w:tc>
        <w:tc>
          <w:tcPr>
            <w:tcW w:w="5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w:t>
            </w:r>
          </w:p>
        </w:tc>
        <w:tc>
          <w:tcPr>
            <w:tcW w:w="50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38</w:t>
            </w:r>
          </w:p>
        </w:tc>
        <w:tc>
          <w:tcPr>
            <w:tcW w:w="5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0"/>
              <w:spacing w:after="0" w:line="120" w:lineRule="exact"/>
              <w:rPr>
                <w:sz w:val="20"/>
                <w:szCs w:val="20"/>
                <w:color w:val="auto"/>
              </w:rPr>
            </w:pPr>
            <w:r>
              <w:rPr>
                <w:rFonts w:ascii="Arial" w:cs="Arial" w:eastAsia="Arial" w:hAnsi="Arial"/>
                <w:sz w:val="12"/>
                <w:szCs w:val="12"/>
                <w:color w:val="auto"/>
              </w:rPr>
              <w:t>$</w:t>
            </w:r>
          </w:p>
        </w:tc>
        <w:tc>
          <w:tcPr>
            <w:tcW w:w="30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5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580" w:type="dxa"/>
            <w:vAlign w:val="bottom"/>
            <w:shd w:val="clear" w:color="auto" w:fill="CCEEFF"/>
          </w:tcPr>
          <w:p>
            <w:pPr>
              <w:ind w:left="320"/>
              <w:spacing w:after="0"/>
              <w:rPr>
                <w:sz w:val="20"/>
                <w:szCs w:val="20"/>
                <w:color w:val="auto"/>
              </w:rPr>
            </w:pPr>
            <w:r>
              <w:rPr>
                <w:rFonts w:ascii="Arial" w:cs="Arial" w:eastAsia="Arial" w:hAnsi="Arial"/>
                <w:sz w:val="12"/>
                <w:szCs w:val="12"/>
                <w:color w:val="auto"/>
              </w:rPr>
              <w:t>Total installment</w:t>
            </w:r>
          </w:p>
        </w:tc>
        <w:tc>
          <w:tcPr>
            <w:tcW w:w="3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80" w:type="dxa"/>
            <w:vAlign w:val="bottom"/>
          </w:tcPr>
          <w:p>
            <w:pPr>
              <w:ind w:left="420"/>
              <w:spacing w:after="0"/>
              <w:rPr>
                <w:sz w:val="20"/>
                <w:szCs w:val="20"/>
                <w:color w:val="auto"/>
              </w:rPr>
            </w:pPr>
            <w:r>
              <w:rPr>
                <w:rFonts w:ascii="Arial" w:cs="Arial" w:eastAsia="Arial" w:hAnsi="Arial"/>
                <w:sz w:val="12"/>
                <w:szCs w:val="12"/>
                <w:color w:val="auto"/>
              </w:rPr>
              <w:t>800 and above</w:t>
            </w:r>
          </w:p>
        </w:tc>
        <w:tc>
          <w:tcPr>
            <w:tcW w:w="36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18,316</w:t>
            </w:r>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500"/>
              <w:spacing w:after="0"/>
              <w:rPr>
                <w:sz w:val="20"/>
                <w:szCs w:val="20"/>
                <w:color w:val="auto"/>
              </w:rPr>
            </w:pPr>
            <w:r>
              <w:rPr>
                <w:rFonts w:ascii="Arial" w:cs="Arial" w:eastAsia="Arial" w:hAnsi="Arial"/>
                <w:sz w:val="12"/>
                <w:szCs w:val="12"/>
                <w:color w:val="auto"/>
              </w:rPr>
              <w:t>12,331</w:t>
            </w: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500"/>
              <w:spacing w:after="0"/>
              <w:rPr>
                <w:sz w:val="20"/>
                <w:szCs w:val="20"/>
                <w:color w:val="auto"/>
              </w:rPr>
            </w:pPr>
            <w:r>
              <w:rPr>
                <w:rFonts w:ascii="Arial" w:cs="Arial" w:eastAsia="Arial" w:hAnsi="Arial"/>
                <w:sz w:val="12"/>
                <w:szCs w:val="12"/>
                <w:color w:val="auto"/>
              </w:rPr>
              <w:t>13,345</w:t>
            </w: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500"/>
              <w:spacing w:after="0"/>
              <w:rPr>
                <w:sz w:val="20"/>
                <w:szCs w:val="20"/>
                <w:color w:val="auto"/>
              </w:rPr>
            </w:pPr>
            <w:r>
              <w:rPr>
                <w:rFonts w:ascii="Arial" w:cs="Arial" w:eastAsia="Arial" w:hAnsi="Arial"/>
                <w:sz w:val="12"/>
                <w:szCs w:val="12"/>
                <w:color w:val="auto"/>
              </w:rPr>
              <w:t>10,415</w:t>
            </w: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500"/>
              <w:spacing w:after="0"/>
              <w:rPr>
                <w:sz w:val="20"/>
                <w:szCs w:val="20"/>
                <w:color w:val="auto"/>
              </w:rPr>
            </w:pPr>
            <w:r>
              <w:rPr>
                <w:rFonts w:ascii="Arial" w:cs="Arial" w:eastAsia="Arial" w:hAnsi="Arial"/>
                <w:sz w:val="12"/>
                <w:szCs w:val="12"/>
                <w:color w:val="auto"/>
              </w:rPr>
              <w:t>5,781</w:t>
            </w: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500"/>
              <w:spacing w:after="0"/>
              <w:rPr>
                <w:sz w:val="20"/>
                <w:szCs w:val="20"/>
                <w:color w:val="auto"/>
              </w:rPr>
            </w:pPr>
            <w:r>
              <w:rPr>
                <w:rFonts w:ascii="Arial" w:cs="Arial" w:eastAsia="Arial" w:hAnsi="Arial"/>
                <w:sz w:val="12"/>
                <w:szCs w:val="12"/>
                <w:color w:val="auto"/>
              </w:rPr>
              <w:t>8,722</w:t>
            </w:r>
          </w:p>
        </w:tc>
        <w:tc>
          <w:tcPr>
            <w:tcW w:w="36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300" w:type="dxa"/>
            <w:vAlign w:val="bottom"/>
          </w:tcPr>
          <w:p>
            <w:pPr>
              <w:jc w:val="right"/>
              <w:spacing w:after="0"/>
              <w:rPr>
                <w:sz w:val="20"/>
                <w:szCs w:val="20"/>
                <w:color w:val="auto"/>
              </w:rPr>
            </w:pPr>
            <w:r>
              <w:rPr>
                <w:rFonts w:ascii="Arial" w:cs="Arial" w:eastAsia="Arial" w:hAnsi="Arial"/>
                <w:sz w:val="12"/>
                <w:szCs w:val="12"/>
                <w:color w:val="auto"/>
              </w:rPr>
              <w:t>68</w:t>
            </w:r>
          </w:p>
        </w:tc>
        <w:tc>
          <w:tcPr>
            <w:tcW w:w="0" w:type="dxa"/>
            <w:vAlign w:val="bottom"/>
          </w:tcPr>
          <w:p>
            <w:pPr>
              <w:spacing w:after="0"/>
              <w:rPr>
                <w:sz w:val="1"/>
                <w:szCs w:val="1"/>
                <w:color w:val="auto"/>
              </w:rPr>
            </w:pPr>
          </w:p>
        </w:tc>
      </w:tr>
      <w:tr>
        <w:trPr>
          <w:trHeight w:val="144"/>
        </w:trPr>
        <w:tc>
          <w:tcPr>
            <w:tcW w:w="2580" w:type="dxa"/>
            <w:vAlign w:val="bottom"/>
            <w:shd w:val="clear" w:color="auto" w:fill="CCEEFF"/>
          </w:tcPr>
          <w:p>
            <w:pPr>
              <w:ind w:left="420"/>
              <w:spacing w:after="0"/>
              <w:rPr>
                <w:sz w:val="20"/>
                <w:szCs w:val="20"/>
                <w:color w:val="auto"/>
              </w:rPr>
            </w:pPr>
            <w:r>
              <w:rPr>
                <w:rFonts w:ascii="Arial" w:cs="Arial" w:eastAsia="Arial" w:hAnsi="Arial"/>
                <w:sz w:val="12"/>
                <w:szCs w:val="12"/>
                <w:color w:val="auto"/>
              </w:rPr>
              <w:t>750-799</w:t>
            </w:r>
          </w:p>
        </w:tc>
        <w:tc>
          <w:tcPr>
            <w:tcW w:w="3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128,191</w:t>
            </w: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56,768</w:t>
            </w:r>
          </w:p>
        </w:tc>
        <w:tc>
          <w:tcPr>
            <w:tcW w:w="3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44,299</w:t>
            </w:r>
          </w:p>
        </w:tc>
        <w:tc>
          <w:tcPr>
            <w:tcW w:w="3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30,829</w:t>
            </w:r>
          </w:p>
        </w:tc>
        <w:tc>
          <w:tcPr>
            <w:tcW w:w="3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17,261</w:t>
            </w:r>
          </w:p>
        </w:tc>
        <w:tc>
          <w:tcPr>
            <w:tcW w:w="3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20,496</w:t>
            </w: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297</w:t>
            </w:r>
          </w:p>
        </w:tc>
        <w:tc>
          <w:tcPr>
            <w:tcW w:w="0" w:type="dxa"/>
            <w:vAlign w:val="bottom"/>
          </w:tcPr>
          <w:p>
            <w:pPr>
              <w:spacing w:after="0"/>
              <w:rPr>
                <w:sz w:val="1"/>
                <w:szCs w:val="1"/>
                <w:color w:val="auto"/>
              </w:rPr>
            </w:pPr>
          </w:p>
        </w:tc>
      </w:tr>
      <w:tr>
        <w:trPr>
          <w:trHeight w:val="144"/>
        </w:trPr>
        <w:tc>
          <w:tcPr>
            <w:tcW w:w="2580" w:type="dxa"/>
            <w:vAlign w:val="bottom"/>
          </w:tcPr>
          <w:p>
            <w:pPr>
              <w:ind w:left="420"/>
              <w:spacing w:after="0"/>
              <w:rPr>
                <w:sz w:val="20"/>
                <w:szCs w:val="20"/>
                <w:color w:val="auto"/>
              </w:rPr>
            </w:pPr>
            <w:r>
              <w:rPr>
                <w:rFonts w:ascii="Arial" w:cs="Arial" w:eastAsia="Arial" w:hAnsi="Arial"/>
                <w:sz w:val="12"/>
                <w:szCs w:val="12"/>
                <w:color w:val="auto"/>
              </w:rPr>
              <w:t>700-749</w:t>
            </w:r>
          </w:p>
        </w:tc>
        <w:tc>
          <w:tcPr>
            <w:tcW w:w="36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62,673</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2"/>
                <w:szCs w:val="12"/>
                <w:color w:val="auto"/>
              </w:rPr>
              <w:t>24,650</w:t>
            </w:r>
          </w:p>
        </w:tc>
        <w:tc>
          <w:tcPr>
            <w:tcW w:w="340" w:type="dxa"/>
            <w:vAlign w:val="bottom"/>
          </w:tcPr>
          <w:p>
            <w:pPr>
              <w:spacing w:after="0"/>
              <w:rPr>
                <w:sz w:val="12"/>
                <w:szCs w:val="12"/>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2"/>
                <w:szCs w:val="12"/>
                <w:color w:val="auto"/>
              </w:rPr>
              <w:t>17,733</w:t>
            </w:r>
          </w:p>
        </w:tc>
        <w:tc>
          <w:tcPr>
            <w:tcW w:w="340" w:type="dxa"/>
            <w:vAlign w:val="bottom"/>
          </w:tcPr>
          <w:p>
            <w:pPr>
              <w:spacing w:after="0"/>
              <w:rPr>
                <w:sz w:val="12"/>
                <w:szCs w:val="12"/>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2"/>
                <w:szCs w:val="12"/>
                <w:color w:val="auto"/>
              </w:rPr>
              <w:t>12,134</w:t>
            </w:r>
          </w:p>
        </w:tc>
        <w:tc>
          <w:tcPr>
            <w:tcW w:w="340" w:type="dxa"/>
            <w:vAlign w:val="bottom"/>
          </w:tcPr>
          <w:p>
            <w:pPr>
              <w:spacing w:after="0"/>
              <w:rPr>
                <w:sz w:val="12"/>
                <w:szCs w:val="12"/>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2"/>
                <w:szCs w:val="12"/>
                <w:color w:val="auto"/>
              </w:rPr>
              <w:t>5,672</w:t>
            </w:r>
          </w:p>
        </w:tc>
        <w:tc>
          <w:tcPr>
            <w:tcW w:w="340" w:type="dxa"/>
            <w:vAlign w:val="bottom"/>
          </w:tcPr>
          <w:p>
            <w:pPr>
              <w:spacing w:after="0"/>
              <w:rPr>
                <w:sz w:val="12"/>
                <w:szCs w:val="12"/>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2"/>
                <w:szCs w:val="12"/>
                <w:color w:val="auto"/>
              </w:rPr>
              <w:t>9,490</w:t>
            </w:r>
          </w:p>
        </w:tc>
        <w:tc>
          <w:tcPr>
            <w:tcW w:w="36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132</w:t>
            </w:r>
          </w:p>
        </w:tc>
        <w:tc>
          <w:tcPr>
            <w:tcW w:w="0" w:type="dxa"/>
            <w:vAlign w:val="bottom"/>
          </w:tcPr>
          <w:p>
            <w:pPr>
              <w:spacing w:after="0"/>
              <w:rPr>
                <w:sz w:val="1"/>
                <w:szCs w:val="1"/>
                <w:color w:val="auto"/>
              </w:rPr>
            </w:pPr>
          </w:p>
        </w:tc>
      </w:tr>
      <w:tr>
        <w:trPr>
          <w:trHeight w:val="144"/>
        </w:trPr>
        <w:tc>
          <w:tcPr>
            <w:tcW w:w="2580" w:type="dxa"/>
            <w:vAlign w:val="bottom"/>
            <w:shd w:val="clear" w:color="auto" w:fill="CCEEFF"/>
          </w:tcPr>
          <w:p>
            <w:pPr>
              <w:ind w:left="420"/>
              <w:spacing w:after="0"/>
              <w:rPr>
                <w:sz w:val="20"/>
                <w:szCs w:val="20"/>
                <w:color w:val="auto"/>
              </w:rPr>
            </w:pPr>
            <w:r>
              <w:rPr>
                <w:rFonts w:ascii="Arial" w:cs="Arial" w:eastAsia="Arial" w:hAnsi="Arial"/>
                <w:sz w:val="12"/>
                <w:szCs w:val="12"/>
                <w:color w:val="auto"/>
              </w:rPr>
              <w:t>650-699</w:t>
            </w:r>
          </w:p>
        </w:tc>
        <w:tc>
          <w:tcPr>
            <w:tcW w:w="3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31,402</w:t>
            </w:r>
          </w:p>
        </w:tc>
        <w:tc>
          <w:tcPr>
            <w:tcW w:w="3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5,817</w:t>
            </w:r>
          </w:p>
        </w:tc>
        <w:tc>
          <w:tcPr>
            <w:tcW w:w="3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5,392</w:t>
            </w:r>
          </w:p>
        </w:tc>
        <w:tc>
          <w:tcPr>
            <w:tcW w:w="3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2,828</w:t>
            </w:r>
          </w:p>
        </w:tc>
        <w:tc>
          <w:tcPr>
            <w:tcW w:w="3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2,376</w:t>
            </w:r>
          </w:p>
        </w:tc>
        <w:tc>
          <w:tcPr>
            <w:tcW w:w="3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3,615</w:t>
            </w: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w:t>
            </w:r>
          </w:p>
        </w:tc>
        <w:tc>
          <w:tcPr>
            <w:tcW w:w="0" w:type="dxa"/>
            <w:vAlign w:val="bottom"/>
          </w:tcPr>
          <w:p>
            <w:pPr>
              <w:spacing w:after="0"/>
              <w:rPr>
                <w:sz w:val="1"/>
                <w:szCs w:val="1"/>
                <w:color w:val="auto"/>
              </w:rPr>
            </w:pPr>
          </w:p>
        </w:tc>
      </w:tr>
      <w:tr>
        <w:trPr>
          <w:trHeight w:val="144"/>
        </w:trPr>
        <w:tc>
          <w:tcPr>
            <w:tcW w:w="2580" w:type="dxa"/>
            <w:vAlign w:val="bottom"/>
          </w:tcPr>
          <w:p>
            <w:pPr>
              <w:ind w:left="420"/>
              <w:spacing w:after="0"/>
              <w:rPr>
                <w:sz w:val="20"/>
                <w:szCs w:val="20"/>
                <w:color w:val="auto"/>
              </w:rPr>
            </w:pPr>
            <w:r>
              <w:rPr>
                <w:rFonts w:ascii="Arial" w:cs="Arial" w:eastAsia="Arial" w:hAnsi="Arial"/>
                <w:sz w:val="12"/>
                <w:szCs w:val="12"/>
                <w:color w:val="auto"/>
              </w:rPr>
              <w:t>600-649</w:t>
            </w:r>
          </w:p>
        </w:tc>
        <w:tc>
          <w:tcPr>
            <w:tcW w:w="3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2,124</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2"/>
                <w:szCs w:val="12"/>
                <w:color w:val="auto"/>
              </w:rPr>
              <w:t>1,195</w:t>
            </w:r>
          </w:p>
        </w:tc>
        <w:tc>
          <w:tcPr>
            <w:tcW w:w="340" w:type="dxa"/>
            <w:vAlign w:val="bottom"/>
          </w:tcPr>
          <w:p>
            <w:pPr>
              <w:spacing w:after="0"/>
              <w:rPr>
                <w:sz w:val="12"/>
                <w:szCs w:val="12"/>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2"/>
                <w:szCs w:val="12"/>
                <w:color w:val="auto"/>
              </w:rPr>
              <w:t>772</w:t>
            </w:r>
          </w:p>
        </w:tc>
        <w:tc>
          <w:tcPr>
            <w:tcW w:w="340" w:type="dxa"/>
            <w:vAlign w:val="bottom"/>
          </w:tcPr>
          <w:p>
            <w:pPr>
              <w:spacing w:after="0"/>
              <w:rPr>
                <w:sz w:val="12"/>
                <w:szCs w:val="12"/>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2"/>
                <w:szCs w:val="12"/>
                <w:color w:val="auto"/>
              </w:rPr>
              <w:t>850</w:t>
            </w:r>
          </w:p>
        </w:tc>
        <w:tc>
          <w:tcPr>
            <w:tcW w:w="340" w:type="dxa"/>
            <w:vAlign w:val="bottom"/>
          </w:tcPr>
          <w:p>
            <w:pPr>
              <w:spacing w:after="0"/>
              <w:rPr>
                <w:sz w:val="12"/>
                <w:szCs w:val="12"/>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2"/>
                <w:szCs w:val="12"/>
                <w:color w:val="auto"/>
              </w:rPr>
              <w:t>621</w:t>
            </w:r>
          </w:p>
        </w:tc>
        <w:tc>
          <w:tcPr>
            <w:tcW w:w="340" w:type="dxa"/>
            <w:vAlign w:val="bottom"/>
          </w:tcPr>
          <w:p>
            <w:pPr>
              <w:spacing w:after="0"/>
              <w:rPr>
                <w:sz w:val="12"/>
                <w:szCs w:val="12"/>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2"/>
                <w:szCs w:val="12"/>
                <w:color w:val="auto"/>
              </w:rPr>
              <w:t>1,072</w:t>
            </w:r>
          </w:p>
        </w:tc>
        <w:tc>
          <w:tcPr>
            <w:tcW w:w="36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44"/>
        </w:trPr>
        <w:tc>
          <w:tcPr>
            <w:tcW w:w="2580" w:type="dxa"/>
            <w:vAlign w:val="bottom"/>
            <w:shd w:val="clear" w:color="auto" w:fill="CCEEFF"/>
          </w:tcPr>
          <w:p>
            <w:pPr>
              <w:ind w:left="420"/>
              <w:spacing w:after="0"/>
              <w:rPr>
                <w:sz w:val="20"/>
                <w:szCs w:val="20"/>
                <w:color w:val="auto"/>
              </w:rPr>
            </w:pPr>
            <w:r>
              <w:rPr>
                <w:rFonts w:ascii="Arial" w:cs="Arial" w:eastAsia="Arial" w:hAnsi="Arial"/>
                <w:sz w:val="12"/>
                <w:szCs w:val="12"/>
                <w:color w:val="auto"/>
              </w:rPr>
              <w:t>550-599</w:t>
            </w:r>
          </w:p>
        </w:tc>
        <w:tc>
          <w:tcPr>
            <w:tcW w:w="3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667</w:t>
            </w: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223</w:t>
            </w:r>
          </w:p>
        </w:tc>
        <w:tc>
          <w:tcPr>
            <w:tcW w:w="3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381</w:t>
            </w:r>
          </w:p>
        </w:tc>
        <w:tc>
          <w:tcPr>
            <w:tcW w:w="3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598</w:t>
            </w:r>
          </w:p>
        </w:tc>
        <w:tc>
          <w:tcPr>
            <w:tcW w:w="3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167</w:t>
            </w:r>
          </w:p>
        </w:tc>
        <w:tc>
          <w:tcPr>
            <w:tcW w:w="3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417</w:t>
            </w: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44"/>
        </w:trPr>
        <w:tc>
          <w:tcPr>
            <w:tcW w:w="2580" w:type="dxa"/>
            <w:vAlign w:val="bottom"/>
          </w:tcPr>
          <w:p>
            <w:pPr>
              <w:ind w:left="420"/>
              <w:spacing w:after="0"/>
              <w:rPr>
                <w:sz w:val="20"/>
                <w:szCs w:val="20"/>
                <w:color w:val="auto"/>
              </w:rPr>
            </w:pPr>
            <w:r>
              <w:rPr>
                <w:rFonts w:ascii="Arial" w:cs="Arial" w:eastAsia="Arial" w:hAnsi="Arial"/>
                <w:sz w:val="12"/>
                <w:szCs w:val="12"/>
                <w:color w:val="auto"/>
              </w:rPr>
              <w:t>500-549</w:t>
            </w:r>
          </w:p>
        </w:tc>
        <w:tc>
          <w:tcPr>
            <w:tcW w:w="3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47</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2"/>
                <w:szCs w:val="12"/>
                <w:color w:val="auto"/>
              </w:rPr>
              <w:t>123</w:t>
            </w:r>
          </w:p>
        </w:tc>
        <w:tc>
          <w:tcPr>
            <w:tcW w:w="340" w:type="dxa"/>
            <w:vAlign w:val="bottom"/>
          </w:tcPr>
          <w:p>
            <w:pPr>
              <w:spacing w:after="0"/>
              <w:rPr>
                <w:sz w:val="12"/>
                <w:szCs w:val="12"/>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2"/>
                <w:szCs w:val="12"/>
                <w:color w:val="auto"/>
              </w:rPr>
              <w:t>161</w:t>
            </w:r>
          </w:p>
        </w:tc>
        <w:tc>
          <w:tcPr>
            <w:tcW w:w="340" w:type="dxa"/>
            <w:vAlign w:val="bottom"/>
          </w:tcPr>
          <w:p>
            <w:pPr>
              <w:spacing w:after="0"/>
              <w:rPr>
                <w:sz w:val="12"/>
                <w:szCs w:val="12"/>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2"/>
                <w:szCs w:val="12"/>
                <w:color w:val="auto"/>
              </w:rPr>
              <w:t>202</w:t>
            </w:r>
          </w:p>
        </w:tc>
        <w:tc>
          <w:tcPr>
            <w:tcW w:w="340" w:type="dxa"/>
            <w:vAlign w:val="bottom"/>
          </w:tcPr>
          <w:p>
            <w:pPr>
              <w:spacing w:after="0"/>
              <w:rPr>
                <w:sz w:val="12"/>
                <w:szCs w:val="12"/>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2"/>
                <w:szCs w:val="12"/>
                <w:color w:val="auto"/>
              </w:rPr>
              <w:t>64</w:t>
            </w:r>
          </w:p>
        </w:tc>
        <w:tc>
          <w:tcPr>
            <w:tcW w:w="340" w:type="dxa"/>
            <w:vAlign w:val="bottom"/>
          </w:tcPr>
          <w:p>
            <w:pPr>
              <w:spacing w:after="0"/>
              <w:rPr>
                <w:sz w:val="12"/>
                <w:szCs w:val="12"/>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2"/>
                <w:szCs w:val="12"/>
                <w:color w:val="auto"/>
              </w:rPr>
              <w:t>256</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80" w:type="dxa"/>
            <w:vAlign w:val="bottom"/>
            <w:shd w:val="clear" w:color="auto" w:fill="CCEEFF"/>
          </w:tcPr>
          <w:p>
            <w:pPr>
              <w:ind w:left="420"/>
              <w:spacing w:after="0"/>
              <w:rPr>
                <w:sz w:val="20"/>
                <w:szCs w:val="20"/>
                <w:color w:val="auto"/>
              </w:rPr>
            </w:pPr>
            <w:r>
              <w:rPr>
                <w:rFonts w:ascii="Arial" w:cs="Arial" w:eastAsia="Arial" w:hAnsi="Arial"/>
                <w:sz w:val="12"/>
                <w:szCs w:val="12"/>
                <w:color w:val="auto"/>
              </w:rPr>
              <w:t>Under 500</w:t>
            </w:r>
          </w:p>
        </w:tc>
        <w:tc>
          <w:tcPr>
            <w:tcW w:w="3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62</w:t>
            </w:r>
          </w:p>
        </w:tc>
        <w:tc>
          <w:tcPr>
            <w:tcW w:w="3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53</w:t>
            </w:r>
          </w:p>
        </w:tc>
        <w:tc>
          <w:tcPr>
            <w:tcW w:w="3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24</w:t>
            </w:r>
          </w:p>
        </w:tc>
        <w:tc>
          <w:tcPr>
            <w:tcW w:w="3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180</w:t>
            </w:r>
          </w:p>
        </w:tc>
        <w:tc>
          <w:tcPr>
            <w:tcW w:w="3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29</w:t>
            </w: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80" w:type="dxa"/>
            <w:vAlign w:val="bottom"/>
          </w:tcPr>
          <w:p>
            <w:pPr>
              <w:ind w:left="420"/>
              <w:spacing w:after="0"/>
              <w:rPr>
                <w:sz w:val="20"/>
                <w:szCs w:val="20"/>
                <w:color w:val="auto"/>
              </w:rPr>
            </w:pPr>
            <w:r>
              <w:rPr>
                <w:rFonts w:ascii="Arial" w:cs="Arial" w:eastAsia="Arial" w:hAnsi="Arial"/>
                <w:sz w:val="12"/>
                <w:szCs w:val="12"/>
                <w:color w:val="auto"/>
              </w:rPr>
              <w:t>Unknown</w:t>
            </w:r>
          </w:p>
        </w:tc>
        <w:tc>
          <w:tcPr>
            <w:tcW w:w="3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975</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5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2"/>
                <w:szCs w:val="12"/>
                <w:color w:val="auto"/>
              </w:rPr>
              <w:t>Total</w:t>
            </w:r>
          </w:p>
        </w:tc>
        <w:tc>
          <w:tcPr>
            <w:tcW w:w="3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244,401</w:t>
            </w:r>
          </w:p>
        </w:tc>
        <w:tc>
          <w:tcPr>
            <w:tcW w:w="1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101,169</w:t>
            </w:r>
          </w:p>
        </w:tc>
        <w:tc>
          <w:tcPr>
            <w:tcW w:w="5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82,136</w:t>
            </w:r>
          </w:p>
        </w:tc>
        <w:tc>
          <w:tcPr>
            <w:tcW w:w="5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57,880</w:t>
            </w:r>
          </w:p>
        </w:tc>
        <w:tc>
          <w:tcPr>
            <w:tcW w:w="5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32,122</w:t>
            </w:r>
          </w:p>
        </w:tc>
        <w:tc>
          <w:tcPr>
            <w:tcW w:w="5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44,097</w:t>
            </w:r>
          </w:p>
        </w:tc>
        <w:tc>
          <w:tcPr>
            <w:tcW w:w="5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561</w:t>
            </w:r>
          </w:p>
        </w:tc>
        <w:tc>
          <w:tcPr>
            <w:tcW w:w="0" w:type="dxa"/>
            <w:vAlign w:val="bottom"/>
          </w:tcPr>
          <w:p>
            <w:pPr>
              <w:spacing w:after="0"/>
              <w:rPr>
                <w:sz w:val="1"/>
                <w:szCs w:val="1"/>
                <w:color w:val="auto"/>
              </w:rPr>
            </w:pPr>
          </w:p>
        </w:tc>
      </w:tr>
      <w:tr>
        <w:trPr>
          <w:trHeight w:val="120"/>
        </w:trPr>
        <w:tc>
          <w:tcPr>
            <w:tcW w:w="2580" w:type="dxa"/>
            <w:vAlign w:val="bottom"/>
          </w:tcPr>
          <w:p>
            <w:pPr>
              <w:ind w:left="320"/>
              <w:spacing w:after="0" w:line="120" w:lineRule="exact"/>
              <w:rPr>
                <w:sz w:val="20"/>
                <w:szCs w:val="20"/>
                <w:color w:val="auto"/>
              </w:rPr>
            </w:pPr>
            <w:r>
              <w:rPr>
                <w:rFonts w:ascii="Arial" w:cs="Arial" w:eastAsia="Arial" w:hAnsi="Arial"/>
                <w:sz w:val="12"/>
                <w:szCs w:val="12"/>
                <w:color w:val="auto"/>
              </w:rPr>
              <w:t>Accrued interest excluded from total</w:t>
            </w:r>
          </w:p>
        </w:tc>
        <w:tc>
          <w:tcPr>
            <w:tcW w:w="360" w:type="dxa"/>
            <w:vAlign w:val="bottom"/>
          </w:tcPr>
          <w:p>
            <w:pPr>
              <w:jc w:val="right"/>
              <w:ind w:right="20"/>
              <w:spacing w:after="0" w:line="120" w:lineRule="exact"/>
              <w:rPr>
                <w:sz w:val="20"/>
                <w:szCs w:val="20"/>
                <w:color w:val="auto"/>
              </w:rPr>
            </w:pPr>
            <w:r>
              <w:rPr>
                <w:rFonts w:ascii="Arial" w:cs="Arial" w:eastAsia="Arial" w:hAnsi="Arial"/>
                <w:sz w:val="12"/>
                <w:szCs w:val="12"/>
                <w:color w:val="auto"/>
              </w:rPr>
              <w:t>$</w:t>
            </w:r>
          </w:p>
        </w:tc>
        <w:tc>
          <w:tcPr>
            <w:tcW w:w="540" w:type="dxa"/>
            <w:vAlign w:val="bottom"/>
          </w:tcPr>
          <w:p>
            <w:pPr>
              <w:jc w:val="right"/>
              <w:spacing w:after="0" w:line="120" w:lineRule="exact"/>
              <w:rPr>
                <w:sz w:val="20"/>
                <w:szCs w:val="20"/>
                <w:color w:val="auto"/>
              </w:rPr>
            </w:pPr>
            <w:r>
              <w:rPr>
                <w:rFonts w:ascii="Arial" w:cs="Arial" w:eastAsia="Arial" w:hAnsi="Arial"/>
                <w:sz w:val="12"/>
                <w:szCs w:val="12"/>
                <w:color w:val="auto"/>
              </w:rPr>
              <w:t>507</w:t>
            </w:r>
          </w:p>
        </w:tc>
        <w:tc>
          <w:tcPr>
            <w:tcW w:w="160" w:type="dxa"/>
            <w:vAlign w:val="bottom"/>
          </w:tcPr>
          <w:p>
            <w:pPr>
              <w:spacing w:after="0"/>
              <w:rPr>
                <w:sz w:val="10"/>
                <w:szCs w:val="10"/>
                <w:color w:val="auto"/>
              </w:rPr>
            </w:pPr>
          </w:p>
        </w:tc>
        <w:tc>
          <w:tcPr>
            <w:tcW w:w="700" w:type="dxa"/>
            <w:vAlign w:val="bottom"/>
            <w:gridSpan w:val="2"/>
          </w:tcPr>
          <w:p>
            <w:pPr>
              <w:jc w:val="right"/>
              <w:ind w:right="20"/>
              <w:spacing w:after="0" w:line="120" w:lineRule="exact"/>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500"/>
              <w:spacing w:after="0" w:line="120" w:lineRule="exact"/>
              <w:rPr>
                <w:sz w:val="20"/>
                <w:szCs w:val="20"/>
                <w:color w:val="auto"/>
              </w:rPr>
            </w:pPr>
            <w:r>
              <w:rPr>
                <w:rFonts w:ascii="Arial" w:cs="Arial" w:eastAsia="Arial" w:hAnsi="Arial"/>
                <w:sz w:val="12"/>
                <w:szCs w:val="12"/>
                <w:color w:val="auto"/>
              </w:rPr>
              <w:t>235</w:t>
            </w:r>
          </w:p>
        </w:tc>
        <w:tc>
          <w:tcPr>
            <w:tcW w:w="340" w:type="dxa"/>
            <w:vAlign w:val="bottom"/>
          </w:tcPr>
          <w:p>
            <w:pPr>
              <w:jc w:val="right"/>
              <w:spacing w:after="0" w:line="120" w:lineRule="exact"/>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500"/>
              <w:spacing w:after="0" w:line="120" w:lineRule="exact"/>
              <w:rPr>
                <w:sz w:val="20"/>
                <w:szCs w:val="20"/>
                <w:color w:val="auto"/>
              </w:rPr>
            </w:pPr>
            <w:r>
              <w:rPr>
                <w:rFonts w:ascii="Arial" w:cs="Arial" w:eastAsia="Arial" w:hAnsi="Arial"/>
                <w:sz w:val="12"/>
                <w:szCs w:val="12"/>
                <w:color w:val="auto"/>
              </w:rPr>
              <w:t>220</w:t>
            </w:r>
          </w:p>
        </w:tc>
        <w:tc>
          <w:tcPr>
            <w:tcW w:w="340" w:type="dxa"/>
            <w:vAlign w:val="bottom"/>
          </w:tcPr>
          <w:p>
            <w:pPr>
              <w:jc w:val="right"/>
              <w:spacing w:after="0" w:line="120" w:lineRule="exact"/>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500"/>
              <w:spacing w:after="0" w:line="120" w:lineRule="exact"/>
              <w:rPr>
                <w:sz w:val="20"/>
                <w:szCs w:val="20"/>
                <w:color w:val="auto"/>
              </w:rPr>
            </w:pPr>
            <w:r>
              <w:rPr>
                <w:rFonts w:ascii="Arial" w:cs="Arial" w:eastAsia="Arial" w:hAnsi="Arial"/>
                <w:sz w:val="12"/>
                <w:szCs w:val="12"/>
                <w:color w:val="auto"/>
              </w:rPr>
              <w:t>144</w:t>
            </w:r>
          </w:p>
        </w:tc>
        <w:tc>
          <w:tcPr>
            <w:tcW w:w="340" w:type="dxa"/>
            <w:vAlign w:val="bottom"/>
          </w:tcPr>
          <w:p>
            <w:pPr>
              <w:jc w:val="right"/>
              <w:spacing w:after="0" w:line="120" w:lineRule="exact"/>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500"/>
              <w:spacing w:after="0" w:line="120" w:lineRule="exact"/>
              <w:rPr>
                <w:sz w:val="20"/>
                <w:szCs w:val="20"/>
                <w:color w:val="auto"/>
              </w:rPr>
            </w:pPr>
            <w:r>
              <w:rPr>
                <w:rFonts w:ascii="Arial" w:cs="Arial" w:eastAsia="Arial" w:hAnsi="Arial"/>
                <w:sz w:val="12"/>
                <w:szCs w:val="12"/>
                <w:color w:val="auto"/>
              </w:rPr>
              <w:t>81</w:t>
            </w:r>
          </w:p>
        </w:tc>
        <w:tc>
          <w:tcPr>
            <w:tcW w:w="340" w:type="dxa"/>
            <w:vAlign w:val="bottom"/>
          </w:tcPr>
          <w:p>
            <w:pPr>
              <w:jc w:val="right"/>
              <w:spacing w:after="0" w:line="120" w:lineRule="exact"/>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500"/>
              <w:spacing w:after="0" w:line="120" w:lineRule="exact"/>
              <w:rPr>
                <w:sz w:val="20"/>
                <w:szCs w:val="20"/>
                <w:color w:val="auto"/>
              </w:rPr>
            </w:pPr>
            <w:r>
              <w:rPr>
                <w:rFonts w:ascii="Arial" w:cs="Arial" w:eastAsia="Arial" w:hAnsi="Arial"/>
                <w:sz w:val="12"/>
                <w:szCs w:val="12"/>
                <w:color w:val="auto"/>
              </w:rPr>
              <w:t>113</w:t>
            </w:r>
          </w:p>
        </w:tc>
        <w:tc>
          <w:tcPr>
            <w:tcW w:w="360" w:type="dxa"/>
            <w:vAlign w:val="bottom"/>
          </w:tcPr>
          <w:p>
            <w:pPr>
              <w:jc w:val="right"/>
              <w:ind w:right="20"/>
              <w:spacing w:after="0" w:line="120" w:lineRule="exact"/>
              <w:rPr>
                <w:sz w:val="20"/>
                <w:szCs w:val="20"/>
                <w:color w:val="auto"/>
              </w:rPr>
            </w:pPr>
            <w:r>
              <w:rPr>
                <w:rFonts w:ascii="Arial" w:cs="Arial" w:eastAsia="Arial" w:hAnsi="Arial"/>
                <w:sz w:val="12"/>
                <w:szCs w:val="12"/>
                <w:color w:val="auto"/>
              </w:rPr>
              <w:t>$</w:t>
            </w:r>
          </w:p>
        </w:tc>
        <w:tc>
          <w:tcPr>
            <w:tcW w:w="300" w:type="dxa"/>
            <w:vAlign w:val="bottom"/>
          </w:tcPr>
          <w:p>
            <w:pPr>
              <w:jc w:val="right"/>
              <w:spacing w:after="0" w:line="120" w:lineRule="exact"/>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(1) Credit scores have been updated within the last twelve months.</w:t>
      </w:r>
    </w:p>
    <w:p>
      <w:pPr>
        <w:spacing w:after="0" w:line="272" w:lineRule="exact"/>
        <w:rPr>
          <w:sz w:val="20"/>
          <w:szCs w:val="20"/>
          <w:color w:val="auto"/>
        </w:rPr>
      </w:pPr>
    </w:p>
    <w:p>
      <w:pPr>
        <w:jc w:val="center"/>
        <w:ind w:right="60"/>
        <w:spacing w:after="0"/>
        <w:rPr>
          <w:sz w:val="20"/>
          <w:szCs w:val="20"/>
          <w:color w:val="auto"/>
        </w:rPr>
      </w:pPr>
      <w:r>
        <w:rPr>
          <w:rFonts w:ascii="Arial" w:cs="Arial" w:eastAsia="Arial" w:hAnsi="Arial"/>
          <w:sz w:val="10"/>
          <w:szCs w:val="10"/>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60"/>
          </w:cols>
          <w:pgMar w:left="300" w:top="127" w:right="2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57"/>
        </w:trPr>
        <w:tc>
          <w:tcPr>
            <w:tcW w:w="16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140" w:type="dxa"/>
            <w:vAlign w:val="bottom"/>
            <w:gridSpan w:val="9"/>
          </w:tcPr>
          <w:p>
            <w:pPr>
              <w:ind w:left="240"/>
              <w:spacing w:after="0"/>
              <w:rPr>
                <w:sz w:val="20"/>
                <w:szCs w:val="20"/>
                <w:color w:val="auto"/>
              </w:rPr>
            </w:pPr>
            <w:r>
              <w:rPr>
                <w:rFonts w:ascii="Arial" w:cs="Arial" w:eastAsia="Arial" w:hAnsi="Arial"/>
                <w:sz w:val="12"/>
                <w:szCs w:val="12"/>
                <w:b w:val="1"/>
                <w:bCs w:val="1"/>
                <w:color w:val="auto"/>
                <w:w w:val="98"/>
              </w:rPr>
              <w:t>NOTES TO CONSOLIDATED FINANCIAL STATEMENTS − (Continued)</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7400" w:type="dxa"/>
            <w:vAlign w:val="bottom"/>
            <w:gridSpan w:val="11"/>
          </w:tcPr>
          <w:p>
            <w:pPr>
              <w:ind w:left="200"/>
              <w:spacing w:after="0"/>
              <w:rPr>
                <w:sz w:val="20"/>
                <w:szCs w:val="20"/>
                <w:color w:val="auto"/>
              </w:rPr>
            </w:pPr>
            <w:r>
              <w:rPr>
                <w:rFonts w:ascii="Arial" w:cs="Arial" w:eastAsia="Arial" w:hAnsi="Arial"/>
                <w:sz w:val="12"/>
                <w:szCs w:val="12"/>
                <w:color w:val="auto"/>
                <w:w w:val="96"/>
              </w:rPr>
              <w:t>The following tables summarize credit scores by loan class for our mortgage and installment loan portfolio segments at December 31, 2020:</w:t>
            </w: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16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ind w:left="760"/>
              <w:spacing w:after="0"/>
              <w:rPr>
                <w:sz w:val="20"/>
                <w:szCs w:val="20"/>
                <w:color w:val="auto"/>
              </w:rPr>
            </w:pPr>
            <w:r>
              <w:rPr>
                <w:rFonts w:ascii="Arial" w:cs="Arial" w:eastAsia="Arial" w:hAnsi="Arial"/>
                <w:sz w:val="12"/>
                <w:szCs w:val="12"/>
                <w:b w:val="1"/>
                <w:bCs w:val="1"/>
                <w:color w:val="auto"/>
              </w:rPr>
              <w:t>Mortgage</w:t>
            </w: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6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center"/>
              <w:ind w:right="420"/>
              <w:spacing w:after="0" w:line="129" w:lineRule="exact"/>
              <w:rPr>
                <w:sz w:val="20"/>
                <w:szCs w:val="20"/>
                <w:color w:val="auto"/>
              </w:rPr>
            </w:pPr>
            <w:r>
              <w:rPr>
                <w:rFonts w:ascii="Arial" w:cs="Arial" w:eastAsia="Arial" w:hAnsi="Arial"/>
                <w:sz w:val="12"/>
                <w:szCs w:val="12"/>
                <w:b w:val="1"/>
                <w:bCs w:val="1"/>
                <w:color w:val="auto"/>
                <w:w w:val="91"/>
              </w:rPr>
              <w:t>1-4 Family</w:t>
            </w:r>
          </w:p>
        </w:tc>
        <w:tc>
          <w:tcPr>
            <w:tcW w:w="160" w:type="dxa"/>
            <w:vAlign w:val="bottom"/>
          </w:tcPr>
          <w:p>
            <w:pPr>
              <w:spacing w:after="0"/>
              <w:rPr>
                <w:sz w:val="11"/>
                <w:szCs w:val="11"/>
                <w:color w:val="auto"/>
              </w:rPr>
            </w:pPr>
          </w:p>
        </w:tc>
        <w:tc>
          <w:tcPr>
            <w:tcW w:w="1180" w:type="dxa"/>
            <w:vAlign w:val="bottom"/>
            <w:gridSpan w:val="2"/>
          </w:tcPr>
          <w:p>
            <w:pPr>
              <w:jc w:val="center"/>
              <w:ind w:right="360"/>
              <w:spacing w:after="0" w:line="129" w:lineRule="exact"/>
              <w:rPr>
                <w:sz w:val="20"/>
                <w:szCs w:val="20"/>
                <w:color w:val="auto"/>
              </w:rPr>
            </w:pPr>
            <w:r>
              <w:rPr>
                <w:rFonts w:ascii="Arial" w:cs="Arial" w:eastAsia="Arial" w:hAnsi="Arial"/>
                <w:sz w:val="12"/>
                <w:szCs w:val="12"/>
                <w:b w:val="1"/>
                <w:bCs w:val="1"/>
                <w:color w:val="auto"/>
                <w:w w:val="91"/>
              </w:rPr>
              <w:t>1-4 Family</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6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0"/>
              </w:rPr>
              <w:t>Owner</w:t>
            </w:r>
          </w:p>
        </w:tc>
        <w:tc>
          <w:tcPr>
            <w:tcW w:w="160" w:type="dxa"/>
            <w:vAlign w:val="bottom"/>
          </w:tcPr>
          <w:p>
            <w:pPr>
              <w:spacing w:after="0"/>
              <w:rPr>
                <w:sz w:val="12"/>
                <w:szCs w:val="12"/>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96"/>
              </w:rPr>
              <w:t>Owner</w:t>
            </w:r>
          </w:p>
        </w:tc>
        <w:tc>
          <w:tcPr>
            <w:tcW w:w="160" w:type="dxa"/>
            <w:vAlign w:val="bottom"/>
          </w:tcPr>
          <w:p>
            <w:pPr>
              <w:spacing w:after="0"/>
              <w:rPr>
                <w:sz w:val="12"/>
                <w:szCs w:val="12"/>
                <w:color w:val="auto"/>
              </w:rPr>
            </w:pPr>
          </w:p>
        </w:tc>
        <w:tc>
          <w:tcPr>
            <w:tcW w:w="1240" w:type="dxa"/>
            <w:vAlign w:val="bottom"/>
            <w:gridSpan w:val="2"/>
          </w:tcPr>
          <w:p>
            <w:pPr>
              <w:jc w:val="center"/>
              <w:ind w:right="306"/>
              <w:spacing w:after="0"/>
              <w:rPr>
                <w:sz w:val="20"/>
                <w:szCs w:val="20"/>
                <w:color w:val="auto"/>
              </w:rPr>
            </w:pPr>
            <w:r>
              <w:rPr>
                <w:rFonts w:ascii="Arial" w:cs="Arial" w:eastAsia="Arial" w:hAnsi="Arial"/>
                <w:sz w:val="12"/>
                <w:szCs w:val="12"/>
                <w:b w:val="1"/>
                <w:bCs w:val="1"/>
                <w:color w:val="auto"/>
                <w:w w:val="95"/>
              </w:rPr>
              <w:t>1-4 Family</w:t>
            </w: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86"/>
              </w:rPr>
              <w:t>Occupied -</w:t>
            </w:r>
          </w:p>
        </w:tc>
        <w:tc>
          <w:tcPr>
            <w:tcW w:w="160" w:type="dxa"/>
            <w:vAlign w:val="bottom"/>
          </w:tcPr>
          <w:p>
            <w:pPr>
              <w:spacing w:after="0"/>
              <w:rPr>
                <w:sz w:val="12"/>
                <w:szCs w:val="12"/>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90"/>
              </w:rPr>
              <w:t>Occupied -</w:t>
            </w:r>
          </w:p>
        </w:tc>
        <w:tc>
          <w:tcPr>
            <w:tcW w:w="160" w:type="dxa"/>
            <w:vAlign w:val="bottom"/>
          </w:tcPr>
          <w:p>
            <w:pPr>
              <w:spacing w:after="0"/>
              <w:rPr>
                <w:sz w:val="12"/>
                <w:szCs w:val="12"/>
                <w:color w:val="auto"/>
              </w:rPr>
            </w:pPr>
          </w:p>
        </w:tc>
        <w:tc>
          <w:tcPr>
            <w:tcW w:w="1240" w:type="dxa"/>
            <w:vAlign w:val="bottom"/>
            <w:gridSpan w:val="2"/>
          </w:tcPr>
          <w:p>
            <w:pPr>
              <w:jc w:val="center"/>
              <w:ind w:right="306"/>
              <w:spacing w:after="0"/>
              <w:rPr>
                <w:sz w:val="20"/>
                <w:szCs w:val="20"/>
                <w:color w:val="auto"/>
              </w:rPr>
            </w:pPr>
            <w:r>
              <w:rPr>
                <w:rFonts w:ascii="Arial" w:cs="Arial" w:eastAsia="Arial" w:hAnsi="Arial"/>
                <w:sz w:val="12"/>
                <w:szCs w:val="12"/>
                <w:b w:val="1"/>
                <w:bCs w:val="1"/>
                <w:color w:val="auto"/>
                <w:w w:val="89"/>
              </w:rPr>
              <w:t>Non-owner</w:t>
            </w:r>
          </w:p>
        </w:tc>
        <w:tc>
          <w:tcPr>
            <w:tcW w:w="200" w:type="dxa"/>
            <w:vAlign w:val="bottom"/>
          </w:tcPr>
          <w:p>
            <w:pPr>
              <w:spacing w:after="0"/>
              <w:rPr>
                <w:sz w:val="12"/>
                <w:szCs w:val="12"/>
                <w:color w:val="auto"/>
              </w:rPr>
            </w:pPr>
          </w:p>
        </w:tc>
        <w:tc>
          <w:tcPr>
            <w:tcW w:w="1120" w:type="dxa"/>
            <w:vAlign w:val="bottom"/>
            <w:gridSpan w:val="2"/>
          </w:tcPr>
          <w:p>
            <w:pPr>
              <w:jc w:val="center"/>
              <w:ind w:right="386"/>
              <w:spacing w:after="0"/>
              <w:rPr>
                <w:sz w:val="20"/>
                <w:szCs w:val="20"/>
                <w:color w:val="auto"/>
              </w:rPr>
            </w:pPr>
            <w:r>
              <w:rPr>
                <w:rFonts w:ascii="Arial" w:cs="Arial" w:eastAsia="Arial" w:hAnsi="Arial"/>
                <w:sz w:val="12"/>
                <w:szCs w:val="12"/>
                <w:b w:val="1"/>
                <w:bCs w:val="1"/>
                <w:color w:val="auto"/>
                <w:w w:val="95"/>
              </w:rPr>
              <w:t>1-4 Family</w:t>
            </w:r>
          </w:p>
        </w:tc>
        <w:tc>
          <w:tcPr>
            <w:tcW w:w="300" w:type="dxa"/>
            <w:vAlign w:val="bottom"/>
          </w:tcPr>
          <w:p>
            <w:pPr>
              <w:spacing w:after="0"/>
              <w:rPr>
                <w:sz w:val="12"/>
                <w:szCs w:val="12"/>
                <w:color w:val="auto"/>
              </w:rPr>
            </w:pPr>
          </w:p>
        </w:tc>
        <w:tc>
          <w:tcPr>
            <w:tcW w:w="1040" w:type="dxa"/>
            <w:vAlign w:val="bottom"/>
            <w:gridSpan w:val="2"/>
          </w:tcPr>
          <w:p>
            <w:pPr>
              <w:jc w:val="center"/>
              <w:ind w:right="500"/>
              <w:spacing w:after="0"/>
              <w:rPr>
                <w:sz w:val="20"/>
                <w:szCs w:val="20"/>
                <w:color w:val="auto"/>
              </w:rPr>
            </w:pPr>
            <w:r>
              <w:rPr>
                <w:rFonts w:ascii="Arial" w:cs="Arial" w:eastAsia="Arial" w:hAnsi="Arial"/>
                <w:sz w:val="12"/>
                <w:szCs w:val="12"/>
                <w:b w:val="1"/>
                <w:bCs w:val="1"/>
                <w:color w:val="auto"/>
                <w:w w:val="89"/>
              </w:rPr>
              <w:t>Resort</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6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120"/>
              <w:spacing w:after="0"/>
              <w:rPr>
                <w:sz w:val="20"/>
                <w:szCs w:val="20"/>
                <w:color w:val="auto"/>
              </w:rPr>
            </w:pPr>
            <w:r>
              <w:rPr>
                <w:rFonts w:ascii="Arial" w:cs="Arial" w:eastAsia="Arial" w:hAnsi="Arial"/>
                <w:sz w:val="12"/>
                <w:szCs w:val="12"/>
                <w:b w:val="1"/>
                <w:bCs w:val="1"/>
                <w:color w:val="auto"/>
                <w:w w:val="86"/>
              </w:rPr>
              <w:t>Jumbo</w:t>
            </w: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01"/>
              <w:spacing w:after="0"/>
              <w:rPr>
                <w:sz w:val="20"/>
                <w:szCs w:val="20"/>
                <w:color w:val="auto"/>
              </w:rPr>
            </w:pPr>
            <w:r>
              <w:rPr>
                <w:rFonts w:ascii="Arial" w:cs="Arial" w:eastAsia="Arial" w:hAnsi="Arial"/>
                <w:sz w:val="12"/>
                <w:szCs w:val="12"/>
                <w:b w:val="1"/>
                <w:bCs w:val="1"/>
                <w:color w:val="auto"/>
                <w:w w:val="91"/>
              </w:rPr>
              <w:t>Non-jumbo</w:t>
            </w: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60"/>
              <w:spacing w:after="0"/>
              <w:rPr>
                <w:sz w:val="20"/>
                <w:szCs w:val="20"/>
                <w:color w:val="auto"/>
              </w:rPr>
            </w:pPr>
            <w:r>
              <w:rPr>
                <w:rFonts w:ascii="Arial" w:cs="Arial" w:eastAsia="Arial" w:hAnsi="Arial"/>
                <w:sz w:val="12"/>
                <w:szCs w:val="12"/>
                <w:b w:val="1"/>
                <w:bCs w:val="1"/>
                <w:color w:val="auto"/>
                <w:w w:val="87"/>
              </w:rPr>
              <w:t>Occupied</w:t>
            </w:r>
          </w:p>
        </w:tc>
        <w:tc>
          <w:tcPr>
            <w:tcW w:w="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140"/>
              <w:spacing w:after="0"/>
              <w:rPr>
                <w:sz w:val="20"/>
                <w:szCs w:val="20"/>
                <w:color w:val="auto"/>
              </w:rPr>
            </w:pPr>
            <w:r>
              <w:rPr>
                <w:rFonts w:ascii="Arial" w:cs="Arial" w:eastAsia="Arial" w:hAnsi="Arial"/>
                <w:sz w:val="12"/>
                <w:szCs w:val="12"/>
                <w:b w:val="1"/>
                <w:bCs w:val="1"/>
                <w:color w:val="auto"/>
                <w:w w:val="93"/>
              </w:rPr>
              <w:t>2nd Lien</w:t>
            </w:r>
          </w:p>
        </w:tc>
        <w:tc>
          <w:tcPr>
            <w:tcW w:w="2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220"/>
              <w:spacing w:after="0"/>
              <w:rPr>
                <w:sz w:val="20"/>
                <w:szCs w:val="20"/>
                <w:color w:val="auto"/>
              </w:rPr>
            </w:pPr>
            <w:r>
              <w:rPr>
                <w:rFonts w:ascii="Arial" w:cs="Arial" w:eastAsia="Arial" w:hAnsi="Arial"/>
                <w:sz w:val="12"/>
                <w:szCs w:val="12"/>
                <w:b w:val="1"/>
                <w:bCs w:val="1"/>
                <w:color w:val="auto"/>
                <w:w w:val="89"/>
              </w:rPr>
              <w:t>Lending</w:t>
            </w:r>
          </w:p>
        </w:tc>
        <w:tc>
          <w:tcPr>
            <w:tcW w:w="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Total</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280" w:type="dxa"/>
            <w:vAlign w:val="bottom"/>
            <w:gridSpan w:val="2"/>
            <w:vMerge w:val="restart"/>
          </w:tcPr>
          <w:p>
            <w:pPr>
              <w:spacing w:after="0"/>
              <w:rPr>
                <w:sz w:val="20"/>
                <w:szCs w:val="20"/>
                <w:color w:val="auto"/>
              </w:rPr>
            </w:pPr>
            <w:r>
              <w:rPr>
                <w:rFonts w:ascii="Arial" w:cs="Arial" w:eastAsia="Arial" w:hAnsi="Arial"/>
                <w:sz w:val="12"/>
                <w:szCs w:val="12"/>
                <w:color w:val="auto"/>
              </w:rPr>
              <w:t>December 31, 2020</w:t>
            </w: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b w:val="1"/>
                <w:bCs w:val="1"/>
                <w:color w:val="auto"/>
              </w:rPr>
              <w:t>(In</w:t>
            </w:r>
          </w:p>
        </w:tc>
        <w:tc>
          <w:tcPr>
            <w:tcW w:w="440" w:type="dxa"/>
            <w:vAlign w:val="bottom"/>
            <w:gridSpan w:val="2"/>
          </w:tcPr>
          <w:p>
            <w:pPr>
              <w:spacing w:after="0"/>
              <w:rPr>
                <w:sz w:val="20"/>
                <w:szCs w:val="20"/>
                <w:color w:val="auto"/>
              </w:rPr>
            </w:pPr>
            <w:r>
              <w:rPr>
                <w:rFonts w:ascii="Arial" w:cs="Arial" w:eastAsia="Arial" w:hAnsi="Arial"/>
                <w:sz w:val="11"/>
                <w:szCs w:val="11"/>
                <w:b w:val="1"/>
                <w:bCs w:val="1"/>
                <w:color w:val="auto"/>
                <w:w w:val="70"/>
              </w:rPr>
              <w:t>thousands)</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2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28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800 and above</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61,077</w:t>
            </w: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40,187</w:t>
            </w:r>
          </w:p>
        </w:tc>
        <w:tc>
          <w:tcPr>
            <w:tcW w:w="160" w:type="dxa"/>
            <w:vAlign w:val="bottom"/>
            <w:tcBorders>
              <w:left w:val="single" w:sz="8" w:color="CCEEFF"/>
            </w:tcBorders>
            <w:shd w:val="clear" w:color="auto" w:fill="CCEEFF"/>
          </w:tcPr>
          <w:p>
            <w:pPr>
              <w:jc w:val="right"/>
              <w:ind w:right="6"/>
              <w:spacing w:after="0"/>
              <w:rPr>
                <w:sz w:val="20"/>
                <w:szCs w:val="20"/>
                <w:color w:val="auto"/>
              </w:rPr>
            </w:pPr>
            <w:r>
              <w:rPr>
                <w:rFonts w:ascii="Arial" w:cs="Arial" w:eastAsia="Arial" w:hAnsi="Arial"/>
                <w:sz w:val="12"/>
                <w:szCs w:val="12"/>
                <w:color w:val="auto"/>
              </w:rPr>
              <w:t>$</w:t>
            </w:r>
          </w:p>
        </w:tc>
        <w:tc>
          <w:tcPr>
            <w:tcW w:w="1240" w:type="dxa"/>
            <w:vAlign w:val="bottom"/>
            <w:tcBorders>
              <w:right w:val="single" w:sz="8" w:color="CCEEFF"/>
            </w:tcBorders>
            <w:gridSpan w:val="2"/>
            <w:shd w:val="clear" w:color="auto" w:fill="CCEEFF"/>
          </w:tcPr>
          <w:p>
            <w:pPr>
              <w:jc w:val="right"/>
              <w:ind w:right="186"/>
              <w:spacing w:after="0"/>
              <w:rPr>
                <w:sz w:val="20"/>
                <w:szCs w:val="20"/>
                <w:color w:val="auto"/>
              </w:rPr>
            </w:pPr>
            <w:r>
              <w:rPr>
                <w:rFonts w:ascii="Arial" w:cs="Arial" w:eastAsia="Arial" w:hAnsi="Arial"/>
                <w:sz w:val="12"/>
                <w:szCs w:val="12"/>
                <w:color w:val="auto"/>
              </w:rPr>
              <w:t>25,468</w:t>
            </w:r>
          </w:p>
        </w:tc>
        <w:tc>
          <w:tcPr>
            <w:tcW w:w="2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EFF"/>
          </w:tcPr>
          <w:p>
            <w:pPr>
              <w:jc w:val="right"/>
              <w:ind w:right="166"/>
              <w:spacing w:after="0"/>
              <w:rPr>
                <w:sz w:val="20"/>
                <w:szCs w:val="20"/>
                <w:color w:val="auto"/>
              </w:rPr>
            </w:pPr>
            <w:r>
              <w:rPr>
                <w:rFonts w:ascii="Arial" w:cs="Arial" w:eastAsia="Arial" w:hAnsi="Arial"/>
                <w:sz w:val="12"/>
                <w:szCs w:val="12"/>
                <w:color w:val="auto"/>
              </w:rPr>
              <w:t>12,490</w:t>
            </w:r>
          </w:p>
        </w:tc>
        <w:tc>
          <w:tcPr>
            <w:tcW w:w="30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9,546</w:t>
            </w: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148,768</w:t>
            </w:r>
          </w:p>
        </w:tc>
        <w:tc>
          <w:tcPr>
            <w:tcW w:w="0" w:type="dxa"/>
            <w:vAlign w:val="bottom"/>
          </w:tcPr>
          <w:p>
            <w:pPr>
              <w:spacing w:after="0"/>
              <w:rPr>
                <w:sz w:val="1"/>
                <w:szCs w:val="1"/>
                <w:color w:val="auto"/>
              </w:rPr>
            </w:pPr>
          </w:p>
        </w:tc>
      </w:tr>
      <w:tr>
        <w:trPr>
          <w:trHeight w:val="144"/>
        </w:trPr>
        <w:tc>
          <w:tcPr>
            <w:tcW w:w="1680" w:type="dxa"/>
            <w:vAlign w:val="bottom"/>
          </w:tcPr>
          <w:p>
            <w:pPr>
              <w:ind w:left="100"/>
              <w:spacing w:after="0"/>
              <w:rPr>
                <w:sz w:val="20"/>
                <w:szCs w:val="20"/>
                <w:color w:val="auto"/>
              </w:rPr>
            </w:pPr>
            <w:r>
              <w:rPr>
                <w:rFonts w:ascii="Arial" w:cs="Arial" w:eastAsia="Arial" w:hAnsi="Arial"/>
                <w:sz w:val="12"/>
                <w:szCs w:val="12"/>
                <w:color w:val="auto"/>
              </w:rPr>
              <w:t>750-799</w:t>
            </w:r>
          </w:p>
        </w:tc>
        <w:tc>
          <w:tcPr>
            <w:tcW w:w="1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223,177</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70,642</w:t>
            </w:r>
          </w:p>
        </w:tc>
        <w:tc>
          <w:tcPr>
            <w:tcW w:w="160" w:type="dxa"/>
            <w:vAlign w:val="bottom"/>
          </w:tcPr>
          <w:p>
            <w:pPr>
              <w:spacing w:after="0"/>
              <w:rPr>
                <w:sz w:val="12"/>
                <w:szCs w:val="12"/>
                <w:color w:val="auto"/>
              </w:rPr>
            </w:pPr>
          </w:p>
        </w:tc>
        <w:tc>
          <w:tcPr>
            <w:tcW w:w="1240" w:type="dxa"/>
            <w:vAlign w:val="bottom"/>
            <w:gridSpan w:val="2"/>
          </w:tcPr>
          <w:p>
            <w:pPr>
              <w:jc w:val="right"/>
              <w:ind w:right="186"/>
              <w:spacing w:after="0"/>
              <w:rPr>
                <w:sz w:val="20"/>
                <w:szCs w:val="20"/>
                <w:color w:val="auto"/>
              </w:rPr>
            </w:pPr>
            <w:r>
              <w:rPr>
                <w:rFonts w:ascii="Arial" w:cs="Arial" w:eastAsia="Arial" w:hAnsi="Arial"/>
                <w:sz w:val="12"/>
                <w:szCs w:val="12"/>
                <w:color w:val="auto"/>
              </w:rPr>
              <w:t>82,124</w:t>
            </w:r>
          </w:p>
        </w:tc>
        <w:tc>
          <w:tcPr>
            <w:tcW w:w="200" w:type="dxa"/>
            <w:vAlign w:val="bottom"/>
          </w:tcPr>
          <w:p>
            <w:pPr>
              <w:spacing w:after="0"/>
              <w:rPr>
                <w:sz w:val="12"/>
                <w:szCs w:val="12"/>
                <w:color w:val="auto"/>
              </w:rPr>
            </w:pPr>
          </w:p>
        </w:tc>
        <w:tc>
          <w:tcPr>
            <w:tcW w:w="1120" w:type="dxa"/>
            <w:vAlign w:val="bottom"/>
            <w:gridSpan w:val="2"/>
          </w:tcPr>
          <w:p>
            <w:pPr>
              <w:jc w:val="right"/>
              <w:ind w:right="166"/>
              <w:spacing w:after="0"/>
              <w:rPr>
                <w:sz w:val="20"/>
                <w:szCs w:val="20"/>
                <w:color w:val="auto"/>
              </w:rPr>
            </w:pPr>
            <w:r>
              <w:rPr>
                <w:rFonts w:ascii="Arial" w:cs="Arial" w:eastAsia="Arial" w:hAnsi="Arial"/>
                <w:sz w:val="12"/>
                <w:szCs w:val="12"/>
                <w:color w:val="auto"/>
              </w:rPr>
              <w:t>42,138</w:t>
            </w:r>
          </w:p>
        </w:tc>
        <w:tc>
          <w:tcPr>
            <w:tcW w:w="300" w:type="dxa"/>
            <w:vAlign w:val="bottom"/>
          </w:tcPr>
          <w:p>
            <w:pPr>
              <w:spacing w:after="0"/>
              <w:rPr>
                <w:sz w:val="12"/>
                <w:szCs w:val="1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27,530</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445,611</w:t>
            </w:r>
          </w:p>
        </w:tc>
        <w:tc>
          <w:tcPr>
            <w:tcW w:w="0" w:type="dxa"/>
            <w:vAlign w:val="bottom"/>
          </w:tcPr>
          <w:p>
            <w:pPr>
              <w:spacing w:after="0"/>
              <w:rPr>
                <w:sz w:val="1"/>
                <w:szCs w:val="1"/>
                <w:color w:val="auto"/>
              </w:rPr>
            </w:pPr>
          </w:p>
        </w:tc>
      </w:tr>
      <w:tr>
        <w:trPr>
          <w:trHeight w:val="144"/>
        </w:trPr>
        <w:tc>
          <w:tcPr>
            <w:tcW w:w="1680" w:type="dxa"/>
            <w:vAlign w:val="bottom"/>
            <w:shd w:val="clear" w:color="auto" w:fill="CCEEFF"/>
          </w:tcPr>
          <w:p>
            <w:pPr>
              <w:ind w:left="80"/>
              <w:spacing w:after="0"/>
              <w:rPr>
                <w:sz w:val="20"/>
                <w:szCs w:val="20"/>
                <w:color w:val="auto"/>
              </w:rPr>
            </w:pPr>
            <w:r>
              <w:rPr>
                <w:rFonts w:ascii="Arial" w:cs="Arial" w:eastAsia="Arial" w:hAnsi="Arial"/>
                <w:sz w:val="12"/>
                <w:szCs w:val="12"/>
                <w:color w:val="auto"/>
              </w:rPr>
              <w:t>700-749</w:t>
            </w:r>
          </w:p>
        </w:tc>
        <w:tc>
          <w:tcPr>
            <w:tcW w:w="1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101,086</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75,489</w:t>
            </w:r>
          </w:p>
        </w:tc>
        <w:tc>
          <w:tcPr>
            <w:tcW w:w="160" w:type="dxa"/>
            <w:vAlign w:val="bottom"/>
            <w:tcBorders>
              <w:left w:val="single" w:sz="8" w:color="CCEEFF"/>
            </w:tcBorders>
            <w:shd w:val="clear" w:color="auto" w:fill="CCEEFF"/>
          </w:tcPr>
          <w:p>
            <w:pPr>
              <w:spacing w:after="0"/>
              <w:rPr>
                <w:sz w:val="12"/>
                <w:szCs w:val="12"/>
                <w:color w:val="auto"/>
              </w:rPr>
            </w:pPr>
          </w:p>
        </w:tc>
        <w:tc>
          <w:tcPr>
            <w:tcW w:w="1240" w:type="dxa"/>
            <w:vAlign w:val="bottom"/>
            <w:tcBorders>
              <w:right w:val="single" w:sz="8" w:color="CCEEFF"/>
            </w:tcBorders>
            <w:gridSpan w:val="2"/>
            <w:shd w:val="clear" w:color="auto" w:fill="CCEEFF"/>
          </w:tcPr>
          <w:p>
            <w:pPr>
              <w:jc w:val="right"/>
              <w:ind w:right="186"/>
              <w:spacing w:after="0"/>
              <w:rPr>
                <w:sz w:val="20"/>
                <w:szCs w:val="20"/>
                <w:color w:val="auto"/>
              </w:rPr>
            </w:pPr>
            <w:r>
              <w:rPr>
                <w:rFonts w:ascii="Arial" w:cs="Arial" w:eastAsia="Arial" w:hAnsi="Arial"/>
                <w:sz w:val="12"/>
                <w:szCs w:val="12"/>
                <w:color w:val="auto"/>
              </w:rPr>
              <w:t>30,326</w:t>
            </w:r>
          </w:p>
        </w:tc>
        <w:tc>
          <w:tcPr>
            <w:tcW w:w="2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6"/>
              <w:spacing w:after="0"/>
              <w:rPr>
                <w:sz w:val="20"/>
                <w:szCs w:val="20"/>
                <w:color w:val="auto"/>
              </w:rPr>
            </w:pPr>
            <w:r>
              <w:rPr>
                <w:rFonts w:ascii="Arial" w:cs="Arial" w:eastAsia="Arial" w:hAnsi="Arial"/>
                <w:sz w:val="12"/>
                <w:szCs w:val="12"/>
                <w:color w:val="auto"/>
              </w:rPr>
              <w:t>22,962</w:t>
            </w:r>
          </w:p>
        </w:tc>
        <w:tc>
          <w:tcPr>
            <w:tcW w:w="3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11,726</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241,589</w:t>
            </w:r>
          </w:p>
        </w:tc>
        <w:tc>
          <w:tcPr>
            <w:tcW w:w="0" w:type="dxa"/>
            <w:vAlign w:val="bottom"/>
          </w:tcPr>
          <w:p>
            <w:pPr>
              <w:spacing w:after="0"/>
              <w:rPr>
                <w:sz w:val="1"/>
                <w:szCs w:val="1"/>
                <w:color w:val="auto"/>
              </w:rPr>
            </w:pPr>
          </w:p>
        </w:tc>
      </w:tr>
      <w:tr>
        <w:trPr>
          <w:trHeight w:val="144"/>
        </w:trPr>
        <w:tc>
          <w:tcPr>
            <w:tcW w:w="1680" w:type="dxa"/>
            <w:vAlign w:val="bottom"/>
          </w:tcPr>
          <w:p>
            <w:pPr>
              <w:ind w:left="80"/>
              <w:spacing w:after="0"/>
              <w:rPr>
                <w:sz w:val="20"/>
                <w:szCs w:val="20"/>
                <w:color w:val="auto"/>
              </w:rPr>
            </w:pPr>
            <w:r>
              <w:rPr>
                <w:rFonts w:ascii="Arial" w:cs="Arial" w:eastAsia="Arial" w:hAnsi="Arial"/>
                <w:sz w:val="12"/>
                <w:szCs w:val="12"/>
                <w:color w:val="auto"/>
              </w:rPr>
              <w:t>650-699</w:t>
            </w:r>
          </w:p>
        </w:tc>
        <w:tc>
          <w:tcPr>
            <w:tcW w:w="1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40,296</w:t>
            </w:r>
          </w:p>
        </w:tc>
        <w:tc>
          <w:tcPr>
            <w:tcW w:w="16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44,344</w:t>
            </w:r>
          </w:p>
        </w:tc>
        <w:tc>
          <w:tcPr>
            <w:tcW w:w="160" w:type="dxa"/>
            <w:vAlign w:val="bottom"/>
          </w:tcPr>
          <w:p>
            <w:pPr>
              <w:spacing w:after="0"/>
              <w:rPr>
                <w:sz w:val="12"/>
                <w:szCs w:val="12"/>
                <w:color w:val="auto"/>
              </w:rPr>
            </w:pPr>
          </w:p>
        </w:tc>
        <w:tc>
          <w:tcPr>
            <w:tcW w:w="1240" w:type="dxa"/>
            <w:vAlign w:val="bottom"/>
            <w:gridSpan w:val="2"/>
          </w:tcPr>
          <w:p>
            <w:pPr>
              <w:jc w:val="right"/>
              <w:ind w:right="186"/>
              <w:spacing w:after="0"/>
              <w:rPr>
                <w:sz w:val="20"/>
                <w:szCs w:val="20"/>
                <w:color w:val="auto"/>
              </w:rPr>
            </w:pPr>
            <w:r>
              <w:rPr>
                <w:rFonts w:ascii="Arial" w:cs="Arial" w:eastAsia="Arial" w:hAnsi="Arial"/>
                <w:sz w:val="12"/>
                <w:szCs w:val="12"/>
                <w:color w:val="auto"/>
              </w:rPr>
              <w:t>13,182</w:t>
            </w:r>
          </w:p>
        </w:tc>
        <w:tc>
          <w:tcPr>
            <w:tcW w:w="200" w:type="dxa"/>
            <w:vAlign w:val="bottom"/>
          </w:tcPr>
          <w:p>
            <w:pPr>
              <w:spacing w:after="0"/>
              <w:rPr>
                <w:sz w:val="12"/>
                <w:szCs w:val="12"/>
                <w:color w:val="auto"/>
              </w:rPr>
            </w:pPr>
          </w:p>
        </w:tc>
        <w:tc>
          <w:tcPr>
            <w:tcW w:w="1120" w:type="dxa"/>
            <w:vAlign w:val="bottom"/>
            <w:gridSpan w:val="2"/>
          </w:tcPr>
          <w:p>
            <w:pPr>
              <w:jc w:val="right"/>
              <w:ind w:right="166"/>
              <w:spacing w:after="0"/>
              <w:rPr>
                <w:sz w:val="20"/>
                <w:szCs w:val="20"/>
                <w:color w:val="auto"/>
              </w:rPr>
            </w:pPr>
            <w:r>
              <w:rPr>
                <w:rFonts w:ascii="Arial" w:cs="Arial" w:eastAsia="Arial" w:hAnsi="Arial"/>
                <w:sz w:val="12"/>
                <w:szCs w:val="12"/>
                <w:color w:val="auto"/>
              </w:rPr>
              <w:t>11,269</w:t>
            </w:r>
          </w:p>
        </w:tc>
        <w:tc>
          <w:tcPr>
            <w:tcW w:w="300" w:type="dxa"/>
            <w:vAlign w:val="bottom"/>
          </w:tcPr>
          <w:p>
            <w:pPr>
              <w:spacing w:after="0"/>
              <w:rPr>
                <w:sz w:val="12"/>
                <w:szCs w:val="1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6,393</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115,484</w:t>
            </w:r>
          </w:p>
        </w:tc>
        <w:tc>
          <w:tcPr>
            <w:tcW w:w="0" w:type="dxa"/>
            <w:vAlign w:val="bottom"/>
          </w:tcPr>
          <w:p>
            <w:pPr>
              <w:spacing w:after="0"/>
              <w:rPr>
                <w:sz w:val="1"/>
                <w:szCs w:val="1"/>
                <w:color w:val="auto"/>
              </w:rPr>
            </w:pPr>
          </w:p>
        </w:tc>
      </w:tr>
      <w:tr>
        <w:trPr>
          <w:trHeight w:val="144"/>
        </w:trPr>
        <w:tc>
          <w:tcPr>
            <w:tcW w:w="1680" w:type="dxa"/>
            <w:vAlign w:val="bottom"/>
            <w:shd w:val="clear" w:color="auto" w:fill="CCEEFF"/>
          </w:tcPr>
          <w:p>
            <w:pPr>
              <w:ind w:left="80"/>
              <w:spacing w:after="0"/>
              <w:rPr>
                <w:sz w:val="20"/>
                <w:szCs w:val="20"/>
                <w:color w:val="auto"/>
              </w:rPr>
            </w:pPr>
            <w:r>
              <w:rPr>
                <w:rFonts w:ascii="Arial" w:cs="Arial" w:eastAsia="Arial" w:hAnsi="Arial"/>
                <w:sz w:val="12"/>
                <w:szCs w:val="12"/>
                <w:color w:val="auto"/>
              </w:rPr>
              <w:t>600-649</w:t>
            </w:r>
          </w:p>
        </w:tc>
        <w:tc>
          <w:tcPr>
            <w:tcW w:w="1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11,146</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18,519</w:t>
            </w:r>
          </w:p>
        </w:tc>
        <w:tc>
          <w:tcPr>
            <w:tcW w:w="160" w:type="dxa"/>
            <w:vAlign w:val="bottom"/>
            <w:tcBorders>
              <w:left w:val="single" w:sz="8" w:color="CCEEFF"/>
            </w:tcBorders>
            <w:shd w:val="clear" w:color="auto" w:fill="CCEEFF"/>
          </w:tcPr>
          <w:p>
            <w:pPr>
              <w:spacing w:after="0"/>
              <w:rPr>
                <w:sz w:val="12"/>
                <w:szCs w:val="12"/>
                <w:color w:val="auto"/>
              </w:rPr>
            </w:pPr>
          </w:p>
        </w:tc>
        <w:tc>
          <w:tcPr>
            <w:tcW w:w="1240" w:type="dxa"/>
            <w:vAlign w:val="bottom"/>
            <w:tcBorders>
              <w:right w:val="single" w:sz="8" w:color="CCEEFF"/>
            </w:tcBorders>
            <w:gridSpan w:val="2"/>
            <w:shd w:val="clear" w:color="auto" w:fill="CCEEFF"/>
          </w:tcPr>
          <w:p>
            <w:pPr>
              <w:jc w:val="right"/>
              <w:ind w:right="186"/>
              <w:spacing w:after="0"/>
              <w:rPr>
                <w:sz w:val="20"/>
                <w:szCs w:val="20"/>
                <w:color w:val="auto"/>
              </w:rPr>
            </w:pPr>
            <w:r>
              <w:rPr>
                <w:rFonts w:ascii="Arial" w:cs="Arial" w:eastAsia="Arial" w:hAnsi="Arial"/>
                <w:sz w:val="12"/>
                <w:szCs w:val="12"/>
                <w:color w:val="auto"/>
              </w:rPr>
              <w:t>4,303</w:t>
            </w:r>
          </w:p>
        </w:tc>
        <w:tc>
          <w:tcPr>
            <w:tcW w:w="2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6"/>
              <w:spacing w:after="0"/>
              <w:rPr>
                <w:sz w:val="20"/>
                <w:szCs w:val="20"/>
                <w:color w:val="auto"/>
              </w:rPr>
            </w:pPr>
            <w:r>
              <w:rPr>
                <w:rFonts w:ascii="Arial" w:cs="Arial" w:eastAsia="Arial" w:hAnsi="Arial"/>
                <w:sz w:val="12"/>
                <w:szCs w:val="12"/>
                <w:color w:val="auto"/>
              </w:rPr>
              <w:t>2,703</w:t>
            </w:r>
          </w:p>
        </w:tc>
        <w:tc>
          <w:tcPr>
            <w:tcW w:w="3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1,670</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38,341</w:t>
            </w:r>
          </w:p>
        </w:tc>
        <w:tc>
          <w:tcPr>
            <w:tcW w:w="0" w:type="dxa"/>
            <w:vAlign w:val="bottom"/>
          </w:tcPr>
          <w:p>
            <w:pPr>
              <w:spacing w:after="0"/>
              <w:rPr>
                <w:sz w:val="1"/>
                <w:szCs w:val="1"/>
                <w:color w:val="auto"/>
              </w:rPr>
            </w:pPr>
          </w:p>
        </w:tc>
      </w:tr>
      <w:tr>
        <w:trPr>
          <w:trHeight w:val="144"/>
        </w:trPr>
        <w:tc>
          <w:tcPr>
            <w:tcW w:w="1680" w:type="dxa"/>
            <w:vAlign w:val="bottom"/>
          </w:tcPr>
          <w:p>
            <w:pPr>
              <w:ind w:left="80"/>
              <w:spacing w:after="0"/>
              <w:rPr>
                <w:sz w:val="20"/>
                <w:szCs w:val="20"/>
                <w:color w:val="auto"/>
              </w:rPr>
            </w:pPr>
            <w:r>
              <w:rPr>
                <w:rFonts w:ascii="Arial" w:cs="Arial" w:eastAsia="Arial" w:hAnsi="Arial"/>
                <w:sz w:val="12"/>
                <w:szCs w:val="12"/>
                <w:color w:val="auto"/>
              </w:rPr>
              <w:t>550-599</w:t>
            </w:r>
          </w:p>
        </w:tc>
        <w:tc>
          <w:tcPr>
            <w:tcW w:w="1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11,021</w:t>
            </w:r>
          </w:p>
        </w:tc>
        <w:tc>
          <w:tcPr>
            <w:tcW w:w="160" w:type="dxa"/>
            <w:vAlign w:val="bottom"/>
          </w:tcPr>
          <w:p>
            <w:pPr>
              <w:spacing w:after="0"/>
              <w:rPr>
                <w:sz w:val="12"/>
                <w:szCs w:val="12"/>
                <w:color w:val="auto"/>
              </w:rPr>
            </w:pPr>
          </w:p>
        </w:tc>
        <w:tc>
          <w:tcPr>
            <w:tcW w:w="1240" w:type="dxa"/>
            <w:vAlign w:val="bottom"/>
            <w:gridSpan w:val="2"/>
          </w:tcPr>
          <w:p>
            <w:pPr>
              <w:jc w:val="right"/>
              <w:ind w:right="186"/>
              <w:spacing w:after="0"/>
              <w:rPr>
                <w:sz w:val="20"/>
                <w:szCs w:val="20"/>
                <w:color w:val="auto"/>
              </w:rPr>
            </w:pPr>
            <w:r>
              <w:rPr>
                <w:rFonts w:ascii="Arial" w:cs="Arial" w:eastAsia="Arial" w:hAnsi="Arial"/>
                <w:sz w:val="12"/>
                <w:szCs w:val="12"/>
                <w:color w:val="auto"/>
              </w:rPr>
              <w:t>2,388</w:t>
            </w:r>
          </w:p>
        </w:tc>
        <w:tc>
          <w:tcPr>
            <w:tcW w:w="200" w:type="dxa"/>
            <w:vAlign w:val="bottom"/>
          </w:tcPr>
          <w:p>
            <w:pPr>
              <w:spacing w:after="0"/>
              <w:rPr>
                <w:sz w:val="12"/>
                <w:szCs w:val="12"/>
                <w:color w:val="auto"/>
              </w:rPr>
            </w:pPr>
          </w:p>
        </w:tc>
        <w:tc>
          <w:tcPr>
            <w:tcW w:w="1120" w:type="dxa"/>
            <w:vAlign w:val="bottom"/>
            <w:gridSpan w:val="2"/>
          </w:tcPr>
          <w:p>
            <w:pPr>
              <w:jc w:val="right"/>
              <w:ind w:right="166"/>
              <w:spacing w:after="0"/>
              <w:rPr>
                <w:sz w:val="20"/>
                <w:szCs w:val="20"/>
                <w:color w:val="auto"/>
              </w:rPr>
            </w:pPr>
            <w:r>
              <w:rPr>
                <w:rFonts w:ascii="Arial" w:cs="Arial" w:eastAsia="Arial" w:hAnsi="Arial"/>
                <w:sz w:val="12"/>
                <w:szCs w:val="12"/>
                <w:color w:val="auto"/>
              </w:rPr>
              <w:t>1,608</w:t>
            </w:r>
          </w:p>
        </w:tc>
        <w:tc>
          <w:tcPr>
            <w:tcW w:w="300" w:type="dxa"/>
            <w:vAlign w:val="bottom"/>
          </w:tcPr>
          <w:p>
            <w:pPr>
              <w:spacing w:after="0"/>
              <w:rPr>
                <w:sz w:val="12"/>
                <w:szCs w:val="1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917</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15,934</w:t>
            </w:r>
          </w:p>
        </w:tc>
        <w:tc>
          <w:tcPr>
            <w:tcW w:w="0" w:type="dxa"/>
            <w:vAlign w:val="bottom"/>
          </w:tcPr>
          <w:p>
            <w:pPr>
              <w:spacing w:after="0"/>
              <w:rPr>
                <w:sz w:val="1"/>
                <w:szCs w:val="1"/>
                <w:color w:val="auto"/>
              </w:rPr>
            </w:pPr>
          </w:p>
        </w:tc>
      </w:tr>
      <w:tr>
        <w:trPr>
          <w:trHeight w:val="144"/>
        </w:trPr>
        <w:tc>
          <w:tcPr>
            <w:tcW w:w="1680" w:type="dxa"/>
            <w:vAlign w:val="bottom"/>
            <w:shd w:val="clear" w:color="auto" w:fill="CCEEFF"/>
          </w:tcPr>
          <w:p>
            <w:pPr>
              <w:ind w:left="80"/>
              <w:spacing w:after="0"/>
              <w:rPr>
                <w:sz w:val="20"/>
                <w:szCs w:val="20"/>
                <w:color w:val="auto"/>
              </w:rPr>
            </w:pPr>
            <w:r>
              <w:rPr>
                <w:rFonts w:ascii="Arial" w:cs="Arial" w:eastAsia="Arial" w:hAnsi="Arial"/>
                <w:sz w:val="12"/>
                <w:szCs w:val="12"/>
                <w:color w:val="auto"/>
              </w:rPr>
              <w:t>500-549</w:t>
            </w:r>
          </w:p>
        </w:tc>
        <w:tc>
          <w:tcPr>
            <w:tcW w:w="1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3,396</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5,129</w:t>
            </w:r>
          </w:p>
        </w:tc>
        <w:tc>
          <w:tcPr>
            <w:tcW w:w="160" w:type="dxa"/>
            <w:vAlign w:val="bottom"/>
            <w:tcBorders>
              <w:left w:val="single" w:sz="8" w:color="CCEEFF"/>
            </w:tcBorders>
            <w:shd w:val="clear" w:color="auto" w:fill="CCEEFF"/>
          </w:tcPr>
          <w:p>
            <w:pPr>
              <w:spacing w:after="0"/>
              <w:rPr>
                <w:sz w:val="12"/>
                <w:szCs w:val="12"/>
                <w:color w:val="auto"/>
              </w:rPr>
            </w:pPr>
          </w:p>
        </w:tc>
        <w:tc>
          <w:tcPr>
            <w:tcW w:w="1240" w:type="dxa"/>
            <w:vAlign w:val="bottom"/>
            <w:tcBorders>
              <w:right w:val="single" w:sz="8" w:color="CCEEFF"/>
            </w:tcBorders>
            <w:gridSpan w:val="2"/>
            <w:shd w:val="clear" w:color="auto" w:fill="CCEEFF"/>
          </w:tcPr>
          <w:p>
            <w:pPr>
              <w:jc w:val="right"/>
              <w:ind w:right="186"/>
              <w:spacing w:after="0"/>
              <w:rPr>
                <w:sz w:val="20"/>
                <w:szCs w:val="20"/>
                <w:color w:val="auto"/>
              </w:rPr>
            </w:pPr>
            <w:r>
              <w:rPr>
                <w:rFonts w:ascii="Arial" w:cs="Arial" w:eastAsia="Arial" w:hAnsi="Arial"/>
                <w:sz w:val="12"/>
                <w:szCs w:val="12"/>
                <w:color w:val="auto"/>
              </w:rPr>
              <w:t>1,580</w:t>
            </w:r>
          </w:p>
        </w:tc>
        <w:tc>
          <w:tcPr>
            <w:tcW w:w="2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6"/>
              <w:spacing w:after="0"/>
              <w:rPr>
                <w:sz w:val="20"/>
                <w:szCs w:val="20"/>
                <w:color w:val="auto"/>
              </w:rPr>
            </w:pPr>
            <w:r>
              <w:rPr>
                <w:rFonts w:ascii="Arial" w:cs="Arial" w:eastAsia="Arial" w:hAnsi="Arial"/>
                <w:sz w:val="12"/>
                <w:szCs w:val="12"/>
                <w:color w:val="auto"/>
              </w:rPr>
              <w:t>1,012</w:t>
            </w:r>
          </w:p>
        </w:tc>
        <w:tc>
          <w:tcPr>
            <w:tcW w:w="3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192</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11,309</w:t>
            </w:r>
          </w:p>
        </w:tc>
        <w:tc>
          <w:tcPr>
            <w:tcW w:w="0" w:type="dxa"/>
            <w:vAlign w:val="bottom"/>
          </w:tcPr>
          <w:p>
            <w:pPr>
              <w:spacing w:after="0"/>
              <w:rPr>
                <w:sz w:val="1"/>
                <w:szCs w:val="1"/>
                <w:color w:val="auto"/>
              </w:rPr>
            </w:pPr>
          </w:p>
        </w:tc>
      </w:tr>
      <w:tr>
        <w:trPr>
          <w:trHeight w:val="144"/>
        </w:trPr>
        <w:tc>
          <w:tcPr>
            <w:tcW w:w="3280" w:type="dxa"/>
            <w:vAlign w:val="bottom"/>
            <w:gridSpan w:val="2"/>
          </w:tcPr>
          <w:p>
            <w:pPr>
              <w:ind w:left="80"/>
              <w:spacing w:after="0"/>
              <w:rPr>
                <w:sz w:val="20"/>
                <w:szCs w:val="20"/>
                <w:color w:val="auto"/>
              </w:rPr>
            </w:pPr>
            <w:r>
              <w:rPr>
                <w:rFonts w:ascii="Arial" w:cs="Arial" w:eastAsia="Arial" w:hAnsi="Arial"/>
                <w:sz w:val="12"/>
                <w:szCs w:val="12"/>
                <w:color w:val="auto"/>
              </w:rPr>
              <w:t>Under 500</w:t>
            </w:r>
          </w:p>
        </w:tc>
        <w:tc>
          <w:tcPr>
            <w:tcW w:w="1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2,242</w:t>
            </w:r>
          </w:p>
        </w:tc>
        <w:tc>
          <w:tcPr>
            <w:tcW w:w="160" w:type="dxa"/>
            <w:vAlign w:val="bottom"/>
          </w:tcPr>
          <w:p>
            <w:pPr>
              <w:spacing w:after="0"/>
              <w:rPr>
                <w:sz w:val="12"/>
                <w:szCs w:val="12"/>
                <w:color w:val="auto"/>
              </w:rPr>
            </w:pPr>
          </w:p>
        </w:tc>
        <w:tc>
          <w:tcPr>
            <w:tcW w:w="1240" w:type="dxa"/>
            <w:vAlign w:val="bottom"/>
            <w:gridSpan w:val="2"/>
          </w:tcPr>
          <w:p>
            <w:pPr>
              <w:jc w:val="right"/>
              <w:ind w:right="186"/>
              <w:spacing w:after="0"/>
              <w:rPr>
                <w:sz w:val="20"/>
                <w:szCs w:val="20"/>
                <w:color w:val="auto"/>
              </w:rPr>
            </w:pPr>
            <w:r>
              <w:rPr>
                <w:rFonts w:ascii="Arial" w:cs="Arial" w:eastAsia="Arial" w:hAnsi="Arial"/>
                <w:sz w:val="12"/>
                <w:szCs w:val="12"/>
                <w:color w:val="auto"/>
              </w:rPr>
              <w:t>405</w:t>
            </w:r>
          </w:p>
        </w:tc>
        <w:tc>
          <w:tcPr>
            <w:tcW w:w="200" w:type="dxa"/>
            <w:vAlign w:val="bottom"/>
          </w:tcPr>
          <w:p>
            <w:pPr>
              <w:spacing w:after="0"/>
              <w:rPr>
                <w:sz w:val="12"/>
                <w:szCs w:val="12"/>
                <w:color w:val="auto"/>
              </w:rPr>
            </w:pPr>
          </w:p>
        </w:tc>
        <w:tc>
          <w:tcPr>
            <w:tcW w:w="1120" w:type="dxa"/>
            <w:vAlign w:val="bottom"/>
            <w:gridSpan w:val="2"/>
          </w:tcPr>
          <w:p>
            <w:pPr>
              <w:jc w:val="right"/>
              <w:ind w:right="166"/>
              <w:spacing w:after="0"/>
              <w:rPr>
                <w:sz w:val="20"/>
                <w:szCs w:val="20"/>
                <w:color w:val="auto"/>
              </w:rPr>
            </w:pPr>
            <w:r>
              <w:rPr>
                <w:rFonts w:ascii="Arial" w:cs="Arial" w:eastAsia="Arial" w:hAnsi="Arial"/>
                <w:sz w:val="12"/>
                <w:szCs w:val="12"/>
                <w:color w:val="auto"/>
              </w:rPr>
              <w:t>348</w:t>
            </w:r>
          </w:p>
        </w:tc>
        <w:tc>
          <w:tcPr>
            <w:tcW w:w="300" w:type="dxa"/>
            <w:vAlign w:val="bottom"/>
          </w:tcPr>
          <w:p>
            <w:pPr>
              <w:spacing w:after="0"/>
              <w:rPr>
                <w:sz w:val="12"/>
                <w:szCs w:val="1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73</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3,068</w:t>
            </w:r>
          </w:p>
        </w:tc>
        <w:tc>
          <w:tcPr>
            <w:tcW w:w="0" w:type="dxa"/>
            <w:vAlign w:val="bottom"/>
          </w:tcPr>
          <w:p>
            <w:pPr>
              <w:spacing w:after="0"/>
              <w:rPr>
                <w:sz w:val="1"/>
                <w:szCs w:val="1"/>
                <w:color w:val="auto"/>
              </w:rPr>
            </w:pPr>
          </w:p>
        </w:tc>
      </w:tr>
      <w:tr>
        <w:trPr>
          <w:trHeight w:val="182"/>
        </w:trPr>
        <w:tc>
          <w:tcPr>
            <w:tcW w:w="32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2"/>
                <w:szCs w:val="12"/>
                <w:color w:val="auto"/>
              </w:rPr>
              <w:t>Total</w:t>
            </w:r>
          </w:p>
        </w:tc>
        <w:tc>
          <w:tcPr>
            <w:tcW w:w="1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440,178</w:t>
            </w:r>
          </w:p>
        </w:tc>
        <w:tc>
          <w:tcPr>
            <w:tcW w:w="2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267,573</w:t>
            </w:r>
          </w:p>
        </w:tc>
        <w:tc>
          <w:tcPr>
            <w:tcW w:w="2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top w:val="single" w:sz="8" w:color="auto"/>
              <w:left w:val="single" w:sz="8" w:color="CCEEFF"/>
              <w:bottom w:val="single" w:sz="8" w:color="auto"/>
            </w:tcBorders>
            <w:shd w:val="clear" w:color="auto" w:fill="CCEEFF"/>
          </w:tcPr>
          <w:p>
            <w:pPr>
              <w:jc w:val="right"/>
              <w:ind w:right="6"/>
              <w:spacing w:after="0"/>
              <w:rPr>
                <w:sz w:val="20"/>
                <w:szCs w:val="20"/>
                <w:color w:val="auto"/>
              </w:rPr>
            </w:pPr>
            <w:r>
              <w:rPr>
                <w:rFonts w:ascii="Arial" w:cs="Arial" w:eastAsia="Arial" w:hAnsi="Arial"/>
                <w:sz w:val="12"/>
                <w:szCs w:val="12"/>
                <w:color w:val="auto"/>
              </w:rPr>
              <w:t>$</w:t>
            </w:r>
          </w:p>
        </w:tc>
        <w:tc>
          <w:tcPr>
            <w:tcW w:w="10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159,776</w:t>
            </w:r>
          </w:p>
        </w:tc>
        <w:tc>
          <w:tcPr>
            <w:tcW w:w="240" w:type="dxa"/>
            <w:vAlign w:val="bottom"/>
            <w:tcBorders>
              <w:bottom w:val="single" w:sz="8" w:color="CCEEFF"/>
              <w:right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94,530</w:t>
            </w:r>
          </w:p>
        </w:tc>
        <w:tc>
          <w:tcPr>
            <w:tcW w:w="2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58,047</w:t>
            </w:r>
          </w:p>
        </w:tc>
        <w:tc>
          <w:tcPr>
            <w:tcW w:w="2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1,020,104</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3280" w:type="dxa"/>
            <w:vAlign w:val="bottom"/>
            <w:gridSpan w:val="2"/>
          </w:tcPr>
          <w:p>
            <w:pPr>
              <w:ind w:left="100"/>
              <w:spacing w:after="0" w:line="120" w:lineRule="exact"/>
              <w:rPr>
                <w:sz w:val="20"/>
                <w:szCs w:val="20"/>
                <w:color w:val="auto"/>
              </w:rPr>
            </w:pPr>
            <w:r>
              <w:rPr>
                <w:rFonts w:ascii="Arial" w:cs="Arial" w:eastAsia="Arial" w:hAnsi="Arial"/>
                <w:sz w:val="12"/>
                <w:szCs w:val="12"/>
                <w:color w:val="auto"/>
              </w:rPr>
              <w:t>Accrued interest included in total</w:t>
            </w: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line="120" w:lineRule="exact"/>
              <w:rPr>
                <w:sz w:val="20"/>
                <w:szCs w:val="20"/>
                <w:color w:val="auto"/>
              </w:rPr>
            </w:pPr>
            <w:r>
              <w:rPr>
                <w:rFonts w:ascii="Arial" w:cs="Arial" w:eastAsia="Arial" w:hAnsi="Arial"/>
                <w:sz w:val="12"/>
                <w:szCs w:val="12"/>
                <w:color w:val="auto"/>
              </w:rPr>
              <w:t>1,301</w:t>
            </w:r>
          </w:p>
        </w:tc>
        <w:tc>
          <w:tcPr>
            <w:tcW w:w="240" w:type="dxa"/>
            <w:vAlign w:val="bottom"/>
          </w:tcPr>
          <w:p>
            <w:pPr>
              <w:spacing w:after="0"/>
              <w:rPr>
                <w:sz w:val="10"/>
                <w:szCs w:val="10"/>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line="120" w:lineRule="exact"/>
              <w:rPr>
                <w:sz w:val="20"/>
                <w:szCs w:val="20"/>
                <w:color w:val="auto"/>
              </w:rPr>
            </w:pPr>
            <w:r>
              <w:rPr>
                <w:rFonts w:ascii="Arial" w:cs="Arial" w:eastAsia="Arial" w:hAnsi="Arial"/>
                <w:sz w:val="12"/>
                <w:szCs w:val="12"/>
                <w:color w:val="auto"/>
              </w:rPr>
              <w:t>1,641</w:t>
            </w:r>
          </w:p>
        </w:tc>
        <w:tc>
          <w:tcPr>
            <w:tcW w:w="200" w:type="dxa"/>
            <w:vAlign w:val="bottom"/>
          </w:tcPr>
          <w:p>
            <w:pPr>
              <w:spacing w:after="0"/>
              <w:rPr>
                <w:sz w:val="10"/>
                <w:szCs w:val="10"/>
                <w:color w:val="auto"/>
              </w:rPr>
            </w:pPr>
          </w:p>
        </w:tc>
        <w:tc>
          <w:tcPr>
            <w:tcW w:w="160" w:type="dxa"/>
            <w:vAlign w:val="bottom"/>
          </w:tcPr>
          <w:p>
            <w:pPr>
              <w:jc w:val="right"/>
              <w:ind w:right="6"/>
              <w:spacing w:after="0" w:line="120" w:lineRule="exact"/>
              <w:rPr>
                <w:sz w:val="20"/>
                <w:szCs w:val="20"/>
                <w:color w:val="auto"/>
              </w:rPr>
            </w:pPr>
            <w:r>
              <w:rPr>
                <w:rFonts w:ascii="Arial" w:cs="Arial" w:eastAsia="Arial" w:hAnsi="Arial"/>
                <w:sz w:val="12"/>
                <w:szCs w:val="12"/>
                <w:color w:val="auto"/>
              </w:rPr>
              <w:t>$</w:t>
            </w:r>
          </w:p>
        </w:tc>
        <w:tc>
          <w:tcPr>
            <w:tcW w:w="1240" w:type="dxa"/>
            <w:vAlign w:val="bottom"/>
            <w:gridSpan w:val="2"/>
          </w:tcPr>
          <w:p>
            <w:pPr>
              <w:jc w:val="right"/>
              <w:ind w:right="186"/>
              <w:spacing w:after="0" w:line="120" w:lineRule="exact"/>
              <w:rPr>
                <w:sz w:val="20"/>
                <w:szCs w:val="20"/>
                <w:color w:val="auto"/>
              </w:rPr>
            </w:pPr>
            <w:r>
              <w:rPr>
                <w:rFonts w:ascii="Arial" w:cs="Arial" w:eastAsia="Arial" w:hAnsi="Arial"/>
                <w:sz w:val="12"/>
                <w:szCs w:val="12"/>
                <w:color w:val="auto"/>
              </w:rPr>
              <w:t>587</w:t>
            </w:r>
          </w:p>
        </w:tc>
        <w:tc>
          <w:tcPr>
            <w:tcW w:w="200" w:type="dxa"/>
            <w:vAlign w:val="bottom"/>
          </w:tcPr>
          <w:p>
            <w:pPr>
              <w:spacing w:after="0" w:line="120" w:lineRule="exact"/>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166"/>
              <w:spacing w:after="0" w:line="120" w:lineRule="exact"/>
              <w:rPr>
                <w:sz w:val="20"/>
                <w:szCs w:val="20"/>
                <w:color w:val="auto"/>
              </w:rPr>
            </w:pPr>
            <w:r>
              <w:rPr>
                <w:rFonts w:ascii="Arial" w:cs="Arial" w:eastAsia="Arial" w:hAnsi="Arial"/>
                <w:sz w:val="12"/>
                <w:szCs w:val="12"/>
                <w:color w:val="auto"/>
              </w:rPr>
              <w:t>373</w:t>
            </w: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220"/>
              <w:spacing w:after="0" w:line="120" w:lineRule="exact"/>
              <w:rPr>
                <w:sz w:val="20"/>
                <w:szCs w:val="20"/>
                <w:color w:val="auto"/>
              </w:rPr>
            </w:pPr>
            <w:r>
              <w:rPr>
                <w:rFonts w:ascii="Arial" w:cs="Arial" w:eastAsia="Arial" w:hAnsi="Arial"/>
                <w:sz w:val="12"/>
                <w:szCs w:val="12"/>
                <w:color w:val="auto"/>
              </w:rPr>
              <w:t>276</w:t>
            </w: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20"/>
              <w:spacing w:after="0" w:line="120" w:lineRule="exact"/>
              <w:rPr>
                <w:sz w:val="20"/>
                <w:szCs w:val="20"/>
                <w:color w:val="auto"/>
              </w:rPr>
            </w:pPr>
            <w:r>
              <w:rPr>
                <w:rFonts w:ascii="Arial" w:cs="Arial" w:eastAsia="Arial" w:hAnsi="Arial"/>
                <w:sz w:val="12"/>
                <w:szCs w:val="12"/>
                <w:color w:val="auto"/>
              </w:rPr>
              <w:t>4,178</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6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2"/>
                <w:szCs w:val="12"/>
                <w:b w:val="1"/>
                <w:bCs w:val="1"/>
                <w:color w:val="auto"/>
              </w:rPr>
              <w:t>Installment</w:t>
            </w:r>
          </w:p>
        </w:tc>
        <w:tc>
          <w:tcPr>
            <w:tcW w:w="8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16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jc w:val="center"/>
              <w:ind w:right="386"/>
              <w:spacing w:after="0" w:line="129" w:lineRule="exact"/>
              <w:rPr>
                <w:sz w:val="20"/>
                <w:szCs w:val="20"/>
                <w:color w:val="auto"/>
              </w:rPr>
            </w:pPr>
            <w:r>
              <w:rPr>
                <w:rFonts w:ascii="Arial" w:cs="Arial" w:eastAsia="Arial" w:hAnsi="Arial"/>
                <w:sz w:val="12"/>
                <w:szCs w:val="12"/>
                <w:b w:val="1"/>
                <w:bCs w:val="1"/>
                <w:color w:val="auto"/>
                <w:w w:val="88"/>
              </w:rPr>
              <w:t>Recreational</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6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center"/>
              <w:ind w:right="386"/>
              <w:spacing w:after="0"/>
              <w:rPr>
                <w:sz w:val="20"/>
                <w:szCs w:val="20"/>
                <w:color w:val="auto"/>
              </w:rPr>
            </w:pPr>
            <w:r>
              <w:rPr>
                <w:rFonts w:ascii="Arial" w:cs="Arial" w:eastAsia="Arial" w:hAnsi="Arial"/>
                <w:sz w:val="12"/>
                <w:szCs w:val="12"/>
                <w:b w:val="1"/>
                <w:bCs w:val="1"/>
                <w:color w:val="auto"/>
                <w:w w:val="85"/>
              </w:rPr>
              <w:t>Vehicle</w:t>
            </w: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6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b w:val="1"/>
                <w:bCs w:val="1"/>
                <w:color w:val="auto"/>
                <w:w w:val="96"/>
              </w:rPr>
              <w:t>Boat Lending</w:t>
            </w:r>
          </w:p>
        </w:tc>
        <w:tc>
          <w:tcPr>
            <w:tcW w:w="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160"/>
              <w:spacing w:after="0"/>
              <w:rPr>
                <w:sz w:val="20"/>
                <w:szCs w:val="20"/>
                <w:color w:val="auto"/>
              </w:rPr>
            </w:pPr>
            <w:r>
              <w:rPr>
                <w:rFonts w:ascii="Arial" w:cs="Arial" w:eastAsia="Arial" w:hAnsi="Arial"/>
                <w:sz w:val="12"/>
                <w:szCs w:val="12"/>
                <w:b w:val="1"/>
                <w:bCs w:val="1"/>
                <w:color w:val="auto"/>
                <w:w w:val="94"/>
              </w:rPr>
              <w:t>Lending</w:t>
            </w:r>
          </w:p>
        </w:tc>
        <w:tc>
          <w:tcPr>
            <w:tcW w:w="2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220"/>
              <w:spacing w:after="0"/>
              <w:rPr>
                <w:sz w:val="20"/>
                <w:szCs w:val="20"/>
                <w:color w:val="auto"/>
              </w:rPr>
            </w:pPr>
            <w:r>
              <w:rPr>
                <w:rFonts w:ascii="Arial" w:cs="Arial" w:eastAsia="Arial" w:hAnsi="Arial"/>
                <w:sz w:val="12"/>
                <w:szCs w:val="12"/>
                <w:b w:val="1"/>
                <w:bCs w:val="1"/>
                <w:color w:val="auto"/>
                <w:w w:val="93"/>
              </w:rPr>
              <w:t>Other</w:t>
            </w:r>
          </w:p>
        </w:tc>
        <w:tc>
          <w:tcPr>
            <w:tcW w:w="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Total</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280" w:type="dxa"/>
            <w:vAlign w:val="bottom"/>
            <w:gridSpan w:val="2"/>
            <w:vMerge w:val="restart"/>
          </w:tcPr>
          <w:p>
            <w:pPr>
              <w:spacing w:after="0"/>
              <w:rPr>
                <w:sz w:val="20"/>
                <w:szCs w:val="20"/>
                <w:color w:val="auto"/>
              </w:rPr>
            </w:pPr>
            <w:r>
              <w:rPr>
                <w:rFonts w:ascii="Arial" w:cs="Arial" w:eastAsia="Arial" w:hAnsi="Arial"/>
                <w:sz w:val="12"/>
                <w:szCs w:val="12"/>
                <w:color w:val="auto"/>
              </w:rPr>
              <w:t>December 31, 2020</w:t>
            </w: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right"/>
              <w:ind w:right="60"/>
              <w:spacing w:after="0"/>
              <w:rPr>
                <w:sz w:val="20"/>
                <w:szCs w:val="20"/>
                <w:color w:val="auto"/>
              </w:rPr>
            </w:pPr>
            <w:r>
              <w:rPr>
                <w:rFonts w:ascii="Arial" w:cs="Arial" w:eastAsia="Arial" w:hAnsi="Arial"/>
                <w:sz w:val="12"/>
                <w:szCs w:val="12"/>
                <w:b w:val="1"/>
                <w:bCs w:val="1"/>
                <w:color w:val="auto"/>
              </w:rPr>
              <w:t>(In</w:t>
            </w:r>
          </w:p>
        </w:tc>
        <w:tc>
          <w:tcPr>
            <w:tcW w:w="520" w:type="dxa"/>
            <w:vAlign w:val="bottom"/>
            <w:gridSpan w:val="2"/>
          </w:tcPr>
          <w:p>
            <w:pPr>
              <w:jc w:val="right"/>
              <w:ind w:right="12"/>
              <w:spacing w:after="0"/>
              <w:rPr>
                <w:sz w:val="20"/>
                <w:szCs w:val="20"/>
                <w:color w:val="auto"/>
              </w:rPr>
            </w:pPr>
            <w:r>
              <w:rPr>
                <w:rFonts w:ascii="Arial" w:cs="Arial" w:eastAsia="Arial" w:hAnsi="Arial"/>
                <w:sz w:val="11"/>
                <w:szCs w:val="11"/>
                <w:b w:val="1"/>
                <w:bCs w:val="1"/>
                <w:color w:val="auto"/>
                <w:w w:val="74"/>
              </w:rPr>
              <w:t>thousands)</w:t>
            </w: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2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28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800 and above</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jc w:val="right"/>
              <w:ind w:right="46"/>
              <w:spacing w:after="0"/>
              <w:rPr>
                <w:sz w:val="20"/>
                <w:szCs w:val="20"/>
                <w:color w:val="auto"/>
              </w:rPr>
            </w:pPr>
            <w:r>
              <w:rPr>
                <w:rFonts w:ascii="Arial" w:cs="Arial" w:eastAsia="Arial" w:hAnsi="Arial"/>
                <w:sz w:val="10"/>
                <w:szCs w:val="10"/>
                <w:color w:val="auto"/>
                <w:w w:val="71"/>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32,231</w:t>
            </w:r>
          </w:p>
        </w:tc>
        <w:tc>
          <w:tcPr>
            <w:tcW w:w="24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EFF"/>
          </w:tcPr>
          <w:p>
            <w:pPr>
              <w:jc w:val="right"/>
              <w:ind w:right="166"/>
              <w:spacing w:after="0"/>
              <w:rPr>
                <w:sz w:val="20"/>
                <w:szCs w:val="20"/>
                <w:color w:val="auto"/>
              </w:rPr>
            </w:pPr>
            <w:r>
              <w:rPr>
                <w:rFonts w:ascii="Arial" w:cs="Arial" w:eastAsia="Arial" w:hAnsi="Arial"/>
                <w:sz w:val="12"/>
                <w:szCs w:val="12"/>
                <w:color w:val="auto"/>
              </w:rPr>
              <w:t>29,223</w:t>
            </w:r>
          </w:p>
        </w:tc>
        <w:tc>
          <w:tcPr>
            <w:tcW w:w="30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9,154</w:t>
            </w: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70,608</w:t>
            </w:r>
          </w:p>
        </w:tc>
        <w:tc>
          <w:tcPr>
            <w:tcW w:w="0" w:type="dxa"/>
            <w:vAlign w:val="bottom"/>
          </w:tcPr>
          <w:p>
            <w:pPr>
              <w:spacing w:after="0"/>
              <w:rPr>
                <w:sz w:val="1"/>
                <w:szCs w:val="1"/>
                <w:color w:val="auto"/>
              </w:rPr>
            </w:pPr>
          </w:p>
        </w:tc>
      </w:tr>
      <w:tr>
        <w:trPr>
          <w:trHeight w:val="144"/>
        </w:trPr>
        <w:tc>
          <w:tcPr>
            <w:tcW w:w="1680" w:type="dxa"/>
            <w:vAlign w:val="bottom"/>
          </w:tcPr>
          <w:p>
            <w:pPr>
              <w:ind w:left="80"/>
              <w:spacing w:after="0"/>
              <w:rPr>
                <w:sz w:val="20"/>
                <w:szCs w:val="20"/>
                <w:color w:val="auto"/>
              </w:rPr>
            </w:pPr>
            <w:r>
              <w:rPr>
                <w:rFonts w:ascii="Arial" w:cs="Arial" w:eastAsia="Arial" w:hAnsi="Arial"/>
                <w:sz w:val="12"/>
                <w:szCs w:val="12"/>
                <w:color w:val="auto"/>
              </w:rPr>
              <w:t>750-799</w:t>
            </w:r>
          </w:p>
        </w:tc>
        <w:tc>
          <w:tcPr>
            <w:tcW w:w="1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123,689</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right"/>
              <w:ind w:right="166"/>
              <w:spacing w:after="0"/>
              <w:rPr>
                <w:sz w:val="20"/>
                <w:szCs w:val="20"/>
                <w:color w:val="auto"/>
              </w:rPr>
            </w:pPr>
            <w:r>
              <w:rPr>
                <w:rFonts w:ascii="Arial" w:cs="Arial" w:eastAsia="Arial" w:hAnsi="Arial"/>
                <w:sz w:val="12"/>
                <w:szCs w:val="12"/>
                <w:color w:val="auto"/>
              </w:rPr>
              <w:t>95,890</w:t>
            </w:r>
          </w:p>
        </w:tc>
        <w:tc>
          <w:tcPr>
            <w:tcW w:w="300" w:type="dxa"/>
            <w:vAlign w:val="bottom"/>
          </w:tcPr>
          <w:p>
            <w:pPr>
              <w:spacing w:after="0"/>
              <w:rPr>
                <w:sz w:val="12"/>
                <w:szCs w:val="1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37,512</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257,091</w:t>
            </w:r>
          </w:p>
        </w:tc>
        <w:tc>
          <w:tcPr>
            <w:tcW w:w="0" w:type="dxa"/>
            <w:vAlign w:val="bottom"/>
          </w:tcPr>
          <w:p>
            <w:pPr>
              <w:spacing w:after="0"/>
              <w:rPr>
                <w:sz w:val="1"/>
                <w:szCs w:val="1"/>
                <w:color w:val="auto"/>
              </w:rPr>
            </w:pPr>
          </w:p>
        </w:tc>
      </w:tr>
      <w:tr>
        <w:trPr>
          <w:trHeight w:val="144"/>
        </w:trPr>
        <w:tc>
          <w:tcPr>
            <w:tcW w:w="1680" w:type="dxa"/>
            <w:vAlign w:val="bottom"/>
            <w:shd w:val="clear" w:color="auto" w:fill="CCEEFF"/>
          </w:tcPr>
          <w:p>
            <w:pPr>
              <w:ind w:left="80"/>
              <w:spacing w:after="0"/>
              <w:rPr>
                <w:sz w:val="20"/>
                <w:szCs w:val="20"/>
                <w:color w:val="auto"/>
              </w:rPr>
            </w:pPr>
            <w:r>
              <w:rPr>
                <w:rFonts w:ascii="Arial" w:cs="Arial" w:eastAsia="Arial" w:hAnsi="Arial"/>
                <w:sz w:val="12"/>
                <w:szCs w:val="12"/>
                <w:color w:val="auto"/>
              </w:rPr>
              <w:t>700-749</w:t>
            </w:r>
          </w:p>
        </w:tc>
        <w:tc>
          <w:tcPr>
            <w:tcW w:w="1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38,223</w:t>
            </w:r>
          </w:p>
        </w:tc>
        <w:tc>
          <w:tcPr>
            <w:tcW w:w="24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6"/>
              <w:spacing w:after="0"/>
              <w:rPr>
                <w:sz w:val="20"/>
                <w:szCs w:val="20"/>
                <w:color w:val="auto"/>
              </w:rPr>
            </w:pPr>
            <w:r>
              <w:rPr>
                <w:rFonts w:ascii="Arial" w:cs="Arial" w:eastAsia="Arial" w:hAnsi="Arial"/>
                <w:sz w:val="12"/>
                <w:szCs w:val="12"/>
                <w:color w:val="auto"/>
              </w:rPr>
              <w:t>33,476</w:t>
            </w:r>
          </w:p>
        </w:tc>
        <w:tc>
          <w:tcPr>
            <w:tcW w:w="3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25,262</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96,961</w:t>
            </w:r>
          </w:p>
        </w:tc>
        <w:tc>
          <w:tcPr>
            <w:tcW w:w="0" w:type="dxa"/>
            <w:vAlign w:val="bottom"/>
          </w:tcPr>
          <w:p>
            <w:pPr>
              <w:spacing w:after="0"/>
              <w:rPr>
                <w:sz w:val="1"/>
                <w:szCs w:val="1"/>
                <w:color w:val="auto"/>
              </w:rPr>
            </w:pPr>
          </w:p>
        </w:tc>
      </w:tr>
      <w:tr>
        <w:trPr>
          <w:trHeight w:val="144"/>
        </w:trPr>
        <w:tc>
          <w:tcPr>
            <w:tcW w:w="1680" w:type="dxa"/>
            <w:vAlign w:val="bottom"/>
          </w:tcPr>
          <w:p>
            <w:pPr>
              <w:ind w:left="80"/>
              <w:spacing w:after="0"/>
              <w:rPr>
                <w:sz w:val="20"/>
                <w:szCs w:val="20"/>
                <w:color w:val="auto"/>
              </w:rPr>
            </w:pPr>
            <w:r>
              <w:rPr>
                <w:rFonts w:ascii="Arial" w:cs="Arial" w:eastAsia="Arial" w:hAnsi="Arial"/>
                <w:sz w:val="12"/>
                <w:szCs w:val="12"/>
                <w:color w:val="auto"/>
              </w:rPr>
              <w:t>650-699</w:t>
            </w:r>
          </w:p>
        </w:tc>
        <w:tc>
          <w:tcPr>
            <w:tcW w:w="1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10,189</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right"/>
              <w:ind w:right="166"/>
              <w:spacing w:after="0"/>
              <w:rPr>
                <w:sz w:val="20"/>
                <w:szCs w:val="20"/>
                <w:color w:val="auto"/>
              </w:rPr>
            </w:pPr>
            <w:r>
              <w:rPr>
                <w:rFonts w:ascii="Arial" w:cs="Arial" w:eastAsia="Arial" w:hAnsi="Arial"/>
                <w:sz w:val="12"/>
                <w:szCs w:val="12"/>
                <w:color w:val="auto"/>
              </w:rPr>
              <w:t>8,794</w:t>
            </w:r>
          </w:p>
        </w:tc>
        <w:tc>
          <w:tcPr>
            <w:tcW w:w="300" w:type="dxa"/>
            <w:vAlign w:val="bottom"/>
          </w:tcPr>
          <w:p>
            <w:pPr>
              <w:spacing w:after="0"/>
              <w:rPr>
                <w:sz w:val="12"/>
                <w:szCs w:val="1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21,138</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40,121</w:t>
            </w:r>
          </w:p>
        </w:tc>
        <w:tc>
          <w:tcPr>
            <w:tcW w:w="0" w:type="dxa"/>
            <w:vAlign w:val="bottom"/>
          </w:tcPr>
          <w:p>
            <w:pPr>
              <w:spacing w:after="0"/>
              <w:rPr>
                <w:sz w:val="1"/>
                <w:szCs w:val="1"/>
                <w:color w:val="auto"/>
              </w:rPr>
            </w:pPr>
          </w:p>
        </w:tc>
      </w:tr>
      <w:tr>
        <w:trPr>
          <w:trHeight w:val="144"/>
        </w:trPr>
        <w:tc>
          <w:tcPr>
            <w:tcW w:w="1680" w:type="dxa"/>
            <w:vAlign w:val="bottom"/>
            <w:shd w:val="clear" w:color="auto" w:fill="CCEEFF"/>
          </w:tcPr>
          <w:p>
            <w:pPr>
              <w:ind w:left="80"/>
              <w:spacing w:after="0"/>
              <w:rPr>
                <w:sz w:val="20"/>
                <w:szCs w:val="20"/>
                <w:color w:val="auto"/>
              </w:rPr>
            </w:pPr>
            <w:r>
              <w:rPr>
                <w:rFonts w:ascii="Arial" w:cs="Arial" w:eastAsia="Arial" w:hAnsi="Arial"/>
                <w:sz w:val="12"/>
                <w:szCs w:val="12"/>
                <w:color w:val="auto"/>
              </w:rPr>
              <w:t>600-649</w:t>
            </w:r>
          </w:p>
        </w:tc>
        <w:tc>
          <w:tcPr>
            <w:tcW w:w="1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2,083</w:t>
            </w:r>
          </w:p>
        </w:tc>
        <w:tc>
          <w:tcPr>
            <w:tcW w:w="24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6"/>
              <w:spacing w:after="0"/>
              <w:rPr>
                <w:sz w:val="20"/>
                <w:szCs w:val="20"/>
                <w:color w:val="auto"/>
              </w:rPr>
            </w:pPr>
            <w:r>
              <w:rPr>
                <w:rFonts w:ascii="Arial" w:cs="Arial" w:eastAsia="Arial" w:hAnsi="Arial"/>
                <w:sz w:val="12"/>
                <w:szCs w:val="12"/>
                <w:color w:val="auto"/>
              </w:rPr>
              <w:t>1,305</w:t>
            </w:r>
          </w:p>
        </w:tc>
        <w:tc>
          <w:tcPr>
            <w:tcW w:w="3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3,730</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7,118</w:t>
            </w:r>
          </w:p>
        </w:tc>
        <w:tc>
          <w:tcPr>
            <w:tcW w:w="0" w:type="dxa"/>
            <w:vAlign w:val="bottom"/>
          </w:tcPr>
          <w:p>
            <w:pPr>
              <w:spacing w:after="0"/>
              <w:rPr>
                <w:sz w:val="1"/>
                <w:szCs w:val="1"/>
                <w:color w:val="auto"/>
              </w:rPr>
            </w:pPr>
          </w:p>
        </w:tc>
      </w:tr>
      <w:tr>
        <w:trPr>
          <w:trHeight w:val="144"/>
        </w:trPr>
        <w:tc>
          <w:tcPr>
            <w:tcW w:w="1680" w:type="dxa"/>
            <w:vAlign w:val="bottom"/>
          </w:tcPr>
          <w:p>
            <w:pPr>
              <w:ind w:left="80"/>
              <w:spacing w:after="0"/>
              <w:rPr>
                <w:sz w:val="20"/>
                <w:szCs w:val="20"/>
                <w:color w:val="auto"/>
              </w:rPr>
            </w:pPr>
            <w:r>
              <w:rPr>
                <w:rFonts w:ascii="Arial" w:cs="Arial" w:eastAsia="Arial" w:hAnsi="Arial"/>
                <w:sz w:val="12"/>
                <w:szCs w:val="12"/>
                <w:color w:val="auto"/>
              </w:rPr>
              <w:t>550-599</w:t>
            </w:r>
          </w:p>
        </w:tc>
        <w:tc>
          <w:tcPr>
            <w:tcW w:w="1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661</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right"/>
              <w:ind w:right="166"/>
              <w:spacing w:after="0"/>
              <w:rPr>
                <w:sz w:val="20"/>
                <w:szCs w:val="20"/>
                <w:color w:val="auto"/>
              </w:rPr>
            </w:pPr>
            <w:r>
              <w:rPr>
                <w:rFonts w:ascii="Arial" w:cs="Arial" w:eastAsia="Arial" w:hAnsi="Arial"/>
                <w:sz w:val="12"/>
                <w:szCs w:val="12"/>
                <w:color w:val="auto"/>
              </w:rPr>
              <w:t>551</w:t>
            </w:r>
          </w:p>
        </w:tc>
        <w:tc>
          <w:tcPr>
            <w:tcW w:w="300" w:type="dxa"/>
            <w:vAlign w:val="bottom"/>
          </w:tcPr>
          <w:p>
            <w:pPr>
              <w:spacing w:after="0"/>
              <w:rPr>
                <w:sz w:val="12"/>
                <w:szCs w:val="1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1,299</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2,511</w:t>
            </w:r>
          </w:p>
        </w:tc>
        <w:tc>
          <w:tcPr>
            <w:tcW w:w="0" w:type="dxa"/>
            <w:vAlign w:val="bottom"/>
          </w:tcPr>
          <w:p>
            <w:pPr>
              <w:spacing w:after="0"/>
              <w:rPr>
                <w:sz w:val="1"/>
                <w:szCs w:val="1"/>
                <w:color w:val="auto"/>
              </w:rPr>
            </w:pPr>
          </w:p>
        </w:tc>
      </w:tr>
      <w:tr>
        <w:trPr>
          <w:trHeight w:val="144"/>
        </w:trPr>
        <w:tc>
          <w:tcPr>
            <w:tcW w:w="1680" w:type="dxa"/>
            <w:vAlign w:val="bottom"/>
            <w:shd w:val="clear" w:color="auto" w:fill="CCEEFF"/>
          </w:tcPr>
          <w:p>
            <w:pPr>
              <w:ind w:left="80"/>
              <w:spacing w:after="0"/>
              <w:rPr>
                <w:sz w:val="20"/>
                <w:szCs w:val="20"/>
                <w:color w:val="auto"/>
              </w:rPr>
            </w:pPr>
            <w:r>
              <w:rPr>
                <w:rFonts w:ascii="Arial" w:cs="Arial" w:eastAsia="Arial" w:hAnsi="Arial"/>
                <w:sz w:val="12"/>
                <w:szCs w:val="12"/>
                <w:color w:val="auto"/>
              </w:rPr>
              <w:t>500-549</w:t>
            </w:r>
          </w:p>
        </w:tc>
        <w:tc>
          <w:tcPr>
            <w:tcW w:w="1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342</w:t>
            </w:r>
          </w:p>
        </w:tc>
        <w:tc>
          <w:tcPr>
            <w:tcW w:w="24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6"/>
              <w:spacing w:after="0"/>
              <w:rPr>
                <w:sz w:val="20"/>
                <w:szCs w:val="20"/>
                <w:color w:val="auto"/>
              </w:rPr>
            </w:pPr>
            <w:r>
              <w:rPr>
                <w:rFonts w:ascii="Arial" w:cs="Arial" w:eastAsia="Arial" w:hAnsi="Arial"/>
                <w:sz w:val="12"/>
                <w:szCs w:val="12"/>
                <w:color w:val="auto"/>
              </w:rPr>
              <w:t>283</w:t>
            </w:r>
          </w:p>
        </w:tc>
        <w:tc>
          <w:tcPr>
            <w:tcW w:w="3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767</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1,392</w:t>
            </w:r>
          </w:p>
        </w:tc>
        <w:tc>
          <w:tcPr>
            <w:tcW w:w="0" w:type="dxa"/>
            <w:vAlign w:val="bottom"/>
          </w:tcPr>
          <w:p>
            <w:pPr>
              <w:spacing w:after="0"/>
              <w:rPr>
                <w:sz w:val="1"/>
                <w:szCs w:val="1"/>
                <w:color w:val="auto"/>
              </w:rPr>
            </w:pPr>
          </w:p>
        </w:tc>
      </w:tr>
      <w:tr>
        <w:trPr>
          <w:trHeight w:val="144"/>
        </w:trPr>
        <w:tc>
          <w:tcPr>
            <w:tcW w:w="3280" w:type="dxa"/>
            <w:vAlign w:val="bottom"/>
            <w:gridSpan w:val="2"/>
          </w:tcPr>
          <w:p>
            <w:pPr>
              <w:ind w:left="80"/>
              <w:spacing w:after="0"/>
              <w:rPr>
                <w:sz w:val="20"/>
                <w:szCs w:val="20"/>
                <w:color w:val="auto"/>
              </w:rPr>
            </w:pPr>
            <w:r>
              <w:rPr>
                <w:rFonts w:ascii="Arial" w:cs="Arial" w:eastAsia="Arial" w:hAnsi="Arial"/>
                <w:sz w:val="12"/>
                <w:szCs w:val="12"/>
                <w:color w:val="auto"/>
              </w:rPr>
              <w:t>Under 500</w:t>
            </w: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95</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right"/>
              <w:ind w:right="166"/>
              <w:spacing w:after="0"/>
              <w:rPr>
                <w:sz w:val="20"/>
                <w:szCs w:val="20"/>
                <w:color w:val="auto"/>
              </w:rPr>
            </w:pPr>
            <w:r>
              <w:rPr>
                <w:rFonts w:ascii="Arial" w:cs="Arial" w:eastAsia="Arial" w:hAnsi="Arial"/>
                <w:sz w:val="12"/>
                <w:szCs w:val="12"/>
                <w:color w:val="auto"/>
              </w:rPr>
              <w:t>52</w:t>
            </w:r>
          </w:p>
        </w:tc>
        <w:tc>
          <w:tcPr>
            <w:tcW w:w="300" w:type="dxa"/>
            <w:vAlign w:val="bottom"/>
          </w:tcPr>
          <w:p>
            <w:pPr>
              <w:spacing w:after="0"/>
              <w:rPr>
                <w:sz w:val="12"/>
                <w:szCs w:val="1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63</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210</w:t>
            </w:r>
          </w:p>
        </w:tc>
        <w:tc>
          <w:tcPr>
            <w:tcW w:w="0" w:type="dxa"/>
            <w:vAlign w:val="bottom"/>
          </w:tcPr>
          <w:p>
            <w:pPr>
              <w:spacing w:after="0"/>
              <w:rPr>
                <w:sz w:val="1"/>
                <w:szCs w:val="1"/>
                <w:color w:val="auto"/>
              </w:rPr>
            </w:pPr>
          </w:p>
        </w:tc>
      </w:tr>
      <w:tr>
        <w:trPr>
          <w:trHeight w:val="144"/>
        </w:trPr>
        <w:tc>
          <w:tcPr>
            <w:tcW w:w="328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Unknown</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6"/>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510</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510</w:t>
            </w:r>
          </w:p>
        </w:tc>
        <w:tc>
          <w:tcPr>
            <w:tcW w:w="0" w:type="dxa"/>
            <w:vAlign w:val="bottom"/>
          </w:tcPr>
          <w:p>
            <w:pPr>
              <w:spacing w:after="0"/>
              <w:rPr>
                <w:sz w:val="1"/>
                <w:szCs w:val="1"/>
                <w:color w:val="auto"/>
              </w:rPr>
            </w:pPr>
          </w:p>
        </w:tc>
      </w:tr>
      <w:tr>
        <w:trPr>
          <w:trHeight w:val="20"/>
        </w:trPr>
        <w:tc>
          <w:tcPr>
            <w:tcW w:w="168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80" w:type="dxa"/>
            <w:vAlign w:val="bottom"/>
            <w:gridSpan w:val="2"/>
          </w:tcPr>
          <w:p>
            <w:pPr>
              <w:ind w:left="200"/>
              <w:spacing w:after="0"/>
              <w:rPr>
                <w:sz w:val="20"/>
                <w:szCs w:val="20"/>
                <w:color w:val="auto"/>
              </w:rPr>
            </w:pPr>
            <w:r>
              <w:rPr>
                <w:rFonts w:ascii="Arial" w:cs="Arial" w:eastAsia="Arial" w:hAnsi="Arial"/>
                <w:sz w:val="12"/>
                <w:szCs w:val="12"/>
                <w:color w:val="auto"/>
              </w:rPr>
              <w:t>Total</w:t>
            </w: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jc w:val="right"/>
              <w:ind w:right="46"/>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207,513</w:t>
            </w:r>
          </w:p>
        </w:tc>
        <w:tc>
          <w:tcPr>
            <w:tcW w:w="240" w:type="dxa"/>
            <w:vAlign w:val="bottom"/>
          </w:tcPr>
          <w:p>
            <w:pPr>
              <w:spacing w:after="0"/>
              <w:rPr>
                <w:sz w:val="12"/>
                <w:szCs w:val="12"/>
                <w:color w:val="auto"/>
              </w:rPr>
            </w:pPr>
          </w:p>
        </w:tc>
        <w:tc>
          <w:tcPr>
            <w:tcW w:w="200" w:type="dxa"/>
            <w:vAlign w:val="bottom"/>
          </w:tcPr>
          <w:p>
            <w:pPr>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166"/>
              <w:spacing w:after="0"/>
              <w:rPr>
                <w:sz w:val="20"/>
                <w:szCs w:val="20"/>
                <w:color w:val="auto"/>
              </w:rPr>
            </w:pPr>
            <w:r>
              <w:rPr>
                <w:rFonts w:ascii="Arial" w:cs="Arial" w:eastAsia="Arial" w:hAnsi="Arial"/>
                <w:sz w:val="12"/>
                <w:szCs w:val="12"/>
                <w:color w:val="auto"/>
              </w:rPr>
              <w:t>169,574</w:t>
            </w: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99,435</w:t>
            </w: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476,522</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280" w:type="dxa"/>
            <w:vAlign w:val="bottom"/>
            <w:tcBorders>
              <w:bottom w:val="single" w:sz="8" w:color="CCEEFF"/>
            </w:tcBorders>
            <w:gridSpan w:val="2"/>
            <w:shd w:val="clear" w:color="auto" w:fill="CCEEFF"/>
          </w:tcPr>
          <w:p>
            <w:pPr>
              <w:ind w:left="100"/>
              <w:spacing w:after="0" w:line="120" w:lineRule="exact"/>
              <w:rPr>
                <w:sz w:val="20"/>
                <w:szCs w:val="20"/>
                <w:color w:val="auto"/>
              </w:rPr>
            </w:pPr>
            <w:r>
              <w:rPr>
                <w:rFonts w:ascii="Arial" w:cs="Arial" w:eastAsia="Arial" w:hAnsi="Arial"/>
                <w:sz w:val="12"/>
                <w:szCs w:val="12"/>
                <w:color w:val="auto"/>
              </w:rPr>
              <w:t>Accrued interest included in total</w:t>
            </w:r>
          </w:p>
        </w:tc>
        <w:tc>
          <w:tcPr>
            <w:tcW w:w="1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left w:val="single" w:sz="8" w:color="CCEEFF"/>
              <w:bottom w:val="single" w:sz="8" w:color="auto"/>
            </w:tcBorders>
            <w:shd w:val="clear" w:color="auto" w:fill="CCEEFF"/>
          </w:tcPr>
          <w:p>
            <w:pPr>
              <w:jc w:val="right"/>
              <w:ind w:right="46"/>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right w:val="single" w:sz="8" w:color="CCEEFF"/>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572</w:t>
            </w:r>
          </w:p>
        </w:tc>
        <w:tc>
          <w:tcPr>
            <w:tcW w:w="240" w:type="dxa"/>
            <w:vAlign w:val="bottom"/>
            <w:tcBorders>
              <w:bottom w:val="single" w:sz="8" w:color="CCEEFF"/>
              <w:right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line="120" w:lineRule="exact"/>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457</w:t>
            </w:r>
          </w:p>
        </w:tc>
        <w:tc>
          <w:tcPr>
            <w:tcW w:w="22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156</w:t>
            </w:r>
          </w:p>
        </w:tc>
        <w:tc>
          <w:tcPr>
            <w:tcW w:w="2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1,185</w:t>
            </w:r>
          </w:p>
        </w:tc>
        <w:tc>
          <w:tcPr>
            <w:tcW w:w="1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1680" w:type="dxa"/>
            <w:vAlign w:val="bottom"/>
            <w:tcBorders>
              <w:bottom w:val="single" w:sz="8" w:color="auto"/>
            </w:tcBorders>
          </w:tcPr>
          <w:p>
            <w:pPr>
              <w:spacing w:after="0"/>
              <w:rPr>
                <w:sz w:val="3"/>
                <w:szCs w:val="3"/>
                <w:color w:val="auto"/>
              </w:rPr>
            </w:pPr>
          </w:p>
        </w:tc>
        <w:tc>
          <w:tcPr>
            <w:tcW w:w="1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vMerge w:val="restart"/>
          </w:tcPr>
          <w:p>
            <w:pPr>
              <w:jc w:val="right"/>
              <w:ind w:right="41"/>
              <w:spacing w:after="0"/>
              <w:rPr>
                <w:sz w:val="20"/>
                <w:szCs w:val="20"/>
                <w:color w:val="auto"/>
              </w:rPr>
            </w:pPr>
            <w:r>
              <w:rPr>
                <w:rFonts w:ascii="Arial" w:cs="Arial" w:eastAsia="Arial" w:hAnsi="Arial"/>
                <w:sz w:val="10"/>
                <w:szCs w:val="10"/>
                <w:color w:val="auto"/>
              </w:rPr>
              <w:t>72</w:t>
            </w: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31"/>
        </w:trPr>
        <w:tc>
          <w:tcPr>
            <w:tcW w:w="16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6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27" w:right="299" w:bottom="1440" w:gutter="0" w:footer="0" w:header="0"/>
        </w:sectPr>
      </w:pPr>
    </w:p>
    <w:bookmarkStart w:id="92" w:name="page93"/>
    <w:bookmarkEnd w:id="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560" w:type="dxa"/>
            <w:vAlign w:val="bottom"/>
          </w:tcPr>
          <w:p>
            <w:pPr>
              <w:spacing w:after="0"/>
              <w:rPr>
                <w:sz w:val="13"/>
                <w:szCs w:val="13"/>
                <w:color w:val="auto"/>
              </w:rPr>
            </w:pPr>
          </w:p>
        </w:tc>
        <w:tc>
          <w:tcPr>
            <w:tcW w:w="6400" w:type="dxa"/>
            <w:vAlign w:val="bottom"/>
            <w:gridSpan w:val="2"/>
          </w:tcPr>
          <w:p>
            <w:pPr>
              <w:jc w:val="right"/>
              <w:ind w:right="1312"/>
              <w:spacing w:after="0"/>
              <w:rPr>
                <w:sz w:val="20"/>
                <w:szCs w:val="20"/>
                <w:color w:val="auto"/>
              </w:rPr>
            </w:pPr>
            <w:r>
              <w:rPr>
                <w:rFonts w:ascii="Arial" w:cs="Arial" w:eastAsia="Arial" w:hAnsi="Arial"/>
                <w:sz w:val="12"/>
                <w:szCs w:val="12"/>
                <w:b w:val="1"/>
                <w:bCs w:val="1"/>
                <w:color w:val="auto"/>
              </w:rPr>
              <w:t>NOTES TO CONSOLIDATED FINANCIAL STATEMENTS − (Continued)</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5"/>
        </w:trPr>
        <w:tc>
          <w:tcPr>
            <w:tcW w:w="8960" w:type="dxa"/>
            <w:vAlign w:val="bottom"/>
            <w:gridSpan w:val="3"/>
          </w:tcPr>
          <w:p>
            <w:pPr>
              <w:ind w:left="200"/>
              <w:spacing w:after="0"/>
              <w:rPr>
                <w:sz w:val="20"/>
                <w:szCs w:val="20"/>
                <w:color w:val="auto"/>
              </w:rPr>
            </w:pPr>
            <w:r>
              <w:rPr>
                <w:rFonts w:ascii="Arial" w:cs="Arial" w:eastAsia="Arial" w:hAnsi="Arial"/>
                <w:sz w:val="12"/>
                <w:szCs w:val="12"/>
                <w:color w:val="auto"/>
                <w:w w:val="91"/>
              </w:rPr>
              <w:t>Mortgage loans serviced for others are not reported as assets on the Consolidated Statements of Financial Condition. The principal balances of these loans at December 31 follow:</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56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2021</w:t>
            </w:r>
          </w:p>
        </w:tc>
        <w:tc>
          <w:tcPr>
            <w:tcW w:w="2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560" w:type="dxa"/>
            <w:vAlign w:val="bottom"/>
            <w:vMerge w:val="restart"/>
          </w:tcPr>
          <w:p>
            <w:pPr>
              <w:spacing w:after="0"/>
              <w:rPr>
                <w:sz w:val="20"/>
                <w:szCs w:val="20"/>
                <w:color w:val="auto"/>
              </w:rPr>
            </w:pPr>
            <w:r>
              <w:rPr>
                <w:rFonts w:ascii="Arial" w:cs="Arial" w:eastAsia="Arial" w:hAnsi="Arial"/>
                <w:sz w:val="12"/>
                <w:szCs w:val="12"/>
                <w:color w:val="auto"/>
              </w:rPr>
              <w:t>Mortgage loans serviced for :</w:t>
            </w:r>
          </w:p>
        </w:tc>
        <w:tc>
          <w:tcPr>
            <w:tcW w:w="6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b w:val="1"/>
                <w:bCs w:val="1"/>
                <w:color w:val="auto"/>
              </w:rPr>
              <w:t>(In</w:t>
            </w:r>
          </w:p>
        </w:tc>
        <w:tc>
          <w:tcPr>
            <w:tcW w:w="58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74"/>
              </w:rPr>
              <w:t>thousands)</w:t>
            </w: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560" w:type="dxa"/>
            <w:vAlign w:val="bottom"/>
            <w:vMerge w:val="continue"/>
          </w:tcPr>
          <w:p>
            <w:pPr>
              <w:spacing w:after="0"/>
              <w:rPr>
                <w:sz w:val="11"/>
                <w:szCs w:val="11"/>
                <w:color w:val="auto"/>
              </w:rPr>
            </w:pPr>
          </w:p>
        </w:tc>
        <w:tc>
          <w:tcPr>
            <w:tcW w:w="6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560" w:type="dxa"/>
            <w:vAlign w:val="bottom"/>
            <w:shd w:val="clear" w:color="auto" w:fill="CCEEFF"/>
          </w:tcPr>
          <w:p>
            <w:pPr>
              <w:ind w:left="80"/>
              <w:spacing w:after="0"/>
              <w:rPr>
                <w:sz w:val="20"/>
                <w:szCs w:val="20"/>
                <w:color w:val="auto"/>
              </w:rPr>
            </w:pPr>
            <w:r>
              <w:rPr>
                <w:rFonts w:ascii="Arial" w:cs="Arial" w:eastAsia="Arial" w:hAnsi="Arial"/>
                <w:sz w:val="12"/>
                <w:szCs w:val="12"/>
                <w:color w:val="auto"/>
              </w:rPr>
              <w:t>Fannie Mae</w:t>
            </w:r>
          </w:p>
        </w:tc>
        <w:tc>
          <w:tcPr>
            <w:tcW w:w="6400" w:type="dxa"/>
            <w:vAlign w:val="bottom"/>
            <w:gridSpan w:val="2"/>
            <w:shd w:val="clear" w:color="auto" w:fill="CCEEFF"/>
          </w:tcPr>
          <w:p>
            <w:pPr>
              <w:jc w:val="right"/>
              <w:ind w:right="152"/>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1,753,255</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jc w:val="center"/>
              <w:ind w:right="240"/>
              <w:spacing w:after="0"/>
              <w:rPr>
                <w:sz w:val="20"/>
                <w:szCs w:val="20"/>
                <w:color w:val="auto"/>
              </w:rPr>
            </w:pPr>
            <w:r>
              <w:rPr>
                <w:rFonts w:ascii="Arial" w:cs="Arial" w:eastAsia="Arial" w:hAnsi="Arial"/>
                <w:sz w:val="12"/>
                <w:szCs w:val="12"/>
                <w:color w:val="auto"/>
                <w:w w:val="8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1,656,060</w:t>
            </w:r>
          </w:p>
        </w:tc>
        <w:tc>
          <w:tcPr>
            <w:tcW w:w="0" w:type="dxa"/>
            <w:vAlign w:val="bottom"/>
          </w:tcPr>
          <w:p>
            <w:pPr>
              <w:spacing w:after="0"/>
              <w:rPr>
                <w:sz w:val="1"/>
                <w:szCs w:val="1"/>
                <w:color w:val="auto"/>
              </w:rPr>
            </w:pPr>
          </w:p>
        </w:tc>
      </w:tr>
      <w:tr>
        <w:trPr>
          <w:trHeight w:val="144"/>
        </w:trPr>
        <w:tc>
          <w:tcPr>
            <w:tcW w:w="2560" w:type="dxa"/>
            <w:vAlign w:val="bottom"/>
          </w:tcPr>
          <w:p>
            <w:pPr>
              <w:ind w:left="80"/>
              <w:spacing w:after="0"/>
              <w:rPr>
                <w:sz w:val="20"/>
                <w:szCs w:val="20"/>
                <w:color w:val="auto"/>
              </w:rPr>
            </w:pPr>
            <w:r>
              <w:rPr>
                <w:rFonts w:ascii="Arial" w:cs="Arial" w:eastAsia="Arial" w:hAnsi="Arial"/>
                <w:sz w:val="12"/>
                <w:szCs w:val="12"/>
                <w:color w:val="auto"/>
              </w:rPr>
              <w:t>Freddie Mac</w:t>
            </w:r>
          </w:p>
        </w:tc>
        <w:tc>
          <w:tcPr>
            <w:tcW w:w="6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1,344,675</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1,095,877</w:t>
            </w:r>
          </w:p>
        </w:tc>
        <w:tc>
          <w:tcPr>
            <w:tcW w:w="0" w:type="dxa"/>
            <w:vAlign w:val="bottom"/>
          </w:tcPr>
          <w:p>
            <w:pPr>
              <w:spacing w:after="0"/>
              <w:rPr>
                <w:sz w:val="1"/>
                <w:szCs w:val="1"/>
                <w:color w:val="auto"/>
              </w:rPr>
            </w:pPr>
          </w:p>
        </w:tc>
      </w:tr>
      <w:tr>
        <w:trPr>
          <w:trHeight w:val="144"/>
        </w:trPr>
        <w:tc>
          <w:tcPr>
            <w:tcW w:w="2560" w:type="dxa"/>
            <w:vAlign w:val="bottom"/>
            <w:shd w:val="clear" w:color="auto" w:fill="CCEEFF"/>
          </w:tcPr>
          <w:p>
            <w:pPr>
              <w:ind w:left="80"/>
              <w:spacing w:after="0"/>
              <w:rPr>
                <w:sz w:val="20"/>
                <w:szCs w:val="20"/>
                <w:color w:val="auto"/>
              </w:rPr>
            </w:pPr>
            <w:r>
              <w:rPr>
                <w:rFonts w:ascii="Arial" w:cs="Arial" w:eastAsia="Arial" w:hAnsi="Arial"/>
                <w:sz w:val="12"/>
                <w:szCs w:val="12"/>
                <w:color w:val="auto"/>
              </w:rPr>
              <w:t>Ginnie Mae</w:t>
            </w:r>
          </w:p>
        </w:tc>
        <w:tc>
          <w:tcPr>
            <w:tcW w:w="6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170,983</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181,615</w:t>
            </w:r>
          </w:p>
        </w:tc>
        <w:tc>
          <w:tcPr>
            <w:tcW w:w="0" w:type="dxa"/>
            <w:vAlign w:val="bottom"/>
          </w:tcPr>
          <w:p>
            <w:pPr>
              <w:spacing w:after="0"/>
              <w:rPr>
                <w:sz w:val="1"/>
                <w:szCs w:val="1"/>
                <w:color w:val="auto"/>
              </w:rPr>
            </w:pPr>
          </w:p>
        </w:tc>
      </w:tr>
      <w:tr>
        <w:trPr>
          <w:trHeight w:val="144"/>
        </w:trPr>
        <w:tc>
          <w:tcPr>
            <w:tcW w:w="2560" w:type="dxa"/>
            <w:vAlign w:val="bottom"/>
          </w:tcPr>
          <w:p>
            <w:pPr>
              <w:ind w:left="80"/>
              <w:spacing w:after="0"/>
              <w:rPr>
                <w:sz w:val="20"/>
                <w:szCs w:val="20"/>
                <w:color w:val="auto"/>
              </w:rPr>
            </w:pPr>
            <w:r>
              <w:rPr>
                <w:rFonts w:ascii="Arial" w:cs="Arial" w:eastAsia="Arial" w:hAnsi="Arial"/>
                <w:sz w:val="12"/>
                <w:szCs w:val="12"/>
                <w:color w:val="auto"/>
              </w:rPr>
              <w:t>FHLB</w:t>
            </w:r>
          </w:p>
        </w:tc>
        <w:tc>
          <w:tcPr>
            <w:tcW w:w="6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2"/>
                <w:szCs w:val="12"/>
                <w:color w:val="auto"/>
              </w:rPr>
              <w:t>49,581</w:t>
            </w:r>
          </w:p>
        </w:tc>
        <w:tc>
          <w:tcPr>
            <w:tcW w:w="36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39,294</w:t>
            </w:r>
          </w:p>
        </w:tc>
        <w:tc>
          <w:tcPr>
            <w:tcW w:w="0" w:type="dxa"/>
            <w:vAlign w:val="bottom"/>
          </w:tcPr>
          <w:p>
            <w:pPr>
              <w:spacing w:after="0"/>
              <w:rPr>
                <w:sz w:val="1"/>
                <w:szCs w:val="1"/>
                <w:color w:val="auto"/>
              </w:rPr>
            </w:pPr>
          </w:p>
        </w:tc>
      </w:tr>
      <w:tr>
        <w:trPr>
          <w:trHeight w:val="144"/>
        </w:trPr>
        <w:tc>
          <w:tcPr>
            <w:tcW w:w="2560" w:type="dxa"/>
            <w:vAlign w:val="bottom"/>
            <w:shd w:val="clear" w:color="auto" w:fill="CCEEFF"/>
          </w:tcPr>
          <w:p>
            <w:pPr>
              <w:ind w:left="80"/>
              <w:spacing w:after="0"/>
              <w:rPr>
                <w:sz w:val="20"/>
                <w:szCs w:val="20"/>
                <w:color w:val="auto"/>
              </w:rPr>
            </w:pPr>
            <w:r>
              <w:rPr>
                <w:rFonts w:ascii="Arial" w:cs="Arial" w:eastAsia="Arial" w:hAnsi="Arial"/>
                <w:sz w:val="12"/>
                <w:szCs w:val="12"/>
                <w:color w:val="auto"/>
              </w:rPr>
              <w:t>Other</w:t>
            </w:r>
          </w:p>
        </w:tc>
        <w:tc>
          <w:tcPr>
            <w:tcW w:w="6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5,027</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11,242</w:t>
            </w:r>
          </w:p>
        </w:tc>
        <w:tc>
          <w:tcPr>
            <w:tcW w:w="0" w:type="dxa"/>
            <w:vAlign w:val="bottom"/>
          </w:tcPr>
          <w:p>
            <w:pPr>
              <w:spacing w:after="0"/>
              <w:rPr>
                <w:sz w:val="1"/>
                <w:szCs w:val="1"/>
                <w:color w:val="auto"/>
              </w:rPr>
            </w:pPr>
          </w:p>
        </w:tc>
      </w:tr>
      <w:tr>
        <w:trPr>
          <w:trHeight w:val="20"/>
        </w:trPr>
        <w:tc>
          <w:tcPr>
            <w:tcW w:w="2560" w:type="dxa"/>
            <w:vAlign w:val="bottom"/>
            <w:shd w:val="clear" w:color="auto" w:fill="CCEEFF"/>
          </w:tcPr>
          <w:p>
            <w:pPr>
              <w:spacing w:after="0" w:line="20" w:lineRule="exact"/>
              <w:rPr>
                <w:sz w:val="1"/>
                <w:szCs w:val="1"/>
                <w:color w:val="auto"/>
              </w:rPr>
            </w:pPr>
          </w:p>
        </w:tc>
        <w:tc>
          <w:tcPr>
            <w:tcW w:w="61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60" w:type="dxa"/>
            <w:vAlign w:val="bottom"/>
          </w:tcPr>
          <w:p>
            <w:pPr>
              <w:ind w:left="200"/>
              <w:spacing w:after="0"/>
              <w:rPr>
                <w:sz w:val="20"/>
                <w:szCs w:val="20"/>
                <w:color w:val="auto"/>
              </w:rPr>
            </w:pPr>
            <w:r>
              <w:rPr>
                <w:rFonts w:ascii="Arial" w:cs="Arial" w:eastAsia="Arial" w:hAnsi="Arial"/>
                <w:sz w:val="12"/>
                <w:szCs w:val="12"/>
                <w:color w:val="auto"/>
              </w:rPr>
              <w:t>Total</w:t>
            </w:r>
          </w:p>
        </w:tc>
        <w:tc>
          <w:tcPr>
            <w:tcW w:w="6140" w:type="dxa"/>
            <w:vAlign w:val="bottom"/>
          </w:tcPr>
          <w:p>
            <w:pPr>
              <w:spacing w:after="0"/>
              <w:rPr>
                <w:sz w:val="12"/>
                <w:szCs w:val="12"/>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3,323,521</w:t>
            </w:r>
          </w:p>
        </w:tc>
        <w:tc>
          <w:tcPr>
            <w:tcW w:w="220" w:type="dxa"/>
            <w:vAlign w:val="bottom"/>
          </w:tcPr>
          <w:p>
            <w:pPr>
              <w:spacing w:after="0"/>
              <w:rPr>
                <w:sz w:val="12"/>
                <w:szCs w:val="12"/>
                <w:color w:val="auto"/>
              </w:rPr>
            </w:pPr>
          </w:p>
        </w:tc>
        <w:tc>
          <w:tcPr>
            <w:tcW w:w="360" w:type="dxa"/>
            <w:vAlign w:val="bottom"/>
          </w:tcPr>
          <w:p>
            <w:pPr>
              <w:jc w:val="center"/>
              <w:ind w:right="240"/>
              <w:spacing w:after="0"/>
              <w:rPr>
                <w:sz w:val="20"/>
                <w:szCs w:val="20"/>
                <w:color w:val="auto"/>
              </w:rPr>
            </w:pPr>
            <w:r>
              <w:rPr>
                <w:rFonts w:ascii="Arial" w:cs="Arial" w:eastAsia="Arial" w:hAnsi="Arial"/>
                <w:sz w:val="12"/>
                <w:szCs w:val="12"/>
                <w:color w:val="auto"/>
                <w:w w:val="89"/>
              </w:rPr>
              <w:t>$</w:t>
            </w: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2,984,088</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Custodial deposit accounts maintained in connection with mortgage loans serviced for others totaled $39.4 million and $40.5 million, at December 31, 2021 and 2020, respectively.</w:t>
      </w:r>
    </w:p>
    <w:p>
      <w:pPr>
        <w:spacing w:after="0" w:line="150" w:lineRule="exact"/>
        <w:rPr>
          <w:sz w:val="20"/>
          <w:szCs w:val="20"/>
          <w:color w:val="auto"/>
        </w:rPr>
      </w:pPr>
    </w:p>
    <w:p>
      <w:pPr>
        <w:jc w:val="both"/>
        <w:ind w:firstLine="216"/>
        <w:spacing w:after="0" w:line="285" w:lineRule="auto"/>
        <w:rPr>
          <w:sz w:val="20"/>
          <w:szCs w:val="20"/>
          <w:color w:val="auto"/>
        </w:rPr>
      </w:pPr>
      <w:r>
        <w:rPr>
          <w:rFonts w:ascii="Arial" w:cs="Arial" w:eastAsia="Arial" w:hAnsi="Arial"/>
          <w:sz w:val="11"/>
          <w:szCs w:val="11"/>
          <w:color w:val="auto"/>
        </w:rPr>
        <w:t>If we do not remain well capitalized for regulatory purposes (see note #20), meet certain minimum capital levels or certain profitability requirements or if we incur a rapid decline in net worth, we could lose our ability to sell and/or service loans to these investors. This could impact our ability to generate net gains on mortgage loans and generate servicing income. A forced liquidation of our servicing portfolio could also impact the value that could be recovered on this asset. Fannie Mae has the most stringent eligibility requirements covering capital levels, profitability and decline in net worth. Fannie Mae requires seller/servicers to be well capitalized for regulatory purposes. For the profitability requirement, we cannot record four or more consecutive quarterly losses and experience a 30% decline in net worth over the same period. Our net worth cannot decline by more than 25% in one quarter or more than 40% over two consecutive quarters. The highest level of capital we are required to maintain is at least $2.5 million plus 0.25% of all loans serviced for others.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340" w:type="dxa"/>
            <w:vAlign w:val="bottom"/>
          </w:tcPr>
          <w:p>
            <w:pPr>
              <w:ind w:left="200"/>
              <w:spacing w:after="0"/>
              <w:rPr>
                <w:sz w:val="20"/>
                <w:szCs w:val="20"/>
                <w:color w:val="auto"/>
              </w:rPr>
            </w:pPr>
            <w:r>
              <w:rPr>
                <w:rFonts w:ascii="Arial" w:cs="Arial" w:eastAsia="Arial" w:hAnsi="Arial"/>
                <w:sz w:val="12"/>
                <w:szCs w:val="12"/>
                <w:color w:val="auto"/>
              </w:rPr>
              <w:t>An analysis of capitalized mortgage loan servicing rights for the years ended December 31 follows:</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73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2021</w:t>
            </w:r>
          </w:p>
        </w:tc>
        <w:tc>
          <w:tcPr>
            <w:tcW w:w="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2020</w:t>
            </w: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24"/>
                <w:szCs w:val="24"/>
                <w:color w:val="auto"/>
              </w:rPr>
            </w:pPr>
          </w:p>
        </w:tc>
      </w:tr>
      <w:tr>
        <w:trPr>
          <w:trHeight w:val="142"/>
        </w:trPr>
        <w:tc>
          <w:tcPr>
            <w:tcW w:w="7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ind w:right="140"/>
              <w:spacing w:after="0"/>
              <w:rPr>
                <w:sz w:val="20"/>
                <w:szCs w:val="20"/>
                <w:color w:val="auto"/>
              </w:rPr>
            </w:pPr>
            <w:r>
              <w:rPr>
                <w:rFonts w:ascii="Arial" w:cs="Arial" w:eastAsia="Arial" w:hAnsi="Arial"/>
                <w:sz w:val="12"/>
                <w:szCs w:val="12"/>
                <w:b w:val="1"/>
                <w:bCs w:val="1"/>
                <w:color w:val="auto"/>
                <w:w w:val="94"/>
              </w:rPr>
              <w:t>(In thousands)</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7340" w:type="dxa"/>
            <w:vAlign w:val="bottom"/>
            <w:shd w:val="clear" w:color="auto" w:fill="CCEEFF"/>
          </w:tcPr>
          <w:p>
            <w:pPr>
              <w:spacing w:after="0"/>
              <w:rPr>
                <w:sz w:val="20"/>
                <w:szCs w:val="20"/>
                <w:color w:val="auto"/>
              </w:rPr>
            </w:pPr>
            <w:r>
              <w:rPr>
                <w:rFonts w:ascii="Arial" w:cs="Arial" w:eastAsia="Arial" w:hAnsi="Arial"/>
                <w:sz w:val="12"/>
                <w:szCs w:val="12"/>
                <w:color w:val="auto"/>
              </w:rPr>
              <w:t>Balance at beginning of period</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16,904</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19,171</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21,400</w:t>
            </w:r>
          </w:p>
        </w:tc>
      </w:tr>
      <w:tr>
        <w:trPr>
          <w:trHeight w:val="144"/>
        </w:trPr>
        <w:tc>
          <w:tcPr>
            <w:tcW w:w="7340" w:type="dxa"/>
            <w:vAlign w:val="bottom"/>
          </w:tcPr>
          <w:p>
            <w:pPr>
              <w:ind w:left="80"/>
              <w:spacing w:after="0"/>
              <w:rPr>
                <w:sz w:val="20"/>
                <w:szCs w:val="20"/>
                <w:color w:val="auto"/>
              </w:rPr>
            </w:pPr>
            <w:r>
              <w:rPr>
                <w:rFonts w:ascii="Arial" w:cs="Arial" w:eastAsia="Arial" w:hAnsi="Arial"/>
                <w:sz w:val="12"/>
                <w:szCs w:val="12"/>
                <w:color w:val="auto"/>
              </w:rPr>
              <w:t>Originated servicing rights capitalized</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11,436</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13,957</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7,303</w:t>
            </w:r>
          </w:p>
        </w:tc>
      </w:tr>
      <w:tr>
        <w:trPr>
          <w:trHeight w:val="144"/>
        </w:trPr>
        <w:tc>
          <w:tcPr>
            <w:tcW w:w="7340" w:type="dxa"/>
            <w:vAlign w:val="bottom"/>
            <w:shd w:val="clear" w:color="auto" w:fill="CCEEFF"/>
          </w:tcPr>
          <w:p>
            <w:pPr>
              <w:ind w:left="80"/>
              <w:spacing w:after="0"/>
              <w:rPr>
                <w:sz w:val="20"/>
                <w:szCs w:val="20"/>
                <w:color w:val="auto"/>
              </w:rPr>
            </w:pPr>
            <w:r>
              <w:rPr>
                <w:rFonts w:ascii="Arial" w:cs="Arial" w:eastAsia="Arial" w:hAnsi="Arial"/>
                <w:sz w:val="12"/>
                <w:szCs w:val="12"/>
                <w:color w:val="auto"/>
              </w:rPr>
              <w:t>Change in fair value due to price</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3,380</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(10,833)</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(6,408)</w:t>
            </w:r>
          </w:p>
        </w:tc>
      </w:tr>
      <w:tr>
        <w:trPr>
          <w:trHeight w:val="144"/>
        </w:trPr>
        <w:tc>
          <w:tcPr>
            <w:tcW w:w="7340" w:type="dxa"/>
            <w:vAlign w:val="bottom"/>
          </w:tcPr>
          <w:p>
            <w:pPr>
              <w:ind w:left="80"/>
              <w:spacing w:after="0"/>
              <w:rPr>
                <w:sz w:val="20"/>
                <w:szCs w:val="20"/>
                <w:color w:val="auto"/>
              </w:rPr>
            </w:pPr>
            <w:r>
              <w:rPr>
                <w:rFonts w:ascii="Arial" w:cs="Arial" w:eastAsia="Arial" w:hAnsi="Arial"/>
                <w:sz w:val="12"/>
                <w:szCs w:val="12"/>
                <w:color w:val="auto"/>
              </w:rPr>
              <w:t>Change in fair value due to pay downs</w:t>
            </w:r>
          </w:p>
        </w:tc>
        <w:tc>
          <w:tcPr>
            <w:tcW w:w="2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(5,488)</w:t>
            </w:r>
          </w:p>
        </w:tc>
        <w:tc>
          <w:tcPr>
            <w:tcW w:w="12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2"/>
                <w:szCs w:val="12"/>
                <w:color w:val="auto"/>
              </w:rPr>
              <w:t>(5,391)</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(3,124)</w:t>
            </w:r>
          </w:p>
        </w:tc>
      </w:tr>
      <w:tr>
        <w:trPr>
          <w:trHeight w:val="182"/>
        </w:trPr>
        <w:tc>
          <w:tcPr>
            <w:tcW w:w="7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Balance at end of year</w:t>
            </w:r>
          </w:p>
        </w:tc>
        <w:tc>
          <w:tcPr>
            <w:tcW w:w="2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26,232</w:t>
            </w:r>
          </w:p>
        </w:tc>
        <w:tc>
          <w:tcPr>
            <w:tcW w:w="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16,904</w:t>
            </w:r>
          </w:p>
        </w:tc>
        <w:tc>
          <w:tcPr>
            <w:tcW w:w="2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19,171</w:t>
            </w:r>
          </w:p>
        </w:tc>
        <w:tc>
          <w:tcPr>
            <w:tcW w:w="120" w:type="dxa"/>
            <w:vAlign w:val="bottom"/>
            <w:tcBorders>
              <w:bottom w:val="single" w:sz="8" w:color="CCEEFF"/>
            </w:tcBorders>
            <w:shd w:val="clear" w:color="auto" w:fill="CCEEFF"/>
          </w:tcPr>
          <w:p>
            <w:pPr>
              <w:spacing w:after="0"/>
              <w:rPr>
                <w:sz w:val="15"/>
                <w:szCs w:val="15"/>
                <w:color w:val="auto"/>
              </w:rPr>
            </w:pPr>
          </w:p>
        </w:tc>
      </w:tr>
      <w:tr>
        <w:trPr>
          <w:trHeight w:val="120"/>
        </w:trPr>
        <w:tc>
          <w:tcPr>
            <w:tcW w:w="7340" w:type="dxa"/>
            <w:vAlign w:val="bottom"/>
          </w:tcPr>
          <w:p>
            <w:pPr>
              <w:spacing w:after="0" w:line="120" w:lineRule="exact"/>
              <w:rPr>
                <w:sz w:val="20"/>
                <w:szCs w:val="20"/>
                <w:color w:val="auto"/>
              </w:rPr>
            </w:pPr>
            <w:r>
              <w:rPr>
                <w:rFonts w:ascii="Arial" w:cs="Arial" w:eastAsia="Arial" w:hAnsi="Arial"/>
                <w:sz w:val="12"/>
                <w:szCs w:val="12"/>
                <w:color w:val="auto"/>
              </w:rPr>
              <w:t>Loans sold and serviced that have had servicing rights capitalized</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line="120" w:lineRule="exact"/>
              <w:rPr>
                <w:sz w:val="20"/>
                <w:szCs w:val="20"/>
                <w:color w:val="auto"/>
              </w:rPr>
            </w:pPr>
            <w:r>
              <w:rPr>
                <w:rFonts w:ascii="Arial" w:cs="Arial" w:eastAsia="Arial" w:hAnsi="Arial"/>
                <w:sz w:val="12"/>
                <w:szCs w:val="12"/>
                <w:color w:val="auto"/>
              </w:rPr>
              <w:t>3,323,521</w:t>
            </w:r>
          </w:p>
        </w:tc>
        <w:tc>
          <w:tcPr>
            <w:tcW w:w="240" w:type="dxa"/>
            <w:vAlign w:val="bottom"/>
          </w:tcPr>
          <w:p>
            <w:pPr>
              <w:spacing w:after="0"/>
              <w:rPr>
                <w:sz w:val="10"/>
                <w:szCs w:val="10"/>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220"/>
              <w:spacing w:after="0" w:line="120" w:lineRule="exact"/>
              <w:rPr>
                <w:sz w:val="20"/>
                <w:szCs w:val="20"/>
                <w:color w:val="auto"/>
              </w:rPr>
            </w:pPr>
            <w:r>
              <w:rPr>
                <w:rFonts w:ascii="Arial" w:cs="Arial" w:eastAsia="Arial" w:hAnsi="Arial"/>
                <w:sz w:val="12"/>
                <w:szCs w:val="12"/>
                <w:color w:val="auto"/>
              </w:rPr>
              <w:t>2,982,833</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20"/>
              <w:spacing w:after="0" w:line="120" w:lineRule="exact"/>
              <w:rPr>
                <w:sz w:val="20"/>
                <w:szCs w:val="20"/>
                <w:color w:val="auto"/>
              </w:rPr>
            </w:pPr>
            <w:r>
              <w:rPr>
                <w:rFonts w:ascii="Arial" w:cs="Arial" w:eastAsia="Arial" w:hAnsi="Arial"/>
                <w:sz w:val="12"/>
                <w:szCs w:val="12"/>
                <w:color w:val="auto"/>
              </w:rPr>
              <w:t>2,580,705</w:t>
            </w:r>
          </w:p>
        </w:tc>
      </w:tr>
      <w:tr>
        <w:trPr>
          <w:trHeight w:val="20"/>
        </w:trPr>
        <w:tc>
          <w:tcPr>
            <w:tcW w:w="7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5" w:lineRule="exact"/>
        <w:rPr>
          <w:sz w:val="20"/>
          <w:szCs w:val="20"/>
          <w:color w:val="auto"/>
        </w:rPr>
      </w:pPr>
    </w:p>
    <w:p>
      <w:pPr>
        <w:jc w:val="both"/>
        <w:ind w:firstLine="216"/>
        <w:spacing w:after="0" w:line="323" w:lineRule="auto"/>
        <w:rPr>
          <w:sz w:val="20"/>
          <w:szCs w:val="20"/>
          <w:color w:val="auto"/>
        </w:rPr>
      </w:pPr>
      <w:r>
        <w:rPr>
          <w:rFonts w:ascii="Arial" w:cs="Arial" w:eastAsia="Arial" w:hAnsi="Arial"/>
          <w:sz w:val="11"/>
          <w:szCs w:val="11"/>
          <w:color w:val="auto"/>
        </w:rPr>
        <w:t>Fair value of capitalized mortgage loan servicing rights was determined using an average coupon rate of 3.46%, average servicing fee of 0.256%, average discount rate of 10.07% and an average Public Securities Association (‘‘PSA’’) prepayment rate of 232 for December 31, 2021; and average coupon rate of 3.77%, average servicing fee of 0.257%, average discount rate of 10.09% and an average PSA prepayment rate of 348 for December 31, 2020.</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93" w:name="page94"/>
    <w:bookmarkEnd w:id="93"/>
    <w:p>
      <w:pPr>
        <w:jc w:val="center"/>
        <w:ind w:right="-7"/>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267"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7340" w:type="dxa"/>
            <w:vAlign w:val="bottom"/>
          </w:tcPr>
          <w:p>
            <w:pPr>
              <w:spacing w:after="0"/>
              <w:rPr>
                <w:sz w:val="20"/>
                <w:szCs w:val="20"/>
                <w:color w:val="auto"/>
              </w:rPr>
            </w:pPr>
            <w:r>
              <w:rPr>
                <w:rFonts w:ascii="Arial" w:cs="Arial" w:eastAsia="Arial" w:hAnsi="Arial"/>
                <w:sz w:val="12"/>
                <w:szCs w:val="12"/>
                <w:b w:val="1"/>
                <w:bCs w:val="1"/>
                <w:color w:val="auto"/>
              </w:rPr>
              <w:t>NOTE 5 – OTHER REAL ESTATE</w:t>
            </w: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398"/>
        </w:trPr>
        <w:tc>
          <w:tcPr>
            <w:tcW w:w="7340" w:type="dxa"/>
            <w:vAlign w:val="bottom"/>
          </w:tcPr>
          <w:p>
            <w:pPr>
              <w:ind w:left="200"/>
              <w:spacing w:after="0"/>
              <w:rPr>
                <w:sz w:val="20"/>
                <w:szCs w:val="20"/>
                <w:color w:val="auto"/>
              </w:rPr>
            </w:pPr>
            <w:r>
              <w:rPr>
                <w:rFonts w:ascii="Arial" w:cs="Arial" w:eastAsia="Arial" w:hAnsi="Arial"/>
                <w:sz w:val="12"/>
                <w:szCs w:val="12"/>
                <w:color w:val="auto"/>
              </w:rPr>
              <w:t xml:space="preserve">A summary of other real estate activity for the years ended December 31 follows </w:t>
            </w:r>
            <w:r>
              <w:rPr>
                <w:rFonts w:ascii="Arial" w:cs="Arial" w:eastAsia="Arial" w:hAnsi="Arial"/>
                <w:sz w:val="19"/>
                <w:szCs w:val="19"/>
                <w:color w:val="auto"/>
                <w:vertAlign w:val="superscript"/>
              </w:rPr>
              <w:t>(1)</w:t>
            </w:r>
            <w:r>
              <w:rPr>
                <w:rFonts w:ascii="Arial" w:cs="Arial" w:eastAsia="Arial" w:hAnsi="Arial"/>
                <w:sz w:val="12"/>
                <w:szCs w:val="12"/>
                <w:color w:val="auto"/>
              </w:rPr>
              <w:t>:</w:t>
            </w: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5"/>
        </w:trPr>
        <w:tc>
          <w:tcPr>
            <w:tcW w:w="7340" w:type="dxa"/>
            <w:vAlign w:val="bottom"/>
          </w:tcPr>
          <w:p>
            <w:pPr>
              <w:spacing w:after="0"/>
              <w:rPr>
                <w:sz w:val="17"/>
                <w:szCs w:val="17"/>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2"/>
                <w:szCs w:val="12"/>
                <w:b w:val="1"/>
                <w:bCs w:val="1"/>
                <w:color w:val="auto"/>
              </w:rPr>
              <w:t>2021</w:t>
            </w:r>
          </w:p>
        </w:tc>
        <w:tc>
          <w:tcPr>
            <w:tcW w:w="3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2020</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7"/>
                <w:szCs w:val="17"/>
                <w:color w:val="auto"/>
              </w:rPr>
            </w:pPr>
          </w:p>
        </w:tc>
      </w:tr>
      <w:tr>
        <w:trPr>
          <w:trHeight w:val="142"/>
        </w:trPr>
        <w:tc>
          <w:tcPr>
            <w:tcW w:w="7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ind w:right="140"/>
              <w:spacing w:after="0"/>
              <w:rPr>
                <w:sz w:val="20"/>
                <w:szCs w:val="20"/>
                <w:color w:val="auto"/>
              </w:rPr>
            </w:pPr>
            <w:r>
              <w:rPr>
                <w:rFonts w:ascii="Arial" w:cs="Arial" w:eastAsia="Arial" w:hAnsi="Arial"/>
                <w:sz w:val="12"/>
                <w:szCs w:val="12"/>
                <w:b w:val="1"/>
                <w:bCs w:val="1"/>
                <w:color w:val="auto"/>
                <w:w w:val="94"/>
              </w:rPr>
              <w:t>(In thousands)</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7340" w:type="dxa"/>
            <w:vAlign w:val="bottom"/>
            <w:shd w:val="clear" w:color="auto" w:fill="CCEEFF"/>
          </w:tcPr>
          <w:p>
            <w:pPr>
              <w:spacing w:after="0"/>
              <w:rPr>
                <w:sz w:val="20"/>
                <w:szCs w:val="20"/>
                <w:color w:val="auto"/>
              </w:rPr>
            </w:pPr>
            <w:r>
              <w:rPr>
                <w:rFonts w:ascii="Arial" w:cs="Arial" w:eastAsia="Arial" w:hAnsi="Arial"/>
                <w:sz w:val="12"/>
                <w:szCs w:val="12"/>
                <w:color w:val="auto"/>
              </w:rPr>
              <w:t>Balance at beginning of year, net of valuation allowance</w:t>
            </w:r>
          </w:p>
        </w:tc>
        <w:tc>
          <w:tcPr>
            <w:tcW w:w="820" w:type="dxa"/>
            <w:vAlign w:val="bottom"/>
            <w:shd w:val="clear" w:color="auto" w:fill="CCEEFF"/>
          </w:tcPr>
          <w:p>
            <w:pPr>
              <w:jc w:val="right"/>
              <w:ind w:right="708"/>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738</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1,715</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1,178</w:t>
            </w:r>
          </w:p>
        </w:tc>
      </w:tr>
      <w:tr>
        <w:trPr>
          <w:trHeight w:val="144"/>
        </w:trPr>
        <w:tc>
          <w:tcPr>
            <w:tcW w:w="7340" w:type="dxa"/>
            <w:vAlign w:val="bottom"/>
          </w:tcPr>
          <w:p>
            <w:pPr>
              <w:ind w:left="80"/>
              <w:spacing w:after="0"/>
              <w:rPr>
                <w:sz w:val="20"/>
                <w:szCs w:val="20"/>
                <w:color w:val="auto"/>
              </w:rPr>
            </w:pPr>
            <w:r>
              <w:rPr>
                <w:rFonts w:ascii="Arial" w:cs="Arial" w:eastAsia="Arial" w:hAnsi="Arial"/>
                <w:sz w:val="12"/>
                <w:szCs w:val="12"/>
                <w:color w:val="auto"/>
              </w:rPr>
              <w:t>Loans transferred to other real estate</w:t>
            </w:r>
          </w:p>
        </w:tc>
        <w:tc>
          <w:tcPr>
            <w:tcW w:w="82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253</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332</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2,242</w:t>
            </w:r>
          </w:p>
        </w:tc>
      </w:tr>
      <w:tr>
        <w:trPr>
          <w:trHeight w:val="144"/>
        </w:trPr>
        <w:tc>
          <w:tcPr>
            <w:tcW w:w="7340" w:type="dxa"/>
            <w:vAlign w:val="bottom"/>
            <w:shd w:val="clear" w:color="auto" w:fill="CCEEFF"/>
          </w:tcPr>
          <w:p>
            <w:pPr>
              <w:ind w:left="80"/>
              <w:spacing w:after="0"/>
              <w:rPr>
                <w:sz w:val="20"/>
                <w:szCs w:val="20"/>
                <w:color w:val="auto"/>
              </w:rPr>
            </w:pPr>
            <w:r>
              <w:rPr>
                <w:rFonts w:ascii="Arial" w:cs="Arial" w:eastAsia="Arial" w:hAnsi="Arial"/>
                <w:sz w:val="12"/>
                <w:szCs w:val="12"/>
                <w:color w:val="auto"/>
              </w:rPr>
              <w:t>Sales of other real estate</w:t>
            </w:r>
          </w:p>
        </w:tc>
        <w:tc>
          <w:tcPr>
            <w:tcW w:w="8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(745)</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(1,161)</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(1,438)</w:t>
            </w:r>
          </w:p>
        </w:tc>
      </w:tr>
      <w:tr>
        <w:trPr>
          <w:trHeight w:val="144"/>
        </w:trPr>
        <w:tc>
          <w:tcPr>
            <w:tcW w:w="7340" w:type="dxa"/>
            <w:vAlign w:val="bottom"/>
          </w:tcPr>
          <w:p>
            <w:pPr>
              <w:ind w:left="80"/>
              <w:spacing w:after="0"/>
              <w:rPr>
                <w:sz w:val="20"/>
                <w:szCs w:val="20"/>
                <w:color w:val="auto"/>
              </w:rPr>
            </w:pPr>
            <w:r>
              <w:rPr>
                <w:rFonts w:ascii="Arial" w:cs="Arial" w:eastAsia="Arial" w:hAnsi="Arial"/>
                <w:sz w:val="12"/>
                <w:szCs w:val="12"/>
                <w:color w:val="auto"/>
              </w:rPr>
              <w:t>Additions to valuation allowance charged to expense</w:t>
            </w:r>
          </w:p>
        </w:tc>
        <w:tc>
          <w:tcPr>
            <w:tcW w:w="820" w:type="dxa"/>
            <w:vAlign w:val="bottom"/>
          </w:tcPr>
          <w:p>
            <w:pPr>
              <w:spacing w:after="0"/>
              <w:rPr>
                <w:sz w:val="12"/>
                <w:szCs w:val="12"/>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2"/>
                <w:szCs w:val="12"/>
                <w:color w:val="auto"/>
              </w:rPr>
              <w:t>(11)</w:t>
            </w:r>
          </w:p>
        </w:tc>
        <w:tc>
          <w:tcPr>
            <w:tcW w:w="12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2"/>
                <w:szCs w:val="12"/>
                <w:color w:val="auto"/>
              </w:rPr>
              <w:t>(148)</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(267)</w:t>
            </w:r>
          </w:p>
        </w:tc>
      </w:tr>
      <w:tr>
        <w:trPr>
          <w:trHeight w:val="182"/>
        </w:trPr>
        <w:tc>
          <w:tcPr>
            <w:tcW w:w="7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Balance at end of year, net of valuation allowance</w:t>
            </w:r>
          </w:p>
        </w:tc>
        <w:tc>
          <w:tcPr>
            <w:tcW w:w="820" w:type="dxa"/>
            <w:vAlign w:val="bottom"/>
            <w:tcBorders>
              <w:top w:val="single" w:sz="8" w:color="auto"/>
              <w:bottom w:val="single" w:sz="8" w:color="auto"/>
            </w:tcBorders>
            <w:shd w:val="clear" w:color="auto" w:fill="CCEEFF"/>
          </w:tcPr>
          <w:p>
            <w:pPr>
              <w:jc w:val="right"/>
              <w:ind w:right="708"/>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235</w:t>
            </w:r>
          </w:p>
        </w:tc>
        <w:tc>
          <w:tcPr>
            <w:tcW w:w="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738</w:t>
            </w:r>
          </w:p>
        </w:tc>
        <w:tc>
          <w:tcPr>
            <w:tcW w:w="2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1,715</w:t>
            </w:r>
          </w:p>
        </w:tc>
        <w:tc>
          <w:tcPr>
            <w:tcW w:w="120" w:type="dxa"/>
            <w:vAlign w:val="bottom"/>
            <w:tcBorders>
              <w:bottom w:val="single" w:sz="8" w:color="CCEEFF"/>
            </w:tcBorders>
            <w:shd w:val="clear" w:color="auto" w:fill="CCEEFF"/>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131445</wp:posOffset>
            </wp:positionV>
            <wp:extent cx="3589020" cy="114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8">
                      <a:extLst>
                        <a:ext uri="{28A0092B-C50C-407E-A947-70E740481C1C}"/>
                      </a:extLst>
                    </a:blip>
                    <a:srcRect/>
                    <a:stretch>
                      <a:fillRect/>
                    </a:stretch>
                  </pic:blipFill>
                  <pic:spPr bwMode="auto">
                    <a:xfrm>
                      <a:off x="0" y="0"/>
                      <a:ext cx="3589020" cy="11430"/>
                    </a:xfrm>
                    <a:prstGeom prst="rect">
                      <a:avLst/>
                    </a:prstGeom>
                    <a:noFill/>
                  </pic:spPr>
                </pic:pic>
              </a:graphicData>
            </a:graphic>
          </wp:anchor>
        </w:drawing>
      </w:r>
    </w:p>
    <w:p>
      <w:pPr>
        <w:spacing w:after="0" w:line="259" w:lineRule="exact"/>
        <w:rPr>
          <w:sz w:val="20"/>
          <w:szCs w:val="20"/>
          <w:color w:val="auto"/>
        </w:rPr>
      </w:pPr>
    </w:p>
    <w:p>
      <w:pPr>
        <w:ind w:left="208" w:hanging="208"/>
        <w:spacing w:after="0"/>
        <w:tabs>
          <w:tab w:leader="none" w:pos="208" w:val="left"/>
        </w:tabs>
        <w:numPr>
          <w:ilvl w:val="0"/>
          <w:numId w:val="31"/>
        </w:numPr>
        <w:rPr>
          <w:rFonts w:ascii="Arial" w:cs="Arial" w:eastAsia="Arial" w:hAnsi="Arial"/>
          <w:sz w:val="12"/>
          <w:szCs w:val="12"/>
          <w:color w:val="auto"/>
        </w:rPr>
      </w:pPr>
      <w:r>
        <w:rPr>
          <w:rFonts w:ascii="Arial" w:cs="Arial" w:eastAsia="Arial" w:hAnsi="Arial"/>
          <w:sz w:val="12"/>
          <w:szCs w:val="12"/>
          <w:color w:val="auto"/>
        </w:rPr>
        <w:t>Table excludes other repossessed assets totaling $0.01 million and $0.03 million at December 31, 2021 and 2020, respectively.</w:t>
      </w:r>
    </w:p>
    <w:p>
      <w:pPr>
        <w:spacing w:after="0" w:line="150" w:lineRule="exact"/>
        <w:rPr>
          <w:rFonts w:ascii="Arial" w:cs="Arial" w:eastAsia="Arial" w:hAnsi="Arial"/>
          <w:sz w:val="12"/>
          <w:szCs w:val="12"/>
          <w:color w:val="auto"/>
        </w:rPr>
      </w:pPr>
    </w:p>
    <w:p>
      <w:pPr>
        <w:ind w:left="208"/>
        <w:spacing w:after="0"/>
        <w:rPr>
          <w:rFonts w:ascii="Arial" w:cs="Arial" w:eastAsia="Arial" w:hAnsi="Arial"/>
          <w:sz w:val="12"/>
          <w:szCs w:val="12"/>
          <w:color w:val="auto"/>
        </w:rPr>
      </w:pPr>
      <w:r>
        <w:rPr>
          <w:rFonts w:ascii="Arial" w:cs="Arial" w:eastAsia="Arial" w:hAnsi="Arial"/>
          <w:sz w:val="11"/>
          <w:szCs w:val="11"/>
          <w:color w:val="auto"/>
        </w:rPr>
        <w:t>We periodically review our real estate properties and establish valuation allowances on these properties if values have declined since the date of acquisition. An analysis of our valuation allowance for other real estate follows:</w:t>
      </w:r>
    </w:p>
    <w:p>
      <w:pPr>
        <w:spacing w:after="0" w:line="158"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7340" w:type="dxa"/>
            <w:vAlign w:val="bottom"/>
          </w:tcPr>
          <w:p>
            <w:pPr>
              <w:spacing w:after="0"/>
              <w:rPr>
                <w:sz w:val="13"/>
                <w:szCs w:val="13"/>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2"/>
                <w:szCs w:val="12"/>
                <w:b w:val="1"/>
                <w:bCs w:val="1"/>
                <w:color w:val="auto"/>
              </w:rPr>
              <w:t>2021</w:t>
            </w:r>
          </w:p>
        </w:tc>
        <w:tc>
          <w:tcPr>
            <w:tcW w:w="3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2020</w:t>
            </w: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3"/>
                <w:szCs w:val="13"/>
                <w:color w:val="auto"/>
              </w:rPr>
            </w:pPr>
          </w:p>
        </w:tc>
      </w:tr>
      <w:tr>
        <w:trPr>
          <w:trHeight w:val="142"/>
        </w:trPr>
        <w:tc>
          <w:tcPr>
            <w:tcW w:w="7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ind w:right="140"/>
              <w:spacing w:after="0"/>
              <w:rPr>
                <w:sz w:val="20"/>
                <w:szCs w:val="20"/>
                <w:color w:val="auto"/>
              </w:rPr>
            </w:pPr>
            <w:r>
              <w:rPr>
                <w:rFonts w:ascii="Arial" w:cs="Arial" w:eastAsia="Arial" w:hAnsi="Arial"/>
                <w:sz w:val="12"/>
                <w:szCs w:val="12"/>
                <w:b w:val="1"/>
                <w:bCs w:val="1"/>
                <w:color w:val="auto"/>
                <w:w w:val="94"/>
              </w:rPr>
              <w:t>(In thousands)</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7340" w:type="dxa"/>
            <w:vAlign w:val="bottom"/>
            <w:shd w:val="clear" w:color="auto" w:fill="CCEEFF"/>
          </w:tcPr>
          <w:p>
            <w:pPr>
              <w:spacing w:after="0"/>
              <w:rPr>
                <w:sz w:val="20"/>
                <w:szCs w:val="20"/>
                <w:color w:val="auto"/>
              </w:rPr>
            </w:pPr>
            <w:r>
              <w:rPr>
                <w:rFonts w:ascii="Arial" w:cs="Arial" w:eastAsia="Arial" w:hAnsi="Arial"/>
                <w:sz w:val="12"/>
                <w:szCs w:val="12"/>
                <w:color w:val="auto"/>
              </w:rPr>
              <w:t>Balance at beginning of year</w:t>
            </w:r>
          </w:p>
        </w:tc>
        <w:tc>
          <w:tcPr>
            <w:tcW w:w="840" w:type="dxa"/>
            <w:vAlign w:val="bottom"/>
            <w:shd w:val="clear" w:color="auto" w:fill="CCEEFF"/>
          </w:tcPr>
          <w:p>
            <w:pPr>
              <w:jc w:val="right"/>
              <w:ind w:right="728"/>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jc w:val="center"/>
              <w:ind w:left="120"/>
              <w:spacing w:after="0"/>
              <w:rPr>
                <w:sz w:val="20"/>
                <w:szCs w:val="20"/>
                <w:color w:val="auto"/>
              </w:rPr>
            </w:pPr>
            <w:r>
              <w:rPr>
                <w:rFonts w:ascii="Arial" w:cs="Arial" w:eastAsia="Arial" w:hAnsi="Arial"/>
                <w:sz w:val="12"/>
                <w:szCs w:val="12"/>
                <w:color w:val="auto"/>
                <w:w w:val="89"/>
              </w:rPr>
              <w:t>90</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92</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144</w:t>
            </w:r>
          </w:p>
        </w:tc>
      </w:tr>
      <w:tr>
        <w:trPr>
          <w:trHeight w:val="144"/>
        </w:trPr>
        <w:tc>
          <w:tcPr>
            <w:tcW w:w="7340" w:type="dxa"/>
            <w:vAlign w:val="bottom"/>
          </w:tcPr>
          <w:p>
            <w:pPr>
              <w:ind w:left="80"/>
              <w:spacing w:after="0"/>
              <w:rPr>
                <w:sz w:val="20"/>
                <w:szCs w:val="20"/>
                <w:color w:val="auto"/>
              </w:rPr>
            </w:pPr>
            <w:r>
              <w:rPr>
                <w:rFonts w:ascii="Arial" w:cs="Arial" w:eastAsia="Arial" w:hAnsi="Arial"/>
                <w:sz w:val="12"/>
                <w:szCs w:val="12"/>
                <w:color w:val="auto"/>
              </w:rPr>
              <w:t>Additions charged to expense</w:t>
            </w:r>
          </w:p>
        </w:tc>
        <w:tc>
          <w:tcPr>
            <w:tcW w:w="840" w:type="dxa"/>
            <w:vAlign w:val="bottom"/>
          </w:tcPr>
          <w:p>
            <w:pPr>
              <w:spacing w:after="0"/>
              <w:rPr>
                <w:sz w:val="12"/>
                <w:szCs w:val="12"/>
                <w:color w:val="auto"/>
              </w:rPr>
            </w:pPr>
          </w:p>
        </w:tc>
        <w:tc>
          <w:tcPr>
            <w:tcW w:w="300" w:type="dxa"/>
            <w:vAlign w:val="bottom"/>
          </w:tcPr>
          <w:p>
            <w:pPr>
              <w:jc w:val="center"/>
              <w:ind w:left="140"/>
              <w:spacing w:after="0"/>
              <w:rPr>
                <w:sz w:val="20"/>
                <w:szCs w:val="20"/>
                <w:color w:val="auto"/>
              </w:rPr>
            </w:pPr>
            <w:r>
              <w:rPr>
                <w:rFonts w:ascii="Arial" w:cs="Arial" w:eastAsia="Arial" w:hAnsi="Arial"/>
                <w:sz w:val="12"/>
                <w:szCs w:val="12"/>
                <w:color w:val="auto"/>
                <w:w w:val="74"/>
              </w:rPr>
              <w:t>11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148</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267</w:t>
            </w:r>
          </w:p>
        </w:tc>
      </w:tr>
      <w:tr>
        <w:trPr>
          <w:trHeight w:val="144"/>
        </w:trPr>
        <w:tc>
          <w:tcPr>
            <w:tcW w:w="7340" w:type="dxa"/>
            <w:vAlign w:val="bottom"/>
            <w:shd w:val="clear" w:color="auto" w:fill="CCEEFF"/>
          </w:tcPr>
          <w:p>
            <w:pPr>
              <w:ind w:left="80"/>
              <w:spacing w:after="0"/>
              <w:rPr>
                <w:sz w:val="20"/>
                <w:szCs w:val="20"/>
                <w:color w:val="auto"/>
              </w:rPr>
            </w:pPr>
            <w:r>
              <w:rPr>
                <w:rFonts w:ascii="Arial" w:cs="Arial" w:eastAsia="Arial" w:hAnsi="Arial"/>
                <w:sz w:val="12"/>
                <w:szCs w:val="12"/>
                <w:color w:val="auto"/>
              </w:rPr>
              <w:t>Direct write-downs upon sale</w:t>
            </w:r>
          </w:p>
        </w:tc>
        <w:tc>
          <w:tcPr>
            <w:tcW w:w="8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center"/>
              <w:ind w:right="60"/>
              <w:spacing w:after="0"/>
              <w:rPr>
                <w:sz w:val="20"/>
                <w:szCs w:val="20"/>
                <w:color w:val="auto"/>
              </w:rPr>
            </w:pPr>
            <w:r>
              <w:rPr>
                <w:rFonts w:ascii="Arial" w:cs="Arial" w:eastAsia="Arial" w:hAnsi="Arial"/>
                <w:sz w:val="12"/>
                <w:szCs w:val="12"/>
                <w:color w:val="auto"/>
                <w:w w:val="93"/>
              </w:rPr>
              <w:t>(70)</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(150)</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(319)</w:t>
            </w:r>
          </w:p>
        </w:tc>
      </w:tr>
      <w:tr>
        <w:trPr>
          <w:trHeight w:val="20"/>
        </w:trPr>
        <w:tc>
          <w:tcPr>
            <w:tcW w:w="734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7340" w:type="dxa"/>
            <w:vAlign w:val="bottom"/>
          </w:tcPr>
          <w:p>
            <w:pPr>
              <w:spacing w:after="0"/>
              <w:rPr>
                <w:sz w:val="20"/>
                <w:szCs w:val="20"/>
                <w:color w:val="auto"/>
              </w:rPr>
            </w:pPr>
            <w:r>
              <w:rPr>
                <w:rFonts w:ascii="Arial" w:cs="Arial" w:eastAsia="Arial" w:hAnsi="Arial"/>
                <w:sz w:val="12"/>
                <w:szCs w:val="12"/>
                <w:color w:val="auto"/>
              </w:rPr>
              <w:t>Balance at end of year</w:t>
            </w:r>
          </w:p>
        </w:tc>
        <w:tc>
          <w:tcPr>
            <w:tcW w:w="840" w:type="dxa"/>
            <w:vAlign w:val="bottom"/>
          </w:tcPr>
          <w:p>
            <w:pPr>
              <w:jc w:val="right"/>
              <w:ind w:right="728"/>
              <w:spacing w:after="0"/>
              <w:rPr>
                <w:sz w:val="20"/>
                <w:szCs w:val="20"/>
                <w:color w:val="auto"/>
              </w:rPr>
            </w:pPr>
            <w:r>
              <w:rPr>
                <w:rFonts w:ascii="Arial" w:cs="Arial" w:eastAsia="Arial" w:hAnsi="Arial"/>
                <w:sz w:val="10"/>
                <w:szCs w:val="10"/>
                <w:color w:val="auto"/>
                <w:w w:val="71"/>
              </w:rPr>
              <w:t>$</w:t>
            </w:r>
          </w:p>
        </w:tc>
        <w:tc>
          <w:tcPr>
            <w:tcW w:w="300" w:type="dxa"/>
            <w:vAlign w:val="bottom"/>
          </w:tcPr>
          <w:p>
            <w:pPr>
              <w:jc w:val="center"/>
              <w:ind w:left="120"/>
              <w:spacing w:after="0"/>
              <w:rPr>
                <w:sz w:val="20"/>
                <w:szCs w:val="20"/>
                <w:color w:val="auto"/>
              </w:rPr>
            </w:pPr>
            <w:r>
              <w:rPr>
                <w:rFonts w:ascii="Arial" w:cs="Arial" w:eastAsia="Arial" w:hAnsi="Arial"/>
                <w:sz w:val="12"/>
                <w:szCs w:val="12"/>
                <w:color w:val="auto"/>
                <w:w w:val="89"/>
              </w:rPr>
              <w:t>31</w:t>
            </w:r>
          </w:p>
        </w:tc>
        <w:tc>
          <w:tcPr>
            <w:tcW w:w="240" w:type="dxa"/>
            <w:vAlign w:val="bottom"/>
          </w:tcPr>
          <w:p>
            <w:pPr>
              <w:spacing w:after="0"/>
              <w:rPr>
                <w:sz w:val="12"/>
                <w:szCs w:val="12"/>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90</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92</w:t>
            </w:r>
          </w:p>
        </w:tc>
      </w:tr>
      <w:tr>
        <w:trPr>
          <w:trHeight w:val="20"/>
        </w:trPr>
        <w:tc>
          <w:tcPr>
            <w:tcW w:w="73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5" w:lineRule="exact"/>
        <w:rPr>
          <w:sz w:val="20"/>
          <w:szCs w:val="20"/>
          <w:color w:val="auto"/>
        </w:rPr>
      </w:pPr>
    </w:p>
    <w:p>
      <w:pPr>
        <w:jc w:val="both"/>
        <w:ind w:left="8" w:firstLine="216"/>
        <w:spacing w:after="0" w:line="276" w:lineRule="auto"/>
        <w:rPr>
          <w:sz w:val="20"/>
          <w:szCs w:val="20"/>
          <w:color w:val="auto"/>
        </w:rPr>
      </w:pPr>
      <w:r>
        <w:rPr>
          <w:rFonts w:ascii="Arial" w:cs="Arial" w:eastAsia="Arial" w:hAnsi="Arial"/>
          <w:sz w:val="12"/>
          <w:szCs w:val="12"/>
          <w:color w:val="auto"/>
        </w:rPr>
        <w:t>At December 31, 2021 and 2020, the balance of other real estate includes $0.2 million and $0.7 million, respectively of foreclosed residential real estate properties. Retail mortgage loans secured by residential real estate properties for which formal foreclosure proceedings are in process according to local requirements totaled $0.6 million and $0.3 million at December 31, 2021 and 2020, respectively.</w:t>
      </w:r>
    </w:p>
    <w:p>
      <w:pPr>
        <w:spacing w:after="0" w:line="115" w:lineRule="exact"/>
        <w:rPr>
          <w:sz w:val="20"/>
          <w:szCs w:val="20"/>
          <w:color w:val="auto"/>
        </w:rPr>
      </w:pPr>
    </w:p>
    <w:p>
      <w:pPr>
        <w:ind w:left="208"/>
        <w:spacing w:after="0"/>
        <w:rPr>
          <w:sz w:val="20"/>
          <w:szCs w:val="20"/>
          <w:color w:val="auto"/>
        </w:rPr>
      </w:pPr>
      <w:r>
        <w:rPr>
          <w:rFonts w:ascii="Arial" w:cs="Arial" w:eastAsia="Arial" w:hAnsi="Arial"/>
          <w:sz w:val="11"/>
          <w:szCs w:val="11"/>
          <w:color w:val="auto"/>
        </w:rPr>
        <w:t>Other real estate and repossessed assets totaling $0.2 million and $0.8 million at December 31, 2021 and 2020, respectively, are presented net of the valuation allowance on the Consolidated Statements of Financial Condition.</w:t>
      </w:r>
    </w:p>
    <w:p>
      <w:pPr>
        <w:spacing w:after="0" w:line="158"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8700" w:type="dxa"/>
            <w:vAlign w:val="bottom"/>
          </w:tcPr>
          <w:p>
            <w:pPr>
              <w:spacing w:after="0"/>
              <w:rPr>
                <w:sz w:val="20"/>
                <w:szCs w:val="20"/>
                <w:color w:val="auto"/>
              </w:rPr>
            </w:pPr>
            <w:r>
              <w:rPr>
                <w:rFonts w:ascii="Arial" w:cs="Arial" w:eastAsia="Arial" w:hAnsi="Arial"/>
                <w:sz w:val="12"/>
                <w:szCs w:val="12"/>
                <w:b w:val="1"/>
                <w:bCs w:val="1"/>
                <w:color w:val="auto"/>
              </w:rPr>
              <w:t>NOTE 6 – PROPERTY AND EQUIPMENT</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8700" w:type="dxa"/>
            <w:vAlign w:val="bottom"/>
          </w:tcPr>
          <w:p>
            <w:pPr>
              <w:ind w:left="200"/>
              <w:spacing w:after="0"/>
              <w:rPr>
                <w:sz w:val="20"/>
                <w:szCs w:val="20"/>
                <w:color w:val="auto"/>
              </w:rPr>
            </w:pPr>
            <w:r>
              <w:rPr>
                <w:rFonts w:ascii="Arial" w:cs="Arial" w:eastAsia="Arial" w:hAnsi="Arial"/>
                <w:sz w:val="12"/>
                <w:szCs w:val="12"/>
                <w:color w:val="auto"/>
              </w:rPr>
              <w:t>A summary of property and equipment at December 31 follows: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8"/>
        </w:trPr>
        <w:tc>
          <w:tcPr>
            <w:tcW w:w="87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2021</w:t>
            </w:r>
          </w:p>
        </w:tc>
        <w:tc>
          <w:tcPr>
            <w:tcW w:w="2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24"/>
                <w:szCs w:val="24"/>
                <w:color w:val="auto"/>
              </w:rPr>
            </w:pPr>
          </w:p>
        </w:tc>
      </w:tr>
      <w:tr>
        <w:trPr>
          <w:trHeight w:val="142"/>
        </w:trPr>
        <w:tc>
          <w:tcPr>
            <w:tcW w:w="8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center"/>
              <w:ind w:left="440"/>
              <w:spacing w:after="0"/>
              <w:rPr>
                <w:sz w:val="20"/>
                <w:szCs w:val="20"/>
                <w:color w:val="auto"/>
              </w:rPr>
            </w:pPr>
            <w:r>
              <w:rPr>
                <w:rFonts w:ascii="Arial" w:cs="Arial" w:eastAsia="Arial" w:hAnsi="Arial"/>
                <w:sz w:val="12"/>
                <w:szCs w:val="12"/>
                <w:b w:val="1"/>
                <w:bCs w:val="1"/>
                <w:color w:val="auto"/>
                <w:w w:val="95"/>
              </w:rPr>
              <w:t>(In</w:t>
            </w:r>
          </w:p>
        </w:tc>
        <w:tc>
          <w:tcPr>
            <w:tcW w:w="58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74"/>
              </w:rPr>
              <w:t>thousands)</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Land and land improvements</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17,296</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jc w:val="center"/>
              <w:ind w:right="240"/>
              <w:spacing w:after="0"/>
              <w:rPr>
                <w:sz w:val="20"/>
                <w:szCs w:val="20"/>
                <w:color w:val="auto"/>
              </w:rPr>
            </w:pPr>
            <w:r>
              <w:rPr>
                <w:rFonts w:ascii="Arial" w:cs="Arial" w:eastAsia="Arial" w:hAnsi="Arial"/>
                <w:sz w:val="12"/>
                <w:szCs w:val="12"/>
                <w:color w:val="auto"/>
                <w:w w:val="8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17,083</w:t>
            </w:r>
          </w:p>
        </w:tc>
      </w:tr>
      <w:tr>
        <w:trPr>
          <w:trHeight w:val="144"/>
        </w:trPr>
        <w:tc>
          <w:tcPr>
            <w:tcW w:w="8700" w:type="dxa"/>
            <w:vAlign w:val="bottom"/>
          </w:tcPr>
          <w:p>
            <w:pPr>
              <w:spacing w:after="0"/>
              <w:rPr>
                <w:sz w:val="20"/>
                <w:szCs w:val="20"/>
                <w:color w:val="auto"/>
              </w:rPr>
            </w:pPr>
            <w:r>
              <w:rPr>
                <w:rFonts w:ascii="Arial" w:cs="Arial" w:eastAsia="Arial" w:hAnsi="Arial"/>
                <w:sz w:val="12"/>
                <w:szCs w:val="12"/>
                <w:color w:val="auto"/>
              </w:rPr>
              <w:t>Buildings</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58,870</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57,208</w:t>
            </w:r>
          </w:p>
        </w:tc>
      </w:tr>
      <w:tr>
        <w:trPr>
          <w:trHeight w:val="144"/>
        </w:trPr>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Equipment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74,844</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72,542</w:t>
            </w:r>
          </w:p>
        </w:tc>
      </w:tr>
      <w:tr>
        <w:trPr>
          <w:trHeight w:val="20"/>
        </w:trPr>
        <w:tc>
          <w:tcPr>
            <w:tcW w:w="87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8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151,010</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146,833</w:t>
            </w:r>
          </w:p>
        </w:tc>
      </w:tr>
      <w:tr>
        <w:trPr>
          <w:trHeight w:val="144"/>
        </w:trPr>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Accumulated depreciation and amortization</w:t>
            </w: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(114,606)</w:t>
            </w: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(110,706)</w:t>
            </w:r>
          </w:p>
        </w:tc>
      </w:tr>
      <w:tr>
        <w:trPr>
          <w:trHeight w:val="20"/>
        </w:trPr>
        <w:tc>
          <w:tcPr>
            <w:tcW w:w="87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8700" w:type="dxa"/>
            <w:vAlign w:val="bottom"/>
          </w:tcPr>
          <w:p>
            <w:pPr>
              <w:ind w:left="80"/>
              <w:spacing w:after="0"/>
              <w:rPr>
                <w:sz w:val="20"/>
                <w:szCs w:val="20"/>
                <w:color w:val="auto"/>
              </w:rPr>
            </w:pPr>
            <w:r>
              <w:rPr>
                <w:rFonts w:ascii="Arial" w:cs="Arial" w:eastAsia="Arial" w:hAnsi="Arial"/>
                <w:sz w:val="12"/>
                <w:szCs w:val="12"/>
                <w:color w:val="auto"/>
              </w:rPr>
              <w:t>Property and equipment, net</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36,404</w:t>
            </w:r>
          </w:p>
        </w:tc>
        <w:tc>
          <w:tcPr>
            <w:tcW w:w="220" w:type="dxa"/>
            <w:vAlign w:val="bottom"/>
          </w:tcPr>
          <w:p>
            <w:pPr>
              <w:spacing w:after="0"/>
              <w:rPr>
                <w:sz w:val="12"/>
                <w:szCs w:val="12"/>
                <w:color w:val="auto"/>
              </w:rPr>
            </w:pPr>
          </w:p>
        </w:tc>
        <w:tc>
          <w:tcPr>
            <w:tcW w:w="360" w:type="dxa"/>
            <w:vAlign w:val="bottom"/>
          </w:tcPr>
          <w:p>
            <w:pPr>
              <w:jc w:val="center"/>
              <w:ind w:right="240"/>
              <w:spacing w:after="0"/>
              <w:rPr>
                <w:sz w:val="20"/>
                <w:szCs w:val="20"/>
                <w:color w:val="auto"/>
              </w:rPr>
            </w:pPr>
            <w:r>
              <w:rPr>
                <w:rFonts w:ascii="Arial" w:cs="Arial" w:eastAsia="Arial" w:hAnsi="Arial"/>
                <w:sz w:val="12"/>
                <w:szCs w:val="12"/>
                <w:color w:val="auto"/>
                <w:w w:val="89"/>
              </w:rPr>
              <w:t>$</w:t>
            </w: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36,127</w:t>
            </w:r>
          </w:p>
        </w:tc>
      </w:tr>
      <w:tr>
        <w:trPr>
          <w:trHeight w:val="20"/>
        </w:trPr>
        <w:tc>
          <w:tcPr>
            <w:tcW w:w="8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5" w:lineRule="exact"/>
        <w:rPr>
          <w:sz w:val="20"/>
          <w:szCs w:val="20"/>
          <w:color w:val="auto"/>
        </w:rPr>
      </w:pPr>
    </w:p>
    <w:p>
      <w:pPr>
        <w:ind w:left="208"/>
        <w:spacing w:after="0"/>
        <w:rPr>
          <w:sz w:val="20"/>
          <w:szCs w:val="20"/>
          <w:color w:val="auto"/>
        </w:rPr>
      </w:pPr>
      <w:r>
        <w:rPr>
          <w:rFonts w:ascii="Arial" w:cs="Arial" w:eastAsia="Arial" w:hAnsi="Arial"/>
          <w:sz w:val="12"/>
          <w:szCs w:val="12"/>
          <w:color w:val="auto"/>
        </w:rPr>
        <w:t>Depreciation expense was $5.4 million, $5.3 million and $5.2 million in 2021, 2020 and 2019, respectively.</w:t>
      </w:r>
    </w:p>
    <w:p>
      <w:pPr>
        <w:spacing w:after="0" w:line="263" w:lineRule="exact"/>
        <w:rPr>
          <w:sz w:val="20"/>
          <w:szCs w:val="20"/>
          <w:color w:val="auto"/>
        </w:rPr>
      </w:pPr>
    </w:p>
    <w:p>
      <w:pPr>
        <w:jc w:val="center"/>
        <w:ind w:right="-7"/>
        <w:spacing w:after="0"/>
        <w:rPr>
          <w:sz w:val="20"/>
          <w:szCs w:val="20"/>
          <w:color w:val="auto"/>
        </w:rPr>
      </w:pPr>
      <w:r>
        <w:rPr>
          <w:rFonts w:ascii="Arial" w:cs="Arial" w:eastAsia="Arial" w:hAnsi="Arial"/>
          <w:sz w:val="10"/>
          <w:szCs w:val="10"/>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78040" cy="114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7" w:right="29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57"/>
        </w:trPr>
        <w:tc>
          <w:tcPr>
            <w:tcW w:w="3460" w:type="dxa"/>
            <w:vAlign w:val="bottom"/>
          </w:tcPr>
          <w:p>
            <w:pPr>
              <w:spacing w:after="0"/>
              <w:rPr>
                <w:sz w:val="13"/>
                <w:szCs w:val="13"/>
                <w:color w:val="auto"/>
              </w:rPr>
            </w:pPr>
          </w:p>
        </w:tc>
        <w:tc>
          <w:tcPr>
            <w:tcW w:w="4140" w:type="dxa"/>
            <w:vAlign w:val="bottom"/>
            <w:gridSpan w:val="5"/>
          </w:tcPr>
          <w:p>
            <w:pPr>
              <w:jc w:val="right"/>
              <w:spacing w:after="0"/>
              <w:rPr>
                <w:sz w:val="20"/>
                <w:szCs w:val="20"/>
                <w:color w:val="auto"/>
              </w:rPr>
            </w:pPr>
            <w:r>
              <w:rPr>
                <w:rFonts w:ascii="Arial" w:cs="Arial" w:eastAsia="Arial" w:hAnsi="Arial"/>
                <w:sz w:val="12"/>
                <w:szCs w:val="12"/>
                <w:b w:val="1"/>
                <w:bCs w:val="1"/>
                <w:color w:val="auto"/>
              </w:rPr>
              <w:t>NOTES TO CONSOLIDATED FINANCIAL STATEMENTS − (Continued)</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61"/>
        </w:trPr>
        <w:tc>
          <w:tcPr>
            <w:tcW w:w="3460" w:type="dxa"/>
            <w:vAlign w:val="bottom"/>
          </w:tcPr>
          <w:p>
            <w:pPr>
              <w:spacing w:after="0"/>
              <w:rPr>
                <w:sz w:val="20"/>
                <w:szCs w:val="20"/>
                <w:color w:val="auto"/>
              </w:rPr>
            </w:pPr>
            <w:r>
              <w:rPr>
                <w:rFonts w:ascii="Arial" w:cs="Arial" w:eastAsia="Arial" w:hAnsi="Arial"/>
                <w:sz w:val="12"/>
                <w:szCs w:val="12"/>
                <w:b w:val="1"/>
                <w:bCs w:val="1"/>
                <w:color w:val="auto"/>
              </w:rPr>
              <w:t>NOTE 7 – GOODWILL AND OTHER INTANGIBLES</w:t>
            </w:r>
          </w:p>
        </w:tc>
        <w:tc>
          <w:tcPr>
            <w:tcW w:w="2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88"/>
        </w:trPr>
        <w:tc>
          <w:tcPr>
            <w:tcW w:w="3460" w:type="dxa"/>
            <w:vAlign w:val="bottom"/>
          </w:tcPr>
          <w:p>
            <w:pPr>
              <w:ind w:left="200"/>
              <w:spacing w:after="0"/>
              <w:rPr>
                <w:sz w:val="20"/>
                <w:szCs w:val="20"/>
                <w:color w:val="auto"/>
              </w:rPr>
            </w:pPr>
            <w:r>
              <w:rPr>
                <w:rFonts w:ascii="Arial" w:cs="Arial" w:eastAsia="Arial" w:hAnsi="Arial"/>
                <w:sz w:val="12"/>
                <w:szCs w:val="12"/>
                <w:color w:val="auto"/>
                <w:w w:val="97"/>
              </w:rPr>
              <w:t>Intangible assets, net of amortization, at December 31 follows:</w:t>
            </w:r>
          </w:p>
        </w:tc>
        <w:tc>
          <w:tcPr>
            <w:tcW w:w="2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8"/>
        </w:trPr>
        <w:tc>
          <w:tcPr>
            <w:tcW w:w="34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2021</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2"/>
                <w:szCs w:val="12"/>
                <w:b w:val="1"/>
                <w:bCs w:val="1"/>
                <w:color w:val="auto"/>
              </w:rPr>
              <w:t>2020</w:t>
            </w: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29"/>
        </w:trPr>
        <w:tc>
          <w:tcPr>
            <w:tcW w:w="346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jc w:val="center"/>
              <w:ind w:right="440"/>
              <w:spacing w:after="0" w:line="129" w:lineRule="exact"/>
              <w:rPr>
                <w:sz w:val="20"/>
                <w:szCs w:val="20"/>
                <w:color w:val="auto"/>
              </w:rPr>
            </w:pPr>
            <w:r>
              <w:rPr>
                <w:rFonts w:ascii="Arial" w:cs="Arial" w:eastAsia="Arial" w:hAnsi="Arial"/>
                <w:sz w:val="12"/>
                <w:szCs w:val="12"/>
                <w:b w:val="1"/>
                <w:bCs w:val="1"/>
                <w:color w:val="auto"/>
                <w:w w:val="86"/>
              </w:rPr>
              <w:t>Gross</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gridSpan w:val="2"/>
          </w:tcPr>
          <w:p>
            <w:pPr>
              <w:jc w:val="center"/>
              <w:ind w:right="480"/>
              <w:spacing w:after="0" w:line="129" w:lineRule="exact"/>
              <w:rPr>
                <w:sz w:val="20"/>
                <w:szCs w:val="20"/>
                <w:color w:val="auto"/>
              </w:rPr>
            </w:pPr>
            <w:r>
              <w:rPr>
                <w:rFonts w:ascii="Arial" w:cs="Arial" w:eastAsia="Arial" w:hAnsi="Arial"/>
                <w:sz w:val="12"/>
                <w:szCs w:val="12"/>
                <w:b w:val="1"/>
                <w:bCs w:val="1"/>
                <w:color w:val="auto"/>
                <w:w w:val="86"/>
              </w:rPr>
              <w:t>Gross</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34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w w:val="93"/>
              </w:rPr>
              <w:t>Carrying</w:t>
            </w:r>
          </w:p>
        </w:tc>
        <w:tc>
          <w:tcPr>
            <w:tcW w:w="220" w:type="dxa"/>
            <w:vAlign w:val="bottom"/>
          </w:tcPr>
          <w:p>
            <w:pPr>
              <w:spacing w:after="0"/>
              <w:rPr>
                <w:sz w:val="12"/>
                <w:szCs w:val="12"/>
                <w:color w:val="auto"/>
              </w:rPr>
            </w:pP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Accumulated</w:t>
            </w:r>
          </w:p>
        </w:tc>
        <w:tc>
          <w:tcPr>
            <w:tcW w:w="280" w:type="dxa"/>
            <w:vAlign w:val="bottom"/>
          </w:tcPr>
          <w:p>
            <w:pPr>
              <w:spacing w:after="0"/>
              <w:rPr>
                <w:sz w:val="12"/>
                <w:szCs w:val="12"/>
                <w:color w:val="auto"/>
              </w:rPr>
            </w:pPr>
          </w:p>
        </w:tc>
        <w:tc>
          <w:tcPr>
            <w:tcW w:w="1060" w:type="dxa"/>
            <w:vAlign w:val="bottom"/>
            <w:gridSpan w:val="2"/>
          </w:tcPr>
          <w:p>
            <w:pPr>
              <w:jc w:val="center"/>
              <w:ind w:right="500"/>
              <w:spacing w:after="0"/>
              <w:rPr>
                <w:sz w:val="20"/>
                <w:szCs w:val="20"/>
                <w:color w:val="auto"/>
              </w:rPr>
            </w:pPr>
            <w:r>
              <w:rPr>
                <w:rFonts w:ascii="Arial" w:cs="Arial" w:eastAsia="Arial" w:hAnsi="Arial"/>
                <w:sz w:val="12"/>
                <w:szCs w:val="12"/>
                <w:b w:val="1"/>
                <w:bCs w:val="1"/>
                <w:color w:val="auto"/>
                <w:w w:val="97"/>
              </w:rPr>
              <w:t>Carrying</w:t>
            </w:r>
          </w:p>
        </w:tc>
        <w:tc>
          <w:tcPr>
            <w:tcW w:w="140" w:type="dxa"/>
            <w:vAlign w:val="bottom"/>
          </w:tcPr>
          <w:p>
            <w:pPr>
              <w:spacing w:after="0"/>
              <w:rPr>
                <w:sz w:val="12"/>
                <w:szCs w:val="12"/>
                <w:color w:val="auto"/>
              </w:rPr>
            </w:pP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Accumulated</w:t>
            </w:r>
          </w:p>
        </w:tc>
      </w:tr>
      <w:tr>
        <w:trPr>
          <w:trHeight w:val="157"/>
        </w:trPr>
        <w:tc>
          <w:tcPr>
            <w:tcW w:w="346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140"/>
              <w:spacing w:after="0"/>
              <w:rPr>
                <w:sz w:val="20"/>
                <w:szCs w:val="20"/>
                <w:color w:val="auto"/>
              </w:rPr>
            </w:pPr>
            <w:r>
              <w:rPr>
                <w:rFonts w:ascii="Arial" w:cs="Arial" w:eastAsia="Arial" w:hAnsi="Arial"/>
                <w:sz w:val="12"/>
                <w:szCs w:val="12"/>
                <w:b w:val="1"/>
                <w:bCs w:val="1"/>
                <w:color w:val="auto"/>
                <w:w w:val="92"/>
              </w:rPr>
              <w:t>Amount</w:t>
            </w:r>
          </w:p>
        </w:tc>
        <w:tc>
          <w:tcPr>
            <w:tcW w:w="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Amortization</w:t>
            </w:r>
          </w:p>
        </w:tc>
        <w:tc>
          <w:tcPr>
            <w:tcW w:w="2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200"/>
              <w:spacing w:after="0"/>
              <w:rPr>
                <w:sz w:val="20"/>
                <w:szCs w:val="20"/>
                <w:color w:val="auto"/>
              </w:rPr>
            </w:pPr>
            <w:r>
              <w:rPr>
                <w:rFonts w:ascii="Arial" w:cs="Arial" w:eastAsia="Arial" w:hAnsi="Arial"/>
                <w:sz w:val="12"/>
                <w:szCs w:val="12"/>
                <w:b w:val="1"/>
                <w:bCs w:val="1"/>
                <w:color w:val="auto"/>
                <w:w w:val="92"/>
              </w:rPr>
              <w:t>Amount</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rPr>
              <w:t>Amortization</w:t>
            </w:r>
          </w:p>
        </w:tc>
        <w:tc>
          <w:tcPr>
            <w:tcW w:w="120" w:type="dxa"/>
            <w:vAlign w:val="bottom"/>
          </w:tcPr>
          <w:p>
            <w:pPr>
              <w:spacing w:after="0"/>
              <w:rPr>
                <w:sz w:val="13"/>
                <w:szCs w:val="13"/>
                <w:color w:val="auto"/>
              </w:rPr>
            </w:pPr>
          </w:p>
        </w:tc>
      </w:tr>
      <w:tr>
        <w:trPr>
          <w:trHeight w:val="155"/>
        </w:trPr>
        <w:tc>
          <w:tcPr>
            <w:tcW w:w="346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ind w:left="620"/>
              <w:spacing w:after="0"/>
              <w:rPr>
                <w:sz w:val="20"/>
                <w:szCs w:val="20"/>
                <w:color w:val="auto"/>
              </w:rPr>
            </w:pPr>
            <w:r>
              <w:rPr>
                <w:rFonts w:ascii="Arial" w:cs="Arial" w:eastAsia="Arial" w:hAnsi="Arial"/>
                <w:sz w:val="12"/>
                <w:szCs w:val="12"/>
                <w:b w:val="1"/>
                <w:bCs w:val="1"/>
                <w:color w:val="auto"/>
              </w:rPr>
              <w:t>(In</w:t>
            </w:r>
          </w:p>
        </w:tc>
        <w:tc>
          <w:tcPr>
            <w:tcW w:w="500" w:type="dxa"/>
            <w:vAlign w:val="bottom"/>
            <w:gridSpan w:val="2"/>
          </w:tcPr>
          <w:p>
            <w:pPr>
              <w:jc w:val="right"/>
              <w:spacing w:after="0"/>
              <w:rPr>
                <w:sz w:val="20"/>
                <w:szCs w:val="20"/>
                <w:color w:val="auto"/>
              </w:rPr>
            </w:pPr>
            <w:r>
              <w:rPr>
                <w:rFonts w:ascii="Arial" w:cs="Arial" w:eastAsia="Arial" w:hAnsi="Arial"/>
                <w:sz w:val="11"/>
                <w:szCs w:val="11"/>
                <w:b w:val="1"/>
                <w:bCs w:val="1"/>
                <w:color w:val="auto"/>
                <w:w w:val="74"/>
              </w:rPr>
              <w:t>thousands)</w:t>
            </w: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1"/>
        </w:trPr>
        <w:tc>
          <w:tcPr>
            <w:tcW w:w="3460" w:type="dxa"/>
            <w:vAlign w:val="bottom"/>
          </w:tcPr>
          <w:p>
            <w:pPr>
              <w:spacing w:after="0"/>
              <w:rPr>
                <w:sz w:val="11"/>
                <w:szCs w:val="11"/>
                <w:color w:val="auto"/>
              </w:rPr>
            </w:pPr>
          </w:p>
        </w:tc>
        <w:tc>
          <w:tcPr>
            <w:tcW w:w="2740" w:type="dxa"/>
            <w:vAlign w:val="bottom"/>
            <w:gridSpan w:val="2"/>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spacing w:after="0"/>
              <w:rPr>
                <w:sz w:val="11"/>
                <w:szCs w:val="11"/>
                <w:color w:val="auto"/>
              </w:rPr>
            </w:pPr>
          </w:p>
        </w:tc>
      </w:tr>
      <w:tr>
        <w:trPr>
          <w:trHeight w:val="164"/>
        </w:trPr>
        <w:tc>
          <w:tcPr>
            <w:tcW w:w="3460" w:type="dxa"/>
            <w:vAlign w:val="bottom"/>
            <w:shd w:val="clear" w:color="auto" w:fill="CCEEFF"/>
          </w:tcPr>
          <w:p>
            <w:pPr>
              <w:spacing w:after="0"/>
              <w:rPr>
                <w:sz w:val="20"/>
                <w:szCs w:val="20"/>
                <w:color w:val="auto"/>
              </w:rPr>
            </w:pPr>
            <w:r>
              <w:rPr>
                <w:rFonts w:ascii="Arial" w:cs="Arial" w:eastAsia="Arial" w:hAnsi="Arial"/>
                <w:sz w:val="12"/>
                <w:szCs w:val="12"/>
                <w:color w:val="auto"/>
              </w:rPr>
              <w:t>Amortized intangible assets - core deposits</w:t>
            </w:r>
          </w:p>
        </w:tc>
        <w:tc>
          <w:tcPr>
            <w:tcW w:w="27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11,916</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8,580</w:t>
            </w: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11,916</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7,610</w:t>
            </w:r>
          </w:p>
        </w:tc>
      </w:tr>
      <w:tr>
        <w:trPr>
          <w:trHeight w:val="20"/>
        </w:trPr>
        <w:tc>
          <w:tcPr>
            <w:tcW w:w="346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20"/>
        </w:trPr>
        <w:tc>
          <w:tcPr>
            <w:tcW w:w="3460" w:type="dxa"/>
            <w:vAlign w:val="bottom"/>
          </w:tcPr>
          <w:p>
            <w:pPr>
              <w:spacing w:after="0" w:line="120" w:lineRule="exact"/>
              <w:rPr>
                <w:sz w:val="20"/>
                <w:szCs w:val="20"/>
                <w:color w:val="auto"/>
              </w:rPr>
            </w:pPr>
            <w:r>
              <w:rPr>
                <w:rFonts w:ascii="Arial" w:cs="Arial" w:eastAsia="Arial" w:hAnsi="Arial"/>
                <w:sz w:val="12"/>
                <w:szCs w:val="12"/>
                <w:color w:val="auto"/>
              </w:rPr>
              <w:t>Unamortized intangible assets - goodwill</w:t>
            </w:r>
          </w:p>
        </w:tc>
        <w:tc>
          <w:tcPr>
            <w:tcW w:w="2740" w:type="dxa"/>
            <w:vAlign w:val="bottom"/>
            <w:gridSpan w:val="2"/>
          </w:tcPr>
          <w:p>
            <w:pPr>
              <w:jc w:val="right"/>
              <w:ind w:right="140"/>
              <w:spacing w:after="0" w:line="120" w:lineRule="exact"/>
              <w:rPr>
                <w:sz w:val="20"/>
                <w:szCs w:val="20"/>
                <w:color w:val="auto"/>
              </w:rPr>
            </w:pPr>
            <w:r>
              <w:rPr>
                <w:rFonts w:ascii="Arial" w:cs="Arial" w:eastAsia="Arial" w:hAnsi="Arial"/>
                <w:sz w:val="12"/>
                <w:szCs w:val="12"/>
                <w:color w:val="auto"/>
              </w:rPr>
              <w:t>$</w:t>
            </w:r>
          </w:p>
        </w:tc>
        <w:tc>
          <w:tcPr>
            <w:tcW w:w="940" w:type="dxa"/>
            <w:vAlign w:val="bottom"/>
          </w:tcPr>
          <w:p>
            <w:pPr>
              <w:jc w:val="right"/>
              <w:spacing w:after="0" w:line="120" w:lineRule="exact"/>
              <w:rPr>
                <w:sz w:val="20"/>
                <w:szCs w:val="20"/>
                <w:color w:val="auto"/>
              </w:rPr>
            </w:pPr>
            <w:r>
              <w:rPr>
                <w:rFonts w:ascii="Arial" w:cs="Arial" w:eastAsia="Arial" w:hAnsi="Arial"/>
                <w:sz w:val="12"/>
                <w:szCs w:val="12"/>
                <w:color w:val="auto"/>
              </w:rPr>
              <w:t>28,300</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220"/>
              <w:spacing w:after="0" w:line="120" w:lineRule="exact"/>
              <w:rPr>
                <w:sz w:val="20"/>
                <w:szCs w:val="20"/>
                <w:color w:val="auto"/>
              </w:rPr>
            </w:pPr>
            <w:r>
              <w:rPr>
                <w:rFonts w:ascii="Arial" w:cs="Arial" w:eastAsia="Arial" w:hAnsi="Arial"/>
                <w:sz w:val="12"/>
                <w:szCs w:val="12"/>
                <w:color w:val="auto"/>
              </w:rPr>
              <w:t>28,300</w:t>
            </w: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0"/>
        </w:trPr>
        <w:tc>
          <w:tcPr>
            <w:tcW w:w="34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5"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At December 31, 2021, the Bank (our reporting unit) had positive equity and elected to perform a qualitative assessment to determine if it was more likely than not that the fair value of the Bank exceeds its carrying value, including goodwill. The qualitative assessment indicated that it was more likely than not that the fair value of the Bank exceeded its carrying value, resulting in no impairment.</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340" w:type="dxa"/>
            <w:vAlign w:val="bottom"/>
          </w:tcPr>
          <w:p>
            <w:pPr>
              <w:ind w:left="200"/>
              <w:spacing w:after="0"/>
              <w:rPr>
                <w:sz w:val="20"/>
                <w:szCs w:val="20"/>
                <w:color w:val="auto"/>
              </w:rPr>
            </w:pPr>
            <w:r>
              <w:rPr>
                <w:rFonts w:ascii="Arial" w:cs="Arial" w:eastAsia="Arial" w:hAnsi="Arial"/>
                <w:sz w:val="12"/>
                <w:szCs w:val="12"/>
                <w:color w:val="auto"/>
                <w:w w:val="97"/>
              </w:rPr>
              <w:t>Intangible amortization expense was $1.0 million, $1.0 million and $1.1 million during the years ended 2021, 2020 and 2019, respectively.</w:t>
            </w: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88"/>
        </w:trPr>
        <w:tc>
          <w:tcPr>
            <w:tcW w:w="7340" w:type="dxa"/>
            <w:vAlign w:val="bottom"/>
          </w:tcPr>
          <w:p>
            <w:pPr>
              <w:ind w:left="200"/>
              <w:spacing w:after="0"/>
              <w:rPr>
                <w:sz w:val="20"/>
                <w:szCs w:val="20"/>
                <w:color w:val="auto"/>
              </w:rPr>
            </w:pPr>
            <w:r>
              <w:rPr>
                <w:rFonts w:ascii="Arial" w:cs="Arial" w:eastAsia="Arial" w:hAnsi="Arial"/>
                <w:sz w:val="12"/>
                <w:szCs w:val="12"/>
                <w:color w:val="auto"/>
              </w:rPr>
              <w:t>A summary of estimated core deposit intangible amortization at December 31, 2021, follows:</w:t>
            </w: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88"/>
        </w:trPr>
        <w:tc>
          <w:tcPr>
            <w:tcW w:w="7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(In thousands)</w:t>
            </w:r>
          </w:p>
        </w:tc>
      </w:tr>
      <w:tr>
        <w:trPr>
          <w:trHeight w:val="144"/>
        </w:trPr>
        <w:tc>
          <w:tcPr>
            <w:tcW w:w="7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7340" w:type="dxa"/>
            <w:vAlign w:val="bottom"/>
            <w:shd w:val="clear" w:color="auto" w:fill="CCEEFF"/>
          </w:tcPr>
          <w:p>
            <w:pPr>
              <w:spacing w:after="0"/>
              <w:rPr>
                <w:sz w:val="20"/>
                <w:szCs w:val="20"/>
                <w:color w:val="auto"/>
              </w:rPr>
            </w:pPr>
            <w:r>
              <w:rPr>
                <w:rFonts w:ascii="Arial" w:cs="Arial" w:eastAsia="Arial" w:hAnsi="Arial"/>
                <w:sz w:val="12"/>
                <w:szCs w:val="12"/>
                <w:color w:val="auto"/>
              </w:rPr>
              <w:t>2022</w:t>
            </w:r>
          </w:p>
        </w:tc>
        <w:tc>
          <w:tcPr>
            <w:tcW w:w="7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785</w:t>
            </w:r>
          </w:p>
        </w:tc>
        <w:tc>
          <w:tcPr>
            <w:tcW w:w="100" w:type="dxa"/>
            <w:vAlign w:val="bottom"/>
            <w:shd w:val="clear" w:color="auto" w:fill="CCEEFF"/>
          </w:tcPr>
          <w:p>
            <w:pPr>
              <w:spacing w:after="0"/>
              <w:rPr>
                <w:sz w:val="12"/>
                <w:szCs w:val="12"/>
                <w:color w:val="auto"/>
              </w:rPr>
            </w:pPr>
          </w:p>
        </w:tc>
      </w:tr>
      <w:tr>
        <w:trPr>
          <w:trHeight w:val="144"/>
        </w:trPr>
        <w:tc>
          <w:tcPr>
            <w:tcW w:w="7340" w:type="dxa"/>
            <w:vAlign w:val="bottom"/>
          </w:tcPr>
          <w:p>
            <w:pPr>
              <w:spacing w:after="0"/>
              <w:rPr>
                <w:sz w:val="20"/>
                <w:szCs w:val="20"/>
                <w:color w:val="auto"/>
              </w:rPr>
            </w:pPr>
            <w:r>
              <w:rPr>
                <w:rFonts w:ascii="Arial" w:cs="Arial" w:eastAsia="Arial" w:hAnsi="Arial"/>
                <w:sz w:val="12"/>
                <w:szCs w:val="12"/>
                <w:color w:val="auto"/>
              </w:rPr>
              <w:t>2023</w:t>
            </w: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2"/>
                <w:szCs w:val="12"/>
                <w:color w:val="auto"/>
              </w:rPr>
              <w:t>547</w:t>
            </w:r>
          </w:p>
        </w:tc>
        <w:tc>
          <w:tcPr>
            <w:tcW w:w="100" w:type="dxa"/>
            <w:vAlign w:val="bottom"/>
          </w:tcPr>
          <w:p>
            <w:pPr>
              <w:spacing w:after="0"/>
              <w:rPr>
                <w:sz w:val="12"/>
                <w:szCs w:val="12"/>
                <w:color w:val="auto"/>
              </w:rPr>
            </w:pPr>
          </w:p>
        </w:tc>
      </w:tr>
      <w:tr>
        <w:trPr>
          <w:trHeight w:val="144"/>
        </w:trPr>
        <w:tc>
          <w:tcPr>
            <w:tcW w:w="7340" w:type="dxa"/>
            <w:vAlign w:val="bottom"/>
            <w:shd w:val="clear" w:color="auto" w:fill="CCEEFF"/>
          </w:tcPr>
          <w:p>
            <w:pPr>
              <w:spacing w:after="0"/>
              <w:rPr>
                <w:sz w:val="20"/>
                <w:szCs w:val="20"/>
                <w:color w:val="auto"/>
              </w:rPr>
            </w:pPr>
            <w:r>
              <w:rPr>
                <w:rFonts w:ascii="Arial" w:cs="Arial" w:eastAsia="Arial" w:hAnsi="Arial"/>
                <w:sz w:val="12"/>
                <w:szCs w:val="12"/>
                <w:color w:val="auto"/>
              </w:rPr>
              <w:t>2024</w:t>
            </w:r>
          </w:p>
        </w:tc>
        <w:tc>
          <w:tcPr>
            <w:tcW w:w="7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516</w:t>
            </w:r>
          </w:p>
        </w:tc>
        <w:tc>
          <w:tcPr>
            <w:tcW w:w="100" w:type="dxa"/>
            <w:vAlign w:val="bottom"/>
            <w:shd w:val="clear" w:color="auto" w:fill="CCEEFF"/>
          </w:tcPr>
          <w:p>
            <w:pPr>
              <w:spacing w:after="0"/>
              <w:rPr>
                <w:sz w:val="12"/>
                <w:szCs w:val="12"/>
                <w:color w:val="auto"/>
              </w:rPr>
            </w:pPr>
          </w:p>
        </w:tc>
      </w:tr>
      <w:tr>
        <w:trPr>
          <w:trHeight w:val="144"/>
        </w:trPr>
        <w:tc>
          <w:tcPr>
            <w:tcW w:w="7340" w:type="dxa"/>
            <w:vAlign w:val="bottom"/>
          </w:tcPr>
          <w:p>
            <w:pPr>
              <w:spacing w:after="0"/>
              <w:rPr>
                <w:sz w:val="20"/>
                <w:szCs w:val="20"/>
                <w:color w:val="auto"/>
              </w:rPr>
            </w:pPr>
            <w:r>
              <w:rPr>
                <w:rFonts w:ascii="Arial" w:cs="Arial" w:eastAsia="Arial" w:hAnsi="Arial"/>
                <w:sz w:val="12"/>
                <w:szCs w:val="12"/>
                <w:color w:val="auto"/>
              </w:rPr>
              <w:t>2025</w:t>
            </w: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2"/>
                <w:szCs w:val="12"/>
                <w:color w:val="auto"/>
              </w:rPr>
              <w:t>487</w:t>
            </w:r>
          </w:p>
        </w:tc>
        <w:tc>
          <w:tcPr>
            <w:tcW w:w="100" w:type="dxa"/>
            <w:vAlign w:val="bottom"/>
          </w:tcPr>
          <w:p>
            <w:pPr>
              <w:spacing w:after="0"/>
              <w:rPr>
                <w:sz w:val="12"/>
                <w:szCs w:val="12"/>
                <w:color w:val="auto"/>
              </w:rPr>
            </w:pPr>
          </w:p>
        </w:tc>
      </w:tr>
      <w:tr>
        <w:trPr>
          <w:trHeight w:val="144"/>
        </w:trPr>
        <w:tc>
          <w:tcPr>
            <w:tcW w:w="7340" w:type="dxa"/>
            <w:vAlign w:val="bottom"/>
            <w:shd w:val="clear" w:color="auto" w:fill="CCEEFF"/>
          </w:tcPr>
          <w:p>
            <w:pPr>
              <w:spacing w:after="0"/>
              <w:rPr>
                <w:sz w:val="20"/>
                <w:szCs w:val="20"/>
                <w:color w:val="auto"/>
              </w:rPr>
            </w:pPr>
            <w:r>
              <w:rPr>
                <w:rFonts w:ascii="Arial" w:cs="Arial" w:eastAsia="Arial" w:hAnsi="Arial"/>
                <w:sz w:val="12"/>
                <w:szCs w:val="12"/>
                <w:color w:val="auto"/>
              </w:rPr>
              <w:t>2026</w:t>
            </w:r>
          </w:p>
        </w:tc>
        <w:tc>
          <w:tcPr>
            <w:tcW w:w="7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460</w:t>
            </w:r>
          </w:p>
        </w:tc>
        <w:tc>
          <w:tcPr>
            <w:tcW w:w="100" w:type="dxa"/>
            <w:vAlign w:val="bottom"/>
            <w:shd w:val="clear" w:color="auto" w:fill="CCEEFF"/>
          </w:tcPr>
          <w:p>
            <w:pPr>
              <w:spacing w:after="0"/>
              <w:rPr>
                <w:sz w:val="12"/>
                <w:szCs w:val="12"/>
                <w:color w:val="auto"/>
              </w:rPr>
            </w:pPr>
          </w:p>
        </w:tc>
      </w:tr>
      <w:tr>
        <w:trPr>
          <w:trHeight w:val="144"/>
        </w:trPr>
        <w:tc>
          <w:tcPr>
            <w:tcW w:w="7340" w:type="dxa"/>
            <w:vAlign w:val="bottom"/>
          </w:tcPr>
          <w:p>
            <w:pPr>
              <w:spacing w:after="0"/>
              <w:rPr>
                <w:sz w:val="20"/>
                <w:szCs w:val="20"/>
                <w:color w:val="auto"/>
              </w:rPr>
            </w:pPr>
            <w:r>
              <w:rPr>
                <w:rFonts w:ascii="Arial" w:cs="Arial" w:eastAsia="Arial" w:hAnsi="Arial"/>
                <w:sz w:val="12"/>
                <w:szCs w:val="12"/>
                <w:color w:val="auto"/>
              </w:rPr>
              <w:t>2027 and thereafter</w:t>
            </w: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541</w:t>
            </w:r>
          </w:p>
        </w:tc>
        <w:tc>
          <w:tcPr>
            <w:tcW w:w="100" w:type="dxa"/>
            <w:vAlign w:val="bottom"/>
          </w:tcPr>
          <w:p>
            <w:pPr>
              <w:spacing w:after="0"/>
              <w:rPr>
                <w:sz w:val="12"/>
                <w:szCs w:val="12"/>
                <w:color w:val="auto"/>
              </w:rPr>
            </w:pPr>
          </w:p>
        </w:tc>
      </w:tr>
      <w:tr>
        <w:trPr>
          <w:trHeight w:val="182"/>
        </w:trPr>
        <w:tc>
          <w:tcPr>
            <w:tcW w:w="7340" w:type="dxa"/>
            <w:vAlign w:val="bottom"/>
            <w:shd w:val="clear" w:color="auto" w:fill="CCEEFF"/>
          </w:tcPr>
          <w:p>
            <w:pPr>
              <w:ind w:left="80"/>
              <w:spacing w:after="0"/>
              <w:rPr>
                <w:sz w:val="20"/>
                <w:szCs w:val="20"/>
                <w:color w:val="auto"/>
              </w:rPr>
            </w:pPr>
            <w:r>
              <w:rPr>
                <w:rFonts w:ascii="Arial" w:cs="Arial" w:eastAsia="Arial" w:hAnsi="Arial"/>
                <w:sz w:val="12"/>
                <w:szCs w:val="12"/>
                <w:color w:val="auto"/>
              </w:rPr>
              <w:t>Total</w:t>
            </w:r>
          </w:p>
        </w:tc>
        <w:tc>
          <w:tcPr>
            <w:tcW w:w="7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3,336</w:t>
            </w:r>
          </w:p>
        </w:tc>
        <w:tc>
          <w:tcPr>
            <w:tcW w:w="100" w:type="dxa"/>
            <w:vAlign w:val="bottom"/>
            <w:shd w:val="clear" w:color="auto" w:fill="CCEEFF"/>
          </w:tcPr>
          <w:p>
            <w:pPr>
              <w:spacing w:after="0"/>
              <w:rPr>
                <w:sz w:val="15"/>
                <w:szCs w:val="15"/>
                <w:color w:val="auto"/>
              </w:rPr>
            </w:pPr>
          </w:p>
        </w:tc>
      </w:tr>
      <w:tr>
        <w:trPr>
          <w:trHeight w:val="408"/>
        </w:trPr>
        <w:tc>
          <w:tcPr>
            <w:tcW w:w="7340" w:type="dxa"/>
            <w:vAlign w:val="bottom"/>
            <w:tcBorders>
              <w:top w:val="single" w:sz="8" w:color="CCEEFF"/>
            </w:tcBorders>
          </w:tcPr>
          <w:p>
            <w:pPr>
              <w:spacing w:after="0"/>
              <w:rPr>
                <w:sz w:val="20"/>
                <w:szCs w:val="20"/>
                <w:color w:val="auto"/>
              </w:rPr>
            </w:pPr>
            <w:r>
              <w:rPr>
                <w:rFonts w:ascii="Arial" w:cs="Arial" w:eastAsia="Arial" w:hAnsi="Arial"/>
                <w:sz w:val="12"/>
                <w:szCs w:val="12"/>
                <w:b w:val="1"/>
                <w:bCs w:val="1"/>
                <w:color w:val="auto"/>
              </w:rPr>
              <w:t>NOTE 8 – DEPOSITS</w:t>
            </w:r>
          </w:p>
        </w:tc>
        <w:tc>
          <w:tcPr>
            <w:tcW w:w="78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288"/>
        </w:trPr>
        <w:tc>
          <w:tcPr>
            <w:tcW w:w="7340" w:type="dxa"/>
            <w:vAlign w:val="bottom"/>
          </w:tcPr>
          <w:p>
            <w:pPr>
              <w:ind w:left="200"/>
              <w:spacing w:after="0"/>
              <w:rPr>
                <w:sz w:val="20"/>
                <w:szCs w:val="20"/>
                <w:color w:val="auto"/>
              </w:rPr>
            </w:pPr>
            <w:r>
              <w:rPr>
                <w:rFonts w:ascii="Arial" w:cs="Arial" w:eastAsia="Arial" w:hAnsi="Arial"/>
                <w:sz w:val="12"/>
                <w:szCs w:val="12"/>
                <w:color w:val="auto"/>
              </w:rPr>
              <w:t>A summary of interest expense on deposits for the years ended December 31 follows:</w:t>
            </w: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88"/>
        </w:trPr>
        <w:tc>
          <w:tcPr>
            <w:tcW w:w="7340" w:type="dxa"/>
            <w:vAlign w:val="bottom"/>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2"/>
                <w:szCs w:val="12"/>
                <w:b w:val="1"/>
                <w:bCs w:val="1"/>
                <w:color w:val="auto"/>
              </w:rPr>
              <w:t>2021</w:t>
            </w:r>
          </w:p>
        </w:tc>
        <w:tc>
          <w:tcPr>
            <w:tcW w:w="3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2020</w:t>
            </w: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7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ind w:right="140"/>
              <w:spacing w:after="0"/>
              <w:rPr>
                <w:sz w:val="20"/>
                <w:szCs w:val="20"/>
                <w:color w:val="auto"/>
              </w:rPr>
            </w:pPr>
            <w:r>
              <w:rPr>
                <w:rFonts w:ascii="Arial" w:cs="Arial" w:eastAsia="Arial" w:hAnsi="Arial"/>
                <w:sz w:val="12"/>
                <w:szCs w:val="12"/>
                <w:b w:val="1"/>
                <w:bCs w:val="1"/>
                <w:color w:val="auto"/>
                <w:w w:val="94"/>
              </w:rPr>
              <w:t>(In thousands)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7340" w:type="dxa"/>
            <w:vAlign w:val="bottom"/>
            <w:shd w:val="clear" w:color="auto" w:fill="CCEEFF"/>
          </w:tcPr>
          <w:p>
            <w:pPr>
              <w:spacing w:after="0"/>
              <w:rPr>
                <w:sz w:val="20"/>
                <w:szCs w:val="20"/>
                <w:color w:val="auto"/>
              </w:rPr>
            </w:pPr>
            <w:r>
              <w:rPr>
                <w:rFonts w:ascii="Arial" w:cs="Arial" w:eastAsia="Arial" w:hAnsi="Arial"/>
                <w:sz w:val="12"/>
                <w:szCs w:val="12"/>
                <w:color w:val="auto"/>
              </w:rPr>
              <w:t>Savings and interest-bearing checking</w:t>
            </w:r>
          </w:p>
        </w:tc>
        <w:tc>
          <w:tcPr>
            <w:tcW w:w="780" w:type="dxa"/>
            <w:vAlign w:val="bottom"/>
            <w:shd w:val="clear" w:color="auto" w:fill="CCEEFF"/>
          </w:tcPr>
          <w:p>
            <w:pPr>
              <w:jc w:val="right"/>
              <w:ind w:right="668"/>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2,101</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2,264</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5,371</w:t>
            </w:r>
          </w:p>
        </w:tc>
        <w:tc>
          <w:tcPr>
            <w:tcW w:w="100" w:type="dxa"/>
            <w:vAlign w:val="bottom"/>
            <w:shd w:val="clear" w:color="auto" w:fill="CCEEFF"/>
          </w:tcPr>
          <w:p>
            <w:pPr>
              <w:spacing w:after="0"/>
              <w:rPr>
                <w:sz w:val="12"/>
                <w:szCs w:val="12"/>
                <w:color w:val="auto"/>
              </w:rPr>
            </w:pPr>
          </w:p>
        </w:tc>
      </w:tr>
      <w:tr>
        <w:trPr>
          <w:trHeight w:val="144"/>
        </w:trPr>
        <w:tc>
          <w:tcPr>
            <w:tcW w:w="7340" w:type="dxa"/>
            <w:vAlign w:val="bottom"/>
          </w:tcPr>
          <w:p>
            <w:pPr>
              <w:spacing w:after="0"/>
              <w:rPr>
                <w:sz w:val="20"/>
                <w:szCs w:val="20"/>
                <w:color w:val="auto"/>
              </w:rPr>
            </w:pPr>
            <w:r>
              <w:rPr>
                <w:rFonts w:ascii="Arial" w:cs="Arial" w:eastAsia="Arial" w:hAnsi="Arial"/>
                <w:sz w:val="12"/>
                <w:szCs w:val="12"/>
                <w:color w:val="auto"/>
              </w:rPr>
              <w:t>Reciprocal</w:t>
            </w:r>
          </w:p>
        </w:tc>
        <w:tc>
          <w:tcPr>
            <w:tcW w:w="7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764</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2,158</w:t>
            </w:r>
          </w:p>
        </w:tc>
        <w:tc>
          <w:tcPr>
            <w:tcW w:w="120" w:type="dxa"/>
            <w:vAlign w:val="bottom"/>
          </w:tcPr>
          <w:p>
            <w:pPr>
              <w:spacing w:after="0"/>
              <w:rPr>
                <w:sz w:val="12"/>
                <w:szCs w:val="1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2"/>
                <w:szCs w:val="12"/>
                <w:color w:val="auto"/>
              </w:rPr>
              <w:t>6,024</w:t>
            </w:r>
          </w:p>
        </w:tc>
        <w:tc>
          <w:tcPr>
            <w:tcW w:w="100" w:type="dxa"/>
            <w:vAlign w:val="bottom"/>
          </w:tcPr>
          <w:p>
            <w:pPr>
              <w:spacing w:after="0"/>
              <w:rPr>
                <w:sz w:val="12"/>
                <w:szCs w:val="12"/>
                <w:color w:val="auto"/>
              </w:rPr>
            </w:pPr>
          </w:p>
        </w:tc>
      </w:tr>
      <w:tr>
        <w:trPr>
          <w:trHeight w:val="144"/>
        </w:trPr>
        <w:tc>
          <w:tcPr>
            <w:tcW w:w="7340" w:type="dxa"/>
            <w:vAlign w:val="bottom"/>
            <w:shd w:val="clear" w:color="auto" w:fill="CCEEFF"/>
          </w:tcPr>
          <w:p>
            <w:pPr>
              <w:spacing w:after="0"/>
              <w:rPr>
                <w:sz w:val="20"/>
                <w:szCs w:val="20"/>
                <w:color w:val="auto"/>
              </w:rPr>
            </w:pPr>
            <w:r>
              <w:rPr>
                <w:rFonts w:ascii="Arial" w:cs="Arial" w:eastAsia="Arial" w:hAnsi="Arial"/>
                <w:sz w:val="12"/>
                <w:szCs w:val="12"/>
                <w:color w:val="auto"/>
              </w:rPr>
              <w:t>Time</w:t>
            </w:r>
          </w:p>
        </w:tc>
        <w:tc>
          <w:tcPr>
            <w:tcW w:w="7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1,507</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7,073</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7,148</w:t>
            </w:r>
          </w:p>
        </w:tc>
        <w:tc>
          <w:tcPr>
            <w:tcW w:w="100" w:type="dxa"/>
            <w:vAlign w:val="bottom"/>
            <w:shd w:val="clear" w:color="auto" w:fill="CCEEFF"/>
          </w:tcPr>
          <w:p>
            <w:pPr>
              <w:spacing w:after="0"/>
              <w:rPr>
                <w:sz w:val="12"/>
                <w:szCs w:val="12"/>
                <w:color w:val="auto"/>
              </w:rPr>
            </w:pPr>
          </w:p>
        </w:tc>
      </w:tr>
      <w:tr>
        <w:trPr>
          <w:trHeight w:val="144"/>
        </w:trPr>
        <w:tc>
          <w:tcPr>
            <w:tcW w:w="7340" w:type="dxa"/>
            <w:vAlign w:val="bottom"/>
          </w:tcPr>
          <w:p>
            <w:pPr>
              <w:spacing w:after="0"/>
              <w:rPr>
                <w:sz w:val="20"/>
                <w:szCs w:val="20"/>
                <w:color w:val="auto"/>
              </w:rPr>
            </w:pPr>
            <w:r>
              <w:rPr>
                <w:rFonts w:ascii="Arial" w:cs="Arial" w:eastAsia="Arial" w:hAnsi="Arial"/>
                <w:sz w:val="12"/>
                <w:szCs w:val="12"/>
                <w:color w:val="auto"/>
              </w:rPr>
              <w:t>Brokered time</w:t>
            </w:r>
          </w:p>
        </w:tc>
        <w:tc>
          <w:tcPr>
            <w:tcW w:w="7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93</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1,171</w:t>
            </w:r>
          </w:p>
        </w:tc>
        <w:tc>
          <w:tcPr>
            <w:tcW w:w="120" w:type="dxa"/>
            <w:vAlign w:val="bottom"/>
          </w:tcPr>
          <w:p>
            <w:pPr>
              <w:spacing w:after="0"/>
              <w:rPr>
                <w:sz w:val="12"/>
                <w:szCs w:val="1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2"/>
                <w:szCs w:val="12"/>
                <w:color w:val="auto"/>
              </w:rPr>
              <w:t>4,882</w:t>
            </w:r>
          </w:p>
        </w:tc>
        <w:tc>
          <w:tcPr>
            <w:tcW w:w="100" w:type="dxa"/>
            <w:vAlign w:val="bottom"/>
          </w:tcPr>
          <w:p>
            <w:pPr>
              <w:spacing w:after="0"/>
              <w:rPr>
                <w:sz w:val="12"/>
                <w:szCs w:val="12"/>
                <w:color w:val="auto"/>
              </w:rPr>
            </w:pPr>
          </w:p>
        </w:tc>
      </w:tr>
      <w:tr>
        <w:trPr>
          <w:trHeight w:val="182"/>
        </w:trPr>
        <w:tc>
          <w:tcPr>
            <w:tcW w:w="7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Total</w:t>
            </w:r>
          </w:p>
        </w:tc>
        <w:tc>
          <w:tcPr>
            <w:tcW w:w="780" w:type="dxa"/>
            <w:vAlign w:val="bottom"/>
            <w:tcBorders>
              <w:top w:val="single" w:sz="8" w:color="auto"/>
              <w:bottom w:val="single" w:sz="8" w:color="auto"/>
            </w:tcBorders>
            <w:shd w:val="clear" w:color="auto" w:fill="CCEEFF"/>
          </w:tcPr>
          <w:p>
            <w:pPr>
              <w:jc w:val="right"/>
              <w:ind w:right="668"/>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4,465</w:t>
            </w:r>
          </w:p>
        </w:tc>
        <w:tc>
          <w:tcPr>
            <w:tcW w:w="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12,666</w:t>
            </w:r>
          </w:p>
        </w:tc>
        <w:tc>
          <w:tcPr>
            <w:tcW w:w="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23,425</w:t>
            </w:r>
          </w:p>
        </w:tc>
        <w:tc>
          <w:tcPr>
            <w:tcW w:w="120" w:type="dxa"/>
            <w:vAlign w:val="bottom"/>
            <w:tcBorders>
              <w:bottom w:val="single" w:sz="8" w:color="CCEEFF"/>
            </w:tcBorders>
            <w:gridSpan w:val="2"/>
            <w:shd w:val="clear" w:color="auto" w:fill="CCEEFF"/>
          </w:tcPr>
          <w:p>
            <w:pPr>
              <w:spacing w:after="0"/>
              <w:rPr>
                <w:sz w:val="15"/>
                <w:szCs w:val="15"/>
                <w:color w:val="auto"/>
              </w:rPr>
            </w:pPr>
          </w:p>
        </w:tc>
      </w:tr>
    </w:tbl>
    <w:p>
      <w:pPr>
        <w:spacing w:after="0" w:line="13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Aggregate time deposits in denominations of $0.25 million or more amounted to $93.1 million and $50.0 million at December 31, 2021 and 2020, respectively.</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57"/>
        </w:trPr>
        <w:tc>
          <w:tcPr>
            <w:tcW w:w="10060" w:type="dxa"/>
            <w:vAlign w:val="bottom"/>
          </w:tcPr>
          <w:p>
            <w:pPr>
              <w:ind w:left="3700"/>
              <w:spacing w:after="0"/>
              <w:rPr>
                <w:sz w:val="20"/>
                <w:szCs w:val="20"/>
                <w:color w:val="auto"/>
              </w:rPr>
            </w:pPr>
            <w:r>
              <w:rPr>
                <w:rFonts w:ascii="Arial" w:cs="Arial" w:eastAsia="Arial" w:hAnsi="Arial"/>
                <w:sz w:val="12"/>
                <w:szCs w:val="12"/>
                <w:b w:val="1"/>
                <w:bCs w:val="1"/>
                <w:color w:val="auto"/>
              </w:rPr>
              <w:t>NOTES TO CONSOLIDATED FINANCIAL STATEMENTS − (Continued)</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61"/>
        </w:trPr>
        <w:tc>
          <w:tcPr>
            <w:tcW w:w="10060" w:type="dxa"/>
            <w:vAlign w:val="bottom"/>
          </w:tcPr>
          <w:p>
            <w:pPr>
              <w:ind w:left="200"/>
              <w:spacing w:after="0"/>
              <w:rPr>
                <w:sz w:val="20"/>
                <w:szCs w:val="20"/>
                <w:color w:val="auto"/>
              </w:rPr>
            </w:pPr>
            <w:r>
              <w:rPr>
                <w:rFonts w:ascii="Arial" w:cs="Arial" w:eastAsia="Arial" w:hAnsi="Arial"/>
                <w:sz w:val="12"/>
                <w:szCs w:val="12"/>
                <w:color w:val="auto"/>
              </w:rPr>
              <w:t>A summary of the maturity of time deposits at December 31, 2021, follows (1):</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88"/>
        </w:trPr>
        <w:tc>
          <w:tcPr>
            <w:tcW w:w="10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w w:val="96"/>
              </w:rPr>
              <w:t>(In thousands)</w:t>
            </w:r>
          </w:p>
        </w:tc>
      </w:tr>
      <w:tr>
        <w:trPr>
          <w:trHeight w:val="142"/>
        </w:trPr>
        <w:tc>
          <w:tcPr>
            <w:tcW w:w="10060" w:type="dxa"/>
            <w:vAlign w:val="bottom"/>
            <w:shd w:val="clear" w:color="auto" w:fill="CCEEFF"/>
          </w:tcPr>
          <w:p>
            <w:pPr>
              <w:spacing w:after="0"/>
              <w:rPr>
                <w:sz w:val="20"/>
                <w:szCs w:val="20"/>
                <w:color w:val="auto"/>
              </w:rPr>
            </w:pPr>
            <w:r>
              <w:rPr>
                <w:rFonts w:ascii="Arial" w:cs="Arial" w:eastAsia="Arial" w:hAnsi="Arial"/>
                <w:sz w:val="12"/>
                <w:szCs w:val="12"/>
                <w:color w:val="auto"/>
              </w:rPr>
              <w:t>2022</w:t>
            </w: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269,067</w:t>
            </w:r>
          </w:p>
        </w:tc>
        <w:tc>
          <w:tcPr>
            <w:tcW w:w="120" w:type="dxa"/>
            <w:vAlign w:val="bottom"/>
            <w:shd w:val="clear" w:color="auto" w:fill="CCEEFF"/>
          </w:tcPr>
          <w:p>
            <w:pPr>
              <w:spacing w:after="0"/>
              <w:rPr>
                <w:sz w:val="12"/>
                <w:szCs w:val="12"/>
                <w:color w:val="auto"/>
              </w:rPr>
            </w:pPr>
          </w:p>
        </w:tc>
      </w:tr>
      <w:tr>
        <w:trPr>
          <w:trHeight w:val="144"/>
        </w:trPr>
        <w:tc>
          <w:tcPr>
            <w:tcW w:w="10060" w:type="dxa"/>
            <w:vAlign w:val="bottom"/>
          </w:tcPr>
          <w:p>
            <w:pPr>
              <w:spacing w:after="0"/>
              <w:rPr>
                <w:sz w:val="20"/>
                <w:szCs w:val="20"/>
                <w:color w:val="auto"/>
              </w:rPr>
            </w:pPr>
            <w:r>
              <w:rPr>
                <w:rFonts w:ascii="Arial" w:cs="Arial" w:eastAsia="Arial" w:hAnsi="Arial"/>
                <w:sz w:val="12"/>
                <w:szCs w:val="12"/>
                <w:color w:val="auto"/>
              </w:rPr>
              <w:t>2023</w:t>
            </w:r>
          </w:p>
        </w:tc>
        <w:tc>
          <w:tcPr>
            <w:tcW w:w="120" w:type="dxa"/>
            <w:vAlign w:val="bottom"/>
          </w:tcPr>
          <w:p>
            <w:pPr>
              <w:spacing w:after="0"/>
              <w:rPr>
                <w:sz w:val="12"/>
                <w:szCs w:val="12"/>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43,692</w:t>
            </w:r>
          </w:p>
        </w:tc>
      </w:tr>
      <w:tr>
        <w:trPr>
          <w:trHeight w:val="144"/>
        </w:trPr>
        <w:tc>
          <w:tcPr>
            <w:tcW w:w="10060" w:type="dxa"/>
            <w:vAlign w:val="bottom"/>
            <w:shd w:val="clear" w:color="auto" w:fill="CCEEFF"/>
          </w:tcPr>
          <w:p>
            <w:pPr>
              <w:spacing w:after="0"/>
              <w:rPr>
                <w:sz w:val="20"/>
                <w:szCs w:val="20"/>
                <w:color w:val="auto"/>
              </w:rPr>
            </w:pPr>
            <w:r>
              <w:rPr>
                <w:rFonts w:ascii="Arial" w:cs="Arial" w:eastAsia="Arial" w:hAnsi="Arial"/>
                <w:sz w:val="12"/>
                <w:szCs w:val="12"/>
                <w:color w:val="auto"/>
              </w:rPr>
              <w:t>2024</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10,067</w:t>
            </w:r>
          </w:p>
        </w:tc>
      </w:tr>
      <w:tr>
        <w:trPr>
          <w:trHeight w:val="144"/>
        </w:trPr>
        <w:tc>
          <w:tcPr>
            <w:tcW w:w="10060" w:type="dxa"/>
            <w:vAlign w:val="bottom"/>
          </w:tcPr>
          <w:p>
            <w:pPr>
              <w:spacing w:after="0"/>
              <w:rPr>
                <w:sz w:val="20"/>
                <w:szCs w:val="20"/>
                <w:color w:val="auto"/>
              </w:rPr>
            </w:pPr>
            <w:r>
              <w:rPr>
                <w:rFonts w:ascii="Arial" w:cs="Arial" w:eastAsia="Arial" w:hAnsi="Arial"/>
                <w:sz w:val="12"/>
                <w:szCs w:val="12"/>
                <w:color w:val="auto"/>
              </w:rPr>
              <w:t>2025</w:t>
            </w:r>
          </w:p>
        </w:tc>
        <w:tc>
          <w:tcPr>
            <w:tcW w:w="12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5,834</w:t>
            </w:r>
          </w:p>
        </w:tc>
        <w:tc>
          <w:tcPr>
            <w:tcW w:w="120" w:type="dxa"/>
            <w:vAlign w:val="bottom"/>
          </w:tcPr>
          <w:p>
            <w:pPr>
              <w:spacing w:after="0"/>
              <w:rPr>
                <w:sz w:val="12"/>
                <w:szCs w:val="12"/>
                <w:color w:val="auto"/>
              </w:rPr>
            </w:pPr>
          </w:p>
        </w:tc>
      </w:tr>
      <w:tr>
        <w:trPr>
          <w:trHeight w:val="144"/>
        </w:trPr>
        <w:tc>
          <w:tcPr>
            <w:tcW w:w="10060" w:type="dxa"/>
            <w:vAlign w:val="bottom"/>
            <w:shd w:val="clear" w:color="auto" w:fill="CCEEFF"/>
          </w:tcPr>
          <w:p>
            <w:pPr>
              <w:spacing w:after="0"/>
              <w:rPr>
                <w:sz w:val="20"/>
                <w:szCs w:val="20"/>
                <w:color w:val="auto"/>
              </w:rPr>
            </w:pPr>
            <w:r>
              <w:rPr>
                <w:rFonts w:ascii="Arial" w:cs="Arial" w:eastAsia="Arial" w:hAnsi="Arial"/>
                <w:sz w:val="12"/>
                <w:szCs w:val="12"/>
                <w:color w:val="auto"/>
              </w:rPr>
              <w:t>2026</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6,794</w:t>
            </w:r>
          </w:p>
        </w:tc>
        <w:tc>
          <w:tcPr>
            <w:tcW w:w="120" w:type="dxa"/>
            <w:vAlign w:val="bottom"/>
            <w:shd w:val="clear" w:color="auto" w:fill="CCEEFF"/>
          </w:tcPr>
          <w:p>
            <w:pPr>
              <w:spacing w:after="0"/>
              <w:rPr>
                <w:sz w:val="12"/>
                <w:szCs w:val="12"/>
                <w:color w:val="auto"/>
              </w:rPr>
            </w:pPr>
          </w:p>
        </w:tc>
      </w:tr>
      <w:tr>
        <w:trPr>
          <w:trHeight w:val="144"/>
        </w:trPr>
        <w:tc>
          <w:tcPr>
            <w:tcW w:w="10060" w:type="dxa"/>
            <w:vAlign w:val="bottom"/>
          </w:tcPr>
          <w:p>
            <w:pPr>
              <w:spacing w:after="0"/>
              <w:rPr>
                <w:sz w:val="20"/>
                <w:szCs w:val="20"/>
                <w:color w:val="auto"/>
              </w:rPr>
            </w:pPr>
            <w:r>
              <w:rPr>
                <w:rFonts w:ascii="Arial" w:cs="Arial" w:eastAsia="Arial" w:hAnsi="Arial"/>
                <w:sz w:val="12"/>
                <w:szCs w:val="12"/>
                <w:color w:val="auto"/>
              </w:rPr>
              <w:t>2027 and thereafter</w:t>
            </w: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338</w:t>
            </w:r>
          </w:p>
        </w:tc>
        <w:tc>
          <w:tcPr>
            <w:tcW w:w="120" w:type="dxa"/>
            <w:vAlign w:val="bottom"/>
          </w:tcPr>
          <w:p>
            <w:pPr>
              <w:spacing w:after="0"/>
              <w:rPr>
                <w:sz w:val="12"/>
                <w:szCs w:val="12"/>
                <w:color w:val="auto"/>
              </w:rPr>
            </w:pPr>
          </w:p>
        </w:tc>
      </w:tr>
      <w:tr>
        <w:trPr>
          <w:trHeight w:val="182"/>
        </w:trPr>
        <w:tc>
          <w:tcPr>
            <w:tcW w:w="100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Total</w:t>
            </w: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335,792</w:t>
            </w:r>
          </w:p>
        </w:tc>
        <w:tc>
          <w:tcPr>
            <w:tcW w:w="120" w:type="dxa"/>
            <w:vAlign w:val="bottom"/>
            <w:tcBorders>
              <w:bottom w:val="single" w:sz="8" w:color="CCEEFF"/>
            </w:tcBorders>
            <w:shd w:val="clear" w:color="auto" w:fill="CCEEFF"/>
          </w:tcPr>
          <w:p>
            <w:pPr>
              <w:spacing w:after="0"/>
              <w:rPr>
                <w:sz w:val="15"/>
                <w:szCs w:val="15"/>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(1) Includes time deposits, brokered time deposits and reciprocal time deposits</w:t>
      </w:r>
    </w:p>
    <w:p>
      <w:pPr>
        <w:spacing w:after="0" w:line="150"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Reciprocal deposits represent demand, money market and time deposits from our customers that have been placed through IntraFi Network. This service allows our customers to access multi-million dollar FDIC deposit insurance on deposit balances greater than the standard FDIC insurance maximum.</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700" w:type="dxa"/>
            <w:vAlign w:val="bottom"/>
          </w:tcPr>
          <w:p>
            <w:pPr>
              <w:ind w:left="200"/>
              <w:spacing w:after="0"/>
              <w:rPr>
                <w:sz w:val="20"/>
                <w:szCs w:val="20"/>
                <w:color w:val="auto"/>
              </w:rPr>
            </w:pPr>
            <w:r>
              <w:rPr>
                <w:rFonts w:ascii="Arial" w:cs="Arial" w:eastAsia="Arial" w:hAnsi="Arial"/>
                <w:sz w:val="12"/>
                <w:szCs w:val="12"/>
                <w:color w:val="auto"/>
              </w:rPr>
              <w:t>A summary of reciprocal deposits at December 31 follows:</w:t>
            </w: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8700" w:type="dxa"/>
            <w:vAlign w:val="bottom"/>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4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jc w:val="right"/>
              <w:ind w:right="60"/>
              <w:spacing w:after="0"/>
              <w:rPr>
                <w:sz w:val="20"/>
                <w:szCs w:val="20"/>
                <w:color w:val="auto"/>
              </w:rPr>
            </w:pPr>
            <w:r>
              <w:rPr>
                <w:rFonts w:ascii="Arial" w:cs="Arial" w:eastAsia="Arial" w:hAnsi="Arial"/>
                <w:sz w:val="12"/>
                <w:szCs w:val="12"/>
                <w:b w:val="1"/>
                <w:bCs w:val="1"/>
                <w:color w:val="auto"/>
              </w:rPr>
              <w:t>(In</w:t>
            </w:r>
          </w:p>
        </w:tc>
        <w:tc>
          <w:tcPr>
            <w:tcW w:w="58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74"/>
              </w:rPr>
              <w:t>thousands)</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Demand</w:t>
            </w:r>
          </w:p>
        </w:tc>
        <w:tc>
          <w:tcPr>
            <w:tcW w:w="720" w:type="dxa"/>
            <w:vAlign w:val="bottom"/>
            <w:shd w:val="clear" w:color="auto" w:fill="CCEEFF"/>
          </w:tcPr>
          <w:p>
            <w:pPr>
              <w:jc w:val="right"/>
              <w:ind w:right="608"/>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2"/>
              </w:rPr>
              <w:t>559,664</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jc w:val="center"/>
              <w:ind w:right="240"/>
              <w:spacing w:after="0"/>
              <w:rPr>
                <w:sz w:val="20"/>
                <w:szCs w:val="20"/>
                <w:color w:val="auto"/>
              </w:rPr>
            </w:pPr>
            <w:r>
              <w:rPr>
                <w:rFonts w:ascii="Arial" w:cs="Arial" w:eastAsia="Arial" w:hAnsi="Arial"/>
                <w:sz w:val="12"/>
                <w:szCs w:val="12"/>
                <w:color w:val="auto"/>
                <w:w w:val="8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515,092</w:t>
            </w:r>
          </w:p>
        </w:tc>
        <w:tc>
          <w:tcPr>
            <w:tcW w:w="0" w:type="dxa"/>
            <w:vAlign w:val="bottom"/>
          </w:tcPr>
          <w:p>
            <w:pPr>
              <w:spacing w:after="0"/>
              <w:rPr>
                <w:sz w:val="1"/>
                <w:szCs w:val="1"/>
                <w:color w:val="auto"/>
              </w:rPr>
            </w:pPr>
          </w:p>
        </w:tc>
      </w:tr>
      <w:tr>
        <w:trPr>
          <w:trHeight w:val="144"/>
        </w:trPr>
        <w:tc>
          <w:tcPr>
            <w:tcW w:w="8700" w:type="dxa"/>
            <w:vAlign w:val="bottom"/>
          </w:tcPr>
          <w:p>
            <w:pPr>
              <w:spacing w:after="0"/>
              <w:rPr>
                <w:sz w:val="20"/>
                <w:szCs w:val="20"/>
                <w:color w:val="auto"/>
              </w:rPr>
            </w:pPr>
            <w:r>
              <w:rPr>
                <w:rFonts w:ascii="Arial" w:cs="Arial" w:eastAsia="Arial" w:hAnsi="Arial"/>
                <w:sz w:val="12"/>
                <w:szCs w:val="12"/>
                <w:color w:val="auto"/>
              </w:rPr>
              <w:t>Money market</w:t>
            </w:r>
          </w:p>
        </w:tc>
        <w:tc>
          <w:tcPr>
            <w:tcW w:w="7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2,546</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3,308</w:t>
            </w:r>
          </w:p>
        </w:tc>
        <w:tc>
          <w:tcPr>
            <w:tcW w:w="0" w:type="dxa"/>
            <w:vAlign w:val="bottom"/>
          </w:tcPr>
          <w:p>
            <w:pPr>
              <w:spacing w:after="0"/>
              <w:rPr>
                <w:sz w:val="1"/>
                <w:szCs w:val="1"/>
                <w:color w:val="auto"/>
              </w:rPr>
            </w:pPr>
          </w:p>
        </w:tc>
      </w:tr>
      <w:tr>
        <w:trPr>
          <w:trHeight w:val="144"/>
        </w:trPr>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Time</w:t>
            </w:r>
          </w:p>
        </w:tc>
        <w:tc>
          <w:tcPr>
            <w:tcW w:w="7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24,416</w:t>
            </w: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37,785</w:t>
            </w:r>
          </w:p>
        </w:tc>
        <w:tc>
          <w:tcPr>
            <w:tcW w:w="0" w:type="dxa"/>
            <w:vAlign w:val="bottom"/>
          </w:tcPr>
          <w:p>
            <w:pPr>
              <w:spacing w:after="0"/>
              <w:rPr>
                <w:sz w:val="1"/>
                <w:szCs w:val="1"/>
                <w:color w:val="auto"/>
              </w:rPr>
            </w:pPr>
          </w:p>
        </w:tc>
      </w:tr>
      <w:tr>
        <w:trPr>
          <w:trHeight w:val="20"/>
        </w:trPr>
        <w:tc>
          <w:tcPr>
            <w:tcW w:w="870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700" w:type="dxa"/>
            <w:vAlign w:val="bottom"/>
          </w:tcPr>
          <w:p>
            <w:pPr>
              <w:ind w:left="80"/>
              <w:spacing w:after="0"/>
              <w:rPr>
                <w:sz w:val="20"/>
                <w:szCs w:val="20"/>
                <w:color w:val="auto"/>
              </w:rPr>
            </w:pPr>
            <w:r>
              <w:rPr>
                <w:rFonts w:ascii="Arial" w:cs="Arial" w:eastAsia="Arial" w:hAnsi="Arial"/>
                <w:sz w:val="12"/>
                <w:szCs w:val="12"/>
                <w:color w:val="auto"/>
              </w:rPr>
              <w:t>Total</w:t>
            </w:r>
          </w:p>
        </w:tc>
        <w:tc>
          <w:tcPr>
            <w:tcW w:w="720" w:type="dxa"/>
            <w:vAlign w:val="bottom"/>
          </w:tcPr>
          <w:p>
            <w:pPr>
              <w:jc w:val="right"/>
              <w:ind w:right="608"/>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2"/>
                <w:szCs w:val="12"/>
                <w:color w:val="auto"/>
                <w:w w:val="92"/>
              </w:rPr>
              <w:t>586,626</w:t>
            </w:r>
          </w:p>
        </w:tc>
        <w:tc>
          <w:tcPr>
            <w:tcW w:w="220" w:type="dxa"/>
            <w:vAlign w:val="bottom"/>
          </w:tcPr>
          <w:p>
            <w:pPr>
              <w:spacing w:after="0"/>
              <w:rPr>
                <w:sz w:val="12"/>
                <w:szCs w:val="12"/>
                <w:color w:val="auto"/>
              </w:rPr>
            </w:pPr>
          </w:p>
        </w:tc>
        <w:tc>
          <w:tcPr>
            <w:tcW w:w="360" w:type="dxa"/>
            <w:vAlign w:val="bottom"/>
          </w:tcPr>
          <w:p>
            <w:pPr>
              <w:jc w:val="center"/>
              <w:ind w:right="240"/>
              <w:spacing w:after="0"/>
              <w:rPr>
                <w:sz w:val="20"/>
                <w:szCs w:val="20"/>
                <w:color w:val="auto"/>
              </w:rPr>
            </w:pPr>
            <w:r>
              <w:rPr>
                <w:rFonts w:ascii="Arial" w:cs="Arial" w:eastAsia="Arial" w:hAnsi="Arial"/>
                <w:sz w:val="12"/>
                <w:szCs w:val="12"/>
                <w:color w:val="auto"/>
                <w:w w:val="89"/>
              </w:rPr>
              <w:t>$</w:t>
            </w: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556,185</w:t>
            </w:r>
          </w:p>
        </w:tc>
        <w:tc>
          <w:tcPr>
            <w:tcW w:w="0" w:type="dxa"/>
            <w:vAlign w:val="bottom"/>
          </w:tcPr>
          <w:p>
            <w:pPr>
              <w:spacing w:after="0"/>
              <w:rPr>
                <w:sz w:val="1"/>
                <w:szCs w:val="1"/>
                <w:color w:val="auto"/>
              </w:rPr>
            </w:pPr>
          </w:p>
        </w:tc>
      </w:tr>
      <w:tr>
        <w:trPr>
          <w:trHeight w:val="20"/>
        </w:trPr>
        <w:tc>
          <w:tcPr>
            <w:tcW w:w="8700" w:type="dxa"/>
            <w:vAlign w:val="bottom"/>
            <w:vMerge w:val="restart"/>
          </w:tcPr>
          <w:p>
            <w:pPr>
              <w:spacing w:after="0"/>
              <w:rPr>
                <w:sz w:val="20"/>
                <w:szCs w:val="20"/>
                <w:color w:val="auto"/>
              </w:rPr>
            </w:pPr>
            <w:r>
              <w:rPr>
                <w:rFonts w:ascii="Arial" w:cs="Arial" w:eastAsia="Arial" w:hAnsi="Arial"/>
                <w:sz w:val="12"/>
                <w:szCs w:val="12"/>
                <w:b w:val="1"/>
                <w:bCs w:val="1"/>
                <w:color w:val="auto"/>
              </w:rPr>
              <w:t>NOTE 9 – OTHER BORROWINGS</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700" w:type="dxa"/>
            <w:vAlign w:val="bottom"/>
            <w:vMerge w:val="continue"/>
          </w:tcPr>
          <w:p>
            <w:pPr>
              <w:spacing w:after="0"/>
              <w:rPr>
                <w:sz w:val="22"/>
                <w:szCs w:val="22"/>
                <w:color w:val="auto"/>
              </w:rPr>
            </w:pPr>
          </w:p>
        </w:tc>
        <w:tc>
          <w:tcPr>
            <w:tcW w:w="7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8700" w:type="dxa"/>
            <w:vAlign w:val="bottom"/>
          </w:tcPr>
          <w:p>
            <w:pPr>
              <w:ind w:left="200"/>
              <w:spacing w:after="0"/>
              <w:rPr>
                <w:sz w:val="20"/>
                <w:szCs w:val="20"/>
                <w:color w:val="auto"/>
              </w:rPr>
            </w:pPr>
            <w:r>
              <w:rPr>
                <w:rFonts w:ascii="Arial" w:cs="Arial" w:eastAsia="Arial" w:hAnsi="Arial"/>
                <w:sz w:val="12"/>
                <w:szCs w:val="12"/>
                <w:color w:val="auto"/>
              </w:rPr>
              <w:t>A summary of other borrowings at December 31 follows:</w:t>
            </w: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700" w:type="dxa"/>
            <w:vAlign w:val="bottom"/>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4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jc w:val="right"/>
              <w:ind w:right="60"/>
              <w:spacing w:after="0"/>
              <w:rPr>
                <w:sz w:val="20"/>
                <w:szCs w:val="20"/>
                <w:color w:val="auto"/>
              </w:rPr>
            </w:pPr>
            <w:r>
              <w:rPr>
                <w:rFonts w:ascii="Arial" w:cs="Arial" w:eastAsia="Arial" w:hAnsi="Arial"/>
                <w:sz w:val="12"/>
                <w:szCs w:val="12"/>
                <w:b w:val="1"/>
                <w:bCs w:val="1"/>
                <w:color w:val="auto"/>
              </w:rPr>
              <w:t>(In</w:t>
            </w:r>
          </w:p>
        </w:tc>
        <w:tc>
          <w:tcPr>
            <w:tcW w:w="58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74"/>
              </w:rPr>
              <w:t>thousands)</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Advances from the FHLB</w:t>
            </w:r>
          </w:p>
        </w:tc>
        <w:tc>
          <w:tcPr>
            <w:tcW w:w="720" w:type="dxa"/>
            <w:vAlign w:val="bottom"/>
            <w:shd w:val="clear" w:color="auto" w:fill="CCEEFF"/>
          </w:tcPr>
          <w:p>
            <w:pPr>
              <w:jc w:val="right"/>
              <w:ind w:right="608"/>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30,000</w:t>
            </w:r>
          </w:p>
        </w:tc>
        <w:tc>
          <w:tcPr>
            <w:tcW w:w="360" w:type="dxa"/>
            <w:vAlign w:val="bottom"/>
            <w:shd w:val="clear" w:color="auto" w:fill="CCEEFF"/>
          </w:tcPr>
          <w:p>
            <w:pPr>
              <w:jc w:val="center"/>
              <w:ind w:right="240"/>
              <w:spacing w:after="0"/>
              <w:rPr>
                <w:sz w:val="20"/>
                <w:szCs w:val="20"/>
                <w:color w:val="auto"/>
              </w:rPr>
            </w:pPr>
            <w:r>
              <w:rPr>
                <w:rFonts w:ascii="Arial" w:cs="Arial" w:eastAsia="Arial" w:hAnsi="Arial"/>
                <w:sz w:val="12"/>
                <w:szCs w:val="12"/>
                <w:color w:val="auto"/>
                <w:w w:val="8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30,000</w:t>
            </w:r>
          </w:p>
        </w:tc>
        <w:tc>
          <w:tcPr>
            <w:tcW w:w="0" w:type="dxa"/>
            <w:vAlign w:val="bottom"/>
          </w:tcPr>
          <w:p>
            <w:pPr>
              <w:spacing w:after="0"/>
              <w:rPr>
                <w:sz w:val="1"/>
                <w:szCs w:val="1"/>
                <w:color w:val="auto"/>
              </w:rPr>
            </w:pPr>
          </w:p>
        </w:tc>
      </w:tr>
      <w:tr>
        <w:trPr>
          <w:trHeight w:val="144"/>
        </w:trPr>
        <w:tc>
          <w:tcPr>
            <w:tcW w:w="8700" w:type="dxa"/>
            <w:vAlign w:val="bottom"/>
          </w:tcPr>
          <w:p>
            <w:pPr>
              <w:spacing w:after="0"/>
              <w:rPr>
                <w:sz w:val="20"/>
                <w:szCs w:val="20"/>
                <w:color w:val="auto"/>
              </w:rPr>
            </w:pPr>
            <w:r>
              <w:rPr>
                <w:rFonts w:ascii="Arial" w:cs="Arial" w:eastAsia="Arial" w:hAnsi="Arial"/>
                <w:sz w:val="12"/>
                <w:szCs w:val="12"/>
                <w:color w:val="auto"/>
              </w:rPr>
              <w:t>Other</w:t>
            </w:r>
          </w:p>
        </w:tc>
        <w:tc>
          <w:tcPr>
            <w:tcW w:w="7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9</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182"/>
        </w:trPr>
        <w:tc>
          <w:tcPr>
            <w:tcW w:w="87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Total</w:t>
            </w:r>
          </w:p>
        </w:tc>
        <w:tc>
          <w:tcPr>
            <w:tcW w:w="720" w:type="dxa"/>
            <w:vAlign w:val="bottom"/>
            <w:tcBorders>
              <w:top w:val="single" w:sz="8" w:color="auto"/>
              <w:bottom w:val="single" w:sz="8" w:color="auto"/>
            </w:tcBorders>
            <w:shd w:val="clear" w:color="auto" w:fill="CCEEFF"/>
          </w:tcPr>
          <w:p>
            <w:pPr>
              <w:jc w:val="right"/>
              <w:ind w:right="608"/>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30,009</w:t>
            </w:r>
          </w:p>
        </w:tc>
        <w:tc>
          <w:tcPr>
            <w:tcW w:w="2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center"/>
              <w:ind w:right="240"/>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30,012</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Advances from the FHLB are secured by unencumbered qualifying mortgage and home equity loans with a market value equal to at least 132% to 165%, respectively, of outstanding advances. Advances are also secured by FHLB stock that we own, which totaled $8.6 million at December 31, 2021. Unused borrowing capacity with the FHLB (subject to the FHLB’s credit requirements and policies) was $798.4 million at December 31, 2021. Interest expense on advances amounted to $0.2 million, $0.5 million and $0.7 million for the years ended December 31, 2021, 2020 and 2019, respectively. No FHLB advances were prepaid during 2021, 2020 or 2019.</w:t>
      </w:r>
    </w:p>
    <w:p>
      <w:pPr>
        <w:spacing w:after="0" w:line="105"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As a member of the FHLB, we must own FHLB stock equal to the greater of 0.10% of the unpaid principal balance of residential mortgage assets or 4.5% of our outstanding advances. At December 31, 2021, we were in compliance with the FHLB stock ownership requirements.</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maturity dates, weighted average interest rates and contractually required repayments of FHLB advances at December 31 follow:</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8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2"/>
                <w:szCs w:val="12"/>
                <w:b w:val="1"/>
                <w:bCs w:val="1"/>
                <w:color w:val="auto"/>
              </w:rPr>
              <w:t>2021</w:t>
            </w:r>
          </w:p>
        </w:tc>
        <w:tc>
          <w:tcPr>
            <w:tcW w:w="9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2"/>
                <w:szCs w:val="12"/>
                <w:b w:val="1"/>
                <w:bCs w:val="1"/>
                <w:color w:val="auto"/>
              </w:rPr>
              <w:t>2020</w:t>
            </w:r>
          </w:p>
        </w:tc>
        <w:tc>
          <w:tcPr>
            <w:tcW w:w="9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42"/>
        </w:trPr>
        <w:tc>
          <w:tcPr>
            <w:tcW w:w="38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3"/>
          </w:tcPr>
          <w:p>
            <w:pPr>
              <w:ind w:left="140"/>
              <w:spacing w:after="0"/>
              <w:rPr>
                <w:sz w:val="20"/>
                <w:szCs w:val="20"/>
                <w:color w:val="auto"/>
              </w:rPr>
            </w:pPr>
            <w:r>
              <w:rPr>
                <w:rFonts w:ascii="Arial" w:cs="Arial" w:eastAsia="Arial" w:hAnsi="Arial"/>
                <w:sz w:val="12"/>
                <w:szCs w:val="12"/>
                <w:b w:val="1"/>
                <w:bCs w:val="1"/>
                <w:color w:val="auto"/>
              </w:rPr>
              <w:t>Amount</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rPr>
              <w:t>Rate</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3"/>
          </w:tcPr>
          <w:p>
            <w:pPr>
              <w:jc w:val="right"/>
              <w:ind w:right="800"/>
              <w:spacing w:after="0"/>
              <w:rPr>
                <w:sz w:val="20"/>
                <w:szCs w:val="20"/>
                <w:color w:val="auto"/>
              </w:rPr>
            </w:pPr>
            <w:r>
              <w:rPr>
                <w:rFonts w:ascii="Arial" w:cs="Arial" w:eastAsia="Arial" w:hAnsi="Arial"/>
                <w:sz w:val="12"/>
                <w:szCs w:val="12"/>
                <w:b w:val="1"/>
                <w:bCs w:val="1"/>
                <w:color w:val="auto"/>
              </w:rPr>
              <w:t>Amount</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rPr>
              <w:t>Rate</w:t>
            </w:r>
          </w:p>
        </w:tc>
        <w:tc>
          <w:tcPr>
            <w:tcW w:w="140" w:type="dxa"/>
            <w:vAlign w:val="bottom"/>
          </w:tcPr>
          <w:p>
            <w:pPr>
              <w:spacing w:after="0"/>
              <w:rPr>
                <w:sz w:val="12"/>
                <w:szCs w:val="12"/>
                <w:color w:val="auto"/>
              </w:rPr>
            </w:pPr>
          </w:p>
        </w:tc>
      </w:tr>
      <w:tr>
        <w:trPr>
          <w:trHeight w:val="142"/>
        </w:trPr>
        <w:tc>
          <w:tcPr>
            <w:tcW w:w="38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ind w:left="440"/>
              <w:spacing w:after="0"/>
              <w:rPr>
                <w:sz w:val="20"/>
                <w:szCs w:val="20"/>
                <w:color w:val="auto"/>
              </w:rPr>
            </w:pPr>
            <w:r>
              <w:rPr>
                <w:rFonts w:ascii="Arial" w:cs="Arial" w:eastAsia="Arial" w:hAnsi="Arial"/>
                <w:sz w:val="12"/>
                <w:szCs w:val="12"/>
                <w:b w:val="1"/>
                <w:bCs w:val="1"/>
                <w:color w:val="auto"/>
                <w:w w:val="98"/>
              </w:rPr>
              <w:t>(Dollars</w:t>
            </w:r>
          </w:p>
        </w:tc>
        <w:tc>
          <w:tcPr>
            <w:tcW w:w="220" w:type="dxa"/>
            <w:vAlign w:val="bottom"/>
          </w:tcPr>
          <w:p>
            <w:pPr>
              <w:jc w:val="center"/>
              <w:ind w:right="80"/>
              <w:spacing w:after="0"/>
              <w:rPr>
                <w:sz w:val="20"/>
                <w:szCs w:val="20"/>
                <w:color w:val="auto"/>
              </w:rPr>
            </w:pPr>
            <w:r>
              <w:rPr>
                <w:rFonts w:ascii="Arial" w:cs="Arial" w:eastAsia="Arial" w:hAnsi="Arial"/>
                <w:sz w:val="12"/>
                <w:szCs w:val="12"/>
                <w:b w:val="1"/>
                <w:bCs w:val="1"/>
                <w:color w:val="auto"/>
                <w:w w:val="74"/>
              </w:rPr>
              <w:t>in</w:t>
            </w:r>
          </w:p>
        </w:tc>
        <w:tc>
          <w:tcPr>
            <w:tcW w:w="1120" w:type="dxa"/>
            <w:vAlign w:val="bottom"/>
            <w:tcBorders>
              <w:top w:val="single" w:sz="8" w:color="auto"/>
            </w:tcBorders>
            <w:gridSpan w:val="2"/>
          </w:tcPr>
          <w:p>
            <w:pPr>
              <w:jc w:val="right"/>
              <w:ind w:right="620"/>
              <w:spacing w:after="0"/>
              <w:rPr>
                <w:sz w:val="20"/>
                <w:szCs w:val="20"/>
                <w:color w:val="auto"/>
              </w:rPr>
            </w:pPr>
            <w:r>
              <w:rPr>
                <w:rFonts w:ascii="Arial" w:cs="Arial" w:eastAsia="Arial" w:hAnsi="Arial"/>
                <w:sz w:val="11"/>
                <w:szCs w:val="11"/>
                <w:b w:val="1"/>
                <w:bCs w:val="1"/>
                <w:color w:val="auto"/>
                <w:w w:val="70"/>
              </w:rPr>
              <w:t>thousands)</w:t>
            </w: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84"/>
        </w:trPr>
        <w:tc>
          <w:tcPr>
            <w:tcW w:w="3840" w:type="dxa"/>
            <w:vAlign w:val="bottom"/>
            <w:shd w:val="clear" w:color="auto" w:fill="CCEEFF"/>
          </w:tcPr>
          <w:p>
            <w:pPr>
              <w:ind w:left="80"/>
              <w:spacing w:after="0"/>
              <w:rPr>
                <w:sz w:val="20"/>
                <w:szCs w:val="20"/>
                <w:color w:val="auto"/>
              </w:rPr>
            </w:pPr>
            <w:r>
              <w:rPr>
                <w:rFonts w:ascii="Arial" w:cs="Arial" w:eastAsia="Arial" w:hAnsi="Arial"/>
                <w:sz w:val="12"/>
                <w:szCs w:val="12"/>
                <w:color w:val="auto"/>
              </w:rPr>
              <w:t>Fixed-rate advances - 2027 and thereafter</w:t>
            </w:r>
          </w:p>
        </w:tc>
        <w:tc>
          <w:tcPr>
            <w:tcW w:w="2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30,000</w:t>
            </w:r>
          </w:p>
        </w:tc>
        <w:tc>
          <w:tcPr>
            <w:tcW w:w="220" w:type="dxa"/>
            <w:vAlign w:val="bottom"/>
            <w:shd w:val="clear" w:color="auto" w:fill="CCEEFF"/>
          </w:tcPr>
          <w:p>
            <w:pPr>
              <w:spacing w:after="0"/>
              <w:rPr>
                <w:sz w:val="16"/>
                <w:szCs w:val="16"/>
                <w:color w:val="auto"/>
              </w:rPr>
            </w:pPr>
          </w:p>
        </w:tc>
        <w:tc>
          <w:tcPr>
            <w:tcW w:w="1320" w:type="dxa"/>
            <w:vAlign w:val="bottom"/>
            <w:gridSpan w:val="3"/>
            <w:shd w:val="clear" w:color="auto" w:fill="CCEEFF"/>
          </w:tcPr>
          <w:p>
            <w:pPr>
              <w:jc w:val="right"/>
              <w:ind w:right="86"/>
              <w:spacing w:after="0"/>
              <w:rPr>
                <w:sz w:val="20"/>
                <w:szCs w:val="20"/>
                <w:color w:val="auto"/>
              </w:rPr>
            </w:pPr>
            <w:r>
              <w:rPr>
                <w:rFonts w:ascii="Arial" w:cs="Arial" w:eastAsia="Arial" w:hAnsi="Arial"/>
                <w:sz w:val="12"/>
                <w:szCs w:val="12"/>
                <w:color w:val="auto"/>
              </w:rPr>
              <w:t>0.74%  $</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30,000</w:t>
            </w: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0.74%</w:t>
            </w:r>
          </w:p>
        </w:tc>
      </w:tr>
      <w:tr>
        <w:trPr>
          <w:trHeight w:val="355"/>
        </w:trPr>
        <w:tc>
          <w:tcPr>
            <w:tcW w:w="3840" w:type="dxa"/>
            <w:vAlign w:val="bottom"/>
            <w:tcBorders>
              <w:top w:val="single" w:sz="8" w:color="CCEEFF"/>
            </w:tcBorders>
          </w:tcPr>
          <w:p>
            <w:pPr>
              <w:spacing w:after="0"/>
              <w:rPr>
                <w:sz w:val="24"/>
                <w:szCs w:val="24"/>
                <w:color w:val="auto"/>
              </w:rPr>
            </w:pPr>
          </w:p>
        </w:tc>
        <w:tc>
          <w:tcPr>
            <w:tcW w:w="2160" w:type="dxa"/>
            <w:vAlign w:val="bottom"/>
            <w:tcBorders>
              <w:top w:val="single" w:sz="8" w:color="CCEEFF"/>
            </w:tcBorders>
          </w:tcPr>
          <w:p>
            <w:pPr>
              <w:jc w:val="right"/>
              <w:ind w:right="246"/>
              <w:spacing w:after="0"/>
              <w:rPr>
                <w:sz w:val="20"/>
                <w:szCs w:val="20"/>
                <w:color w:val="auto"/>
              </w:rPr>
            </w:pPr>
            <w:r>
              <w:rPr>
                <w:rFonts w:ascii="Arial" w:cs="Arial" w:eastAsia="Arial" w:hAnsi="Arial"/>
                <w:sz w:val="10"/>
                <w:szCs w:val="10"/>
                <w:color w:val="auto"/>
              </w:rPr>
              <w:t>76</w:t>
            </w: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r>
      <w:tr>
        <w:trPr>
          <w:trHeight w:val="26"/>
        </w:trPr>
        <w:tc>
          <w:tcPr>
            <w:tcW w:w="38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bl>
    <w:p>
      <w:pPr>
        <w:sectPr>
          <w:pgSz w:w="11900" w:h="16838" w:orient="portrait"/>
          <w:cols w:equalWidth="0" w:num="1">
            <w:col w:w="11300"/>
          </w:cols>
          <w:pgMar w:left="300" w:top="127" w:right="299" w:bottom="1440" w:gutter="0" w:footer="0" w:header="0"/>
        </w:sectPr>
      </w:pPr>
    </w:p>
    <w:bookmarkStart w:id="96" w:name="page97"/>
    <w:bookmarkEnd w:id="96"/>
    <w:p>
      <w:pPr>
        <w:jc w:val="center"/>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27" w:lineRule="exact"/>
        <w:rPr>
          <w:sz w:val="20"/>
          <w:szCs w:val="20"/>
          <w:color w:val="auto"/>
        </w:rPr>
      </w:pPr>
    </w:p>
    <w:p>
      <w:pPr>
        <w:jc w:val="both"/>
        <w:ind w:right="20" w:firstLine="216"/>
        <w:spacing w:after="0" w:line="323" w:lineRule="auto"/>
        <w:rPr>
          <w:sz w:val="20"/>
          <w:szCs w:val="20"/>
          <w:color w:val="auto"/>
        </w:rPr>
      </w:pPr>
      <w:r>
        <w:rPr>
          <w:rFonts w:ascii="Arial" w:cs="Arial" w:eastAsia="Arial" w:hAnsi="Arial"/>
          <w:sz w:val="11"/>
          <w:szCs w:val="11"/>
          <w:color w:val="auto"/>
        </w:rPr>
        <w:t>Borrowings with the FRB at December 31, 2021 and 2020 were zero. Average borrowings with the FRB during the years ended December 31, 2021, 2020 and 2019 totaled zero, $1.546 million and $0.305 million, respectively. We had unused borrowing capacity with the FRB (subject to the FRB’s credit requirements and policies) of $383.4 million at December 31, 2021. Collateral for FRB borrowings are certain commercial and installment loans.</w:t>
      </w:r>
    </w:p>
    <w:p>
      <w:pPr>
        <w:spacing w:after="0" w:line="9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Interest expense on federal funds purchased totaled zero, $0.01 million and $0.08 million for the years ended December 31, 2021, 2020 and 2019, respectively.</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Assets, consisting of FHLB stock and loans, pledged to secure other borrowings and unused borrowing capacity totaled $1.9 billion at December 31, 2021.</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10 – SUBORDINATED DEBT AND DEBENTURES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Subordinated Debt</w:t>
      </w:r>
    </w:p>
    <w:p>
      <w:pPr>
        <w:spacing w:after="0" w:line="150"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In May 2020, we issued $40.0 million of fixed to floating subordinated notes with a ten year maturity (May 31, 2030 maturity date) and a five year call option. The initial coupon rate is 5.95% fixed for five years and then floats at the Secured Overnight Financing Rate (“SOFR”) plus 5.825%. These notes are presented in the Consolidated Statement of Financial Condition under the caption “Subordinated debt” and the balances of $39.4 million and $39.3 million at December 31, 2021 and 2020, respectively are net of remaining unamortized deferred issuance costs of approximately $0.6 million and $0.7 million, respectively that are being amortized through the maturity date into interest expense on other borrowings and subordinated debt and debentures in our Consolidated Statement of Operations. We may redeem the notes, in whole or in part, on or after May 31, 2025, and redeem the notes at any time in whole upon certain other events. Any redemption of the notes will be subject to prior regulatory approval to the extent required.</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Subordinated Debentures</w:t>
      </w:r>
    </w:p>
    <w:p>
      <w:pPr>
        <w:spacing w:after="0" w:line="150"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We have formed various special purpose entities (the ‘‘trusts’’) for the purpose of issuing trust preferred securities in either public or pooled offerings or in private placements. Independent Bank Corporation owns all of the common stock of each trust and has issued subordinated debentures to each trust in exchange for all of the proceeds from the issuance of the common stock and the trust preferred securities. Trust preferred securities totaling $38.4 million and $38.3 million at December 31, 2021 and 2020, respectively qualified as Tier 1 regulatory capital.</w:t>
      </w:r>
    </w:p>
    <w:p>
      <w:pPr>
        <w:spacing w:after="0" w:line="122"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These trusts are not consolidated with Independent Bank Corporation and accordingly, we report the common securities of the trusts held by us in accrued income and other assets and the subordinated debentures that we have issued to the trusts in the liability section of our Consolidated Statements of Financial Condition.</w:t>
      </w:r>
    </w:p>
    <w:p>
      <w:pPr>
        <w:spacing w:after="0" w:line="115"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As the result of a previous acquisition we acquired TCSB Statutory Trust I as summarized in the tables below at a discount. The discount at acquisition totaled $1.4 million and is being amortized through its maturity date and is included in interest expense – other borrowings and subordinated debt and debentures in the Consolidated Statements of Operations.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57"/>
        </w:trPr>
        <w:tc>
          <w:tcPr>
            <w:tcW w:w="2660" w:type="dxa"/>
            <w:vAlign w:val="bottom"/>
          </w:tcPr>
          <w:p>
            <w:pPr>
              <w:spacing w:after="0"/>
              <w:rPr>
                <w:sz w:val="13"/>
                <w:szCs w:val="13"/>
                <w:color w:val="auto"/>
              </w:rPr>
            </w:pPr>
          </w:p>
        </w:tc>
        <w:tc>
          <w:tcPr>
            <w:tcW w:w="5960" w:type="dxa"/>
            <w:vAlign w:val="bottom"/>
            <w:gridSpan w:val="5"/>
          </w:tcPr>
          <w:p>
            <w:pPr>
              <w:jc w:val="right"/>
              <w:ind w:right="960"/>
              <w:spacing w:after="0"/>
              <w:rPr>
                <w:sz w:val="20"/>
                <w:szCs w:val="20"/>
                <w:color w:val="auto"/>
              </w:rPr>
            </w:pPr>
            <w:r>
              <w:rPr>
                <w:rFonts w:ascii="Arial" w:cs="Arial" w:eastAsia="Arial" w:hAnsi="Arial"/>
                <w:sz w:val="12"/>
                <w:szCs w:val="12"/>
                <w:b w:val="1"/>
                <w:bCs w:val="1"/>
                <w:color w:val="auto"/>
              </w:rPr>
              <w:t>NOTES TO CONSOLIDATED FINANCIAL STATEMENTS − (Continued)</w:t>
            </w: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405"/>
        </w:trPr>
        <w:tc>
          <w:tcPr>
            <w:tcW w:w="4840" w:type="dxa"/>
            <w:vAlign w:val="bottom"/>
            <w:gridSpan w:val="2"/>
          </w:tcPr>
          <w:p>
            <w:pPr>
              <w:ind w:left="200"/>
              <w:spacing w:after="0"/>
              <w:rPr>
                <w:sz w:val="20"/>
                <w:szCs w:val="20"/>
                <w:color w:val="auto"/>
              </w:rPr>
            </w:pPr>
            <w:r>
              <w:rPr>
                <w:rFonts w:ascii="Arial" w:cs="Arial" w:eastAsia="Arial" w:hAnsi="Arial"/>
                <w:sz w:val="12"/>
                <w:szCs w:val="12"/>
                <w:color w:val="auto"/>
              </w:rPr>
              <w:t>Summary information regarding subordinated debentures as of December 31 follows:</w:t>
            </w:r>
          </w:p>
        </w:tc>
        <w:tc>
          <w:tcPr>
            <w:tcW w:w="2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8"/>
        </w:trPr>
        <w:tc>
          <w:tcPr>
            <w:tcW w:w="26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center"/>
              <w:ind w:right="240"/>
              <w:spacing w:after="0"/>
              <w:rPr>
                <w:sz w:val="20"/>
                <w:szCs w:val="20"/>
                <w:color w:val="auto"/>
              </w:rPr>
            </w:pPr>
            <w:r>
              <w:rPr>
                <w:rFonts w:ascii="Arial" w:cs="Arial" w:eastAsia="Arial" w:hAnsi="Arial"/>
                <w:sz w:val="12"/>
                <w:szCs w:val="12"/>
                <w:b w:val="1"/>
                <w:bCs w:val="1"/>
                <w:color w:val="auto"/>
                <w:w w:val="89"/>
              </w:rPr>
              <w:t>2021</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73"/>
        </w:trPr>
        <w:tc>
          <w:tcPr>
            <w:tcW w:w="266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center"/>
              <w:ind w:right="200"/>
              <w:spacing w:after="0"/>
              <w:rPr>
                <w:sz w:val="20"/>
                <w:szCs w:val="20"/>
                <w:color w:val="auto"/>
              </w:rPr>
            </w:pPr>
            <w:r>
              <w:rPr>
                <w:rFonts w:ascii="Arial" w:cs="Arial" w:eastAsia="Arial" w:hAnsi="Arial"/>
                <w:sz w:val="12"/>
                <w:szCs w:val="12"/>
                <w:b w:val="1"/>
                <w:bCs w:val="1"/>
                <w:color w:val="auto"/>
                <w:w w:val="93"/>
              </w:rPr>
              <w:t>Trust</w:t>
            </w: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144"/>
        </w:trPr>
        <w:tc>
          <w:tcPr>
            <w:tcW w:w="26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80"/>
              <w:spacing w:after="0"/>
              <w:rPr>
                <w:sz w:val="20"/>
                <w:szCs w:val="20"/>
                <w:color w:val="auto"/>
              </w:rPr>
            </w:pPr>
            <w:r>
              <w:rPr>
                <w:rFonts w:ascii="Arial" w:cs="Arial" w:eastAsia="Arial" w:hAnsi="Arial"/>
                <w:sz w:val="12"/>
                <w:szCs w:val="12"/>
                <w:b w:val="1"/>
                <w:bCs w:val="1"/>
                <w:color w:val="auto"/>
                <w:w w:val="93"/>
              </w:rPr>
              <w:t>Preferred</w:t>
            </w:r>
          </w:p>
        </w:tc>
        <w:tc>
          <w:tcPr>
            <w:tcW w:w="280" w:type="dxa"/>
            <w:vAlign w:val="bottom"/>
          </w:tcPr>
          <w:p>
            <w:pPr>
              <w:spacing w:after="0"/>
              <w:rPr>
                <w:sz w:val="12"/>
                <w:szCs w:val="12"/>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2"/>
              </w:rPr>
              <w:t>Common</w:t>
            </w:r>
          </w:p>
        </w:tc>
      </w:tr>
      <w:tr>
        <w:trPr>
          <w:trHeight w:val="144"/>
        </w:trPr>
        <w:tc>
          <w:tcPr>
            <w:tcW w:w="26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640" w:type="dxa"/>
            <w:vAlign w:val="bottom"/>
            <w:gridSpan w:val="3"/>
          </w:tcPr>
          <w:p>
            <w:pPr>
              <w:ind w:left="440"/>
              <w:spacing w:after="0"/>
              <w:rPr>
                <w:sz w:val="20"/>
                <w:szCs w:val="20"/>
                <w:color w:val="auto"/>
              </w:rPr>
            </w:pPr>
            <w:r>
              <w:rPr>
                <w:rFonts w:ascii="Arial" w:cs="Arial" w:eastAsia="Arial" w:hAnsi="Arial"/>
                <w:sz w:val="12"/>
                <w:szCs w:val="12"/>
                <w:b w:val="1"/>
                <w:bCs w:val="1"/>
                <w:color w:val="auto"/>
              </w:rPr>
              <w:t>Issue</w:t>
            </w:r>
          </w:p>
        </w:tc>
        <w:tc>
          <w:tcPr>
            <w:tcW w:w="1140" w:type="dxa"/>
            <w:vAlign w:val="bottom"/>
          </w:tcPr>
          <w:p>
            <w:pPr>
              <w:jc w:val="center"/>
              <w:ind w:right="220"/>
              <w:spacing w:after="0"/>
              <w:rPr>
                <w:sz w:val="20"/>
                <w:szCs w:val="20"/>
                <w:color w:val="auto"/>
              </w:rPr>
            </w:pPr>
            <w:r>
              <w:rPr>
                <w:rFonts w:ascii="Arial" w:cs="Arial" w:eastAsia="Arial" w:hAnsi="Arial"/>
                <w:sz w:val="12"/>
                <w:szCs w:val="12"/>
                <w:b w:val="1"/>
                <w:bCs w:val="1"/>
                <w:color w:val="auto"/>
                <w:w w:val="90"/>
              </w:rPr>
              <w:t>Subordinated</w:t>
            </w:r>
          </w:p>
        </w:tc>
        <w:tc>
          <w:tcPr>
            <w:tcW w:w="220" w:type="dxa"/>
            <w:vAlign w:val="bottom"/>
          </w:tcPr>
          <w:p>
            <w:pPr>
              <w:spacing w:after="0"/>
              <w:rPr>
                <w:sz w:val="12"/>
                <w:szCs w:val="12"/>
                <w:color w:val="auto"/>
              </w:rPr>
            </w:pPr>
          </w:p>
        </w:tc>
        <w:tc>
          <w:tcPr>
            <w:tcW w:w="1140" w:type="dxa"/>
            <w:vAlign w:val="bottom"/>
          </w:tcPr>
          <w:p>
            <w:pPr>
              <w:jc w:val="center"/>
              <w:ind w:right="180"/>
              <w:spacing w:after="0"/>
              <w:rPr>
                <w:sz w:val="20"/>
                <w:szCs w:val="20"/>
                <w:color w:val="auto"/>
              </w:rPr>
            </w:pPr>
            <w:r>
              <w:rPr>
                <w:rFonts w:ascii="Arial" w:cs="Arial" w:eastAsia="Arial" w:hAnsi="Arial"/>
                <w:sz w:val="12"/>
                <w:szCs w:val="12"/>
                <w:b w:val="1"/>
                <w:bCs w:val="1"/>
                <w:color w:val="auto"/>
                <w:w w:val="87"/>
              </w:rPr>
              <w:t>Securities</w:t>
            </w:r>
          </w:p>
        </w:tc>
        <w:tc>
          <w:tcPr>
            <w:tcW w:w="280" w:type="dxa"/>
            <w:vAlign w:val="bottom"/>
          </w:tcPr>
          <w:p>
            <w:pPr>
              <w:spacing w:after="0"/>
              <w:rPr>
                <w:sz w:val="12"/>
                <w:szCs w:val="12"/>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5"/>
              </w:rPr>
              <w:t>Stock</w:t>
            </w:r>
          </w:p>
        </w:tc>
      </w:tr>
      <w:tr>
        <w:trPr>
          <w:trHeight w:val="157"/>
        </w:trPr>
        <w:tc>
          <w:tcPr>
            <w:tcW w:w="2660" w:type="dxa"/>
            <w:vAlign w:val="bottom"/>
          </w:tcPr>
          <w:p>
            <w:pPr>
              <w:spacing w:after="0"/>
              <w:rPr>
                <w:sz w:val="20"/>
                <w:szCs w:val="20"/>
                <w:color w:val="auto"/>
              </w:rPr>
            </w:pPr>
            <w:r>
              <w:rPr>
                <w:rFonts w:ascii="Arial" w:cs="Arial" w:eastAsia="Arial" w:hAnsi="Arial"/>
                <w:sz w:val="12"/>
                <w:szCs w:val="12"/>
                <w:b w:val="1"/>
                <w:bCs w:val="1"/>
                <w:color w:val="auto"/>
              </w:rPr>
              <w:t>Entity Name</w:t>
            </w:r>
          </w:p>
        </w:tc>
        <w:tc>
          <w:tcPr>
            <w:tcW w:w="2180" w:type="dxa"/>
            <w:vAlign w:val="bottom"/>
          </w:tcPr>
          <w:p>
            <w:pPr>
              <w:spacing w:after="0"/>
              <w:rPr>
                <w:sz w:val="13"/>
                <w:szCs w:val="13"/>
                <w:color w:val="auto"/>
              </w:rPr>
            </w:pPr>
          </w:p>
        </w:tc>
        <w:tc>
          <w:tcPr>
            <w:tcW w:w="2640" w:type="dxa"/>
            <w:vAlign w:val="bottom"/>
            <w:gridSpan w:val="3"/>
          </w:tcPr>
          <w:p>
            <w:pPr>
              <w:ind w:left="460"/>
              <w:spacing w:after="0"/>
              <w:rPr>
                <w:sz w:val="20"/>
                <w:szCs w:val="20"/>
                <w:color w:val="auto"/>
              </w:rPr>
            </w:pPr>
            <w:r>
              <w:rPr>
                <w:rFonts w:ascii="Arial" w:cs="Arial" w:eastAsia="Arial" w:hAnsi="Arial"/>
                <w:sz w:val="12"/>
                <w:szCs w:val="12"/>
                <w:b w:val="1"/>
                <w:bCs w:val="1"/>
                <w:color w:val="auto"/>
              </w:rPr>
              <w:t>Date</w:t>
            </w:r>
          </w:p>
        </w:tc>
        <w:tc>
          <w:tcPr>
            <w:tcW w:w="1140" w:type="dxa"/>
            <w:vAlign w:val="bottom"/>
          </w:tcPr>
          <w:p>
            <w:pPr>
              <w:jc w:val="center"/>
              <w:ind w:right="220"/>
              <w:spacing w:after="0"/>
              <w:rPr>
                <w:sz w:val="20"/>
                <w:szCs w:val="20"/>
                <w:color w:val="auto"/>
              </w:rPr>
            </w:pPr>
            <w:r>
              <w:rPr>
                <w:rFonts w:ascii="Arial" w:cs="Arial" w:eastAsia="Arial" w:hAnsi="Arial"/>
                <w:sz w:val="12"/>
                <w:szCs w:val="12"/>
                <w:b w:val="1"/>
                <w:bCs w:val="1"/>
                <w:color w:val="auto"/>
                <w:w w:val="87"/>
              </w:rPr>
              <w:t>Debentures</w:t>
            </w:r>
          </w:p>
        </w:tc>
        <w:tc>
          <w:tcPr>
            <w:tcW w:w="220" w:type="dxa"/>
            <w:vAlign w:val="bottom"/>
          </w:tcPr>
          <w:p>
            <w:pPr>
              <w:spacing w:after="0"/>
              <w:rPr>
                <w:sz w:val="13"/>
                <w:szCs w:val="13"/>
                <w:color w:val="auto"/>
              </w:rPr>
            </w:pPr>
          </w:p>
        </w:tc>
        <w:tc>
          <w:tcPr>
            <w:tcW w:w="1140" w:type="dxa"/>
            <w:vAlign w:val="bottom"/>
          </w:tcPr>
          <w:p>
            <w:pPr>
              <w:jc w:val="center"/>
              <w:ind w:right="200"/>
              <w:spacing w:after="0"/>
              <w:rPr>
                <w:sz w:val="20"/>
                <w:szCs w:val="20"/>
                <w:color w:val="auto"/>
              </w:rPr>
            </w:pPr>
            <w:r>
              <w:rPr>
                <w:rFonts w:ascii="Arial" w:cs="Arial" w:eastAsia="Arial" w:hAnsi="Arial"/>
                <w:sz w:val="12"/>
                <w:szCs w:val="12"/>
                <w:b w:val="1"/>
                <w:bCs w:val="1"/>
                <w:color w:val="auto"/>
                <w:w w:val="84"/>
              </w:rPr>
              <w:t>Issued</w:t>
            </w:r>
          </w:p>
        </w:tc>
        <w:tc>
          <w:tcPr>
            <w:tcW w:w="280" w:type="dxa"/>
            <w:vAlign w:val="bottom"/>
          </w:tcPr>
          <w:p>
            <w:pPr>
              <w:spacing w:after="0"/>
              <w:rPr>
                <w:sz w:val="13"/>
                <w:szCs w:val="13"/>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4"/>
              </w:rPr>
              <w:t>Issued</w:t>
            </w:r>
          </w:p>
        </w:tc>
      </w:tr>
      <w:tr>
        <w:trPr>
          <w:trHeight w:val="142"/>
        </w:trPr>
        <w:tc>
          <w:tcPr>
            <w:tcW w:w="2660" w:type="dxa"/>
            <w:vAlign w:val="bottom"/>
            <w:tcBorders>
              <w:top w:val="single" w:sz="8" w:color="auto"/>
            </w:tcBorders>
          </w:tcPr>
          <w:p>
            <w:pPr>
              <w:spacing w:after="0"/>
              <w:rPr>
                <w:sz w:val="12"/>
                <w:szCs w:val="12"/>
                <w:color w:val="auto"/>
              </w:rPr>
            </w:pPr>
          </w:p>
        </w:tc>
        <w:tc>
          <w:tcPr>
            <w:tcW w:w="2180" w:type="dxa"/>
            <w:vAlign w:val="bottom"/>
            <w:tcBorders>
              <w:top w:val="single" w:sz="8" w:color="auto"/>
            </w:tcBorders>
          </w:tcPr>
          <w:p>
            <w:pPr>
              <w:spacing w:after="0"/>
              <w:rPr>
                <w:sz w:val="12"/>
                <w:szCs w:val="12"/>
                <w:color w:val="auto"/>
              </w:rPr>
            </w:pPr>
          </w:p>
        </w:tc>
        <w:tc>
          <w:tcPr>
            <w:tcW w:w="2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center"/>
              <w:ind w:right="220"/>
              <w:spacing w:after="0"/>
              <w:rPr>
                <w:sz w:val="20"/>
                <w:szCs w:val="20"/>
                <w:color w:val="auto"/>
              </w:rPr>
            </w:pPr>
            <w:r>
              <w:rPr>
                <w:rFonts w:ascii="Arial" w:cs="Arial" w:eastAsia="Arial" w:hAnsi="Arial"/>
                <w:sz w:val="12"/>
                <w:szCs w:val="12"/>
                <w:b w:val="1"/>
                <w:bCs w:val="1"/>
                <w:color w:val="auto"/>
                <w:w w:val="89"/>
              </w:rPr>
              <w:t>(In thousands)</w:t>
            </w:r>
          </w:p>
        </w:tc>
        <w:tc>
          <w:tcPr>
            <w:tcW w:w="2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2660" w:type="dxa"/>
            <w:vAlign w:val="bottom"/>
            <w:shd w:val="clear" w:color="auto" w:fill="CCEEFF"/>
          </w:tcPr>
          <w:p>
            <w:pPr>
              <w:spacing w:after="0"/>
              <w:rPr>
                <w:sz w:val="20"/>
                <w:szCs w:val="20"/>
                <w:color w:val="auto"/>
              </w:rPr>
            </w:pPr>
            <w:r>
              <w:rPr>
                <w:rFonts w:ascii="Arial" w:cs="Arial" w:eastAsia="Arial" w:hAnsi="Arial"/>
                <w:sz w:val="12"/>
                <w:szCs w:val="12"/>
                <w:color w:val="auto"/>
              </w:rPr>
              <w:t>IBC Capital Finance III</w:t>
            </w:r>
          </w:p>
        </w:tc>
        <w:tc>
          <w:tcPr>
            <w:tcW w:w="2180" w:type="dxa"/>
            <w:vAlign w:val="bottom"/>
            <w:shd w:val="clear" w:color="auto" w:fill="CCEEFF"/>
          </w:tcPr>
          <w:p>
            <w:pPr>
              <w:ind w:left="960"/>
              <w:spacing w:after="0"/>
              <w:rPr>
                <w:sz w:val="20"/>
                <w:szCs w:val="20"/>
                <w:color w:val="auto"/>
              </w:rPr>
            </w:pPr>
            <w:r>
              <w:rPr>
                <w:rFonts w:ascii="Arial" w:cs="Arial" w:eastAsia="Arial" w:hAnsi="Arial"/>
                <w:sz w:val="12"/>
                <w:szCs w:val="12"/>
                <w:color w:val="auto"/>
              </w:rPr>
              <w:t>May 2007</w:t>
            </w:r>
          </w:p>
        </w:tc>
        <w:tc>
          <w:tcPr>
            <w:tcW w:w="264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12,372</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12,000</w:t>
            </w:r>
          </w:p>
        </w:tc>
        <w:tc>
          <w:tcPr>
            <w:tcW w:w="2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372</w:t>
            </w:r>
          </w:p>
        </w:tc>
        <w:tc>
          <w:tcPr>
            <w:tcW w:w="120" w:type="dxa"/>
            <w:vAlign w:val="bottom"/>
            <w:shd w:val="clear" w:color="auto" w:fill="CCEEFF"/>
          </w:tcPr>
          <w:p>
            <w:pPr>
              <w:spacing w:after="0"/>
              <w:rPr>
                <w:sz w:val="12"/>
                <w:szCs w:val="12"/>
                <w:color w:val="auto"/>
              </w:rPr>
            </w:pPr>
          </w:p>
        </w:tc>
      </w:tr>
      <w:tr>
        <w:trPr>
          <w:trHeight w:val="144"/>
        </w:trPr>
        <w:tc>
          <w:tcPr>
            <w:tcW w:w="2660" w:type="dxa"/>
            <w:vAlign w:val="bottom"/>
          </w:tcPr>
          <w:p>
            <w:pPr>
              <w:spacing w:after="0"/>
              <w:rPr>
                <w:sz w:val="20"/>
                <w:szCs w:val="20"/>
                <w:color w:val="auto"/>
              </w:rPr>
            </w:pPr>
            <w:r>
              <w:rPr>
                <w:rFonts w:ascii="Arial" w:cs="Arial" w:eastAsia="Arial" w:hAnsi="Arial"/>
                <w:sz w:val="12"/>
                <w:szCs w:val="12"/>
                <w:color w:val="auto"/>
              </w:rPr>
              <w:t>IBC Capital Finance IV</w:t>
            </w:r>
          </w:p>
        </w:tc>
        <w:tc>
          <w:tcPr>
            <w:tcW w:w="2180" w:type="dxa"/>
            <w:vAlign w:val="bottom"/>
          </w:tcPr>
          <w:p>
            <w:pPr>
              <w:ind w:left="960"/>
              <w:spacing w:after="0"/>
              <w:rPr>
                <w:sz w:val="20"/>
                <w:szCs w:val="20"/>
                <w:color w:val="auto"/>
              </w:rPr>
            </w:pPr>
            <w:r>
              <w:rPr>
                <w:rFonts w:ascii="Arial" w:cs="Arial" w:eastAsia="Arial" w:hAnsi="Arial"/>
                <w:sz w:val="12"/>
                <w:szCs w:val="12"/>
                <w:color w:val="auto"/>
              </w:rPr>
              <w:t>September 2007</w:t>
            </w:r>
          </w:p>
        </w:tc>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ind w:right="80"/>
              <w:spacing w:after="0"/>
              <w:rPr>
                <w:sz w:val="20"/>
                <w:szCs w:val="20"/>
                <w:color w:val="auto"/>
              </w:rPr>
            </w:pPr>
            <w:r>
              <w:rPr>
                <w:rFonts w:ascii="Arial" w:cs="Arial" w:eastAsia="Arial" w:hAnsi="Arial"/>
                <w:sz w:val="12"/>
                <w:szCs w:val="12"/>
                <w:color w:val="auto"/>
              </w:rPr>
              <w:t>15,465</w:t>
            </w:r>
          </w:p>
        </w:tc>
        <w:tc>
          <w:tcPr>
            <w:tcW w:w="220" w:type="dxa"/>
            <w:vAlign w:val="bottom"/>
          </w:tcPr>
          <w:p>
            <w:pPr>
              <w:spacing w:after="0"/>
              <w:rPr>
                <w:sz w:val="12"/>
                <w:szCs w:val="12"/>
                <w:color w:val="auto"/>
              </w:rPr>
            </w:pPr>
          </w:p>
        </w:tc>
        <w:tc>
          <w:tcPr>
            <w:tcW w:w="1140" w:type="dxa"/>
            <w:vAlign w:val="bottom"/>
          </w:tcPr>
          <w:p>
            <w:pPr>
              <w:jc w:val="right"/>
              <w:ind w:right="80"/>
              <w:spacing w:after="0"/>
              <w:rPr>
                <w:sz w:val="20"/>
                <w:szCs w:val="20"/>
                <w:color w:val="auto"/>
              </w:rPr>
            </w:pPr>
            <w:r>
              <w:rPr>
                <w:rFonts w:ascii="Arial" w:cs="Arial" w:eastAsia="Arial" w:hAnsi="Arial"/>
                <w:sz w:val="12"/>
                <w:szCs w:val="12"/>
                <w:color w:val="auto"/>
              </w:rPr>
              <w:t>15,000</w:t>
            </w: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465</w:t>
            </w:r>
          </w:p>
        </w:tc>
        <w:tc>
          <w:tcPr>
            <w:tcW w:w="120" w:type="dxa"/>
            <w:vAlign w:val="bottom"/>
          </w:tcPr>
          <w:p>
            <w:pPr>
              <w:spacing w:after="0"/>
              <w:rPr>
                <w:sz w:val="12"/>
                <w:szCs w:val="12"/>
                <w:color w:val="auto"/>
              </w:rPr>
            </w:pPr>
          </w:p>
        </w:tc>
      </w:tr>
      <w:tr>
        <w:trPr>
          <w:trHeight w:val="144"/>
        </w:trPr>
        <w:tc>
          <w:tcPr>
            <w:tcW w:w="2660" w:type="dxa"/>
            <w:vAlign w:val="bottom"/>
            <w:shd w:val="clear" w:color="auto" w:fill="CCEEFF"/>
          </w:tcPr>
          <w:p>
            <w:pPr>
              <w:spacing w:after="0"/>
              <w:rPr>
                <w:sz w:val="20"/>
                <w:szCs w:val="20"/>
                <w:color w:val="auto"/>
              </w:rPr>
            </w:pPr>
            <w:r>
              <w:rPr>
                <w:rFonts w:ascii="Arial" w:cs="Arial" w:eastAsia="Arial" w:hAnsi="Arial"/>
                <w:sz w:val="12"/>
                <w:szCs w:val="12"/>
                <w:color w:val="auto"/>
              </w:rPr>
              <w:t>Midwest Guaranty Trust I</w:t>
            </w:r>
          </w:p>
        </w:tc>
        <w:tc>
          <w:tcPr>
            <w:tcW w:w="2180" w:type="dxa"/>
            <w:vAlign w:val="bottom"/>
            <w:shd w:val="clear" w:color="auto" w:fill="CCEEFF"/>
          </w:tcPr>
          <w:p>
            <w:pPr>
              <w:ind w:left="960"/>
              <w:spacing w:after="0"/>
              <w:rPr>
                <w:sz w:val="20"/>
                <w:szCs w:val="20"/>
                <w:color w:val="auto"/>
              </w:rPr>
            </w:pPr>
            <w:r>
              <w:rPr>
                <w:rFonts w:ascii="Arial" w:cs="Arial" w:eastAsia="Arial" w:hAnsi="Arial"/>
                <w:sz w:val="12"/>
                <w:szCs w:val="12"/>
                <w:color w:val="auto"/>
              </w:rPr>
              <w:t>November 2002</w:t>
            </w:r>
          </w:p>
        </w:tc>
        <w:tc>
          <w:tcPr>
            <w:tcW w:w="2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7,732</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7,500</w:t>
            </w: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232</w:t>
            </w:r>
          </w:p>
        </w:tc>
        <w:tc>
          <w:tcPr>
            <w:tcW w:w="120" w:type="dxa"/>
            <w:vAlign w:val="bottom"/>
            <w:shd w:val="clear" w:color="auto" w:fill="CCEEFF"/>
          </w:tcPr>
          <w:p>
            <w:pPr>
              <w:spacing w:after="0"/>
              <w:rPr>
                <w:sz w:val="12"/>
                <w:szCs w:val="12"/>
                <w:color w:val="auto"/>
              </w:rPr>
            </w:pPr>
          </w:p>
        </w:tc>
      </w:tr>
      <w:tr>
        <w:trPr>
          <w:trHeight w:val="144"/>
        </w:trPr>
        <w:tc>
          <w:tcPr>
            <w:tcW w:w="2660" w:type="dxa"/>
            <w:vAlign w:val="bottom"/>
          </w:tcPr>
          <w:p>
            <w:pPr>
              <w:spacing w:after="0"/>
              <w:rPr>
                <w:sz w:val="20"/>
                <w:szCs w:val="20"/>
                <w:color w:val="auto"/>
              </w:rPr>
            </w:pPr>
            <w:r>
              <w:rPr>
                <w:rFonts w:ascii="Arial" w:cs="Arial" w:eastAsia="Arial" w:hAnsi="Arial"/>
                <w:sz w:val="12"/>
                <w:szCs w:val="12"/>
                <w:color w:val="auto"/>
              </w:rPr>
              <w:t>TCSB Statutory Trust I</w:t>
            </w:r>
          </w:p>
        </w:tc>
        <w:tc>
          <w:tcPr>
            <w:tcW w:w="2180" w:type="dxa"/>
            <w:vAlign w:val="bottom"/>
          </w:tcPr>
          <w:p>
            <w:pPr>
              <w:ind w:left="960"/>
              <w:spacing w:after="0"/>
              <w:rPr>
                <w:sz w:val="20"/>
                <w:szCs w:val="20"/>
                <w:color w:val="auto"/>
              </w:rPr>
            </w:pPr>
            <w:r>
              <w:rPr>
                <w:rFonts w:ascii="Arial" w:cs="Arial" w:eastAsia="Arial" w:hAnsi="Arial"/>
                <w:sz w:val="12"/>
                <w:szCs w:val="12"/>
                <w:color w:val="auto"/>
              </w:rPr>
              <w:t>March 2005</w:t>
            </w:r>
          </w:p>
        </w:tc>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ind w:right="80"/>
              <w:spacing w:after="0"/>
              <w:rPr>
                <w:sz w:val="20"/>
                <w:szCs w:val="20"/>
                <w:color w:val="auto"/>
              </w:rPr>
            </w:pPr>
            <w:r>
              <w:rPr>
                <w:rFonts w:ascii="Arial" w:cs="Arial" w:eastAsia="Arial" w:hAnsi="Arial"/>
                <w:sz w:val="12"/>
                <w:szCs w:val="12"/>
                <w:color w:val="auto"/>
              </w:rPr>
              <w:t>5,155</w:t>
            </w:r>
          </w:p>
        </w:tc>
        <w:tc>
          <w:tcPr>
            <w:tcW w:w="220" w:type="dxa"/>
            <w:vAlign w:val="bottom"/>
          </w:tcPr>
          <w:p>
            <w:pPr>
              <w:spacing w:after="0"/>
              <w:rPr>
                <w:sz w:val="12"/>
                <w:szCs w:val="12"/>
                <w:color w:val="auto"/>
              </w:rPr>
            </w:pPr>
          </w:p>
        </w:tc>
        <w:tc>
          <w:tcPr>
            <w:tcW w:w="1140" w:type="dxa"/>
            <w:vAlign w:val="bottom"/>
          </w:tcPr>
          <w:p>
            <w:pPr>
              <w:jc w:val="right"/>
              <w:ind w:right="80"/>
              <w:spacing w:after="0"/>
              <w:rPr>
                <w:sz w:val="20"/>
                <w:szCs w:val="20"/>
                <w:color w:val="auto"/>
              </w:rPr>
            </w:pPr>
            <w:r>
              <w:rPr>
                <w:rFonts w:ascii="Arial" w:cs="Arial" w:eastAsia="Arial" w:hAnsi="Arial"/>
                <w:sz w:val="12"/>
                <w:szCs w:val="12"/>
                <w:color w:val="auto"/>
              </w:rPr>
              <w:t>5,000</w:t>
            </w: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155</w:t>
            </w:r>
          </w:p>
        </w:tc>
        <w:tc>
          <w:tcPr>
            <w:tcW w:w="120" w:type="dxa"/>
            <w:vAlign w:val="bottom"/>
          </w:tcPr>
          <w:p>
            <w:pPr>
              <w:spacing w:after="0"/>
              <w:rPr>
                <w:sz w:val="12"/>
                <w:szCs w:val="12"/>
                <w:color w:val="auto"/>
              </w:rPr>
            </w:pPr>
          </w:p>
        </w:tc>
      </w:tr>
      <w:tr>
        <w:trPr>
          <w:trHeight w:val="144"/>
        </w:trPr>
        <w:tc>
          <w:tcPr>
            <w:tcW w:w="2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Discount on TCSB Statutory Trust I</w:t>
            </w:r>
          </w:p>
        </w:tc>
        <w:tc>
          <w:tcPr>
            <w:tcW w:w="2180" w:type="dxa"/>
            <w:vAlign w:val="bottom"/>
            <w:tcBorders>
              <w:bottom w:val="single" w:sz="8" w:color="CCEEFF"/>
            </w:tcBorders>
            <w:shd w:val="clear" w:color="auto" w:fill="CCEEFF"/>
          </w:tcPr>
          <w:p>
            <w:pPr>
              <w:spacing w:after="0"/>
              <w:rPr>
                <w:sz w:val="12"/>
                <w:szCs w:val="12"/>
                <w:color w:val="auto"/>
              </w:rPr>
            </w:pPr>
          </w:p>
        </w:tc>
        <w:tc>
          <w:tcPr>
            <w:tcW w:w="23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(1,132)</w:t>
            </w:r>
          </w:p>
        </w:tc>
        <w:tc>
          <w:tcPr>
            <w:tcW w:w="2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(1,132)</w:t>
            </w:r>
          </w:p>
        </w:tc>
        <w:tc>
          <w:tcPr>
            <w:tcW w:w="2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142"/>
        </w:trPr>
        <w:tc>
          <w:tcPr>
            <w:tcW w:w="26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64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1140" w:type="dxa"/>
            <w:vAlign w:val="bottom"/>
          </w:tcPr>
          <w:p>
            <w:pPr>
              <w:jc w:val="right"/>
              <w:ind w:right="80"/>
              <w:spacing w:after="0"/>
              <w:rPr>
                <w:sz w:val="20"/>
                <w:szCs w:val="20"/>
                <w:color w:val="auto"/>
              </w:rPr>
            </w:pPr>
            <w:r>
              <w:rPr>
                <w:rFonts w:ascii="Arial" w:cs="Arial" w:eastAsia="Arial" w:hAnsi="Arial"/>
                <w:sz w:val="12"/>
                <w:szCs w:val="12"/>
                <w:color w:val="auto"/>
              </w:rPr>
              <w:t>39,592</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1140" w:type="dxa"/>
            <w:vAlign w:val="bottom"/>
          </w:tcPr>
          <w:p>
            <w:pPr>
              <w:jc w:val="right"/>
              <w:ind w:right="80"/>
              <w:spacing w:after="0"/>
              <w:rPr>
                <w:sz w:val="20"/>
                <w:szCs w:val="20"/>
                <w:color w:val="auto"/>
              </w:rPr>
            </w:pPr>
            <w:r>
              <w:rPr>
                <w:rFonts w:ascii="Arial" w:cs="Arial" w:eastAsia="Arial" w:hAnsi="Arial"/>
                <w:sz w:val="12"/>
                <w:szCs w:val="12"/>
                <w:color w:val="auto"/>
              </w:rPr>
              <w:t>38,368</w:t>
            </w:r>
          </w:p>
        </w:tc>
        <w:tc>
          <w:tcPr>
            <w:tcW w:w="28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1,224</w:t>
            </w:r>
          </w:p>
        </w:tc>
        <w:tc>
          <w:tcPr>
            <w:tcW w:w="120" w:type="dxa"/>
            <w:vAlign w:val="bottom"/>
          </w:tcPr>
          <w:p>
            <w:pPr>
              <w:spacing w:after="0"/>
              <w:rPr>
                <w:sz w:val="12"/>
                <w:szCs w:val="12"/>
                <w:color w:val="auto"/>
              </w:rPr>
            </w:pPr>
          </w:p>
        </w:tc>
      </w:tr>
      <w:tr>
        <w:trPr>
          <w:trHeight w:val="20"/>
        </w:trPr>
        <w:tc>
          <w:tcPr>
            <w:tcW w:w="26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64"/>
        </w:trPr>
        <w:tc>
          <w:tcPr>
            <w:tcW w:w="266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240"/>
              <w:spacing w:after="0"/>
              <w:rPr>
                <w:sz w:val="20"/>
                <w:szCs w:val="20"/>
                <w:color w:val="auto"/>
              </w:rPr>
            </w:pPr>
            <w:r>
              <w:rPr>
                <w:rFonts w:ascii="Arial" w:cs="Arial" w:eastAsia="Arial" w:hAnsi="Arial"/>
                <w:sz w:val="12"/>
                <w:szCs w:val="12"/>
                <w:b w:val="1"/>
                <w:bCs w:val="1"/>
                <w:color w:val="auto"/>
                <w:w w:val="89"/>
              </w:rPr>
              <w:t>2020</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r>
      <w:tr>
        <w:trPr>
          <w:trHeight w:val="273"/>
        </w:trPr>
        <w:tc>
          <w:tcPr>
            <w:tcW w:w="266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center"/>
              <w:ind w:right="200"/>
              <w:spacing w:after="0"/>
              <w:rPr>
                <w:sz w:val="20"/>
                <w:szCs w:val="20"/>
                <w:color w:val="auto"/>
              </w:rPr>
            </w:pPr>
            <w:r>
              <w:rPr>
                <w:rFonts w:ascii="Arial" w:cs="Arial" w:eastAsia="Arial" w:hAnsi="Arial"/>
                <w:sz w:val="12"/>
                <w:szCs w:val="12"/>
                <w:b w:val="1"/>
                <w:bCs w:val="1"/>
                <w:color w:val="auto"/>
                <w:w w:val="93"/>
              </w:rPr>
              <w:t>Trust</w:t>
            </w: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144"/>
        </w:trPr>
        <w:tc>
          <w:tcPr>
            <w:tcW w:w="26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80"/>
              <w:spacing w:after="0"/>
              <w:rPr>
                <w:sz w:val="20"/>
                <w:szCs w:val="20"/>
                <w:color w:val="auto"/>
              </w:rPr>
            </w:pPr>
            <w:r>
              <w:rPr>
                <w:rFonts w:ascii="Arial" w:cs="Arial" w:eastAsia="Arial" w:hAnsi="Arial"/>
                <w:sz w:val="12"/>
                <w:szCs w:val="12"/>
                <w:b w:val="1"/>
                <w:bCs w:val="1"/>
                <w:color w:val="auto"/>
                <w:w w:val="93"/>
              </w:rPr>
              <w:t>Preferred</w:t>
            </w:r>
          </w:p>
        </w:tc>
        <w:tc>
          <w:tcPr>
            <w:tcW w:w="280" w:type="dxa"/>
            <w:vAlign w:val="bottom"/>
          </w:tcPr>
          <w:p>
            <w:pPr>
              <w:spacing w:after="0"/>
              <w:rPr>
                <w:sz w:val="12"/>
                <w:szCs w:val="12"/>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2"/>
              </w:rPr>
              <w:t>Common</w:t>
            </w:r>
          </w:p>
        </w:tc>
      </w:tr>
      <w:tr>
        <w:trPr>
          <w:trHeight w:val="144"/>
        </w:trPr>
        <w:tc>
          <w:tcPr>
            <w:tcW w:w="26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640" w:type="dxa"/>
            <w:vAlign w:val="bottom"/>
            <w:gridSpan w:val="3"/>
          </w:tcPr>
          <w:p>
            <w:pPr>
              <w:ind w:left="440"/>
              <w:spacing w:after="0"/>
              <w:rPr>
                <w:sz w:val="20"/>
                <w:szCs w:val="20"/>
                <w:color w:val="auto"/>
              </w:rPr>
            </w:pPr>
            <w:r>
              <w:rPr>
                <w:rFonts w:ascii="Arial" w:cs="Arial" w:eastAsia="Arial" w:hAnsi="Arial"/>
                <w:sz w:val="12"/>
                <w:szCs w:val="12"/>
                <w:b w:val="1"/>
                <w:bCs w:val="1"/>
                <w:color w:val="auto"/>
              </w:rPr>
              <w:t>Issue</w:t>
            </w:r>
          </w:p>
        </w:tc>
        <w:tc>
          <w:tcPr>
            <w:tcW w:w="1140" w:type="dxa"/>
            <w:vAlign w:val="bottom"/>
          </w:tcPr>
          <w:p>
            <w:pPr>
              <w:jc w:val="center"/>
              <w:ind w:right="220"/>
              <w:spacing w:after="0"/>
              <w:rPr>
                <w:sz w:val="20"/>
                <w:szCs w:val="20"/>
                <w:color w:val="auto"/>
              </w:rPr>
            </w:pPr>
            <w:r>
              <w:rPr>
                <w:rFonts w:ascii="Arial" w:cs="Arial" w:eastAsia="Arial" w:hAnsi="Arial"/>
                <w:sz w:val="12"/>
                <w:szCs w:val="12"/>
                <w:b w:val="1"/>
                <w:bCs w:val="1"/>
                <w:color w:val="auto"/>
                <w:w w:val="90"/>
              </w:rPr>
              <w:t>Subordinated</w:t>
            </w:r>
          </w:p>
        </w:tc>
        <w:tc>
          <w:tcPr>
            <w:tcW w:w="220" w:type="dxa"/>
            <w:vAlign w:val="bottom"/>
          </w:tcPr>
          <w:p>
            <w:pPr>
              <w:spacing w:after="0"/>
              <w:rPr>
                <w:sz w:val="12"/>
                <w:szCs w:val="12"/>
                <w:color w:val="auto"/>
              </w:rPr>
            </w:pPr>
          </w:p>
        </w:tc>
        <w:tc>
          <w:tcPr>
            <w:tcW w:w="1140" w:type="dxa"/>
            <w:vAlign w:val="bottom"/>
          </w:tcPr>
          <w:p>
            <w:pPr>
              <w:jc w:val="center"/>
              <w:ind w:right="180"/>
              <w:spacing w:after="0"/>
              <w:rPr>
                <w:sz w:val="20"/>
                <w:szCs w:val="20"/>
                <w:color w:val="auto"/>
              </w:rPr>
            </w:pPr>
            <w:r>
              <w:rPr>
                <w:rFonts w:ascii="Arial" w:cs="Arial" w:eastAsia="Arial" w:hAnsi="Arial"/>
                <w:sz w:val="12"/>
                <w:szCs w:val="12"/>
                <w:b w:val="1"/>
                <w:bCs w:val="1"/>
                <w:color w:val="auto"/>
                <w:w w:val="87"/>
              </w:rPr>
              <w:t>Securities</w:t>
            </w:r>
          </w:p>
        </w:tc>
        <w:tc>
          <w:tcPr>
            <w:tcW w:w="280" w:type="dxa"/>
            <w:vAlign w:val="bottom"/>
          </w:tcPr>
          <w:p>
            <w:pPr>
              <w:spacing w:after="0"/>
              <w:rPr>
                <w:sz w:val="12"/>
                <w:szCs w:val="12"/>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5"/>
              </w:rPr>
              <w:t>Stock</w:t>
            </w:r>
          </w:p>
        </w:tc>
      </w:tr>
      <w:tr>
        <w:trPr>
          <w:trHeight w:val="157"/>
        </w:trPr>
        <w:tc>
          <w:tcPr>
            <w:tcW w:w="2660" w:type="dxa"/>
            <w:vAlign w:val="bottom"/>
          </w:tcPr>
          <w:p>
            <w:pPr>
              <w:spacing w:after="0"/>
              <w:rPr>
                <w:sz w:val="20"/>
                <w:szCs w:val="20"/>
                <w:color w:val="auto"/>
              </w:rPr>
            </w:pPr>
            <w:r>
              <w:rPr>
                <w:rFonts w:ascii="Arial" w:cs="Arial" w:eastAsia="Arial" w:hAnsi="Arial"/>
                <w:sz w:val="12"/>
                <w:szCs w:val="12"/>
                <w:b w:val="1"/>
                <w:bCs w:val="1"/>
                <w:color w:val="auto"/>
              </w:rPr>
              <w:t>Entity Name</w:t>
            </w:r>
          </w:p>
        </w:tc>
        <w:tc>
          <w:tcPr>
            <w:tcW w:w="2180" w:type="dxa"/>
            <w:vAlign w:val="bottom"/>
          </w:tcPr>
          <w:p>
            <w:pPr>
              <w:spacing w:after="0"/>
              <w:rPr>
                <w:sz w:val="13"/>
                <w:szCs w:val="13"/>
                <w:color w:val="auto"/>
              </w:rPr>
            </w:pPr>
          </w:p>
        </w:tc>
        <w:tc>
          <w:tcPr>
            <w:tcW w:w="2640" w:type="dxa"/>
            <w:vAlign w:val="bottom"/>
            <w:gridSpan w:val="3"/>
          </w:tcPr>
          <w:p>
            <w:pPr>
              <w:ind w:left="460"/>
              <w:spacing w:after="0"/>
              <w:rPr>
                <w:sz w:val="20"/>
                <w:szCs w:val="20"/>
                <w:color w:val="auto"/>
              </w:rPr>
            </w:pPr>
            <w:r>
              <w:rPr>
                <w:rFonts w:ascii="Arial" w:cs="Arial" w:eastAsia="Arial" w:hAnsi="Arial"/>
                <w:sz w:val="12"/>
                <w:szCs w:val="12"/>
                <w:b w:val="1"/>
                <w:bCs w:val="1"/>
                <w:color w:val="auto"/>
              </w:rPr>
              <w:t>Date</w:t>
            </w:r>
          </w:p>
        </w:tc>
        <w:tc>
          <w:tcPr>
            <w:tcW w:w="1140" w:type="dxa"/>
            <w:vAlign w:val="bottom"/>
          </w:tcPr>
          <w:p>
            <w:pPr>
              <w:jc w:val="center"/>
              <w:ind w:right="220"/>
              <w:spacing w:after="0"/>
              <w:rPr>
                <w:sz w:val="20"/>
                <w:szCs w:val="20"/>
                <w:color w:val="auto"/>
              </w:rPr>
            </w:pPr>
            <w:r>
              <w:rPr>
                <w:rFonts w:ascii="Arial" w:cs="Arial" w:eastAsia="Arial" w:hAnsi="Arial"/>
                <w:sz w:val="12"/>
                <w:szCs w:val="12"/>
                <w:b w:val="1"/>
                <w:bCs w:val="1"/>
                <w:color w:val="auto"/>
                <w:w w:val="87"/>
              </w:rPr>
              <w:t>Debentures</w:t>
            </w:r>
          </w:p>
        </w:tc>
        <w:tc>
          <w:tcPr>
            <w:tcW w:w="220" w:type="dxa"/>
            <w:vAlign w:val="bottom"/>
          </w:tcPr>
          <w:p>
            <w:pPr>
              <w:spacing w:after="0"/>
              <w:rPr>
                <w:sz w:val="13"/>
                <w:szCs w:val="13"/>
                <w:color w:val="auto"/>
              </w:rPr>
            </w:pPr>
          </w:p>
        </w:tc>
        <w:tc>
          <w:tcPr>
            <w:tcW w:w="1140" w:type="dxa"/>
            <w:vAlign w:val="bottom"/>
          </w:tcPr>
          <w:p>
            <w:pPr>
              <w:jc w:val="center"/>
              <w:ind w:right="200"/>
              <w:spacing w:after="0"/>
              <w:rPr>
                <w:sz w:val="20"/>
                <w:szCs w:val="20"/>
                <w:color w:val="auto"/>
              </w:rPr>
            </w:pPr>
            <w:r>
              <w:rPr>
                <w:rFonts w:ascii="Arial" w:cs="Arial" w:eastAsia="Arial" w:hAnsi="Arial"/>
                <w:sz w:val="12"/>
                <w:szCs w:val="12"/>
                <w:b w:val="1"/>
                <w:bCs w:val="1"/>
                <w:color w:val="auto"/>
                <w:w w:val="84"/>
              </w:rPr>
              <w:t>Issued</w:t>
            </w:r>
          </w:p>
        </w:tc>
        <w:tc>
          <w:tcPr>
            <w:tcW w:w="280" w:type="dxa"/>
            <w:vAlign w:val="bottom"/>
          </w:tcPr>
          <w:p>
            <w:pPr>
              <w:spacing w:after="0"/>
              <w:rPr>
                <w:sz w:val="13"/>
                <w:szCs w:val="13"/>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4"/>
              </w:rPr>
              <w:t>Issued</w:t>
            </w:r>
          </w:p>
        </w:tc>
      </w:tr>
      <w:tr>
        <w:trPr>
          <w:trHeight w:val="142"/>
        </w:trPr>
        <w:tc>
          <w:tcPr>
            <w:tcW w:w="2660" w:type="dxa"/>
            <w:vAlign w:val="bottom"/>
            <w:tcBorders>
              <w:top w:val="single" w:sz="8" w:color="auto"/>
            </w:tcBorders>
          </w:tcPr>
          <w:p>
            <w:pPr>
              <w:spacing w:after="0"/>
              <w:rPr>
                <w:sz w:val="12"/>
                <w:szCs w:val="12"/>
                <w:color w:val="auto"/>
              </w:rPr>
            </w:pPr>
          </w:p>
        </w:tc>
        <w:tc>
          <w:tcPr>
            <w:tcW w:w="2180" w:type="dxa"/>
            <w:vAlign w:val="bottom"/>
            <w:tcBorders>
              <w:top w:val="single" w:sz="8" w:color="auto"/>
            </w:tcBorders>
          </w:tcPr>
          <w:p>
            <w:pPr>
              <w:spacing w:after="0"/>
              <w:rPr>
                <w:sz w:val="12"/>
                <w:szCs w:val="12"/>
                <w:color w:val="auto"/>
              </w:rPr>
            </w:pPr>
          </w:p>
        </w:tc>
        <w:tc>
          <w:tcPr>
            <w:tcW w:w="2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center"/>
              <w:ind w:right="220"/>
              <w:spacing w:after="0"/>
              <w:rPr>
                <w:sz w:val="20"/>
                <w:szCs w:val="20"/>
                <w:color w:val="auto"/>
              </w:rPr>
            </w:pPr>
            <w:r>
              <w:rPr>
                <w:rFonts w:ascii="Arial" w:cs="Arial" w:eastAsia="Arial" w:hAnsi="Arial"/>
                <w:sz w:val="12"/>
                <w:szCs w:val="12"/>
                <w:b w:val="1"/>
                <w:bCs w:val="1"/>
                <w:color w:val="auto"/>
                <w:w w:val="89"/>
              </w:rPr>
              <w:t>(In thousands)</w:t>
            </w:r>
          </w:p>
        </w:tc>
        <w:tc>
          <w:tcPr>
            <w:tcW w:w="2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2660" w:type="dxa"/>
            <w:vAlign w:val="bottom"/>
            <w:shd w:val="clear" w:color="auto" w:fill="CCEEFF"/>
          </w:tcPr>
          <w:p>
            <w:pPr>
              <w:spacing w:after="0"/>
              <w:rPr>
                <w:sz w:val="20"/>
                <w:szCs w:val="20"/>
                <w:color w:val="auto"/>
              </w:rPr>
            </w:pPr>
            <w:r>
              <w:rPr>
                <w:rFonts w:ascii="Arial" w:cs="Arial" w:eastAsia="Arial" w:hAnsi="Arial"/>
                <w:sz w:val="12"/>
                <w:szCs w:val="12"/>
                <w:color w:val="auto"/>
              </w:rPr>
              <w:t>IBC Capital Finance III</w:t>
            </w:r>
          </w:p>
        </w:tc>
        <w:tc>
          <w:tcPr>
            <w:tcW w:w="2180" w:type="dxa"/>
            <w:vAlign w:val="bottom"/>
            <w:shd w:val="clear" w:color="auto" w:fill="CCEEFF"/>
          </w:tcPr>
          <w:p>
            <w:pPr>
              <w:ind w:left="960"/>
              <w:spacing w:after="0"/>
              <w:rPr>
                <w:sz w:val="20"/>
                <w:szCs w:val="20"/>
                <w:color w:val="auto"/>
              </w:rPr>
            </w:pPr>
            <w:r>
              <w:rPr>
                <w:rFonts w:ascii="Arial" w:cs="Arial" w:eastAsia="Arial" w:hAnsi="Arial"/>
                <w:sz w:val="12"/>
                <w:szCs w:val="12"/>
                <w:color w:val="auto"/>
              </w:rPr>
              <w:t>May 2007</w:t>
            </w:r>
          </w:p>
        </w:tc>
        <w:tc>
          <w:tcPr>
            <w:tcW w:w="264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12,372</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12,000</w:t>
            </w:r>
          </w:p>
        </w:tc>
        <w:tc>
          <w:tcPr>
            <w:tcW w:w="2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372</w:t>
            </w:r>
          </w:p>
        </w:tc>
        <w:tc>
          <w:tcPr>
            <w:tcW w:w="120" w:type="dxa"/>
            <w:vAlign w:val="bottom"/>
            <w:shd w:val="clear" w:color="auto" w:fill="CCEEFF"/>
          </w:tcPr>
          <w:p>
            <w:pPr>
              <w:spacing w:after="0"/>
              <w:rPr>
                <w:sz w:val="12"/>
                <w:szCs w:val="12"/>
                <w:color w:val="auto"/>
              </w:rPr>
            </w:pPr>
          </w:p>
        </w:tc>
      </w:tr>
      <w:tr>
        <w:trPr>
          <w:trHeight w:val="144"/>
        </w:trPr>
        <w:tc>
          <w:tcPr>
            <w:tcW w:w="2660" w:type="dxa"/>
            <w:vAlign w:val="bottom"/>
          </w:tcPr>
          <w:p>
            <w:pPr>
              <w:spacing w:after="0"/>
              <w:rPr>
                <w:sz w:val="20"/>
                <w:szCs w:val="20"/>
                <w:color w:val="auto"/>
              </w:rPr>
            </w:pPr>
            <w:r>
              <w:rPr>
                <w:rFonts w:ascii="Arial" w:cs="Arial" w:eastAsia="Arial" w:hAnsi="Arial"/>
                <w:sz w:val="12"/>
                <w:szCs w:val="12"/>
                <w:color w:val="auto"/>
              </w:rPr>
              <w:t>IBC Capital Finance IV</w:t>
            </w:r>
          </w:p>
        </w:tc>
        <w:tc>
          <w:tcPr>
            <w:tcW w:w="2180" w:type="dxa"/>
            <w:vAlign w:val="bottom"/>
          </w:tcPr>
          <w:p>
            <w:pPr>
              <w:ind w:left="960"/>
              <w:spacing w:after="0"/>
              <w:rPr>
                <w:sz w:val="20"/>
                <w:szCs w:val="20"/>
                <w:color w:val="auto"/>
              </w:rPr>
            </w:pPr>
            <w:r>
              <w:rPr>
                <w:rFonts w:ascii="Arial" w:cs="Arial" w:eastAsia="Arial" w:hAnsi="Arial"/>
                <w:sz w:val="12"/>
                <w:szCs w:val="12"/>
                <w:color w:val="auto"/>
              </w:rPr>
              <w:t>September 2007</w:t>
            </w:r>
          </w:p>
        </w:tc>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ind w:right="80"/>
              <w:spacing w:after="0"/>
              <w:rPr>
                <w:sz w:val="20"/>
                <w:szCs w:val="20"/>
                <w:color w:val="auto"/>
              </w:rPr>
            </w:pPr>
            <w:r>
              <w:rPr>
                <w:rFonts w:ascii="Arial" w:cs="Arial" w:eastAsia="Arial" w:hAnsi="Arial"/>
                <w:sz w:val="12"/>
                <w:szCs w:val="12"/>
                <w:color w:val="auto"/>
              </w:rPr>
              <w:t>15,465</w:t>
            </w:r>
          </w:p>
        </w:tc>
        <w:tc>
          <w:tcPr>
            <w:tcW w:w="220" w:type="dxa"/>
            <w:vAlign w:val="bottom"/>
          </w:tcPr>
          <w:p>
            <w:pPr>
              <w:spacing w:after="0"/>
              <w:rPr>
                <w:sz w:val="12"/>
                <w:szCs w:val="12"/>
                <w:color w:val="auto"/>
              </w:rPr>
            </w:pPr>
          </w:p>
        </w:tc>
        <w:tc>
          <w:tcPr>
            <w:tcW w:w="1140" w:type="dxa"/>
            <w:vAlign w:val="bottom"/>
          </w:tcPr>
          <w:p>
            <w:pPr>
              <w:jc w:val="right"/>
              <w:ind w:right="80"/>
              <w:spacing w:after="0"/>
              <w:rPr>
                <w:sz w:val="20"/>
                <w:szCs w:val="20"/>
                <w:color w:val="auto"/>
              </w:rPr>
            </w:pPr>
            <w:r>
              <w:rPr>
                <w:rFonts w:ascii="Arial" w:cs="Arial" w:eastAsia="Arial" w:hAnsi="Arial"/>
                <w:sz w:val="12"/>
                <w:szCs w:val="12"/>
                <w:color w:val="auto"/>
              </w:rPr>
              <w:t>15,000</w:t>
            </w: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465</w:t>
            </w:r>
          </w:p>
        </w:tc>
        <w:tc>
          <w:tcPr>
            <w:tcW w:w="120" w:type="dxa"/>
            <w:vAlign w:val="bottom"/>
          </w:tcPr>
          <w:p>
            <w:pPr>
              <w:spacing w:after="0"/>
              <w:rPr>
                <w:sz w:val="12"/>
                <w:szCs w:val="12"/>
                <w:color w:val="auto"/>
              </w:rPr>
            </w:pPr>
          </w:p>
        </w:tc>
      </w:tr>
      <w:tr>
        <w:trPr>
          <w:trHeight w:val="144"/>
        </w:trPr>
        <w:tc>
          <w:tcPr>
            <w:tcW w:w="2660" w:type="dxa"/>
            <w:vAlign w:val="bottom"/>
            <w:shd w:val="clear" w:color="auto" w:fill="CCEEFF"/>
          </w:tcPr>
          <w:p>
            <w:pPr>
              <w:spacing w:after="0"/>
              <w:rPr>
                <w:sz w:val="20"/>
                <w:szCs w:val="20"/>
                <w:color w:val="auto"/>
              </w:rPr>
            </w:pPr>
            <w:r>
              <w:rPr>
                <w:rFonts w:ascii="Arial" w:cs="Arial" w:eastAsia="Arial" w:hAnsi="Arial"/>
                <w:sz w:val="12"/>
                <w:szCs w:val="12"/>
                <w:color w:val="auto"/>
              </w:rPr>
              <w:t>Midwest Guaranty Trust I</w:t>
            </w:r>
          </w:p>
        </w:tc>
        <w:tc>
          <w:tcPr>
            <w:tcW w:w="2180" w:type="dxa"/>
            <w:vAlign w:val="bottom"/>
            <w:shd w:val="clear" w:color="auto" w:fill="CCEEFF"/>
          </w:tcPr>
          <w:p>
            <w:pPr>
              <w:ind w:left="960"/>
              <w:spacing w:after="0"/>
              <w:rPr>
                <w:sz w:val="20"/>
                <w:szCs w:val="20"/>
                <w:color w:val="auto"/>
              </w:rPr>
            </w:pPr>
            <w:r>
              <w:rPr>
                <w:rFonts w:ascii="Arial" w:cs="Arial" w:eastAsia="Arial" w:hAnsi="Arial"/>
                <w:sz w:val="12"/>
                <w:szCs w:val="12"/>
                <w:color w:val="auto"/>
              </w:rPr>
              <w:t>November 2002</w:t>
            </w:r>
          </w:p>
        </w:tc>
        <w:tc>
          <w:tcPr>
            <w:tcW w:w="2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7,732</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7,500</w:t>
            </w: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232</w:t>
            </w:r>
          </w:p>
        </w:tc>
        <w:tc>
          <w:tcPr>
            <w:tcW w:w="120" w:type="dxa"/>
            <w:vAlign w:val="bottom"/>
            <w:shd w:val="clear" w:color="auto" w:fill="CCEEFF"/>
          </w:tcPr>
          <w:p>
            <w:pPr>
              <w:spacing w:after="0"/>
              <w:rPr>
                <w:sz w:val="12"/>
                <w:szCs w:val="12"/>
                <w:color w:val="auto"/>
              </w:rPr>
            </w:pPr>
          </w:p>
        </w:tc>
      </w:tr>
      <w:tr>
        <w:trPr>
          <w:trHeight w:val="144"/>
        </w:trPr>
        <w:tc>
          <w:tcPr>
            <w:tcW w:w="2660" w:type="dxa"/>
            <w:vAlign w:val="bottom"/>
          </w:tcPr>
          <w:p>
            <w:pPr>
              <w:spacing w:after="0"/>
              <w:rPr>
                <w:sz w:val="20"/>
                <w:szCs w:val="20"/>
                <w:color w:val="auto"/>
              </w:rPr>
            </w:pPr>
            <w:r>
              <w:rPr>
                <w:rFonts w:ascii="Arial" w:cs="Arial" w:eastAsia="Arial" w:hAnsi="Arial"/>
                <w:sz w:val="12"/>
                <w:szCs w:val="12"/>
                <w:color w:val="auto"/>
              </w:rPr>
              <w:t>TCSB Statutory Trust I</w:t>
            </w:r>
          </w:p>
        </w:tc>
        <w:tc>
          <w:tcPr>
            <w:tcW w:w="2180" w:type="dxa"/>
            <w:vAlign w:val="bottom"/>
          </w:tcPr>
          <w:p>
            <w:pPr>
              <w:ind w:left="960"/>
              <w:spacing w:after="0"/>
              <w:rPr>
                <w:sz w:val="20"/>
                <w:szCs w:val="20"/>
                <w:color w:val="auto"/>
              </w:rPr>
            </w:pPr>
            <w:r>
              <w:rPr>
                <w:rFonts w:ascii="Arial" w:cs="Arial" w:eastAsia="Arial" w:hAnsi="Arial"/>
                <w:sz w:val="12"/>
                <w:szCs w:val="12"/>
                <w:color w:val="auto"/>
              </w:rPr>
              <w:t>March 2005</w:t>
            </w:r>
          </w:p>
        </w:tc>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ind w:right="80"/>
              <w:spacing w:after="0"/>
              <w:rPr>
                <w:sz w:val="20"/>
                <w:szCs w:val="20"/>
                <w:color w:val="auto"/>
              </w:rPr>
            </w:pPr>
            <w:r>
              <w:rPr>
                <w:rFonts w:ascii="Arial" w:cs="Arial" w:eastAsia="Arial" w:hAnsi="Arial"/>
                <w:sz w:val="12"/>
                <w:szCs w:val="12"/>
                <w:color w:val="auto"/>
              </w:rPr>
              <w:t>5,155</w:t>
            </w:r>
          </w:p>
        </w:tc>
        <w:tc>
          <w:tcPr>
            <w:tcW w:w="220" w:type="dxa"/>
            <w:vAlign w:val="bottom"/>
          </w:tcPr>
          <w:p>
            <w:pPr>
              <w:spacing w:after="0"/>
              <w:rPr>
                <w:sz w:val="12"/>
                <w:szCs w:val="12"/>
                <w:color w:val="auto"/>
              </w:rPr>
            </w:pPr>
          </w:p>
        </w:tc>
        <w:tc>
          <w:tcPr>
            <w:tcW w:w="1140" w:type="dxa"/>
            <w:vAlign w:val="bottom"/>
          </w:tcPr>
          <w:p>
            <w:pPr>
              <w:jc w:val="right"/>
              <w:ind w:right="80"/>
              <w:spacing w:after="0"/>
              <w:rPr>
                <w:sz w:val="20"/>
                <w:szCs w:val="20"/>
                <w:color w:val="auto"/>
              </w:rPr>
            </w:pPr>
            <w:r>
              <w:rPr>
                <w:rFonts w:ascii="Arial" w:cs="Arial" w:eastAsia="Arial" w:hAnsi="Arial"/>
                <w:sz w:val="12"/>
                <w:szCs w:val="12"/>
                <w:color w:val="auto"/>
              </w:rPr>
              <w:t>5,000</w:t>
            </w: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155</w:t>
            </w:r>
          </w:p>
        </w:tc>
        <w:tc>
          <w:tcPr>
            <w:tcW w:w="120" w:type="dxa"/>
            <w:vAlign w:val="bottom"/>
          </w:tcPr>
          <w:p>
            <w:pPr>
              <w:spacing w:after="0"/>
              <w:rPr>
                <w:sz w:val="12"/>
                <w:szCs w:val="12"/>
                <w:color w:val="auto"/>
              </w:rPr>
            </w:pPr>
          </w:p>
        </w:tc>
      </w:tr>
      <w:tr>
        <w:trPr>
          <w:trHeight w:val="144"/>
        </w:trPr>
        <w:tc>
          <w:tcPr>
            <w:tcW w:w="2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Discount on TCSB Statutory Trust I</w:t>
            </w:r>
          </w:p>
        </w:tc>
        <w:tc>
          <w:tcPr>
            <w:tcW w:w="2180" w:type="dxa"/>
            <w:vAlign w:val="bottom"/>
            <w:tcBorders>
              <w:bottom w:val="single" w:sz="8" w:color="CCEEFF"/>
            </w:tcBorders>
            <w:shd w:val="clear" w:color="auto" w:fill="CCEEFF"/>
          </w:tcPr>
          <w:p>
            <w:pPr>
              <w:spacing w:after="0"/>
              <w:rPr>
                <w:sz w:val="12"/>
                <w:szCs w:val="12"/>
                <w:color w:val="auto"/>
              </w:rPr>
            </w:pPr>
          </w:p>
        </w:tc>
        <w:tc>
          <w:tcPr>
            <w:tcW w:w="23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(1,200)</w:t>
            </w:r>
          </w:p>
        </w:tc>
        <w:tc>
          <w:tcPr>
            <w:tcW w:w="2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(1,200)</w:t>
            </w:r>
          </w:p>
        </w:tc>
        <w:tc>
          <w:tcPr>
            <w:tcW w:w="2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142"/>
        </w:trPr>
        <w:tc>
          <w:tcPr>
            <w:tcW w:w="26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64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1140" w:type="dxa"/>
            <w:vAlign w:val="bottom"/>
          </w:tcPr>
          <w:p>
            <w:pPr>
              <w:jc w:val="right"/>
              <w:ind w:right="80"/>
              <w:spacing w:after="0"/>
              <w:rPr>
                <w:sz w:val="20"/>
                <w:szCs w:val="20"/>
                <w:color w:val="auto"/>
              </w:rPr>
            </w:pPr>
            <w:r>
              <w:rPr>
                <w:rFonts w:ascii="Arial" w:cs="Arial" w:eastAsia="Arial" w:hAnsi="Arial"/>
                <w:sz w:val="12"/>
                <w:szCs w:val="12"/>
                <w:color w:val="auto"/>
              </w:rPr>
              <w:t>39,524</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1140" w:type="dxa"/>
            <w:vAlign w:val="bottom"/>
          </w:tcPr>
          <w:p>
            <w:pPr>
              <w:jc w:val="right"/>
              <w:ind w:right="80"/>
              <w:spacing w:after="0"/>
              <w:rPr>
                <w:sz w:val="20"/>
                <w:szCs w:val="20"/>
                <w:color w:val="auto"/>
              </w:rPr>
            </w:pPr>
            <w:r>
              <w:rPr>
                <w:rFonts w:ascii="Arial" w:cs="Arial" w:eastAsia="Arial" w:hAnsi="Arial"/>
                <w:sz w:val="12"/>
                <w:szCs w:val="12"/>
                <w:color w:val="auto"/>
              </w:rPr>
              <w:t>38,300</w:t>
            </w:r>
          </w:p>
        </w:tc>
        <w:tc>
          <w:tcPr>
            <w:tcW w:w="28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1,224</w:t>
            </w:r>
          </w:p>
        </w:tc>
        <w:tc>
          <w:tcPr>
            <w:tcW w:w="120" w:type="dxa"/>
            <w:vAlign w:val="bottom"/>
          </w:tcPr>
          <w:p>
            <w:pPr>
              <w:spacing w:after="0"/>
              <w:rPr>
                <w:sz w:val="12"/>
                <w:szCs w:val="12"/>
                <w:color w:val="auto"/>
              </w:rPr>
            </w:pPr>
          </w:p>
        </w:tc>
      </w:tr>
      <w:tr>
        <w:trPr>
          <w:trHeight w:val="20"/>
        </w:trPr>
        <w:tc>
          <w:tcPr>
            <w:tcW w:w="26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Other key terms for the subordinated debentures and trust preferred securities that were outstanding at December 31, 2021 and 2020 follow:</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960" w:type="dxa"/>
            <w:vAlign w:val="bottom"/>
          </w:tcPr>
          <w:p>
            <w:pPr>
              <w:spacing w:after="0"/>
              <w:rPr>
                <w:sz w:val="12"/>
                <w:szCs w:val="12"/>
                <w:color w:val="auto"/>
              </w:rPr>
            </w:pPr>
          </w:p>
        </w:tc>
        <w:tc>
          <w:tcPr>
            <w:tcW w:w="2940" w:type="dxa"/>
            <w:vAlign w:val="bottom"/>
          </w:tcPr>
          <w:p>
            <w:pPr>
              <w:ind w:left="1820"/>
              <w:spacing w:after="0"/>
              <w:rPr>
                <w:sz w:val="20"/>
                <w:szCs w:val="20"/>
                <w:color w:val="auto"/>
              </w:rPr>
            </w:pPr>
            <w:r>
              <w:rPr>
                <w:rFonts w:ascii="Arial" w:cs="Arial" w:eastAsia="Arial" w:hAnsi="Arial"/>
                <w:sz w:val="12"/>
                <w:szCs w:val="12"/>
                <w:b w:val="1"/>
                <w:bCs w:val="1"/>
                <w:color w:val="auto"/>
              </w:rPr>
              <w:t>Maturity</w:t>
            </w:r>
          </w:p>
        </w:tc>
        <w:tc>
          <w:tcPr>
            <w:tcW w:w="3380" w:type="dxa"/>
            <w:vAlign w:val="bottom"/>
          </w:tcPr>
          <w:p>
            <w:pPr>
              <w:spacing w:after="0"/>
              <w:rPr>
                <w:sz w:val="12"/>
                <w:szCs w:val="12"/>
                <w:color w:val="auto"/>
              </w:rPr>
            </w:pPr>
          </w:p>
        </w:tc>
        <w:tc>
          <w:tcPr>
            <w:tcW w:w="3020" w:type="dxa"/>
            <w:vAlign w:val="bottom"/>
          </w:tcPr>
          <w:p>
            <w:pPr>
              <w:ind w:left="1500"/>
              <w:spacing w:after="0"/>
              <w:rPr>
                <w:sz w:val="20"/>
                <w:szCs w:val="20"/>
                <w:color w:val="auto"/>
              </w:rPr>
            </w:pPr>
            <w:r>
              <w:rPr>
                <w:rFonts w:ascii="Arial" w:cs="Arial" w:eastAsia="Arial" w:hAnsi="Arial"/>
                <w:sz w:val="12"/>
                <w:szCs w:val="12"/>
                <w:b w:val="1"/>
                <w:bCs w:val="1"/>
                <w:color w:val="auto"/>
              </w:rPr>
              <w:t>First Permitted</w:t>
            </w:r>
          </w:p>
        </w:tc>
      </w:tr>
      <w:tr>
        <w:trPr>
          <w:trHeight w:val="157"/>
        </w:trPr>
        <w:tc>
          <w:tcPr>
            <w:tcW w:w="19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Entity Name</w:t>
            </w:r>
          </w:p>
        </w:tc>
        <w:tc>
          <w:tcPr>
            <w:tcW w:w="2940" w:type="dxa"/>
            <w:vAlign w:val="bottom"/>
            <w:tcBorders>
              <w:bottom w:val="single" w:sz="8" w:color="auto"/>
            </w:tcBorders>
          </w:tcPr>
          <w:p>
            <w:pPr>
              <w:ind w:left="1940"/>
              <w:spacing w:after="0"/>
              <w:rPr>
                <w:sz w:val="20"/>
                <w:szCs w:val="20"/>
                <w:color w:val="auto"/>
              </w:rPr>
            </w:pPr>
            <w:r>
              <w:rPr>
                <w:rFonts w:ascii="Arial" w:cs="Arial" w:eastAsia="Arial" w:hAnsi="Arial"/>
                <w:sz w:val="12"/>
                <w:szCs w:val="12"/>
                <w:b w:val="1"/>
                <w:bCs w:val="1"/>
                <w:color w:val="auto"/>
              </w:rPr>
              <w:t>Date</w:t>
            </w:r>
          </w:p>
        </w:tc>
        <w:tc>
          <w:tcPr>
            <w:tcW w:w="3380" w:type="dxa"/>
            <w:vAlign w:val="bottom"/>
            <w:tcBorders>
              <w:bottom w:val="single" w:sz="8" w:color="auto"/>
            </w:tcBorders>
          </w:tcPr>
          <w:p>
            <w:pPr>
              <w:ind w:left="1940"/>
              <w:spacing w:after="0"/>
              <w:rPr>
                <w:sz w:val="20"/>
                <w:szCs w:val="20"/>
                <w:color w:val="auto"/>
              </w:rPr>
            </w:pPr>
            <w:r>
              <w:rPr>
                <w:rFonts w:ascii="Arial" w:cs="Arial" w:eastAsia="Arial" w:hAnsi="Arial"/>
                <w:sz w:val="12"/>
                <w:szCs w:val="12"/>
                <w:b w:val="1"/>
                <w:bCs w:val="1"/>
                <w:color w:val="auto"/>
              </w:rPr>
              <w:t>Interest Rate</w:t>
            </w:r>
          </w:p>
        </w:tc>
        <w:tc>
          <w:tcPr>
            <w:tcW w:w="3020" w:type="dxa"/>
            <w:vAlign w:val="bottom"/>
            <w:tcBorders>
              <w:bottom w:val="single" w:sz="8" w:color="auto"/>
            </w:tcBorders>
          </w:tcPr>
          <w:p>
            <w:pPr>
              <w:ind w:left="1440"/>
              <w:spacing w:after="0"/>
              <w:rPr>
                <w:sz w:val="20"/>
                <w:szCs w:val="20"/>
                <w:color w:val="auto"/>
              </w:rPr>
            </w:pPr>
            <w:r>
              <w:rPr>
                <w:rFonts w:ascii="Arial" w:cs="Arial" w:eastAsia="Arial" w:hAnsi="Arial"/>
                <w:sz w:val="12"/>
                <w:szCs w:val="12"/>
                <w:b w:val="1"/>
                <w:bCs w:val="1"/>
                <w:color w:val="auto"/>
              </w:rPr>
              <w:t>Redemption Date</w:t>
            </w:r>
          </w:p>
        </w:tc>
      </w:tr>
      <w:tr>
        <w:trPr>
          <w:trHeight w:val="142"/>
        </w:trPr>
        <w:tc>
          <w:tcPr>
            <w:tcW w:w="19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3020" w:type="dxa"/>
            <w:vAlign w:val="bottom"/>
          </w:tcPr>
          <w:p>
            <w:pPr>
              <w:spacing w:after="0"/>
              <w:rPr>
                <w:sz w:val="12"/>
                <w:szCs w:val="12"/>
                <w:color w:val="auto"/>
              </w:rPr>
            </w:pPr>
          </w:p>
        </w:tc>
      </w:tr>
      <w:tr>
        <w:trPr>
          <w:trHeight w:val="144"/>
        </w:trPr>
        <w:tc>
          <w:tcPr>
            <w:tcW w:w="1960" w:type="dxa"/>
            <w:vAlign w:val="bottom"/>
            <w:shd w:val="clear" w:color="auto" w:fill="CCEEFF"/>
          </w:tcPr>
          <w:p>
            <w:pPr>
              <w:spacing w:after="0"/>
              <w:rPr>
                <w:sz w:val="20"/>
                <w:szCs w:val="20"/>
                <w:color w:val="auto"/>
              </w:rPr>
            </w:pPr>
            <w:r>
              <w:rPr>
                <w:rFonts w:ascii="Arial" w:cs="Arial" w:eastAsia="Arial" w:hAnsi="Arial"/>
                <w:sz w:val="12"/>
                <w:szCs w:val="12"/>
                <w:color w:val="auto"/>
              </w:rPr>
              <w:t>IBC Capital Finance III</w:t>
            </w:r>
          </w:p>
        </w:tc>
        <w:tc>
          <w:tcPr>
            <w:tcW w:w="2940" w:type="dxa"/>
            <w:vAlign w:val="bottom"/>
            <w:shd w:val="clear" w:color="auto" w:fill="CCEEFF"/>
          </w:tcPr>
          <w:p>
            <w:pPr>
              <w:ind w:left="700"/>
              <w:spacing w:after="0"/>
              <w:rPr>
                <w:sz w:val="20"/>
                <w:szCs w:val="20"/>
                <w:color w:val="auto"/>
              </w:rPr>
            </w:pPr>
            <w:r>
              <w:rPr>
                <w:rFonts w:ascii="Arial" w:cs="Arial" w:eastAsia="Arial" w:hAnsi="Arial"/>
                <w:sz w:val="12"/>
                <w:szCs w:val="12"/>
                <w:color w:val="auto"/>
              </w:rPr>
              <w:t>July 30, 2037</w:t>
            </w:r>
          </w:p>
        </w:tc>
        <w:tc>
          <w:tcPr>
            <w:tcW w:w="3380" w:type="dxa"/>
            <w:vAlign w:val="bottom"/>
            <w:shd w:val="clear" w:color="auto" w:fill="CCEEFF"/>
          </w:tcPr>
          <w:p>
            <w:pPr>
              <w:ind w:left="660"/>
              <w:spacing w:after="0"/>
              <w:rPr>
                <w:sz w:val="20"/>
                <w:szCs w:val="20"/>
                <w:color w:val="auto"/>
              </w:rPr>
            </w:pPr>
            <w:r>
              <w:rPr>
                <w:rFonts w:ascii="Arial" w:cs="Arial" w:eastAsia="Arial" w:hAnsi="Arial"/>
                <w:sz w:val="12"/>
                <w:szCs w:val="12"/>
                <w:color w:val="auto"/>
              </w:rPr>
              <w:t>3 month LIBOR plus 1.60%</w:t>
            </w:r>
          </w:p>
        </w:tc>
        <w:tc>
          <w:tcPr>
            <w:tcW w:w="3020" w:type="dxa"/>
            <w:vAlign w:val="bottom"/>
            <w:shd w:val="clear" w:color="auto" w:fill="CCEEFF"/>
          </w:tcPr>
          <w:p>
            <w:pPr>
              <w:ind w:left="760"/>
              <w:spacing w:after="0"/>
              <w:rPr>
                <w:sz w:val="20"/>
                <w:szCs w:val="20"/>
                <w:color w:val="auto"/>
              </w:rPr>
            </w:pPr>
            <w:r>
              <w:rPr>
                <w:rFonts w:ascii="Arial" w:cs="Arial" w:eastAsia="Arial" w:hAnsi="Arial"/>
                <w:sz w:val="12"/>
                <w:szCs w:val="12"/>
                <w:color w:val="auto"/>
              </w:rPr>
              <w:t>July 30, 2012</w:t>
            </w:r>
          </w:p>
        </w:tc>
      </w:tr>
      <w:tr>
        <w:trPr>
          <w:trHeight w:val="144"/>
        </w:trPr>
        <w:tc>
          <w:tcPr>
            <w:tcW w:w="1960" w:type="dxa"/>
            <w:vAlign w:val="bottom"/>
          </w:tcPr>
          <w:p>
            <w:pPr>
              <w:spacing w:after="0"/>
              <w:rPr>
                <w:sz w:val="20"/>
                <w:szCs w:val="20"/>
                <w:color w:val="auto"/>
              </w:rPr>
            </w:pPr>
            <w:r>
              <w:rPr>
                <w:rFonts w:ascii="Arial" w:cs="Arial" w:eastAsia="Arial" w:hAnsi="Arial"/>
                <w:sz w:val="12"/>
                <w:szCs w:val="12"/>
                <w:color w:val="auto"/>
              </w:rPr>
              <w:t>IBC Capital Finance IV</w:t>
            </w:r>
          </w:p>
        </w:tc>
        <w:tc>
          <w:tcPr>
            <w:tcW w:w="2940" w:type="dxa"/>
            <w:vAlign w:val="bottom"/>
          </w:tcPr>
          <w:p>
            <w:pPr>
              <w:ind w:left="700"/>
              <w:spacing w:after="0"/>
              <w:rPr>
                <w:sz w:val="20"/>
                <w:szCs w:val="20"/>
                <w:color w:val="auto"/>
              </w:rPr>
            </w:pPr>
            <w:r>
              <w:rPr>
                <w:rFonts w:ascii="Arial" w:cs="Arial" w:eastAsia="Arial" w:hAnsi="Arial"/>
                <w:sz w:val="12"/>
                <w:szCs w:val="12"/>
                <w:color w:val="auto"/>
              </w:rPr>
              <w:t>September 15, 2037</w:t>
            </w:r>
          </w:p>
        </w:tc>
        <w:tc>
          <w:tcPr>
            <w:tcW w:w="3380" w:type="dxa"/>
            <w:vAlign w:val="bottom"/>
          </w:tcPr>
          <w:p>
            <w:pPr>
              <w:ind w:left="660"/>
              <w:spacing w:after="0"/>
              <w:rPr>
                <w:sz w:val="20"/>
                <w:szCs w:val="20"/>
                <w:color w:val="auto"/>
              </w:rPr>
            </w:pPr>
            <w:r>
              <w:rPr>
                <w:rFonts w:ascii="Arial" w:cs="Arial" w:eastAsia="Arial" w:hAnsi="Arial"/>
                <w:sz w:val="12"/>
                <w:szCs w:val="12"/>
                <w:color w:val="auto"/>
              </w:rPr>
              <w:t>3 month LIBOR plus 2.85%</w:t>
            </w:r>
          </w:p>
        </w:tc>
        <w:tc>
          <w:tcPr>
            <w:tcW w:w="3020" w:type="dxa"/>
            <w:vAlign w:val="bottom"/>
          </w:tcPr>
          <w:p>
            <w:pPr>
              <w:ind w:left="760"/>
              <w:spacing w:after="0"/>
              <w:rPr>
                <w:sz w:val="20"/>
                <w:szCs w:val="20"/>
                <w:color w:val="auto"/>
              </w:rPr>
            </w:pPr>
            <w:r>
              <w:rPr>
                <w:rFonts w:ascii="Arial" w:cs="Arial" w:eastAsia="Arial" w:hAnsi="Arial"/>
                <w:sz w:val="12"/>
                <w:szCs w:val="12"/>
                <w:color w:val="auto"/>
              </w:rPr>
              <w:t>September 15, 2012</w:t>
            </w:r>
          </w:p>
        </w:tc>
      </w:tr>
      <w:tr>
        <w:trPr>
          <w:trHeight w:val="144"/>
        </w:trPr>
        <w:tc>
          <w:tcPr>
            <w:tcW w:w="1960" w:type="dxa"/>
            <w:vAlign w:val="bottom"/>
            <w:shd w:val="clear" w:color="auto" w:fill="CCEEFF"/>
          </w:tcPr>
          <w:p>
            <w:pPr>
              <w:spacing w:after="0"/>
              <w:rPr>
                <w:sz w:val="20"/>
                <w:szCs w:val="20"/>
                <w:color w:val="auto"/>
              </w:rPr>
            </w:pPr>
            <w:r>
              <w:rPr>
                <w:rFonts w:ascii="Arial" w:cs="Arial" w:eastAsia="Arial" w:hAnsi="Arial"/>
                <w:sz w:val="12"/>
                <w:szCs w:val="12"/>
                <w:color w:val="auto"/>
              </w:rPr>
              <w:t>Midwest Guaranty Trust I</w:t>
            </w:r>
          </w:p>
        </w:tc>
        <w:tc>
          <w:tcPr>
            <w:tcW w:w="2940" w:type="dxa"/>
            <w:vAlign w:val="bottom"/>
            <w:shd w:val="clear" w:color="auto" w:fill="CCEEFF"/>
          </w:tcPr>
          <w:p>
            <w:pPr>
              <w:ind w:left="700"/>
              <w:spacing w:after="0"/>
              <w:rPr>
                <w:sz w:val="20"/>
                <w:szCs w:val="20"/>
                <w:color w:val="auto"/>
              </w:rPr>
            </w:pPr>
            <w:r>
              <w:rPr>
                <w:rFonts w:ascii="Arial" w:cs="Arial" w:eastAsia="Arial" w:hAnsi="Arial"/>
                <w:sz w:val="12"/>
                <w:szCs w:val="12"/>
                <w:color w:val="auto"/>
              </w:rPr>
              <w:t>November 7, 2032</w:t>
            </w:r>
          </w:p>
        </w:tc>
        <w:tc>
          <w:tcPr>
            <w:tcW w:w="3380" w:type="dxa"/>
            <w:vAlign w:val="bottom"/>
            <w:shd w:val="clear" w:color="auto" w:fill="CCEEFF"/>
          </w:tcPr>
          <w:p>
            <w:pPr>
              <w:ind w:left="660"/>
              <w:spacing w:after="0"/>
              <w:rPr>
                <w:sz w:val="20"/>
                <w:szCs w:val="20"/>
                <w:color w:val="auto"/>
              </w:rPr>
            </w:pPr>
            <w:r>
              <w:rPr>
                <w:rFonts w:ascii="Arial" w:cs="Arial" w:eastAsia="Arial" w:hAnsi="Arial"/>
                <w:sz w:val="12"/>
                <w:szCs w:val="12"/>
                <w:color w:val="auto"/>
              </w:rPr>
              <w:t>3 month LIBOR plus 3.45%</w:t>
            </w:r>
          </w:p>
        </w:tc>
        <w:tc>
          <w:tcPr>
            <w:tcW w:w="3020" w:type="dxa"/>
            <w:vAlign w:val="bottom"/>
            <w:shd w:val="clear" w:color="auto" w:fill="CCEEFF"/>
          </w:tcPr>
          <w:p>
            <w:pPr>
              <w:ind w:left="760"/>
              <w:spacing w:after="0"/>
              <w:rPr>
                <w:sz w:val="20"/>
                <w:szCs w:val="20"/>
                <w:color w:val="auto"/>
              </w:rPr>
            </w:pPr>
            <w:r>
              <w:rPr>
                <w:rFonts w:ascii="Arial" w:cs="Arial" w:eastAsia="Arial" w:hAnsi="Arial"/>
                <w:sz w:val="12"/>
                <w:szCs w:val="12"/>
                <w:color w:val="auto"/>
              </w:rPr>
              <w:t>November 7, 2007</w:t>
            </w:r>
          </w:p>
        </w:tc>
      </w:tr>
      <w:tr>
        <w:trPr>
          <w:trHeight w:val="153"/>
        </w:trPr>
        <w:tc>
          <w:tcPr>
            <w:tcW w:w="1960" w:type="dxa"/>
            <w:vAlign w:val="bottom"/>
          </w:tcPr>
          <w:p>
            <w:pPr>
              <w:spacing w:after="0"/>
              <w:rPr>
                <w:sz w:val="20"/>
                <w:szCs w:val="20"/>
                <w:color w:val="auto"/>
              </w:rPr>
            </w:pPr>
            <w:r>
              <w:rPr>
                <w:rFonts w:ascii="Arial" w:cs="Arial" w:eastAsia="Arial" w:hAnsi="Arial"/>
                <w:sz w:val="12"/>
                <w:szCs w:val="12"/>
                <w:color w:val="auto"/>
              </w:rPr>
              <w:t>TCSB Statutory Trust I</w:t>
            </w:r>
          </w:p>
        </w:tc>
        <w:tc>
          <w:tcPr>
            <w:tcW w:w="2940" w:type="dxa"/>
            <w:vAlign w:val="bottom"/>
          </w:tcPr>
          <w:p>
            <w:pPr>
              <w:ind w:left="700"/>
              <w:spacing w:after="0"/>
              <w:rPr>
                <w:sz w:val="20"/>
                <w:szCs w:val="20"/>
                <w:color w:val="auto"/>
              </w:rPr>
            </w:pPr>
            <w:r>
              <w:rPr>
                <w:rFonts w:ascii="Arial" w:cs="Arial" w:eastAsia="Arial" w:hAnsi="Arial"/>
                <w:sz w:val="12"/>
                <w:szCs w:val="12"/>
                <w:color w:val="auto"/>
              </w:rPr>
              <w:t>March 17, 2035</w:t>
            </w:r>
          </w:p>
        </w:tc>
        <w:tc>
          <w:tcPr>
            <w:tcW w:w="3380" w:type="dxa"/>
            <w:vAlign w:val="bottom"/>
          </w:tcPr>
          <w:p>
            <w:pPr>
              <w:ind w:left="660"/>
              <w:spacing w:after="0"/>
              <w:rPr>
                <w:sz w:val="20"/>
                <w:szCs w:val="20"/>
                <w:color w:val="auto"/>
              </w:rPr>
            </w:pPr>
            <w:r>
              <w:rPr>
                <w:rFonts w:ascii="Arial" w:cs="Arial" w:eastAsia="Arial" w:hAnsi="Arial"/>
                <w:sz w:val="12"/>
                <w:szCs w:val="12"/>
                <w:color w:val="auto"/>
              </w:rPr>
              <w:t>3 month LIBOR plus 2.20%</w:t>
            </w:r>
          </w:p>
        </w:tc>
        <w:tc>
          <w:tcPr>
            <w:tcW w:w="3020" w:type="dxa"/>
            <w:vAlign w:val="bottom"/>
          </w:tcPr>
          <w:p>
            <w:pPr>
              <w:ind w:left="760"/>
              <w:spacing w:after="0"/>
              <w:rPr>
                <w:sz w:val="20"/>
                <w:szCs w:val="20"/>
                <w:color w:val="auto"/>
              </w:rPr>
            </w:pPr>
            <w:r>
              <w:rPr>
                <w:rFonts w:ascii="Arial" w:cs="Arial" w:eastAsia="Arial" w:hAnsi="Arial"/>
                <w:sz w:val="12"/>
                <w:szCs w:val="12"/>
                <w:color w:val="auto"/>
              </w:rPr>
              <w:t>March 17, 2010</w:t>
            </w:r>
          </w:p>
        </w:tc>
      </w:tr>
    </w:tbl>
    <w:p>
      <w:pPr>
        <w:spacing w:after="0" w:line="126" w:lineRule="exact"/>
        <w:rPr>
          <w:sz w:val="20"/>
          <w:szCs w:val="20"/>
          <w:color w:val="auto"/>
        </w:rPr>
      </w:pPr>
    </w:p>
    <w:p>
      <w:pPr>
        <w:ind w:right="40" w:firstLine="216"/>
        <w:spacing w:after="0" w:line="276" w:lineRule="auto"/>
        <w:rPr>
          <w:sz w:val="20"/>
          <w:szCs w:val="20"/>
          <w:color w:val="auto"/>
        </w:rPr>
      </w:pPr>
      <w:r>
        <w:rPr>
          <w:rFonts w:ascii="Arial" w:cs="Arial" w:eastAsia="Arial" w:hAnsi="Arial"/>
          <w:sz w:val="12"/>
          <w:szCs w:val="12"/>
          <w:color w:val="auto"/>
        </w:rPr>
        <w:t>The subordinated debentures and trust preferred securities are cumulative and have a feature that permits us to defer distributions (payment of interest) from time to time for a period not to exceed 20 consecutive quarters. Interest is payable quarterly on each of the subordinated debentures and trust preferred securities and no distributions were deferred at December 31, 2021 and 2020.</w:t>
      </w:r>
    </w:p>
    <w:p>
      <w:pPr>
        <w:spacing w:after="0" w:line="115"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We have the right to redeem the subordinated debentures and trust preferred securities (at par) in whole or in part from time to time on or after the first permitted redemption date specified above or upon the occurrence of specific events defined within the trust indenture agreements.</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Distributions (payment of interest) on the trust preferred securities are included in interest expense – other borrowings and subordinated debt and debentures in the Consolidated Statements of Operations.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98" w:name="page99"/>
    <w:bookmarkEnd w:id="98"/>
    <w:p>
      <w:pPr>
        <w:jc w:val="center"/>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11 – COMMITMENTS AND CONTINGENT LIABILITIES</w:t>
      </w:r>
    </w:p>
    <w:p>
      <w:pPr>
        <w:spacing w:after="0" w:line="154"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In the normal course of business, we enter into financial instruments with off-balance sheet risk to meet the financing needs of customers or to reduce exposure to fluctuations in interest rates. These financial instruments may include commitments to extend credit and standby letters of credit. Financial instruments involve varying degrees of credit and interest-rate risk in excess of amounts reflected in the Consolidated Statements of Financial Condition. Exposure to credit risk in the event of non-performance by the counterparties to the financial instruments for loan commitments to extend credit and standby letters of credit is represented by the contractual amounts of those instruments.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700" w:type="dxa"/>
            <w:vAlign w:val="bottom"/>
          </w:tcPr>
          <w:p>
            <w:pPr>
              <w:ind w:left="200"/>
              <w:spacing w:after="0"/>
              <w:rPr>
                <w:sz w:val="20"/>
                <w:szCs w:val="20"/>
                <w:color w:val="auto"/>
              </w:rPr>
            </w:pPr>
            <w:r>
              <w:rPr>
                <w:rFonts w:ascii="Arial" w:cs="Arial" w:eastAsia="Arial" w:hAnsi="Arial"/>
                <w:sz w:val="12"/>
                <w:szCs w:val="12"/>
                <w:color w:val="auto"/>
              </w:rPr>
              <w:t>A summary of financial instruments with off-balance sheet risk at December 31 follows:</w:t>
            </w: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8700" w:type="dxa"/>
            <w:vAlign w:val="bottom"/>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4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8700" w:type="dxa"/>
            <w:vAlign w:val="bottom"/>
            <w:vMerge w:val="restart"/>
          </w:tcPr>
          <w:p>
            <w:pPr>
              <w:spacing w:after="0"/>
              <w:rPr>
                <w:sz w:val="20"/>
                <w:szCs w:val="20"/>
                <w:color w:val="auto"/>
              </w:rPr>
            </w:pPr>
            <w:r>
              <w:rPr>
                <w:rFonts w:ascii="Arial" w:cs="Arial" w:eastAsia="Arial" w:hAnsi="Arial"/>
                <w:sz w:val="12"/>
                <w:szCs w:val="12"/>
                <w:color w:val="auto"/>
              </w:rPr>
              <w:t>Financial instruments whose risk is represented by contract amounts</w:t>
            </w:r>
          </w:p>
        </w:tc>
        <w:tc>
          <w:tcPr>
            <w:tcW w:w="720" w:type="dxa"/>
            <w:vAlign w:val="bottom"/>
          </w:tcPr>
          <w:p>
            <w:pPr>
              <w:spacing w:after="0"/>
              <w:rPr>
                <w:sz w:val="13"/>
                <w:szCs w:val="13"/>
                <w:color w:val="auto"/>
              </w:rPr>
            </w:pPr>
          </w:p>
        </w:tc>
        <w:tc>
          <w:tcPr>
            <w:tcW w:w="420" w:type="dxa"/>
            <w:vAlign w:val="bottom"/>
          </w:tcPr>
          <w:p>
            <w:pPr>
              <w:ind w:left="160"/>
              <w:spacing w:after="0"/>
              <w:rPr>
                <w:sz w:val="20"/>
                <w:szCs w:val="20"/>
                <w:color w:val="auto"/>
              </w:rPr>
            </w:pPr>
            <w:r>
              <w:rPr>
                <w:rFonts w:ascii="Arial" w:cs="Arial" w:eastAsia="Arial" w:hAnsi="Arial"/>
                <w:sz w:val="12"/>
                <w:szCs w:val="12"/>
                <w:b w:val="1"/>
                <w:bCs w:val="1"/>
                <w:color w:val="auto"/>
              </w:rPr>
              <w:t>(In</w:t>
            </w:r>
          </w:p>
        </w:tc>
        <w:tc>
          <w:tcPr>
            <w:tcW w:w="580" w:type="dxa"/>
            <w:vAlign w:val="bottom"/>
            <w:gridSpan w:val="2"/>
          </w:tcPr>
          <w:p>
            <w:pPr>
              <w:jc w:val="center"/>
              <w:ind w:right="52"/>
              <w:spacing w:after="0"/>
              <w:rPr>
                <w:sz w:val="20"/>
                <w:szCs w:val="20"/>
                <w:color w:val="auto"/>
              </w:rPr>
            </w:pPr>
            <w:r>
              <w:rPr>
                <w:rFonts w:ascii="Arial" w:cs="Arial" w:eastAsia="Arial" w:hAnsi="Arial"/>
                <w:sz w:val="12"/>
                <w:szCs w:val="12"/>
                <w:b w:val="1"/>
                <w:bCs w:val="1"/>
                <w:color w:val="auto"/>
                <w:w w:val="74"/>
              </w:rPr>
              <w:t>thousands)</w:t>
            </w: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870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700" w:type="dxa"/>
            <w:vAlign w:val="bottom"/>
            <w:shd w:val="clear" w:color="auto" w:fill="CCEEFF"/>
          </w:tcPr>
          <w:p>
            <w:pPr>
              <w:ind w:left="80"/>
              <w:spacing w:after="0"/>
              <w:rPr>
                <w:sz w:val="20"/>
                <w:szCs w:val="20"/>
                <w:color w:val="auto"/>
              </w:rPr>
            </w:pPr>
            <w:r>
              <w:rPr>
                <w:rFonts w:ascii="Arial" w:cs="Arial" w:eastAsia="Arial" w:hAnsi="Arial"/>
                <w:sz w:val="12"/>
                <w:szCs w:val="12"/>
                <w:color w:val="auto"/>
              </w:rPr>
              <w:t>Commitments to extend credit</w:t>
            </w:r>
          </w:p>
        </w:tc>
        <w:tc>
          <w:tcPr>
            <w:tcW w:w="720" w:type="dxa"/>
            <w:vAlign w:val="bottom"/>
            <w:shd w:val="clear" w:color="auto" w:fill="CCEEFF"/>
          </w:tcPr>
          <w:p>
            <w:pPr>
              <w:jc w:val="right"/>
              <w:ind w:right="606"/>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92"/>
              </w:rPr>
              <w:t>672,693</w:t>
            </w:r>
          </w:p>
        </w:tc>
        <w:tc>
          <w:tcPr>
            <w:tcW w:w="360" w:type="dxa"/>
            <w:vAlign w:val="bottom"/>
            <w:shd w:val="clear" w:color="auto" w:fill="CCEEFF"/>
          </w:tcPr>
          <w:p>
            <w:pPr>
              <w:jc w:val="right"/>
              <w:ind w:right="252"/>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644,815</w:t>
            </w:r>
          </w:p>
        </w:tc>
        <w:tc>
          <w:tcPr>
            <w:tcW w:w="0" w:type="dxa"/>
            <w:vAlign w:val="bottom"/>
          </w:tcPr>
          <w:p>
            <w:pPr>
              <w:spacing w:after="0"/>
              <w:rPr>
                <w:sz w:val="1"/>
                <w:szCs w:val="1"/>
                <w:color w:val="auto"/>
              </w:rPr>
            </w:pPr>
          </w:p>
        </w:tc>
      </w:tr>
      <w:tr>
        <w:trPr>
          <w:trHeight w:val="153"/>
        </w:trPr>
        <w:tc>
          <w:tcPr>
            <w:tcW w:w="8700" w:type="dxa"/>
            <w:vAlign w:val="bottom"/>
          </w:tcPr>
          <w:p>
            <w:pPr>
              <w:ind w:left="80"/>
              <w:spacing w:after="0"/>
              <w:rPr>
                <w:sz w:val="20"/>
                <w:szCs w:val="20"/>
                <w:color w:val="auto"/>
              </w:rPr>
            </w:pPr>
            <w:r>
              <w:rPr>
                <w:rFonts w:ascii="Arial" w:cs="Arial" w:eastAsia="Arial" w:hAnsi="Arial"/>
                <w:sz w:val="12"/>
                <w:szCs w:val="12"/>
                <w:color w:val="auto"/>
              </w:rPr>
              <w:t>Standby letters of credit</w:t>
            </w:r>
          </w:p>
        </w:tc>
        <w:tc>
          <w:tcPr>
            <w:tcW w:w="72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9,208</w:t>
            </w:r>
          </w:p>
        </w:tc>
        <w:tc>
          <w:tcPr>
            <w:tcW w:w="36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9,361</w:t>
            </w:r>
          </w:p>
        </w:tc>
        <w:tc>
          <w:tcPr>
            <w:tcW w:w="0" w:type="dxa"/>
            <w:vAlign w:val="bottom"/>
          </w:tcPr>
          <w:p>
            <w:pPr>
              <w:spacing w:after="0"/>
              <w:rPr>
                <w:sz w:val="1"/>
                <w:szCs w:val="1"/>
                <w:color w:val="auto"/>
              </w:rPr>
            </w:pPr>
          </w:p>
        </w:tc>
      </w:tr>
    </w:tbl>
    <w:p>
      <w:pPr>
        <w:spacing w:after="0" w:line="126"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Commitments to extend credit are agreements to lend to a customer as long as there is no violation of any condition established in the contract. Commitments generally have fixed expiration dates or other termination clauses and generally require payment of a fee. Since commitments may expire without being drawn upon, the commitment amounts do not represent future cash requirements. Commitments are issued subject to similar underwriting standards, including collateral requirements, as are generally involved in the extension of credit facilities.</w:t>
      </w:r>
    </w:p>
    <w:p>
      <w:pPr>
        <w:spacing w:after="0" w:line="122"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Standby letters of credit are written conditional commitments issued to guarantee the performance of a customer to a third party. The credit risk involved in such transactions is essentially the same as that involved in extending loan facilities and, accordingly, standby letters of credit are issued subject to similar underwriting standards, including collateral requirements, as are generally involved in the extension of credit facilities. The majority of the standby letters of credit are on-demand with no stated maturity date and have variable rates that range from 2.50% to 12.00%.</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COVID-19 Pandemic</w:t>
      </w:r>
    </w:p>
    <w:p>
      <w:pPr>
        <w:spacing w:after="0" w:line="150"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The COVID-19 pandemic and the related government mandates, restrictions, and guidance have created and may continue to create and contribute to significant economic uncertainty and market disruptions. Throughout 2020 and 2021, the volatility created by the pandemic and responses to the pandemic impacted our performance, customers, and the markets we serve.</w:t>
      </w:r>
    </w:p>
    <w:p>
      <w:pPr>
        <w:spacing w:after="0" w:line="115" w:lineRule="exact"/>
        <w:rPr>
          <w:sz w:val="20"/>
          <w:szCs w:val="20"/>
          <w:color w:val="auto"/>
        </w:rPr>
      </w:pPr>
    </w:p>
    <w:p>
      <w:pPr>
        <w:jc w:val="both"/>
        <w:ind w:firstLine="216"/>
        <w:spacing w:after="0" w:line="285" w:lineRule="auto"/>
        <w:rPr>
          <w:sz w:val="20"/>
          <w:szCs w:val="20"/>
          <w:color w:val="auto"/>
        </w:rPr>
      </w:pPr>
      <w:r>
        <w:rPr>
          <w:rFonts w:ascii="Arial" w:cs="Arial" w:eastAsia="Arial" w:hAnsi="Arial"/>
          <w:sz w:val="11"/>
          <w:szCs w:val="11"/>
          <w:color w:val="auto"/>
        </w:rPr>
        <w:t>Federal and state government responses have also created uncertainty. On November 4, 2021, the U.S. Department of Labor implemented an emergency temporary standard (ETS) mandating that all employers with 100 workers or more must require their employees to be fully vaccinated or submit to weekly testing. The ETS has been met with many subsequent legal challenges. On January 13, 2022, the U.S. Supreme Court stayed the ETS, sending the case back to the U.S. Court of Appeals for the Sixth Circuit for a decision on the merits. The timeline for such a decision is undetermined, and the outcomes remain unpredictable. In Michigan, the Department of Health and Human Services announced its intent to update quarantine and isolation periods to align with the Centers for Disease Control and Prevention’s newly shortened guidelines. These impending mandates and guidelines may have significant effects on the U.S. and Michigan economies, the banking sector generally, and our business specifically, the scope of which cannot be foreseen.</w:t>
      </w:r>
    </w:p>
    <w:p>
      <w:pPr>
        <w:spacing w:after="0" w:line="113"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Based on this uncertainty, it is difficult to predict the extent to which the pandemic will continue to adversely impact our business, results of operations, financial condition, and customers. The potential impacts may include, but are not limited to:</w:t>
      </w:r>
    </w:p>
    <w:p>
      <w:pPr>
        <w:spacing w:after="0" w:line="115" w:lineRule="exact"/>
        <w:rPr>
          <w:sz w:val="20"/>
          <w:szCs w:val="20"/>
          <w:color w:val="auto"/>
        </w:rPr>
      </w:pPr>
    </w:p>
    <w:p>
      <w:pPr>
        <w:ind w:left="420" w:hanging="212"/>
        <w:spacing w:after="0"/>
        <w:tabs>
          <w:tab w:leader="none" w:pos="4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difficulties encountered by our business customers in addressing the effects of the pandemic may cause increases in loan delinquencies, foreclosures and defaults;</w:t>
      </w:r>
    </w:p>
    <w:p>
      <w:pPr>
        <w:spacing w:after="0" w:line="14" w:lineRule="exact"/>
        <w:rPr>
          <w:rFonts w:ascii="Arial" w:cs="Arial" w:eastAsia="Arial" w:hAnsi="Arial"/>
          <w:sz w:val="12"/>
          <w:szCs w:val="12"/>
          <w:color w:val="auto"/>
        </w:rPr>
      </w:pPr>
    </w:p>
    <w:p>
      <w:pPr>
        <w:ind w:left="420" w:hanging="212"/>
        <w:spacing w:after="0"/>
        <w:tabs>
          <w:tab w:leader="none" w:pos="4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increases in our allowance for credit losses may be necessary;</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declines in collateral values may occur;</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third party disruptions may occur, including outages at network providers, on-line banking vendors and other suppliers;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there is increased cyber and payment fraud risk, as cybercriminals attempt to profit from the disruption, given increased online and remote activity;</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we may experience operational failures due to changes in our normal business practices necessitated by the pandemic and related governmental actions; and/or</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our production and efficiency may suffer due to employee illnesses and/or employees having to work remotely.</w:t>
      </w:r>
    </w:p>
    <w:p>
      <w:pPr>
        <w:spacing w:after="0" w:line="264" w:lineRule="exact"/>
        <w:rPr>
          <w:sz w:val="20"/>
          <w:szCs w:val="20"/>
          <w:color w:val="auto"/>
        </w:rPr>
      </w:pPr>
    </w:p>
    <w:p>
      <w:pPr>
        <w:jc w:val="center"/>
        <w:ind w:right="-199"/>
        <w:spacing w:after="0"/>
        <w:rPr>
          <w:sz w:val="20"/>
          <w:szCs w:val="20"/>
          <w:color w:val="auto"/>
        </w:rPr>
      </w:pPr>
      <w:r>
        <w:rPr>
          <w:rFonts w:ascii="Arial" w:cs="Arial" w:eastAsia="Arial" w:hAnsi="Arial"/>
          <w:sz w:val="10"/>
          <w:szCs w:val="10"/>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99" w:name="page100"/>
    <w:bookmarkEnd w:id="99"/>
    <w:p>
      <w:pPr>
        <w:ind w:left="3800"/>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2"/>
          <w:szCs w:val="12"/>
          <w:color w:val="auto"/>
        </w:rPr>
        <w:t>Given the ongoing uncertainty with respect to the pandemic and potential government responses, these risk factors may continue to some degree for a significant period of time.</w:t>
      </w:r>
    </w:p>
    <w:p>
      <w:pPr>
        <w:spacing w:after="0" w:line="150"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The extent to which the COVID-19 pandemic may impact our business, results of operations, asset valuations, financial condition, and customers will depend on future developments, which continue to be highly uncertain and difficult to predict. Those developments and factors are expected to include the evolution of the virus and new and emerging virus variants, vaccination rates and subsequent vaccine-“boosters,” actions taken by governmental authorities to address the foregoing, and the enforcement thereof, and how quickly and to what extent normal economic and operating conditions stabilize. Potential developments also include market factors, such as interest rates, supply chain disruptions, inflation, consumer-welfare, and employment rates. We do not know the full extent of the potential impact. Material adverse impacts may include all or a combination of valuation impairments on our intangible assets, securities available for sale, loans, capitalized mortgage loan servicing rights or deferred tax assets.</w:t>
      </w:r>
    </w:p>
    <w:p>
      <w:pPr>
        <w:spacing w:after="0" w:line="128"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Certain consumer-driven industries (including restaurants, hotels, retail, fitness, and other industries) have experienced increased stress and have been more adversely impacted by the COVID-19 pandemic and related consumer trends, labor shortages and supply chain disruptions. We believe that the following concentrations within our commercial loan portfolio represent greater potential risk in the current economic environment. The balances below are as of December 31, 2021.</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2"/>
                <w:szCs w:val="12"/>
                <w:color w:val="auto"/>
                <w:w w:val="99"/>
              </w:rPr>
              <w:t>% of</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2"/>
                <w:szCs w:val="12"/>
                <w:color w:val="auto"/>
                <w:w w:val="89"/>
              </w:rPr>
              <w:t>Total</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8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780" w:type="dxa"/>
            <w:vAlign w:val="bottom"/>
            <w:gridSpan w:val="2"/>
          </w:tcPr>
          <w:p>
            <w:pPr>
              <w:ind w:left="120"/>
              <w:spacing w:after="0"/>
              <w:rPr>
                <w:sz w:val="20"/>
                <w:szCs w:val="20"/>
                <w:color w:val="auto"/>
              </w:rPr>
            </w:pPr>
            <w:r>
              <w:rPr>
                <w:rFonts w:ascii="Arial" w:cs="Arial" w:eastAsia="Arial" w:hAnsi="Arial"/>
                <w:sz w:val="12"/>
                <w:szCs w:val="12"/>
                <w:color w:val="auto"/>
              </w:rPr>
              <w:t>Amount</w:t>
            </w:r>
          </w:p>
        </w:tc>
        <w:tc>
          <w:tcPr>
            <w:tcW w:w="860" w:type="dxa"/>
            <w:vAlign w:val="bottom"/>
            <w:gridSpan w:val="2"/>
          </w:tcPr>
          <w:p>
            <w:pPr>
              <w:jc w:val="center"/>
              <w:ind w:right="340"/>
              <w:spacing w:after="0"/>
              <w:rPr>
                <w:sz w:val="20"/>
                <w:szCs w:val="20"/>
                <w:color w:val="auto"/>
              </w:rPr>
            </w:pPr>
            <w:r>
              <w:rPr>
                <w:rFonts w:ascii="Arial" w:cs="Arial" w:eastAsia="Arial" w:hAnsi="Arial"/>
                <w:sz w:val="12"/>
                <w:szCs w:val="12"/>
                <w:color w:val="auto"/>
                <w:w w:val="85"/>
              </w:rPr>
              <w:t>Loans</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020" w:type="dxa"/>
            <w:vAlign w:val="bottom"/>
            <w:vMerge w:val="restart"/>
          </w:tcPr>
          <w:p>
            <w:pPr>
              <w:spacing w:after="0"/>
              <w:rPr>
                <w:sz w:val="20"/>
                <w:szCs w:val="20"/>
                <w:color w:val="auto"/>
              </w:rPr>
            </w:pPr>
            <w:r>
              <w:rPr>
                <w:rFonts w:ascii="Arial" w:cs="Arial" w:eastAsia="Arial" w:hAnsi="Arial"/>
                <w:sz w:val="12"/>
                <w:szCs w:val="12"/>
                <w:color w:val="auto"/>
              </w:rPr>
              <w:t>Commercial and industrial:</w:t>
            </w:r>
          </w:p>
        </w:tc>
        <w:tc>
          <w:tcPr>
            <w:tcW w:w="420" w:type="dxa"/>
            <w:vAlign w:val="bottom"/>
            <w:tcBorders>
              <w:top w:val="single" w:sz="8" w:color="auto"/>
            </w:tcBorders>
          </w:tcPr>
          <w:p>
            <w:pPr>
              <w:spacing w:after="0"/>
              <w:rPr>
                <w:sz w:val="13"/>
                <w:szCs w:val="13"/>
                <w:color w:val="auto"/>
              </w:rPr>
            </w:pPr>
          </w:p>
        </w:tc>
        <w:tc>
          <w:tcPr>
            <w:tcW w:w="1780" w:type="dxa"/>
            <w:vAlign w:val="bottom"/>
            <w:tcBorders>
              <w:top w:val="single" w:sz="8" w:color="auto"/>
            </w:tcBorders>
            <w:gridSpan w:val="2"/>
          </w:tcPr>
          <w:p>
            <w:pPr>
              <w:ind w:left="680"/>
              <w:spacing w:after="0"/>
              <w:rPr>
                <w:sz w:val="20"/>
                <w:szCs w:val="20"/>
                <w:color w:val="auto"/>
              </w:rPr>
            </w:pPr>
            <w:r>
              <w:rPr>
                <w:rFonts w:ascii="Arial" w:cs="Arial" w:eastAsia="Arial" w:hAnsi="Arial"/>
                <w:sz w:val="12"/>
                <w:szCs w:val="12"/>
                <w:color w:val="auto"/>
              </w:rPr>
              <w:t>(Dollars in millions)</w:t>
            </w: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802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020" w:type="dxa"/>
            <w:vAlign w:val="bottom"/>
            <w:shd w:val="clear" w:color="auto" w:fill="CCEEFF"/>
          </w:tcPr>
          <w:p>
            <w:pPr>
              <w:ind w:left="320"/>
              <w:spacing w:after="0"/>
              <w:rPr>
                <w:sz w:val="20"/>
                <w:szCs w:val="20"/>
                <w:color w:val="auto"/>
              </w:rPr>
            </w:pPr>
            <w:r>
              <w:rPr>
                <w:rFonts w:ascii="Arial" w:cs="Arial" w:eastAsia="Arial" w:hAnsi="Arial"/>
                <w:sz w:val="12"/>
                <w:szCs w:val="12"/>
                <w:color w:val="auto"/>
              </w:rPr>
              <w:t>Retail</w:t>
            </w:r>
          </w:p>
        </w:tc>
        <w:tc>
          <w:tcPr>
            <w:tcW w:w="4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w:t>
            </w:r>
          </w:p>
        </w:tc>
        <w:tc>
          <w:tcPr>
            <w:tcW w:w="9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8020" w:type="dxa"/>
            <w:vAlign w:val="bottom"/>
          </w:tcPr>
          <w:p>
            <w:pPr>
              <w:ind w:left="320"/>
              <w:spacing w:after="0"/>
              <w:rPr>
                <w:sz w:val="20"/>
                <w:szCs w:val="20"/>
                <w:color w:val="auto"/>
              </w:rPr>
            </w:pPr>
            <w:r>
              <w:rPr>
                <w:rFonts w:ascii="Arial" w:cs="Arial" w:eastAsia="Arial" w:hAnsi="Arial"/>
                <w:sz w:val="12"/>
                <w:szCs w:val="12"/>
                <w:color w:val="auto"/>
              </w:rPr>
              <w:t>Food service</w:t>
            </w:r>
          </w:p>
        </w:tc>
        <w:tc>
          <w:tcPr>
            <w:tcW w:w="4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49</w:t>
            </w:r>
          </w:p>
        </w:tc>
        <w:tc>
          <w:tcPr>
            <w:tcW w:w="9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1.7</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Hotel</w:t>
            </w:r>
          </w:p>
        </w:tc>
        <w:tc>
          <w:tcPr>
            <w:tcW w:w="4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w:t>
            </w:r>
          </w:p>
        </w:tc>
        <w:tc>
          <w:tcPr>
            <w:tcW w:w="96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159</w:t>
            </w:r>
          </w:p>
        </w:tc>
        <w:tc>
          <w:tcPr>
            <w:tcW w:w="9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020" w:type="dxa"/>
            <w:vAlign w:val="bottom"/>
          </w:tcPr>
          <w:p>
            <w:pPr>
              <w:ind w:left="200"/>
              <w:spacing w:after="0"/>
              <w:rPr>
                <w:sz w:val="20"/>
                <w:szCs w:val="20"/>
                <w:color w:val="auto"/>
              </w:rPr>
            </w:pPr>
            <w:r>
              <w:rPr>
                <w:rFonts w:ascii="Arial" w:cs="Arial" w:eastAsia="Arial" w:hAnsi="Arial"/>
                <w:sz w:val="12"/>
                <w:szCs w:val="12"/>
                <w:color w:val="auto"/>
              </w:rPr>
              <w:t>Commercial real estate:</w:t>
            </w: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020" w:type="dxa"/>
            <w:vAlign w:val="bottom"/>
            <w:shd w:val="clear" w:color="auto" w:fill="CCEEFF"/>
          </w:tcPr>
          <w:p>
            <w:pPr>
              <w:ind w:left="320"/>
              <w:spacing w:after="0"/>
              <w:rPr>
                <w:sz w:val="20"/>
                <w:szCs w:val="20"/>
                <w:color w:val="auto"/>
              </w:rPr>
            </w:pPr>
            <w:r>
              <w:rPr>
                <w:rFonts w:ascii="Arial" w:cs="Arial" w:eastAsia="Arial" w:hAnsi="Arial"/>
                <w:sz w:val="12"/>
                <w:szCs w:val="12"/>
                <w:color w:val="auto"/>
              </w:rPr>
              <w:t>Retail</w:t>
            </w: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w:t>
            </w:r>
          </w:p>
        </w:tc>
        <w:tc>
          <w:tcPr>
            <w:tcW w:w="9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020" w:type="dxa"/>
            <w:vAlign w:val="bottom"/>
          </w:tcPr>
          <w:p>
            <w:pPr>
              <w:ind w:left="320"/>
              <w:spacing w:after="0"/>
              <w:rPr>
                <w:sz w:val="20"/>
                <w:szCs w:val="20"/>
                <w:color w:val="auto"/>
              </w:rPr>
            </w:pPr>
            <w:r>
              <w:rPr>
                <w:rFonts w:ascii="Arial" w:cs="Arial" w:eastAsia="Arial" w:hAnsi="Arial"/>
                <w:sz w:val="12"/>
                <w:szCs w:val="12"/>
                <w:color w:val="auto"/>
              </w:rPr>
              <w:t>Office</w:t>
            </w:r>
          </w:p>
        </w:tc>
        <w:tc>
          <w:tcPr>
            <w:tcW w:w="4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72</w:t>
            </w:r>
          </w:p>
        </w:tc>
        <w:tc>
          <w:tcPr>
            <w:tcW w:w="9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Multifamily</w:t>
            </w:r>
          </w:p>
        </w:tc>
        <w:tc>
          <w:tcPr>
            <w:tcW w:w="4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55</w:t>
            </w:r>
          </w:p>
        </w:tc>
        <w:tc>
          <w:tcPr>
            <w:tcW w:w="96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1.9</w:t>
            </w: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236</w:t>
            </w:r>
          </w:p>
        </w:tc>
        <w:tc>
          <w:tcPr>
            <w:tcW w:w="9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8.1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020" w:type="dxa"/>
            <w:vAlign w:val="bottom"/>
          </w:tcPr>
          <w:p>
            <w:pPr>
              <w:ind w:left="420"/>
              <w:spacing w:after="0"/>
              <w:rPr>
                <w:sz w:val="20"/>
                <w:szCs w:val="20"/>
                <w:color w:val="auto"/>
              </w:rPr>
            </w:pPr>
            <w:r>
              <w:rPr>
                <w:rFonts w:ascii="Arial" w:cs="Arial" w:eastAsia="Arial" w:hAnsi="Arial"/>
                <w:sz w:val="12"/>
                <w:szCs w:val="12"/>
                <w:color w:val="auto"/>
              </w:rPr>
              <w:t>Total</w:t>
            </w:r>
          </w:p>
        </w:tc>
        <w:tc>
          <w:tcPr>
            <w:tcW w:w="4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395</w:t>
            </w:r>
          </w:p>
        </w:tc>
        <w:tc>
          <w:tcPr>
            <w:tcW w:w="96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2"/>
                <w:szCs w:val="12"/>
                <w:color w:val="auto"/>
              </w:rPr>
              <w:t>13.6</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At December 31, 2021, we had no commercial loans in forbearance. However, we continue to closely monitor these industry concentrations and at present do not foresee any significant losses relative to this portion of our loan portfolio given the current economic conditions in Michigan and the fact that many businesses are reporting increased spending. However, a high degree of uncertainty still exists with respect to the impact of the COVID-19 pandemic and the related economic disruptions on the future performance of our loan portfolio, including these concentrations.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Litigation</w:t>
      </w:r>
    </w:p>
    <w:p>
      <w:pPr>
        <w:spacing w:after="0" w:line="150"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We are involved in various litigation matters in the ordinary course of business. At the present time, we do not believe any of these matters will have a significant impact on our consolidated financial position or results of operations. The aggregate amount we have accrued for losses we consider probable as a result of these litigation matters is immaterial. However, because of the inherent uncertainty of outcomes from any litigation matter, we believe it is reasonably possible we may incur losses in addition to the amounts we have accrued. At this time, we estimate the maximum amount of additional losses that are reasonably possible is insignificant. However, because of a number of factors, including the fact that certain of these litigation matters are still in their early stages, this maximum amount may change in the future.</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00" w:name="page101"/>
    <w:bookmarkEnd w:id="100"/>
    <w:p>
      <w:pPr>
        <w:jc w:val="center"/>
        <w:ind w:right="-7"/>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27" w:lineRule="exact"/>
        <w:rPr>
          <w:sz w:val="20"/>
          <w:szCs w:val="20"/>
          <w:color w:val="auto"/>
        </w:rPr>
      </w:pPr>
    </w:p>
    <w:p>
      <w:pPr>
        <w:jc w:val="both"/>
        <w:ind w:left="8" w:firstLine="216"/>
        <w:spacing w:after="0" w:line="263" w:lineRule="auto"/>
        <w:rPr>
          <w:sz w:val="20"/>
          <w:szCs w:val="20"/>
          <w:color w:val="auto"/>
        </w:rPr>
      </w:pPr>
      <w:r>
        <w:rPr>
          <w:rFonts w:ascii="Arial" w:cs="Arial" w:eastAsia="Arial" w:hAnsi="Arial"/>
          <w:sz w:val="12"/>
          <w:szCs w:val="12"/>
          <w:color w:val="auto"/>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w:t>
      </w:r>
    </w:p>
    <w:p>
      <w:pPr>
        <w:spacing w:after="0" w:line="122"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Visa Stock</w:t>
      </w:r>
    </w:p>
    <w:p>
      <w:pPr>
        <w:spacing w:after="0" w:line="150" w:lineRule="exact"/>
        <w:rPr>
          <w:sz w:val="20"/>
          <w:szCs w:val="20"/>
          <w:color w:val="auto"/>
        </w:rPr>
      </w:pPr>
    </w:p>
    <w:p>
      <w:pPr>
        <w:jc w:val="both"/>
        <w:ind w:left="8" w:firstLine="216"/>
        <w:spacing w:after="0" w:line="256" w:lineRule="auto"/>
        <w:rPr>
          <w:sz w:val="20"/>
          <w:szCs w:val="20"/>
          <w:color w:val="auto"/>
        </w:rPr>
      </w:pPr>
      <w:r>
        <w:rPr>
          <w:rFonts w:ascii="Arial" w:cs="Arial" w:eastAsia="Arial" w:hAnsi="Arial"/>
          <w:sz w:val="12"/>
          <w:szCs w:val="12"/>
          <w:color w:val="auto"/>
        </w:rPr>
        <w:t>We own 12,566 shares of VISA Class B common stock. At the present time, these shares can only be sold to other Class B shareholders. As a result, there has generally been limited transfer activity in private transactions between buyers and sellers. Given the limited activity that we have become aware of and the continuing uncertainty regarding the likelihood, ultimate timing and eventual exchange rate for Class B shares into Class A shares, we continue to carry these shares at zero, representing cost basis less impairment. However, given the current conversion ratio of 1.6181 Class A shares for every 1 Class B share and the closing price of VISA Class A shares on February 25, 2022 of $219.27 per share, our 12,566 Class B shares would have a current “value” of approximately $4.5 million. We continue to monitor Class B trading activity and the status of the resolution of certain litigation matters at VISA that would trigger the conversion of Class B common shares into Class A common shares, which would not have any trading restrictions.</w:t>
      </w:r>
    </w:p>
    <w:p>
      <w:pPr>
        <w:spacing w:after="0" w:line="12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 12 – SHAREHOLDERS’ EQUITY AND NET INCOME PER COMMON SHARE</w:t>
      </w:r>
    </w:p>
    <w:p>
      <w:pPr>
        <w:spacing w:after="0" w:line="154" w:lineRule="exact"/>
        <w:rPr>
          <w:sz w:val="20"/>
          <w:szCs w:val="20"/>
          <w:color w:val="auto"/>
        </w:rPr>
      </w:pPr>
    </w:p>
    <w:p>
      <w:pPr>
        <w:jc w:val="both"/>
        <w:ind w:left="8" w:firstLine="216"/>
        <w:spacing w:after="0" w:line="263" w:lineRule="auto"/>
        <w:rPr>
          <w:sz w:val="20"/>
          <w:szCs w:val="20"/>
          <w:color w:val="auto"/>
        </w:rPr>
      </w:pPr>
      <w:r>
        <w:rPr>
          <w:rFonts w:ascii="Arial" w:cs="Arial" w:eastAsia="Arial" w:hAnsi="Arial"/>
          <w:sz w:val="12"/>
          <w:szCs w:val="12"/>
          <w:color w:val="auto"/>
        </w:rPr>
        <w:t>Our Board of Directors authorized share repurchase plans to buy back up to 5% of our outstanding common stock during 2021, 2020 and 2019. In addition, in June, 2019 our Board of Directors authorized a 300,000 share expansion of the 2019 repurchase plan. During 2021, 2020 and 2019 repurchases were made through open market and negotiated transactions and totaled 814,910, 708,956 and 1,204,688 shares of common stock, respectively for an aggregate purchase price of $17.3 million, $14.2 million and $26.3 million, respectively.</w:t>
      </w:r>
    </w:p>
    <w:p>
      <w:pPr>
        <w:spacing w:after="0" w:line="122"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7340" w:type="dxa"/>
            <w:vAlign w:val="bottom"/>
          </w:tcPr>
          <w:p>
            <w:pPr>
              <w:ind w:left="200"/>
              <w:spacing w:after="0"/>
              <w:rPr>
                <w:sz w:val="20"/>
                <w:szCs w:val="20"/>
                <w:color w:val="auto"/>
              </w:rPr>
            </w:pPr>
            <w:r>
              <w:rPr>
                <w:rFonts w:ascii="Arial" w:cs="Arial" w:eastAsia="Arial" w:hAnsi="Arial"/>
                <w:sz w:val="12"/>
                <w:szCs w:val="12"/>
                <w:color w:val="auto"/>
              </w:rPr>
              <w:t>A reconciliation of basic and diluted net income per common share for the years ended December 31 follows:</w:t>
            </w: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7340" w:type="dxa"/>
            <w:vAlign w:val="bottom"/>
          </w:tcPr>
          <w:p>
            <w:pPr>
              <w:spacing w:after="0"/>
              <w:rPr>
                <w:sz w:val="24"/>
                <w:szCs w:val="24"/>
                <w:color w:val="auto"/>
              </w:rPr>
            </w:pPr>
          </w:p>
        </w:tc>
        <w:tc>
          <w:tcPr>
            <w:tcW w:w="760" w:type="dxa"/>
            <w:vAlign w:val="bottom"/>
            <w:tcBorders>
              <w:bottom w:val="single" w:sz="8" w:color="auto"/>
            </w:tcBorders>
          </w:tcPr>
          <w:p>
            <w:pPr>
              <w:jc w:val="right"/>
              <w:ind w:right="9"/>
              <w:spacing w:after="0"/>
              <w:rPr>
                <w:sz w:val="20"/>
                <w:szCs w:val="20"/>
                <w:color w:val="auto"/>
              </w:rPr>
            </w:pPr>
            <w:r>
              <w:rPr>
                <w:rFonts w:ascii="Arial" w:cs="Arial" w:eastAsia="Arial" w:hAnsi="Arial"/>
                <w:sz w:val="12"/>
                <w:szCs w:val="12"/>
                <w:b w:val="1"/>
                <w:bCs w:val="1"/>
                <w:color w:val="auto"/>
              </w:rPr>
              <w:t>2021</w:t>
            </w:r>
          </w:p>
        </w:tc>
        <w:tc>
          <w:tcPr>
            <w:tcW w:w="3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2020</w:t>
            </w: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24"/>
                <w:szCs w:val="24"/>
                <w:color w:val="auto"/>
              </w:rPr>
            </w:pPr>
          </w:p>
        </w:tc>
      </w:tr>
      <w:tr>
        <w:trPr>
          <w:trHeight w:val="129"/>
        </w:trPr>
        <w:tc>
          <w:tcPr>
            <w:tcW w:w="7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w:t>
            </w:r>
          </w:p>
        </w:tc>
        <w:tc>
          <w:tcPr>
            <w:tcW w:w="11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86"/>
              </w:rPr>
              <w:t>thousands, except per</w:t>
            </w:r>
          </w:p>
        </w:tc>
        <w:tc>
          <w:tcPr>
            <w:tcW w:w="220" w:type="dxa"/>
            <w:vAlign w:val="bottom"/>
          </w:tcPr>
          <w:p>
            <w:pPr>
              <w:jc w:val="right"/>
              <w:spacing w:after="0"/>
              <w:rPr>
                <w:sz w:val="20"/>
                <w:szCs w:val="20"/>
                <w:color w:val="auto"/>
              </w:rPr>
            </w:pPr>
            <w:r>
              <w:rPr>
                <w:rFonts w:ascii="Arial" w:cs="Arial" w:eastAsia="Arial" w:hAnsi="Arial"/>
                <w:sz w:val="10"/>
                <w:szCs w:val="10"/>
                <w:b w:val="1"/>
                <w:bCs w:val="1"/>
                <w:color w:val="auto"/>
                <w:w w:val="74"/>
              </w:rPr>
              <w:t>share</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7"/>
        </w:trPr>
        <w:tc>
          <w:tcPr>
            <w:tcW w:w="7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right"/>
              <w:ind w:right="512"/>
              <w:spacing w:after="0"/>
              <w:rPr>
                <w:sz w:val="20"/>
                <w:szCs w:val="20"/>
                <w:color w:val="auto"/>
              </w:rPr>
            </w:pPr>
            <w:r>
              <w:rPr>
                <w:rFonts w:ascii="Arial" w:cs="Arial" w:eastAsia="Arial" w:hAnsi="Arial"/>
                <w:sz w:val="12"/>
                <w:szCs w:val="12"/>
                <w:b w:val="1"/>
                <w:bCs w:val="1"/>
                <w:color w:val="auto"/>
              </w:rPr>
              <w:t>amounts)</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4"/>
        </w:trPr>
        <w:tc>
          <w:tcPr>
            <w:tcW w:w="7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spacing w:after="0"/>
              <w:rPr>
                <w:sz w:val="12"/>
                <w:szCs w:val="12"/>
                <w:color w:val="auto"/>
              </w:rPr>
            </w:pPr>
          </w:p>
        </w:tc>
      </w:tr>
      <w:tr>
        <w:trPr>
          <w:trHeight w:val="184"/>
        </w:trPr>
        <w:tc>
          <w:tcPr>
            <w:tcW w:w="7340" w:type="dxa"/>
            <w:vAlign w:val="bottom"/>
            <w:shd w:val="clear" w:color="auto" w:fill="CCEEFF"/>
          </w:tcPr>
          <w:p>
            <w:pPr>
              <w:spacing w:after="0"/>
              <w:rPr>
                <w:sz w:val="20"/>
                <w:szCs w:val="20"/>
                <w:color w:val="auto"/>
              </w:rPr>
            </w:pPr>
            <w:r>
              <w:rPr>
                <w:rFonts w:ascii="Arial" w:cs="Arial" w:eastAsia="Arial" w:hAnsi="Arial"/>
                <w:sz w:val="12"/>
                <w:szCs w:val="12"/>
                <w:color w:val="auto"/>
              </w:rPr>
              <w:t>Net income</w:t>
            </w:r>
          </w:p>
        </w:tc>
        <w:tc>
          <w:tcPr>
            <w:tcW w:w="760" w:type="dxa"/>
            <w:vAlign w:val="bottom"/>
            <w:shd w:val="clear" w:color="auto" w:fill="CCEEFF"/>
          </w:tcPr>
          <w:p>
            <w:pPr>
              <w:jc w:val="right"/>
              <w:ind w:right="649"/>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62,895</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160" w:type="dxa"/>
            <w:vAlign w:val="bottom"/>
            <w:gridSpan w:val="2"/>
            <w:shd w:val="clear" w:color="auto" w:fill="CCEEFF"/>
          </w:tcPr>
          <w:p>
            <w:pPr>
              <w:jc w:val="right"/>
              <w:ind w:right="172"/>
              <w:spacing w:after="0"/>
              <w:rPr>
                <w:sz w:val="20"/>
                <w:szCs w:val="20"/>
                <w:color w:val="auto"/>
              </w:rPr>
            </w:pPr>
            <w:r>
              <w:rPr>
                <w:rFonts w:ascii="Arial" w:cs="Arial" w:eastAsia="Arial" w:hAnsi="Arial"/>
                <w:sz w:val="12"/>
                <w:szCs w:val="12"/>
                <w:color w:val="auto"/>
              </w:rPr>
              <w:t>56,152</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46,435</w:t>
            </w:r>
          </w:p>
        </w:tc>
      </w:tr>
      <w:tr>
        <w:trPr>
          <w:trHeight w:val="120"/>
        </w:trPr>
        <w:tc>
          <w:tcPr>
            <w:tcW w:w="7340" w:type="dxa"/>
            <w:vAlign w:val="bottom"/>
            <w:tcBorders>
              <w:top w:val="single" w:sz="8" w:color="CCEEFF"/>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r>
      <w:tr>
        <w:trPr>
          <w:trHeight w:val="144"/>
        </w:trPr>
        <w:tc>
          <w:tcPr>
            <w:tcW w:w="7340" w:type="dxa"/>
            <w:vAlign w:val="bottom"/>
            <w:shd w:val="clear" w:color="auto" w:fill="CCEEFF"/>
          </w:tcPr>
          <w:p>
            <w:pPr>
              <w:spacing w:after="0"/>
              <w:rPr>
                <w:sz w:val="20"/>
                <w:szCs w:val="20"/>
                <w:color w:val="auto"/>
              </w:rPr>
            </w:pPr>
            <w:r>
              <w:rPr>
                <w:rFonts w:ascii="Arial" w:cs="Arial" w:eastAsia="Arial" w:hAnsi="Arial"/>
                <w:sz w:val="12"/>
                <w:szCs w:val="12"/>
                <w:color w:val="auto"/>
              </w:rPr>
              <w:t>Weighted average shares outstanding (1)</w:t>
            </w:r>
          </w:p>
        </w:tc>
        <w:tc>
          <w:tcPr>
            <w:tcW w:w="7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97"/>
              </w:rPr>
              <w:t>21,585</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72"/>
              <w:spacing w:after="0"/>
              <w:rPr>
                <w:sz w:val="20"/>
                <w:szCs w:val="20"/>
                <w:color w:val="auto"/>
              </w:rPr>
            </w:pPr>
            <w:r>
              <w:rPr>
                <w:rFonts w:ascii="Arial" w:cs="Arial" w:eastAsia="Arial" w:hAnsi="Arial"/>
                <w:sz w:val="12"/>
                <w:szCs w:val="12"/>
                <w:color w:val="auto"/>
              </w:rPr>
              <w:t>21,977</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22,894</w:t>
            </w:r>
          </w:p>
        </w:tc>
      </w:tr>
      <w:tr>
        <w:trPr>
          <w:trHeight w:val="144"/>
        </w:trPr>
        <w:tc>
          <w:tcPr>
            <w:tcW w:w="7340" w:type="dxa"/>
            <w:vAlign w:val="bottom"/>
          </w:tcPr>
          <w:p>
            <w:pPr>
              <w:ind w:left="80"/>
              <w:spacing w:after="0"/>
              <w:rPr>
                <w:sz w:val="20"/>
                <w:szCs w:val="20"/>
                <w:color w:val="auto"/>
              </w:rPr>
            </w:pPr>
            <w:r>
              <w:rPr>
                <w:rFonts w:ascii="Arial" w:cs="Arial" w:eastAsia="Arial" w:hAnsi="Arial"/>
                <w:sz w:val="12"/>
                <w:szCs w:val="12"/>
                <w:color w:val="auto"/>
              </w:rPr>
              <w:t>Stock units for deferred compensation plan for non-employee directors</w:t>
            </w:r>
          </w:p>
        </w:tc>
        <w:tc>
          <w:tcPr>
            <w:tcW w:w="7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121</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172"/>
              <w:spacing w:after="0"/>
              <w:rPr>
                <w:sz w:val="20"/>
                <w:szCs w:val="20"/>
                <w:color w:val="auto"/>
              </w:rPr>
            </w:pPr>
            <w:r>
              <w:rPr>
                <w:rFonts w:ascii="Arial" w:cs="Arial" w:eastAsia="Arial" w:hAnsi="Arial"/>
                <w:sz w:val="12"/>
                <w:szCs w:val="12"/>
                <w:color w:val="auto"/>
              </w:rPr>
              <w:t>121</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132</w:t>
            </w:r>
          </w:p>
        </w:tc>
      </w:tr>
      <w:tr>
        <w:trPr>
          <w:trHeight w:val="144"/>
        </w:trPr>
        <w:tc>
          <w:tcPr>
            <w:tcW w:w="7340" w:type="dxa"/>
            <w:vAlign w:val="bottom"/>
            <w:shd w:val="clear" w:color="auto" w:fill="CCEEFF"/>
          </w:tcPr>
          <w:p>
            <w:pPr>
              <w:ind w:left="80"/>
              <w:spacing w:after="0"/>
              <w:rPr>
                <w:sz w:val="20"/>
                <w:szCs w:val="20"/>
                <w:color w:val="auto"/>
              </w:rPr>
            </w:pPr>
            <w:r>
              <w:rPr>
                <w:rFonts w:ascii="Arial" w:cs="Arial" w:eastAsia="Arial" w:hAnsi="Arial"/>
                <w:sz w:val="12"/>
                <w:szCs w:val="12"/>
                <w:color w:val="auto"/>
              </w:rPr>
              <w:t>Effect of stock options</w:t>
            </w:r>
          </w:p>
        </w:tc>
        <w:tc>
          <w:tcPr>
            <w:tcW w:w="7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72"/>
              <w:spacing w:after="0"/>
              <w:rPr>
                <w:sz w:val="20"/>
                <w:szCs w:val="20"/>
                <w:color w:val="auto"/>
              </w:rPr>
            </w:pPr>
            <w:r>
              <w:rPr>
                <w:rFonts w:ascii="Arial" w:cs="Arial" w:eastAsia="Arial" w:hAnsi="Arial"/>
                <w:sz w:val="12"/>
                <w:szCs w:val="12"/>
                <w:color w:val="auto"/>
              </w:rPr>
              <w:t>90</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115</w:t>
            </w:r>
          </w:p>
        </w:tc>
      </w:tr>
      <w:tr>
        <w:trPr>
          <w:trHeight w:val="144"/>
        </w:trPr>
        <w:tc>
          <w:tcPr>
            <w:tcW w:w="7340" w:type="dxa"/>
            <w:vAlign w:val="bottom"/>
          </w:tcPr>
          <w:p>
            <w:pPr>
              <w:ind w:left="80"/>
              <w:spacing w:after="0"/>
              <w:rPr>
                <w:sz w:val="20"/>
                <w:szCs w:val="20"/>
                <w:color w:val="auto"/>
              </w:rPr>
            </w:pPr>
            <w:r>
              <w:rPr>
                <w:rFonts w:ascii="Arial" w:cs="Arial" w:eastAsia="Arial" w:hAnsi="Arial"/>
                <w:sz w:val="12"/>
                <w:szCs w:val="12"/>
                <w:color w:val="auto"/>
              </w:rPr>
              <w:t>Performance share units</w:t>
            </w:r>
          </w:p>
        </w:tc>
        <w:tc>
          <w:tcPr>
            <w:tcW w:w="7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32</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172"/>
              <w:spacing w:after="0"/>
              <w:rPr>
                <w:sz w:val="20"/>
                <w:szCs w:val="20"/>
                <w:color w:val="auto"/>
              </w:rPr>
            </w:pPr>
            <w:r>
              <w:rPr>
                <w:rFonts w:ascii="Arial" w:cs="Arial" w:eastAsia="Arial" w:hAnsi="Arial"/>
                <w:sz w:val="12"/>
                <w:szCs w:val="12"/>
                <w:color w:val="auto"/>
              </w:rPr>
              <w:t>33</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42</w:t>
            </w:r>
          </w:p>
        </w:tc>
      </w:tr>
      <w:tr>
        <w:trPr>
          <w:trHeight w:val="182"/>
        </w:trPr>
        <w:tc>
          <w:tcPr>
            <w:tcW w:w="7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Weighted average shares outstanding for calculation of diluted earnings per share</w:t>
            </w:r>
          </w:p>
        </w:tc>
        <w:tc>
          <w:tcPr>
            <w:tcW w:w="760" w:type="dxa"/>
            <w:vAlign w:val="bottom"/>
            <w:tcBorders>
              <w:top w:val="single" w:sz="8" w:color="auto"/>
              <w:bottom w:val="single" w:sz="8" w:color="auto"/>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7"/>
              </w:rPr>
              <w:t>21,807</w:t>
            </w: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22,221</w:t>
            </w:r>
          </w:p>
        </w:tc>
        <w:tc>
          <w:tcPr>
            <w:tcW w:w="2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23,183</w:t>
            </w:r>
          </w:p>
        </w:tc>
        <w:tc>
          <w:tcPr>
            <w:tcW w:w="120" w:type="dxa"/>
            <w:vAlign w:val="bottom"/>
            <w:tcBorders>
              <w:bottom w:val="single" w:sz="8" w:color="CCEEFF"/>
            </w:tcBorders>
            <w:shd w:val="clear" w:color="auto" w:fill="CCEEFF"/>
          </w:tcPr>
          <w:p>
            <w:pPr>
              <w:spacing w:after="0"/>
              <w:rPr>
                <w:sz w:val="15"/>
                <w:szCs w:val="15"/>
                <w:color w:val="auto"/>
              </w:rPr>
            </w:pPr>
          </w:p>
        </w:tc>
      </w:tr>
      <w:tr>
        <w:trPr>
          <w:trHeight w:val="120"/>
        </w:trPr>
        <w:tc>
          <w:tcPr>
            <w:tcW w:w="7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44"/>
        </w:trPr>
        <w:tc>
          <w:tcPr>
            <w:tcW w:w="7340" w:type="dxa"/>
            <w:vAlign w:val="bottom"/>
            <w:shd w:val="clear" w:color="auto" w:fill="CCEEFF"/>
          </w:tcPr>
          <w:p>
            <w:pPr>
              <w:spacing w:after="0"/>
              <w:rPr>
                <w:sz w:val="20"/>
                <w:szCs w:val="20"/>
                <w:color w:val="auto"/>
              </w:rPr>
            </w:pPr>
            <w:r>
              <w:rPr>
                <w:rFonts w:ascii="Arial" w:cs="Arial" w:eastAsia="Arial" w:hAnsi="Arial"/>
                <w:sz w:val="12"/>
                <w:szCs w:val="12"/>
                <w:color w:val="auto"/>
              </w:rPr>
              <w:t>Net income per common share</w:t>
            </w:r>
          </w:p>
        </w:tc>
        <w:tc>
          <w:tcPr>
            <w:tcW w:w="7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7340" w:type="dxa"/>
            <w:vAlign w:val="bottom"/>
          </w:tcPr>
          <w:p>
            <w:pPr>
              <w:ind w:left="80"/>
              <w:spacing w:after="0"/>
              <w:rPr>
                <w:sz w:val="20"/>
                <w:szCs w:val="20"/>
                <w:color w:val="auto"/>
              </w:rPr>
            </w:pPr>
            <w:r>
              <w:rPr>
                <w:rFonts w:ascii="Arial" w:cs="Arial" w:eastAsia="Arial" w:hAnsi="Arial"/>
                <w:sz w:val="12"/>
                <w:szCs w:val="12"/>
                <w:color w:val="auto"/>
              </w:rPr>
              <w:t>Basic (1)</w:t>
            </w:r>
          </w:p>
        </w:tc>
        <w:tc>
          <w:tcPr>
            <w:tcW w:w="760" w:type="dxa"/>
            <w:vAlign w:val="bottom"/>
          </w:tcPr>
          <w:p>
            <w:pPr>
              <w:jc w:val="right"/>
              <w:ind w:right="649"/>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spacing w:after="0"/>
              <w:rPr>
                <w:sz w:val="20"/>
                <w:szCs w:val="20"/>
                <w:color w:val="auto"/>
              </w:rPr>
            </w:pPr>
            <w:r>
              <w:rPr>
                <w:rFonts w:ascii="Arial" w:cs="Arial" w:eastAsia="Arial" w:hAnsi="Arial"/>
                <w:sz w:val="12"/>
                <w:szCs w:val="12"/>
                <w:color w:val="auto"/>
              </w:rPr>
              <w:t>2.91</w:t>
            </w:r>
          </w:p>
        </w:tc>
        <w:tc>
          <w:tcPr>
            <w:tcW w:w="220" w:type="dxa"/>
            <w:vAlign w:val="bottom"/>
          </w:tcPr>
          <w:p>
            <w:pPr>
              <w:spacing w:after="0"/>
              <w:rPr>
                <w:sz w:val="12"/>
                <w:szCs w:val="12"/>
                <w:color w:val="auto"/>
              </w:rPr>
            </w:pPr>
          </w:p>
        </w:tc>
        <w:tc>
          <w:tcPr>
            <w:tcW w:w="180" w:type="dxa"/>
            <w:vAlign w:val="bottom"/>
          </w:tcPr>
          <w:p>
            <w:pPr>
              <w:spacing w:after="0"/>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172"/>
              <w:spacing w:after="0"/>
              <w:rPr>
                <w:sz w:val="20"/>
                <w:szCs w:val="20"/>
                <w:color w:val="auto"/>
              </w:rPr>
            </w:pPr>
            <w:r>
              <w:rPr>
                <w:rFonts w:ascii="Arial" w:cs="Arial" w:eastAsia="Arial" w:hAnsi="Arial"/>
                <w:sz w:val="12"/>
                <w:szCs w:val="12"/>
                <w:color w:val="auto"/>
              </w:rPr>
              <w:t>2.56</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2.03</w:t>
            </w:r>
          </w:p>
        </w:tc>
      </w:tr>
      <w:tr>
        <w:trPr>
          <w:trHeight w:val="20"/>
        </w:trPr>
        <w:tc>
          <w:tcPr>
            <w:tcW w:w="734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0"/>
        </w:trPr>
        <w:tc>
          <w:tcPr>
            <w:tcW w:w="7340" w:type="dxa"/>
            <w:vAlign w:val="bottom"/>
            <w:tcBorders>
              <w:bottom w:val="single" w:sz="8" w:color="CCEEFF"/>
            </w:tcBorders>
            <w:shd w:val="clear" w:color="auto" w:fill="CCEEFF"/>
          </w:tcPr>
          <w:p>
            <w:pPr>
              <w:ind w:left="80"/>
              <w:spacing w:after="0" w:line="120" w:lineRule="exact"/>
              <w:rPr>
                <w:sz w:val="20"/>
                <w:szCs w:val="20"/>
                <w:color w:val="auto"/>
              </w:rPr>
            </w:pPr>
            <w:r>
              <w:rPr>
                <w:rFonts w:ascii="Arial" w:cs="Arial" w:eastAsia="Arial" w:hAnsi="Arial"/>
                <w:sz w:val="12"/>
                <w:szCs w:val="12"/>
                <w:color w:val="auto"/>
              </w:rPr>
              <w:t>Diluted</w:t>
            </w:r>
          </w:p>
        </w:tc>
        <w:tc>
          <w:tcPr>
            <w:tcW w:w="760" w:type="dxa"/>
            <w:vAlign w:val="bottom"/>
            <w:tcBorders>
              <w:top w:val="single" w:sz="8" w:color="auto"/>
              <w:bottom w:val="single" w:sz="8" w:color="auto"/>
            </w:tcBorders>
            <w:shd w:val="clear" w:color="auto" w:fill="CCEEFF"/>
          </w:tcPr>
          <w:p>
            <w:pPr>
              <w:jc w:val="right"/>
              <w:ind w:right="649"/>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2.88</w:t>
            </w:r>
          </w:p>
        </w:tc>
        <w:tc>
          <w:tcPr>
            <w:tcW w:w="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line="120" w:lineRule="exact"/>
              <w:rPr>
                <w:sz w:val="20"/>
                <w:szCs w:val="20"/>
                <w:color w:val="auto"/>
              </w:rPr>
            </w:pPr>
            <w:r>
              <w:rPr>
                <w:rFonts w:ascii="Arial" w:cs="Arial" w:eastAsia="Arial" w:hAnsi="Arial"/>
                <w:sz w:val="12"/>
                <w:szCs w:val="12"/>
                <w:color w:val="auto"/>
              </w:rPr>
              <w:t>$</w:t>
            </w:r>
          </w:p>
        </w:tc>
        <w:tc>
          <w:tcPr>
            <w:tcW w:w="94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2.53</w:t>
            </w:r>
          </w:p>
        </w:tc>
        <w:tc>
          <w:tcPr>
            <w:tcW w:w="2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2.00</w:t>
            </w:r>
          </w:p>
        </w:tc>
        <w:tc>
          <w:tcPr>
            <w:tcW w:w="120" w:type="dxa"/>
            <w:vAlign w:val="bottom"/>
            <w:tcBorders>
              <w:bottom w:val="single" w:sz="8" w:color="CCEEFF"/>
            </w:tcBorders>
            <w:shd w:val="clear" w:color="auto" w:fill="CCEEFF"/>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131445</wp:posOffset>
            </wp:positionV>
            <wp:extent cx="3589020" cy="114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5">
                      <a:extLst>
                        <a:ext uri="{28A0092B-C50C-407E-A947-70E740481C1C}"/>
                      </a:extLst>
                    </a:blip>
                    <a:srcRect/>
                    <a:stretch>
                      <a:fillRect/>
                    </a:stretch>
                  </pic:blipFill>
                  <pic:spPr bwMode="auto">
                    <a:xfrm>
                      <a:off x="0" y="0"/>
                      <a:ext cx="3589020" cy="11430"/>
                    </a:xfrm>
                    <a:prstGeom prst="rect">
                      <a:avLst/>
                    </a:prstGeom>
                    <a:noFill/>
                  </pic:spPr>
                </pic:pic>
              </a:graphicData>
            </a:graphic>
          </wp:anchor>
        </w:drawing>
      </w:r>
    </w:p>
    <w:p>
      <w:pPr>
        <w:spacing w:after="0" w:line="259" w:lineRule="exact"/>
        <w:rPr>
          <w:sz w:val="20"/>
          <w:szCs w:val="20"/>
          <w:color w:val="auto"/>
        </w:rPr>
      </w:pPr>
    </w:p>
    <w:p>
      <w:pPr>
        <w:ind w:left="208" w:hanging="208"/>
        <w:spacing w:after="0"/>
        <w:tabs>
          <w:tab w:leader="none" w:pos="208" w:val="left"/>
        </w:tabs>
        <w:numPr>
          <w:ilvl w:val="0"/>
          <w:numId w:val="33"/>
        </w:numPr>
        <w:rPr>
          <w:rFonts w:ascii="Arial" w:cs="Arial" w:eastAsia="Arial" w:hAnsi="Arial"/>
          <w:sz w:val="12"/>
          <w:szCs w:val="12"/>
          <w:color w:val="auto"/>
        </w:rPr>
      </w:pPr>
      <w:r>
        <w:rPr>
          <w:rFonts w:ascii="Arial" w:cs="Arial" w:eastAsia="Arial" w:hAnsi="Arial"/>
          <w:sz w:val="12"/>
          <w:szCs w:val="12"/>
          <w:color w:val="auto"/>
        </w:rPr>
        <w:t>Basic net income per common share includes weighted average common shares outstanding during the period and participating share awards.</w:t>
      </w:r>
    </w:p>
    <w:p>
      <w:pPr>
        <w:spacing w:after="0" w:line="150" w:lineRule="exact"/>
        <w:rPr>
          <w:rFonts w:ascii="Arial" w:cs="Arial" w:eastAsia="Arial" w:hAnsi="Arial"/>
          <w:sz w:val="12"/>
          <w:szCs w:val="12"/>
          <w:color w:val="auto"/>
        </w:rPr>
      </w:pPr>
    </w:p>
    <w:p>
      <w:pPr>
        <w:ind w:left="208"/>
        <w:spacing w:after="0"/>
        <w:rPr>
          <w:rFonts w:ascii="Arial" w:cs="Arial" w:eastAsia="Arial" w:hAnsi="Arial"/>
          <w:sz w:val="12"/>
          <w:szCs w:val="12"/>
          <w:color w:val="auto"/>
        </w:rPr>
      </w:pPr>
      <w:r>
        <w:rPr>
          <w:rFonts w:ascii="Arial" w:cs="Arial" w:eastAsia="Arial" w:hAnsi="Arial"/>
          <w:sz w:val="11"/>
          <w:szCs w:val="11"/>
          <w:color w:val="auto"/>
        </w:rPr>
        <w:t>Weighted average stock options outstanding that were not considered in computing diluted net income per common share because they were anti-dilutive were zero for each year ended 2021, 2020 and 2019, respectively.</w:t>
      </w:r>
    </w:p>
    <w:p>
      <w:pPr>
        <w:spacing w:after="0" w:line="131" w:lineRule="exact"/>
        <w:rPr>
          <w:sz w:val="20"/>
          <w:szCs w:val="20"/>
          <w:color w:val="auto"/>
        </w:rPr>
      </w:pPr>
    </w:p>
    <w:p>
      <w:pPr>
        <w:jc w:val="center"/>
        <w:ind w:right="-7"/>
        <w:spacing w:after="0"/>
        <w:rPr>
          <w:sz w:val="20"/>
          <w:szCs w:val="20"/>
          <w:color w:val="auto"/>
        </w:rPr>
      </w:pPr>
      <w:r>
        <w:rPr>
          <w:rFonts w:ascii="Arial" w:cs="Arial" w:eastAsia="Arial" w:hAnsi="Arial"/>
          <w:sz w:val="10"/>
          <w:szCs w:val="10"/>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78040" cy="114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7" w:right="29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340" w:type="dxa"/>
            <w:vAlign w:val="bottom"/>
          </w:tcPr>
          <w:p>
            <w:pPr>
              <w:spacing w:after="0"/>
              <w:rPr>
                <w:sz w:val="20"/>
                <w:szCs w:val="20"/>
                <w:color w:val="auto"/>
              </w:rPr>
            </w:pPr>
            <w:r>
              <w:rPr>
                <w:rFonts w:ascii="Arial" w:cs="Arial" w:eastAsia="Arial" w:hAnsi="Arial"/>
                <w:sz w:val="12"/>
                <w:szCs w:val="12"/>
                <w:b w:val="1"/>
                <w:bCs w:val="1"/>
                <w:color w:val="auto"/>
              </w:rPr>
              <w:t>NOTE 13 – INCOME TAX</w:t>
            </w: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7340" w:type="dxa"/>
            <w:vAlign w:val="bottom"/>
          </w:tcPr>
          <w:p>
            <w:pPr>
              <w:ind w:left="200"/>
              <w:spacing w:after="0"/>
              <w:rPr>
                <w:sz w:val="20"/>
                <w:szCs w:val="20"/>
                <w:color w:val="auto"/>
              </w:rPr>
            </w:pPr>
            <w:r>
              <w:rPr>
                <w:rFonts w:ascii="Arial" w:cs="Arial" w:eastAsia="Arial" w:hAnsi="Arial"/>
                <w:sz w:val="12"/>
                <w:szCs w:val="12"/>
                <w:color w:val="auto"/>
              </w:rPr>
              <w:t>The composition of income tax expense for the years ended December 31 follows:</w:t>
            </w: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8"/>
        </w:trPr>
        <w:tc>
          <w:tcPr>
            <w:tcW w:w="7340" w:type="dxa"/>
            <w:vAlign w:val="bottom"/>
          </w:tcPr>
          <w:p>
            <w:pPr>
              <w:spacing w:after="0"/>
              <w:rPr>
                <w:sz w:val="24"/>
                <w:szCs w:val="24"/>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2"/>
                <w:szCs w:val="12"/>
                <w:b w:val="1"/>
                <w:bCs w:val="1"/>
                <w:color w:val="auto"/>
              </w:rPr>
              <w:t>2021</w:t>
            </w:r>
          </w:p>
        </w:tc>
        <w:tc>
          <w:tcPr>
            <w:tcW w:w="3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2020</w:t>
            </w: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24"/>
                <w:szCs w:val="24"/>
                <w:color w:val="auto"/>
              </w:rPr>
            </w:pPr>
          </w:p>
        </w:tc>
      </w:tr>
      <w:tr>
        <w:trPr>
          <w:trHeight w:val="142"/>
        </w:trPr>
        <w:tc>
          <w:tcPr>
            <w:tcW w:w="7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ind w:right="140"/>
              <w:spacing w:after="0"/>
              <w:rPr>
                <w:sz w:val="20"/>
                <w:szCs w:val="20"/>
                <w:color w:val="auto"/>
              </w:rPr>
            </w:pPr>
            <w:r>
              <w:rPr>
                <w:rFonts w:ascii="Arial" w:cs="Arial" w:eastAsia="Arial" w:hAnsi="Arial"/>
                <w:sz w:val="12"/>
                <w:szCs w:val="12"/>
                <w:b w:val="1"/>
                <w:bCs w:val="1"/>
                <w:color w:val="auto"/>
                <w:w w:val="94"/>
              </w:rPr>
              <w:t>(In thousands)</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7340" w:type="dxa"/>
            <w:vAlign w:val="bottom"/>
            <w:shd w:val="clear" w:color="auto" w:fill="CCEEFF"/>
          </w:tcPr>
          <w:p>
            <w:pPr>
              <w:spacing w:after="0"/>
              <w:rPr>
                <w:sz w:val="20"/>
                <w:szCs w:val="20"/>
                <w:color w:val="auto"/>
              </w:rPr>
            </w:pPr>
            <w:r>
              <w:rPr>
                <w:rFonts w:ascii="Arial" w:cs="Arial" w:eastAsia="Arial" w:hAnsi="Arial"/>
                <w:sz w:val="12"/>
                <w:szCs w:val="12"/>
                <w:color w:val="auto"/>
              </w:rPr>
              <w:t>Current expense</w:t>
            </w:r>
          </w:p>
        </w:tc>
        <w:tc>
          <w:tcPr>
            <w:tcW w:w="760" w:type="dxa"/>
            <w:vAlign w:val="bottom"/>
            <w:shd w:val="clear" w:color="auto" w:fill="CCEEFF"/>
          </w:tcPr>
          <w:p>
            <w:pPr>
              <w:jc w:val="right"/>
              <w:ind w:right="648"/>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w w:val="97"/>
              </w:rPr>
              <w:t>12,506</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15,459</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10,237</w:t>
            </w:r>
          </w:p>
        </w:tc>
      </w:tr>
      <w:tr>
        <w:trPr>
          <w:trHeight w:val="144"/>
        </w:trPr>
        <w:tc>
          <w:tcPr>
            <w:tcW w:w="7340" w:type="dxa"/>
            <w:vAlign w:val="bottom"/>
          </w:tcPr>
          <w:p>
            <w:pPr>
              <w:spacing w:after="0"/>
              <w:rPr>
                <w:sz w:val="20"/>
                <w:szCs w:val="20"/>
                <w:color w:val="auto"/>
              </w:rPr>
            </w:pPr>
            <w:r>
              <w:rPr>
                <w:rFonts w:ascii="Arial" w:cs="Arial" w:eastAsia="Arial" w:hAnsi="Arial"/>
                <w:sz w:val="12"/>
                <w:szCs w:val="12"/>
                <w:color w:val="auto"/>
              </w:rPr>
              <w:t>Deferred expense (benefit)</w:t>
            </w:r>
          </w:p>
        </w:tc>
        <w:tc>
          <w:tcPr>
            <w:tcW w:w="7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1,912</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2"/>
                <w:szCs w:val="12"/>
                <w:color w:val="auto"/>
              </w:rPr>
              <w:t>(2,130)</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1,088</w:t>
            </w:r>
          </w:p>
        </w:tc>
      </w:tr>
      <w:tr>
        <w:trPr>
          <w:trHeight w:val="182"/>
        </w:trPr>
        <w:tc>
          <w:tcPr>
            <w:tcW w:w="7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Income tax expense</w:t>
            </w:r>
          </w:p>
        </w:tc>
        <w:tc>
          <w:tcPr>
            <w:tcW w:w="760" w:type="dxa"/>
            <w:vAlign w:val="bottom"/>
            <w:tcBorders>
              <w:top w:val="single" w:sz="8" w:color="auto"/>
              <w:bottom w:val="single" w:sz="8" w:color="auto"/>
            </w:tcBorders>
            <w:shd w:val="clear" w:color="auto" w:fill="CCEEFF"/>
          </w:tcPr>
          <w:p>
            <w:pPr>
              <w:jc w:val="right"/>
              <w:ind w:right="648"/>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7"/>
              </w:rPr>
              <w:t>14,418</w:t>
            </w:r>
          </w:p>
        </w:tc>
        <w:tc>
          <w:tcPr>
            <w:tcW w:w="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13,329</w:t>
            </w:r>
          </w:p>
        </w:tc>
        <w:tc>
          <w:tcPr>
            <w:tcW w:w="2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11,325</w:t>
            </w:r>
          </w:p>
        </w:tc>
        <w:tc>
          <w:tcPr>
            <w:tcW w:w="120" w:type="dxa"/>
            <w:vAlign w:val="bottom"/>
            <w:tcBorders>
              <w:bottom w:val="single" w:sz="8" w:color="CCEEFF"/>
            </w:tcBorders>
            <w:shd w:val="clear" w:color="auto" w:fill="CCEEFF"/>
          </w:tcPr>
          <w:p>
            <w:pPr>
              <w:spacing w:after="0"/>
              <w:rPr>
                <w:sz w:val="15"/>
                <w:szCs w:val="15"/>
                <w:color w:val="auto"/>
              </w:rPr>
            </w:pPr>
          </w:p>
        </w:tc>
      </w:tr>
    </w:tbl>
    <w:p>
      <w:pPr>
        <w:spacing w:after="0" w:line="135"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The deferred income tax expense of $1.9 million in 2021 can be primarily attributed to the increase in capitalized mortgage servicing rights while the deferred income tax benefit of $2.1 million during 2020 can be primarily attributed to the increase in our allowance for credit losses while the deferred income tax expense of $1.1 million during 2019 can be primarily attributed to the utilization of our net operating loss (“NOL”) carryfoward and alternative minimum tax credit carryforward.</w:t>
      </w:r>
    </w:p>
    <w:p>
      <w:pPr>
        <w:spacing w:after="0" w:line="122" w:lineRule="exact"/>
        <w:rPr>
          <w:sz w:val="20"/>
          <w:szCs w:val="20"/>
          <w:color w:val="auto"/>
        </w:rPr>
      </w:pPr>
    </w:p>
    <w:p>
      <w:pPr>
        <w:ind w:left="200"/>
        <w:spacing w:after="0"/>
        <w:rPr>
          <w:sz w:val="20"/>
          <w:szCs w:val="20"/>
          <w:color w:val="auto"/>
        </w:rPr>
      </w:pPr>
      <w:r>
        <w:rPr>
          <w:rFonts w:ascii="Arial" w:cs="Arial" w:eastAsia="Arial" w:hAnsi="Arial"/>
          <w:sz w:val="11"/>
          <w:szCs w:val="11"/>
          <w:color w:val="auto"/>
        </w:rPr>
        <w:t>A reconciliation of income tax expense to the amount computed by applying the statutory federal income tax rate of 21% for 2021, 2020 and 2019 to the income before income tax for the years ended December 31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120" w:type="dxa"/>
            <w:vAlign w:val="bottom"/>
          </w:tcPr>
          <w:p>
            <w:pPr>
              <w:spacing w:after="0"/>
              <w:rPr>
                <w:sz w:val="13"/>
                <w:szCs w:val="13"/>
                <w:color w:val="auto"/>
              </w:rPr>
            </w:pPr>
          </w:p>
        </w:tc>
        <w:tc>
          <w:tcPr>
            <w:tcW w:w="3980" w:type="dxa"/>
            <w:vAlign w:val="bottom"/>
            <w:gridSpan w:val="2"/>
          </w:tcPr>
          <w:p>
            <w:pPr>
              <w:jc w:val="right"/>
              <w:ind w:right="12"/>
              <w:spacing w:after="0"/>
              <w:rPr>
                <w:sz w:val="20"/>
                <w:szCs w:val="20"/>
                <w:color w:val="auto"/>
              </w:rPr>
            </w:pPr>
            <w:r>
              <w:rPr>
                <w:rFonts w:ascii="Arial" w:cs="Arial" w:eastAsia="Arial" w:hAnsi="Arial"/>
                <w:sz w:val="12"/>
                <w:szCs w:val="12"/>
                <w:b w:val="1"/>
                <w:bCs w:val="1"/>
                <w:color w:val="auto"/>
              </w:rPr>
              <w:t>2021</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ind w:right="380"/>
              <w:spacing w:after="0"/>
              <w:rPr>
                <w:sz w:val="20"/>
                <w:szCs w:val="20"/>
                <w:color w:val="auto"/>
              </w:rPr>
            </w:pPr>
            <w:r>
              <w:rPr>
                <w:rFonts w:ascii="Arial" w:cs="Arial" w:eastAsia="Arial" w:hAnsi="Arial"/>
                <w:sz w:val="12"/>
                <w:szCs w:val="12"/>
                <w:b w:val="1"/>
                <w:bCs w:val="1"/>
                <w:color w:val="auto"/>
              </w:rPr>
              <w:t>2020</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380"/>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140"/>
              <w:spacing w:after="0"/>
              <w:rPr>
                <w:sz w:val="20"/>
                <w:szCs w:val="20"/>
                <w:color w:val="auto"/>
              </w:rPr>
            </w:pPr>
            <w:r>
              <w:rPr>
                <w:rFonts w:ascii="Arial" w:cs="Arial" w:eastAsia="Arial" w:hAnsi="Arial"/>
                <w:sz w:val="12"/>
                <w:szCs w:val="12"/>
                <w:b w:val="1"/>
                <w:bCs w:val="1"/>
                <w:color w:val="auto"/>
                <w:w w:val="94"/>
              </w:rPr>
              <w:t>(In thousands)</w:t>
            </w:r>
          </w:p>
        </w:tc>
        <w:tc>
          <w:tcPr>
            <w:tcW w:w="2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120" w:type="dxa"/>
            <w:vAlign w:val="bottom"/>
            <w:shd w:val="clear" w:color="auto" w:fill="CCEEFF"/>
          </w:tcPr>
          <w:p>
            <w:pPr>
              <w:spacing w:after="0"/>
              <w:rPr>
                <w:sz w:val="20"/>
                <w:szCs w:val="20"/>
                <w:color w:val="auto"/>
              </w:rPr>
            </w:pPr>
            <w:r>
              <w:rPr>
                <w:rFonts w:ascii="Arial" w:cs="Arial" w:eastAsia="Arial" w:hAnsi="Arial"/>
                <w:sz w:val="12"/>
                <w:szCs w:val="12"/>
                <w:color w:val="auto"/>
              </w:rPr>
              <w:t>Statutory rate applied to income before income tax</w:t>
            </w:r>
          </w:p>
        </w:tc>
        <w:tc>
          <w:tcPr>
            <w:tcW w:w="3980" w:type="dxa"/>
            <w:vAlign w:val="bottom"/>
            <w:gridSpan w:val="2"/>
            <w:shd w:val="clear" w:color="auto" w:fill="CCEEFF"/>
          </w:tcPr>
          <w:p>
            <w:pPr>
              <w:jc w:val="right"/>
              <w:ind w:right="652"/>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w w:val="97"/>
              </w:rPr>
              <w:t>16,236</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14,591</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12,130</w:t>
            </w:r>
          </w:p>
        </w:tc>
        <w:tc>
          <w:tcPr>
            <w:tcW w:w="0" w:type="dxa"/>
            <w:vAlign w:val="bottom"/>
          </w:tcPr>
          <w:p>
            <w:pPr>
              <w:spacing w:after="0"/>
              <w:rPr>
                <w:sz w:val="1"/>
                <w:szCs w:val="1"/>
                <w:color w:val="auto"/>
              </w:rPr>
            </w:pPr>
          </w:p>
        </w:tc>
      </w:tr>
      <w:tr>
        <w:trPr>
          <w:trHeight w:val="144"/>
        </w:trPr>
        <w:tc>
          <w:tcPr>
            <w:tcW w:w="4120" w:type="dxa"/>
            <w:vAlign w:val="bottom"/>
          </w:tcPr>
          <w:p>
            <w:pPr>
              <w:spacing w:after="0"/>
              <w:rPr>
                <w:sz w:val="20"/>
                <w:szCs w:val="20"/>
                <w:color w:val="auto"/>
              </w:rPr>
            </w:pPr>
            <w:r>
              <w:rPr>
                <w:rFonts w:ascii="Arial" w:cs="Arial" w:eastAsia="Arial" w:hAnsi="Arial"/>
                <w:sz w:val="12"/>
                <w:szCs w:val="12"/>
                <w:color w:val="auto"/>
              </w:rPr>
              <w:t>Tax-exempt income</w:t>
            </w:r>
          </w:p>
        </w:tc>
        <w:tc>
          <w:tcPr>
            <w:tcW w:w="3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(1,487)</w:t>
            </w:r>
          </w:p>
        </w:tc>
        <w:tc>
          <w:tcPr>
            <w:tcW w:w="12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2"/>
                <w:szCs w:val="12"/>
                <w:color w:val="auto"/>
              </w:rPr>
              <w:t>(690)</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(375)</w:t>
            </w:r>
          </w:p>
        </w:tc>
        <w:tc>
          <w:tcPr>
            <w:tcW w:w="0" w:type="dxa"/>
            <w:vAlign w:val="bottom"/>
          </w:tcPr>
          <w:p>
            <w:pPr>
              <w:spacing w:after="0"/>
              <w:rPr>
                <w:sz w:val="1"/>
                <w:szCs w:val="1"/>
                <w:color w:val="auto"/>
              </w:rPr>
            </w:pPr>
          </w:p>
        </w:tc>
      </w:tr>
      <w:tr>
        <w:trPr>
          <w:trHeight w:val="144"/>
        </w:trPr>
        <w:tc>
          <w:tcPr>
            <w:tcW w:w="4120" w:type="dxa"/>
            <w:vAlign w:val="bottom"/>
            <w:shd w:val="clear" w:color="auto" w:fill="CCEEFF"/>
          </w:tcPr>
          <w:p>
            <w:pPr>
              <w:spacing w:after="0"/>
              <w:rPr>
                <w:sz w:val="20"/>
                <w:szCs w:val="20"/>
                <w:color w:val="auto"/>
              </w:rPr>
            </w:pPr>
            <w:r>
              <w:rPr>
                <w:rFonts w:ascii="Arial" w:cs="Arial" w:eastAsia="Arial" w:hAnsi="Arial"/>
                <w:sz w:val="12"/>
                <w:szCs w:val="12"/>
                <w:color w:val="auto"/>
              </w:rPr>
              <w:t>Share-based compensation</w:t>
            </w:r>
          </w:p>
        </w:tc>
        <w:tc>
          <w:tcPr>
            <w:tcW w:w="3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(184)</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(204)</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(204)</w:t>
            </w:r>
          </w:p>
        </w:tc>
        <w:tc>
          <w:tcPr>
            <w:tcW w:w="0" w:type="dxa"/>
            <w:vAlign w:val="bottom"/>
          </w:tcPr>
          <w:p>
            <w:pPr>
              <w:spacing w:after="0"/>
              <w:rPr>
                <w:sz w:val="1"/>
                <w:szCs w:val="1"/>
                <w:color w:val="auto"/>
              </w:rPr>
            </w:pPr>
          </w:p>
        </w:tc>
      </w:tr>
      <w:tr>
        <w:trPr>
          <w:trHeight w:val="144"/>
        </w:trPr>
        <w:tc>
          <w:tcPr>
            <w:tcW w:w="4120" w:type="dxa"/>
            <w:vAlign w:val="bottom"/>
          </w:tcPr>
          <w:p>
            <w:pPr>
              <w:spacing w:after="0"/>
              <w:rPr>
                <w:sz w:val="20"/>
                <w:szCs w:val="20"/>
                <w:color w:val="auto"/>
              </w:rPr>
            </w:pPr>
            <w:r>
              <w:rPr>
                <w:rFonts w:ascii="Arial" w:cs="Arial" w:eastAsia="Arial" w:hAnsi="Arial"/>
                <w:sz w:val="12"/>
                <w:szCs w:val="12"/>
                <w:color w:val="auto"/>
              </w:rPr>
              <w:t>Bank owned life insurance</w:t>
            </w:r>
          </w:p>
        </w:tc>
        <w:tc>
          <w:tcPr>
            <w:tcW w:w="3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(119)</w:t>
            </w:r>
          </w:p>
        </w:tc>
        <w:tc>
          <w:tcPr>
            <w:tcW w:w="12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2"/>
                <w:szCs w:val="12"/>
                <w:color w:val="auto"/>
              </w:rPr>
              <w:t>(196)</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(233)</w:t>
            </w:r>
          </w:p>
        </w:tc>
        <w:tc>
          <w:tcPr>
            <w:tcW w:w="0" w:type="dxa"/>
            <w:vAlign w:val="bottom"/>
          </w:tcPr>
          <w:p>
            <w:pPr>
              <w:spacing w:after="0"/>
              <w:rPr>
                <w:sz w:val="1"/>
                <w:szCs w:val="1"/>
                <w:color w:val="auto"/>
              </w:rPr>
            </w:pPr>
          </w:p>
        </w:tc>
      </w:tr>
      <w:tr>
        <w:trPr>
          <w:trHeight w:val="144"/>
        </w:trPr>
        <w:tc>
          <w:tcPr>
            <w:tcW w:w="4120" w:type="dxa"/>
            <w:vAlign w:val="bottom"/>
            <w:shd w:val="clear" w:color="auto" w:fill="CCEEFF"/>
          </w:tcPr>
          <w:p>
            <w:pPr>
              <w:spacing w:after="0"/>
              <w:rPr>
                <w:sz w:val="20"/>
                <w:szCs w:val="20"/>
                <w:color w:val="auto"/>
              </w:rPr>
            </w:pPr>
            <w:r>
              <w:rPr>
                <w:rFonts w:ascii="Arial" w:cs="Arial" w:eastAsia="Arial" w:hAnsi="Arial"/>
                <w:sz w:val="12"/>
                <w:szCs w:val="12"/>
                <w:color w:val="auto"/>
              </w:rPr>
              <w:t>Unrecognized tax benefit</w:t>
            </w:r>
          </w:p>
        </w:tc>
        <w:tc>
          <w:tcPr>
            <w:tcW w:w="3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(206)</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(134)</w:t>
            </w:r>
          </w:p>
        </w:tc>
        <w:tc>
          <w:tcPr>
            <w:tcW w:w="0" w:type="dxa"/>
            <w:vAlign w:val="bottom"/>
          </w:tcPr>
          <w:p>
            <w:pPr>
              <w:spacing w:after="0"/>
              <w:rPr>
                <w:sz w:val="1"/>
                <w:szCs w:val="1"/>
                <w:color w:val="auto"/>
              </w:rPr>
            </w:pPr>
          </w:p>
        </w:tc>
      </w:tr>
      <w:tr>
        <w:trPr>
          <w:trHeight w:val="144"/>
        </w:trPr>
        <w:tc>
          <w:tcPr>
            <w:tcW w:w="4120" w:type="dxa"/>
            <w:vAlign w:val="bottom"/>
          </w:tcPr>
          <w:p>
            <w:pPr>
              <w:spacing w:after="0"/>
              <w:rPr>
                <w:sz w:val="20"/>
                <w:szCs w:val="20"/>
                <w:color w:val="auto"/>
              </w:rPr>
            </w:pPr>
            <w:r>
              <w:rPr>
                <w:rFonts w:ascii="Arial" w:cs="Arial" w:eastAsia="Arial" w:hAnsi="Arial"/>
                <w:sz w:val="12"/>
                <w:szCs w:val="12"/>
                <w:color w:val="auto"/>
              </w:rPr>
              <w:t>Non-deductible meals, entertainment and memberships</w:t>
            </w:r>
          </w:p>
        </w:tc>
        <w:tc>
          <w:tcPr>
            <w:tcW w:w="3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2"/>
                <w:szCs w:val="12"/>
                <w:color w:val="auto"/>
              </w:rPr>
              <w:t>32</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57</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86</w:t>
            </w:r>
          </w:p>
        </w:tc>
        <w:tc>
          <w:tcPr>
            <w:tcW w:w="0" w:type="dxa"/>
            <w:vAlign w:val="bottom"/>
          </w:tcPr>
          <w:p>
            <w:pPr>
              <w:spacing w:after="0"/>
              <w:rPr>
                <w:sz w:val="1"/>
                <w:szCs w:val="1"/>
                <w:color w:val="auto"/>
              </w:rPr>
            </w:pPr>
          </w:p>
        </w:tc>
      </w:tr>
      <w:tr>
        <w:trPr>
          <w:trHeight w:val="144"/>
        </w:trPr>
        <w:tc>
          <w:tcPr>
            <w:tcW w:w="4120" w:type="dxa"/>
            <w:vAlign w:val="bottom"/>
            <w:shd w:val="clear" w:color="auto" w:fill="CCEEFF"/>
          </w:tcPr>
          <w:p>
            <w:pPr>
              <w:spacing w:after="0"/>
              <w:rPr>
                <w:sz w:val="20"/>
                <w:szCs w:val="20"/>
                <w:color w:val="auto"/>
              </w:rPr>
            </w:pPr>
            <w:r>
              <w:rPr>
                <w:rFonts w:ascii="Arial" w:cs="Arial" w:eastAsia="Arial" w:hAnsi="Arial"/>
                <w:sz w:val="12"/>
                <w:szCs w:val="12"/>
                <w:color w:val="auto"/>
              </w:rPr>
              <w:t>Other, net</w:t>
            </w:r>
          </w:p>
        </w:tc>
        <w:tc>
          <w:tcPr>
            <w:tcW w:w="3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(49)</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(23)</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55</w:t>
            </w:r>
          </w:p>
        </w:tc>
        <w:tc>
          <w:tcPr>
            <w:tcW w:w="0" w:type="dxa"/>
            <w:vAlign w:val="bottom"/>
          </w:tcPr>
          <w:p>
            <w:pPr>
              <w:spacing w:after="0"/>
              <w:rPr>
                <w:sz w:val="1"/>
                <w:szCs w:val="1"/>
                <w:color w:val="auto"/>
              </w:rPr>
            </w:pPr>
          </w:p>
        </w:tc>
      </w:tr>
      <w:tr>
        <w:trPr>
          <w:trHeight w:val="20"/>
        </w:trPr>
        <w:tc>
          <w:tcPr>
            <w:tcW w:w="4120" w:type="dxa"/>
            <w:vAlign w:val="bottom"/>
            <w:shd w:val="clear" w:color="auto" w:fill="CCEEFF"/>
          </w:tcPr>
          <w:p>
            <w:pPr>
              <w:spacing w:after="0" w:line="20" w:lineRule="exact"/>
              <w:rPr>
                <w:sz w:val="1"/>
                <w:szCs w:val="1"/>
                <w:color w:val="auto"/>
              </w:rPr>
            </w:pPr>
          </w:p>
        </w:tc>
        <w:tc>
          <w:tcPr>
            <w:tcW w:w="3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120" w:type="dxa"/>
            <w:vAlign w:val="bottom"/>
          </w:tcPr>
          <w:p>
            <w:pPr>
              <w:ind w:left="80"/>
              <w:spacing w:after="0"/>
              <w:rPr>
                <w:sz w:val="20"/>
                <w:szCs w:val="20"/>
                <w:color w:val="auto"/>
              </w:rPr>
            </w:pPr>
            <w:r>
              <w:rPr>
                <w:rFonts w:ascii="Arial" w:cs="Arial" w:eastAsia="Arial" w:hAnsi="Arial"/>
                <w:sz w:val="12"/>
                <w:szCs w:val="12"/>
                <w:color w:val="auto"/>
              </w:rPr>
              <w:t>Income tax expense</w:t>
            </w:r>
          </w:p>
        </w:tc>
        <w:tc>
          <w:tcPr>
            <w:tcW w:w="3220" w:type="dxa"/>
            <w:vAlign w:val="bottom"/>
          </w:tcPr>
          <w:p>
            <w:pPr>
              <w:spacing w:after="0"/>
              <w:rPr>
                <w:sz w:val="12"/>
                <w:szCs w:val="12"/>
                <w:color w:val="auto"/>
              </w:rPr>
            </w:pPr>
          </w:p>
        </w:tc>
        <w:tc>
          <w:tcPr>
            <w:tcW w:w="760" w:type="dxa"/>
            <w:vAlign w:val="bottom"/>
          </w:tcPr>
          <w:p>
            <w:pPr>
              <w:jc w:val="right"/>
              <w:ind w:right="652"/>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240"/>
              <w:spacing w:after="0"/>
              <w:rPr>
                <w:sz w:val="20"/>
                <w:szCs w:val="20"/>
                <w:color w:val="auto"/>
              </w:rPr>
            </w:pPr>
            <w:r>
              <w:rPr>
                <w:rFonts w:ascii="Arial" w:cs="Arial" w:eastAsia="Arial" w:hAnsi="Arial"/>
                <w:sz w:val="12"/>
                <w:szCs w:val="12"/>
                <w:color w:val="auto"/>
                <w:w w:val="97"/>
              </w:rPr>
              <w:t>14,418</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13,329</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11,325</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220" w:type="dxa"/>
            <w:vAlign w:val="bottom"/>
            <w:vMerge w:val="restart"/>
          </w:tcPr>
          <w:p>
            <w:pPr>
              <w:jc w:val="right"/>
              <w:ind w:right="1584"/>
              <w:spacing w:after="0"/>
              <w:rPr>
                <w:sz w:val="20"/>
                <w:szCs w:val="20"/>
                <w:color w:val="auto"/>
              </w:rPr>
            </w:pPr>
            <w:r>
              <w:rPr>
                <w:rFonts w:ascii="Arial" w:cs="Arial" w:eastAsia="Arial" w:hAnsi="Arial"/>
                <w:sz w:val="10"/>
                <w:szCs w:val="10"/>
                <w:color w:val="auto"/>
              </w:rPr>
              <w:t>82</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412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12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27" w:right="299" w:bottom="1440" w:gutter="0" w:footer="0" w:header="0"/>
        </w:sectPr>
      </w:pPr>
    </w:p>
    <w:bookmarkStart w:id="102" w:name="page103"/>
    <w:bookmarkEnd w:id="102"/>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8700" w:type="dxa"/>
            <w:vAlign w:val="bottom"/>
          </w:tcPr>
          <w:p>
            <w:pPr>
              <w:ind w:left="3700"/>
              <w:spacing w:after="0"/>
              <w:rPr>
                <w:sz w:val="20"/>
                <w:szCs w:val="20"/>
                <w:color w:val="auto"/>
              </w:rPr>
            </w:pPr>
            <w:r>
              <w:rPr>
                <w:rFonts w:ascii="Arial" w:cs="Arial" w:eastAsia="Arial" w:hAnsi="Arial"/>
                <w:sz w:val="12"/>
                <w:szCs w:val="12"/>
                <w:b w:val="1"/>
                <w:bCs w:val="1"/>
                <w:color w:val="auto"/>
              </w:rPr>
              <w:t>NOTES TO CONSOLIDATED FINANCIAL STATEMENTS − (Continued)</w:t>
            </w: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8700" w:type="dxa"/>
            <w:vAlign w:val="bottom"/>
          </w:tcPr>
          <w:p>
            <w:pPr>
              <w:ind w:left="200"/>
              <w:spacing w:after="0"/>
              <w:rPr>
                <w:sz w:val="20"/>
                <w:szCs w:val="20"/>
                <w:color w:val="auto"/>
              </w:rPr>
            </w:pPr>
            <w:r>
              <w:rPr>
                <w:rFonts w:ascii="Arial" w:cs="Arial" w:eastAsia="Arial" w:hAnsi="Arial"/>
                <w:sz w:val="12"/>
                <w:szCs w:val="12"/>
                <w:color w:val="auto"/>
              </w:rPr>
              <w:t>The tax effects of temporary differences that give rise to significant portions of the deferred tax assets and deferred tax liabilities at December 31 follow:</w:t>
            </w:r>
          </w:p>
        </w:tc>
        <w:tc>
          <w:tcPr>
            <w:tcW w:w="7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8700" w:type="dxa"/>
            <w:vAlign w:val="bottom"/>
          </w:tcPr>
          <w:p>
            <w:pPr>
              <w:spacing w:after="0"/>
              <w:rPr>
                <w:sz w:val="24"/>
                <w:szCs w:val="24"/>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2"/>
                <w:szCs w:val="12"/>
                <w:b w:val="1"/>
                <w:bCs w:val="1"/>
                <w:color w:val="auto"/>
              </w:rPr>
              <w:t>2021</w:t>
            </w:r>
          </w:p>
        </w:tc>
        <w:tc>
          <w:tcPr>
            <w:tcW w:w="3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8700" w:type="dxa"/>
            <w:vAlign w:val="bottom"/>
            <w:vMerge w:val="restart"/>
          </w:tcPr>
          <w:p>
            <w:pPr>
              <w:spacing w:after="0"/>
              <w:rPr>
                <w:sz w:val="20"/>
                <w:szCs w:val="20"/>
                <w:color w:val="auto"/>
              </w:rPr>
            </w:pPr>
            <w:r>
              <w:rPr>
                <w:rFonts w:ascii="Arial" w:cs="Arial" w:eastAsia="Arial" w:hAnsi="Arial"/>
                <w:sz w:val="12"/>
                <w:szCs w:val="12"/>
                <w:color w:val="auto"/>
              </w:rPr>
              <w:t>Deferred tax assets</w:t>
            </w:r>
          </w:p>
        </w:tc>
        <w:tc>
          <w:tcPr>
            <w:tcW w:w="760" w:type="dxa"/>
            <w:vAlign w:val="bottom"/>
          </w:tcPr>
          <w:p>
            <w:pPr>
              <w:spacing w:after="0"/>
              <w:rPr>
                <w:sz w:val="13"/>
                <w:szCs w:val="13"/>
                <w:color w:val="auto"/>
              </w:rPr>
            </w:pPr>
          </w:p>
        </w:tc>
        <w:tc>
          <w:tcPr>
            <w:tcW w:w="380" w:type="dxa"/>
            <w:vAlign w:val="bottom"/>
          </w:tcPr>
          <w:p>
            <w:pPr>
              <w:jc w:val="right"/>
              <w:ind w:right="60"/>
              <w:spacing w:after="0"/>
              <w:rPr>
                <w:sz w:val="20"/>
                <w:szCs w:val="20"/>
                <w:color w:val="auto"/>
              </w:rPr>
            </w:pPr>
            <w:r>
              <w:rPr>
                <w:rFonts w:ascii="Arial" w:cs="Arial" w:eastAsia="Arial" w:hAnsi="Arial"/>
                <w:sz w:val="12"/>
                <w:szCs w:val="12"/>
                <w:b w:val="1"/>
                <w:bCs w:val="1"/>
                <w:color w:val="auto"/>
              </w:rPr>
              <w:t>(In</w:t>
            </w:r>
          </w:p>
        </w:tc>
        <w:tc>
          <w:tcPr>
            <w:tcW w:w="58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74"/>
              </w:rPr>
              <w:t>thousands)</w:t>
            </w: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870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700" w:type="dxa"/>
            <w:vAlign w:val="bottom"/>
            <w:shd w:val="clear" w:color="auto" w:fill="CCEEFF"/>
          </w:tcPr>
          <w:p>
            <w:pPr>
              <w:ind w:left="80"/>
              <w:spacing w:after="0"/>
              <w:rPr>
                <w:sz w:val="20"/>
                <w:szCs w:val="20"/>
                <w:color w:val="auto"/>
              </w:rPr>
            </w:pPr>
            <w:r>
              <w:rPr>
                <w:rFonts w:ascii="Arial" w:cs="Arial" w:eastAsia="Arial" w:hAnsi="Arial"/>
                <w:sz w:val="12"/>
                <w:szCs w:val="12"/>
                <w:color w:val="auto"/>
              </w:rPr>
              <w:t>Allowance for credit losses (1)</w:t>
            </w:r>
          </w:p>
        </w:tc>
        <w:tc>
          <w:tcPr>
            <w:tcW w:w="760" w:type="dxa"/>
            <w:vAlign w:val="bottom"/>
            <w:shd w:val="clear" w:color="auto" w:fill="CCEEFF"/>
          </w:tcPr>
          <w:p>
            <w:pPr>
              <w:jc w:val="right"/>
              <w:ind w:right="648"/>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9,923</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jc w:val="center"/>
              <w:ind w:right="240"/>
              <w:spacing w:after="0"/>
              <w:rPr>
                <w:sz w:val="20"/>
                <w:szCs w:val="20"/>
                <w:color w:val="auto"/>
              </w:rPr>
            </w:pPr>
            <w:r>
              <w:rPr>
                <w:rFonts w:ascii="Arial" w:cs="Arial" w:eastAsia="Arial" w:hAnsi="Arial"/>
                <w:sz w:val="12"/>
                <w:szCs w:val="12"/>
                <w:color w:val="auto"/>
                <w:w w:val="8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7,363</w:t>
            </w:r>
          </w:p>
        </w:tc>
        <w:tc>
          <w:tcPr>
            <w:tcW w:w="0" w:type="dxa"/>
            <w:vAlign w:val="bottom"/>
          </w:tcPr>
          <w:p>
            <w:pPr>
              <w:spacing w:after="0"/>
              <w:rPr>
                <w:sz w:val="1"/>
                <w:szCs w:val="1"/>
                <w:color w:val="auto"/>
              </w:rPr>
            </w:pPr>
          </w:p>
        </w:tc>
      </w:tr>
      <w:tr>
        <w:trPr>
          <w:trHeight w:val="144"/>
        </w:trPr>
        <w:tc>
          <w:tcPr>
            <w:tcW w:w="8700" w:type="dxa"/>
            <w:vAlign w:val="bottom"/>
          </w:tcPr>
          <w:p>
            <w:pPr>
              <w:ind w:left="80"/>
              <w:spacing w:after="0"/>
              <w:rPr>
                <w:sz w:val="20"/>
                <w:szCs w:val="20"/>
                <w:color w:val="auto"/>
              </w:rPr>
            </w:pPr>
            <w:r>
              <w:rPr>
                <w:rFonts w:ascii="Arial" w:cs="Arial" w:eastAsia="Arial" w:hAnsi="Arial"/>
                <w:sz w:val="12"/>
                <w:szCs w:val="12"/>
                <w:color w:val="auto"/>
              </w:rPr>
              <w:t>Property and equipment</w:t>
            </w:r>
          </w:p>
        </w:tc>
        <w:tc>
          <w:tcPr>
            <w:tcW w:w="7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1,405</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1,047</w:t>
            </w:r>
          </w:p>
        </w:tc>
        <w:tc>
          <w:tcPr>
            <w:tcW w:w="0" w:type="dxa"/>
            <w:vAlign w:val="bottom"/>
          </w:tcPr>
          <w:p>
            <w:pPr>
              <w:spacing w:after="0"/>
              <w:rPr>
                <w:sz w:val="1"/>
                <w:szCs w:val="1"/>
                <w:color w:val="auto"/>
              </w:rPr>
            </w:pPr>
          </w:p>
        </w:tc>
      </w:tr>
      <w:tr>
        <w:trPr>
          <w:trHeight w:val="144"/>
        </w:trPr>
        <w:tc>
          <w:tcPr>
            <w:tcW w:w="8700" w:type="dxa"/>
            <w:vAlign w:val="bottom"/>
            <w:shd w:val="clear" w:color="auto" w:fill="CCEEFF"/>
          </w:tcPr>
          <w:p>
            <w:pPr>
              <w:ind w:left="80"/>
              <w:spacing w:after="0"/>
              <w:rPr>
                <w:sz w:val="20"/>
                <w:szCs w:val="20"/>
                <w:color w:val="auto"/>
              </w:rPr>
            </w:pPr>
            <w:r>
              <w:rPr>
                <w:rFonts w:ascii="Arial" w:cs="Arial" w:eastAsia="Arial" w:hAnsi="Arial"/>
                <w:sz w:val="12"/>
                <w:szCs w:val="12"/>
                <w:color w:val="auto"/>
              </w:rPr>
              <w:t>Lease liabilities</w:t>
            </w:r>
          </w:p>
        </w:tc>
        <w:tc>
          <w:tcPr>
            <w:tcW w:w="7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1,386</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1,652</w:t>
            </w:r>
          </w:p>
        </w:tc>
        <w:tc>
          <w:tcPr>
            <w:tcW w:w="0" w:type="dxa"/>
            <w:vAlign w:val="bottom"/>
          </w:tcPr>
          <w:p>
            <w:pPr>
              <w:spacing w:after="0"/>
              <w:rPr>
                <w:sz w:val="1"/>
                <w:szCs w:val="1"/>
                <w:color w:val="auto"/>
              </w:rPr>
            </w:pPr>
          </w:p>
        </w:tc>
      </w:tr>
      <w:tr>
        <w:trPr>
          <w:trHeight w:val="144"/>
        </w:trPr>
        <w:tc>
          <w:tcPr>
            <w:tcW w:w="8700" w:type="dxa"/>
            <w:vAlign w:val="bottom"/>
          </w:tcPr>
          <w:p>
            <w:pPr>
              <w:ind w:left="80"/>
              <w:spacing w:after="0"/>
              <w:rPr>
                <w:sz w:val="20"/>
                <w:szCs w:val="20"/>
                <w:color w:val="auto"/>
              </w:rPr>
            </w:pPr>
            <w:r>
              <w:rPr>
                <w:rFonts w:ascii="Arial" w:cs="Arial" w:eastAsia="Arial" w:hAnsi="Arial"/>
                <w:sz w:val="12"/>
                <w:szCs w:val="12"/>
                <w:color w:val="auto"/>
              </w:rPr>
              <w:t>Reserve for unfunded lending commitments</w:t>
            </w:r>
          </w:p>
        </w:tc>
        <w:tc>
          <w:tcPr>
            <w:tcW w:w="7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941</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379</w:t>
            </w:r>
          </w:p>
        </w:tc>
        <w:tc>
          <w:tcPr>
            <w:tcW w:w="0" w:type="dxa"/>
            <w:vAlign w:val="bottom"/>
          </w:tcPr>
          <w:p>
            <w:pPr>
              <w:spacing w:after="0"/>
              <w:rPr>
                <w:sz w:val="1"/>
                <w:szCs w:val="1"/>
                <w:color w:val="auto"/>
              </w:rPr>
            </w:pPr>
          </w:p>
        </w:tc>
      </w:tr>
      <w:tr>
        <w:trPr>
          <w:trHeight w:val="144"/>
        </w:trPr>
        <w:tc>
          <w:tcPr>
            <w:tcW w:w="8700" w:type="dxa"/>
            <w:vAlign w:val="bottom"/>
            <w:shd w:val="clear" w:color="auto" w:fill="CCEEFF"/>
          </w:tcPr>
          <w:p>
            <w:pPr>
              <w:ind w:left="80"/>
              <w:spacing w:after="0"/>
              <w:rPr>
                <w:sz w:val="20"/>
                <w:szCs w:val="20"/>
                <w:color w:val="auto"/>
              </w:rPr>
            </w:pPr>
            <w:r>
              <w:rPr>
                <w:rFonts w:ascii="Arial" w:cs="Arial" w:eastAsia="Arial" w:hAnsi="Arial"/>
                <w:sz w:val="12"/>
                <w:szCs w:val="12"/>
                <w:color w:val="auto"/>
              </w:rPr>
              <w:t>Share-based compensation</w:t>
            </w:r>
          </w:p>
        </w:tc>
        <w:tc>
          <w:tcPr>
            <w:tcW w:w="7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734</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742</w:t>
            </w:r>
          </w:p>
        </w:tc>
        <w:tc>
          <w:tcPr>
            <w:tcW w:w="0" w:type="dxa"/>
            <w:vAlign w:val="bottom"/>
          </w:tcPr>
          <w:p>
            <w:pPr>
              <w:spacing w:after="0"/>
              <w:rPr>
                <w:sz w:val="1"/>
                <w:szCs w:val="1"/>
                <w:color w:val="auto"/>
              </w:rPr>
            </w:pPr>
          </w:p>
        </w:tc>
      </w:tr>
      <w:tr>
        <w:trPr>
          <w:trHeight w:val="144"/>
        </w:trPr>
        <w:tc>
          <w:tcPr>
            <w:tcW w:w="8700" w:type="dxa"/>
            <w:vAlign w:val="bottom"/>
          </w:tcPr>
          <w:p>
            <w:pPr>
              <w:ind w:left="80"/>
              <w:spacing w:after="0"/>
              <w:rPr>
                <w:sz w:val="20"/>
                <w:szCs w:val="20"/>
                <w:color w:val="auto"/>
              </w:rPr>
            </w:pPr>
            <w:r>
              <w:rPr>
                <w:rFonts w:ascii="Arial" w:cs="Arial" w:eastAsia="Arial" w:hAnsi="Arial"/>
                <w:sz w:val="12"/>
                <w:szCs w:val="12"/>
                <w:color w:val="auto"/>
              </w:rPr>
              <w:t>Deferred compensation</w:t>
            </w:r>
          </w:p>
        </w:tc>
        <w:tc>
          <w:tcPr>
            <w:tcW w:w="7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390</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321</w:t>
            </w:r>
          </w:p>
        </w:tc>
        <w:tc>
          <w:tcPr>
            <w:tcW w:w="0" w:type="dxa"/>
            <w:vAlign w:val="bottom"/>
          </w:tcPr>
          <w:p>
            <w:pPr>
              <w:spacing w:after="0"/>
              <w:rPr>
                <w:sz w:val="1"/>
                <w:szCs w:val="1"/>
                <w:color w:val="auto"/>
              </w:rPr>
            </w:pPr>
          </w:p>
        </w:tc>
      </w:tr>
      <w:tr>
        <w:trPr>
          <w:trHeight w:val="144"/>
        </w:trPr>
        <w:tc>
          <w:tcPr>
            <w:tcW w:w="8700" w:type="dxa"/>
            <w:vAlign w:val="bottom"/>
            <w:shd w:val="clear" w:color="auto" w:fill="CCEEFF"/>
          </w:tcPr>
          <w:p>
            <w:pPr>
              <w:ind w:left="80"/>
              <w:spacing w:after="0"/>
              <w:rPr>
                <w:sz w:val="20"/>
                <w:szCs w:val="20"/>
                <w:color w:val="auto"/>
              </w:rPr>
            </w:pPr>
            <w:r>
              <w:rPr>
                <w:rFonts w:ascii="Arial" w:cs="Arial" w:eastAsia="Arial" w:hAnsi="Arial"/>
                <w:sz w:val="12"/>
                <w:szCs w:val="12"/>
                <w:color w:val="auto"/>
              </w:rPr>
              <w:t>Loss reimbursement on sold loans reserve</w:t>
            </w:r>
          </w:p>
        </w:tc>
        <w:tc>
          <w:tcPr>
            <w:tcW w:w="7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242</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214</w:t>
            </w:r>
          </w:p>
        </w:tc>
        <w:tc>
          <w:tcPr>
            <w:tcW w:w="0" w:type="dxa"/>
            <w:vAlign w:val="bottom"/>
          </w:tcPr>
          <w:p>
            <w:pPr>
              <w:spacing w:after="0"/>
              <w:rPr>
                <w:sz w:val="1"/>
                <w:szCs w:val="1"/>
                <w:color w:val="auto"/>
              </w:rPr>
            </w:pPr>
          </w:p>
        </w:tc>
      </w:tr>
      <w:tr>
        <w:trPr>
          <w:trHeight w:val="144"/>
        </w:trPr>
        <w:tc>
          <w:tcPr>
            <w:tcW w:w="8700" w:type="dxa"/>
            <w:vAlign w:val="bottom"/>
          </w:tcPr>
          <w:p>
            <w:pPr>
              <w:ind w:left="80"/>
              <w:spacing w:after="0"/>
              <w:rPr>
                <w:sz w:val="20"/>
                <w:szCs w:val="20"/>
                <w:color w:val="auto"/>
              </w:rPr>
            </w:pPr>
            <w:r>
              <w:rPr>
                <w:rFonts w:ascii="Arial" w:cs="Arial" w:eastAsia="Arial" w:hAnsi="Arial"/>
                <w:sz w:val="12"/>
                <w:szCs w:val="12"/>
                <w:color w:val="auto"/>
              </w:rPr>
              <w:t>Non accrual loan interest income</w:t>
            </w:r>
          </w:p>
        </w:tc>
        <w:tc>
          <w:tcPr>
            <w:tcW w:w="7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194</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203</w:t>
            </w:r>
          </w:p>
        </w:tc>
        <w:tc>
          <w:tcPr>
            <w:tcW w:w="0" w:type="dxa"/>
            <w:vAlign w:val="bottom"/>
          </w:tcPr>
          <w:p>
            <w:pPr>
              <w:spacing w:after="0"/>
              <w:rPr>
                <w:sz w:val="1"/>
                <w:szCs w:val="1"/>
                <w:color w:val="auto"/>
              </w:rPr>
            </w:pPr>
          </w:p>
        </w:tc>
      </w:tr>
      <w:tr>
        <w:trPr>
          <w:trHeight w:val="144"/>
        </w:trPr>
        <w:tc>
          <w:tcPr>
            <w:tcW w:w="8700" w:type="dxa"/>
            <w:vAlign w:val="bottom"/>
            <w:shd w:val="clear" w:color="auto" w:fill="CCEEFF"/>
          </w:tcPr>
          <w:p>
            <w:pPr>
              <w:ind w:left="80"/>
              <w:spacing w:after="0"/>
              <w:rPr>
                <w:sz w:val="20"/>
                <w:szCs w:val="20"/>
                <w:color w:val="auto"/>
              </w:rPr>
            </w:pPr>
            <w:r>
              <w:rPr>
                <w:rFonts w:ascii="Arial" w:cs="Arial" w:eastAsia="Arial" w:hAnsi="Arial"/>
                <w:sz w:val="12"/>
                <w:szCs w:val="12"/>
                <w:color w:val="auto"/>
              </w:rPr>
              <w:t>Other than temporary impairment charge on securities available for sale</w:t>
            </w:r>
          </w:p>
        </w:tc>
        <w:tc>
          <w:tcPr>
            <w:tcW w:w="7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144</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144</w:t>
            </w:r>
          </w:p>
        </w:tc>
        <w:tc>
          <w:tcPr>
            <w:tcW w:w="0" w:type="dxa"/>
            <w:vAlign w:val="bottom"/>
          </w:tcPr>
          <w:p>
            <w:pPr>
              <w:spacing w:after="0"/>
              <w:rPr>
                <w:sz w:val="1"/>
                <w:szCs w:val="1"/>
                <w:color w:val="auto"/>
              </w:rPr>
            </w:pPr>
          </w:p>
        </w:tc>
      </w:tr>
      <w:tr>
        <w:trPr>
          <w:trHeight w:val="144"/>
        </w:trPr>
        <w:tc>
          <w:tcPr>
            <w:tcW w:w="8700" w:type="dxa"/>
            <w:vAlign w:val="bottom"/>
          </w:tcPr>
          <w:p>
            <w:pPr>
              <w:ind w:left="80"/>
              <w:spacing w:after="0"/>
              <w:rPr>
                <w:sz w:val="20"/>
                <w:szCs w:val="20"/>
                <w:color w:val="auto"/>
              </w:rPr>
            </w:pPr>
            <w:r>
              <w:rPr>
                <w:rFonts w:ascii="Arial" w:cs="Arial" w:eastAsia="Arial" w:hAnsi="Arial"/>
                <w:sz w:val="12"/>
                <w:szCs w:val="12"/>
                <w:color w:val="auto"/>
              </w:rPr>
              <w:t>Other</w:t>
            </w:r>
          </w:p>
        </w:tc>
        <w:tc>
          <w:tcPr>
            <w:tcW w:w="7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276</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87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Gross deferred tax assets</w:t>
            </w:r>
          </w:p>
        </w:tc>
        <w:tc>
          <w:tcPr>
            <w:tcW w:w="76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7"/>
              </w:rPr>
              <w:t>15,635</w:t>
            </w:r>
          </w:p>
        </w:tc>
        <w:tc>
          <w:tcPr>
            <w:tcW w:w="220" w:type="dxa"/>
            <w:vAlign w:val="bottom"/>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12,065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700" w:type="dxa"/>
            <w:vAlign w:val="bottom"/>
          </w:tcPr>
          <w:p>
            <w:pPr>
              <w:spacing w:after="0"/>
              <w:rPr>
                <w:sz w:val="20"/>
                <w:szCs w:val="20"/>
                <w:color w:val="auto"/>
              </w:rPr>
            </w:pPr>
            <w:r>
              <w:rPr>
                <w:rFonts w:ascii="Arial" w:cs="Arial" w:eastAsia="Arial" w:hAnsi="Arial"/>
                <w:sz w:val="12"/>
                <w:szCs w:val="12"/>
                <w:color w:val="auto"/>
              </w:rPr>
              <w:t>Deferred tax liabilities</w:t>
            </w: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700" w:type="dxa"/>
            <w:vAlign w:val="bottom"/>
            <w:shd w:val="clear" w:color="auto" w:fill="CCEEFF"/>
          </w:tcPr>
          <w:p>
            <w:pPr>
              <w:ind w:left="80"/>
              <w:spacing w:after="0"/>
              <w:rPr>
                <w:sz w:val="20"/>
                <w:szCs w:val="20"/>
                <w:color w:val="auto"/>
              </w:rPr>
            </w:pPr>
            <w:r>
              <w:rPr>
                <w:rFonts w:ascii="Arial" w:cs="Arial" w:eastAsia="Arial" w:hAnsi="Arial"/>
                <w:sz w:val="12"/>
                <w:szCs w:val="12"/>
                <w:color w:val="auto"/>
              </w:rPr>
              <w:t>Capitalized mortgage loan servicing rights</w:t>
            </w:r>
          </w:p>
        </w:tc>
        <w:tc>
          <w:tcPr>
            <w:tcW w:w="7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5,509</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3,550</w:t>
            </w:r>
          </w:p>
        </w:tc>
        <w:tc>
          <w:tcPr>
            <w:tcW w:w="0" w:type="dxa"/>
            <w:vAlign w:val="bottom"/>
          </w:tcPr>
          <w:p>
            <w:pPr>
              <w:spacing w:after="0"/>
              <w:rPr>
                <w:sz w:val="1"/>
                <w:szCs w:val="1"/>
                <w:color w:val="auto"/>
              </w:rPr>
            </w:pPr>
          </w:p>
        </w:tc>
      </w:tr>
      <w:tr>
        <w:trPr>
          <w:trHeight w:val="144"/>
        </w:trPr>
        <w:tc>
          <w:tcPr>
            <w:tcW w:w="8700" w:type="dxa"/>
            <w:vAlign w:val="bottom"/>
          </w:tcPr>
          <w:p>
            <w:pPr>
              <w:ind w:left="80"/>
              <w:spacing w:after="0"/>
              <w:rPr>
                <w:sz w:val="20"/>
                <w:szCs w:val="20"/>
                <w:color w:val="auto"/>
              </w:rPr>
            </w:pPr>
            <w:r>
              <w:rPr>
                <w:rFonts w:ascii="Arial" w:cs="Arial" w:eastAsia="Arial" w:hAnsi="Arial"/>
                <w:sz w:val="12"/>
                <w:szCs w:val="12"/>
                <w:color w:val="auto"/>
              </w:rPr>
              <w:t>Deferred loan fees</w:t>
            </w:r>
          </w:p>
        </w:tc>
        <w:tc>
          <w:tcPr>
            <w:tcW w:w="7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2,011</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1,901</w:t>
            </w:r>
          </w:p>
        </w:tc>
        <w:tc>
          <w:tcPr>
            <w:tcW w:w="0" w:type="dxa"/>
            <w:vAlign w:val="bottom"/>
          </w:tcPr>
          <w:p>
            <w:pPr>
              <w:spacing w:after="0"/>
              <w:rPr>
                <w:sz w:val="1"/>
                <w:szCs w:val="1"/>
                <w:color w:val="auto"/>
              </w:rPr>
            </w:pPr>
          </w:p>
        </w:tc>
      </w:tr>
      <w:tr>
        <w:trPr>
          <w:trHeight w:val="144"/>
        </w:trPr>
        <w:tc>
          <w:tcPr>
            <w:tcW w:w="8700" w:type="dxa"/>
            <w:vAlign w:val="bottom"/>
            <w:shd w:val="clear" w:color="auto" w:fill="CCEEFF"/>
          </w:tcPr>
          <w:p>
            <w:pPr>
              <w:ind w:left="80"/>
              <w:spacing w:after="0"/>
              <w:rPr>
                <w:sz w:val="20"/>
                <w:szCs w:val="20"/>
                <w:color w:val="auto"/>
              </w:rPr>
            </w:pPr>
            <w:r>
              <w:rPr>
                <w:rFonts w:ascii="Arial" w:cs="Arial" w:eastAsia="Arial" w:hAnsi="Arial"/>
                <w:sz w:val="12"/>
                <w:szCs w:val="12"/>
                <w:color w:val="auto"/>
              </w:rPr>
              <w:t>Unrealized gain on securities available for sale</w:t>
            </w:r>
          </w:p>
        </w:tc>
        <w:tc>
          <w:tcPr>
            <w:tcW w:w="7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1,674</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4,206</w:t>
            </w:r>
          </w:p>
        </w:tc>
        <w:tc>
          <w:tcPr>
            <w:tcW w:w="0" w:type="dxa"/>
            <w:vAlign w:val="bottom"/>
          </w:tcPr>
          <w:p>
            <w:pPr>
              <w:spacing w:after="0"/>
              <w:rPr>
                <w:sz w:val="1"/>
                <w:szCs w:val="1"/>
                <w:color w:val="auto"/>
              </w:rPr>
            </w:pPr>
          </w:p>
        </w:tc>
      </w:tr>
      <w:tr>
        <w:trPr>
          <w:trHeight w:val="144"/>
        </w:trPr>
        <w:tc>
          <w:tcPr>
            <w:tcW w:w="8700" w:type="dxa"/>
            <w:vAlign w:val="bottom"/>
          </w:tcPr>
          <w:p>
            <w:pPr>
              <w:ind w:left="80"/>
              <w:spacing w:after="0"/>
              <w:rPr>
                <w:sz w:val="20"/>
                <w:szCs w:val="20"/>
                <w:color w:val="auto"/>
              </w:rPr>
            </w:pPr>
            <w:r>
              <w:rPr>
                <w:rFonts w:ascii="Arial" w:cs="Arial" w:eastAsia="Arial" w:hAnsi="Arial"/>
                <w:sz w:val="12"/>
                <w:szCs w:val="12"/>
                <w:color w:val="auto"/>
              </w:rPr>
              <w:t>Lease right of use asset</w:t>
            </w:r>
          </w:p>
        </w:tc>
        <w:tc>
          <w:tcPr>
            <w:tcW w:w="7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1,361</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1,606</w:t>
            </w:r>
          </w:p>
        </w:tc>
        <w:tc>
          <w:tcPr>
            <w:tcW w:w="0" w:type="dxa"/>
            <w:vAlign w:val="bottom"/>
          </w:tcPr>
          <w:p>
            <w:pPr>
              <w:spacing w:after="0"/>
              <w:rPr>
                <w:sz w:val="1"/>
                <w:szCs w:val="1"/>
                <w:color w:val="auto"/>
              </w:rPr>
            </w:pPr>
          </w:p>
        </w:tc>
      </w:tr>
      <w:tr>
        <w:trPr>
          <w:trHeight w:val="144"/>
        </w:trPr>
        <w:tc>
          <w:tcPr>
            <w:tcW w:w="8700" w:type="dxa"/>
            <w:vAlign w:val="bottom"/>
            <w:shd w:val="clear" w:color="auto" w:fill="CCEEFF"/>
          </w:tcPr>
          <w:p>
            <w:pPr>
              <w:ind w:left="80"/>
              <w:spacing w:after="0"/>
              <w:rPr>
                <w:sz w:val="20"/>
                <w:szCs w:val="20"/>
                <w:color w:val="auto"/>
              </w:rPr>
            </w:pPr>
            <w:r>
              <w:rPr>
                <w:rFonts w:ascii="Arial" w:cs="Arial" w:eastAsia="Arial" w:hAnsi="Arial"/>
                <w:sz w:val="12"/>
                <w:szCs w:val="12"/>
                <w:color w:val="auto"/>
              </w:rPr>
              <w:t>Purchase premiums, net</w:t>
            </w:r>
          </w:p>
        </w:tc>
        <w:tc>
          <w:tcPr>
            <w:tcW w:w="7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735</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509</w:t>
            </w:r>
          </w:p>
        </w:tc>
        <w:tc>
          <w:tcPr>
            <w:tcW w:w="0" w:type="dxa"/>
            <w:vAlign w:val="bottom"/>
          </w:tcPr>
          <w:p>
            <w:pPr>
              <w:spacing w:after="0"/>
              <w:rPr>
                <w:sz w:val="1"/>
                <w:szCs w:val="1"/>
                <w:color w:val="auto"/>
              </w:rPr>
            </w:pPr>
          </w:p>
        </w:tc>
      </w:tr>
      <w:tr>
        <w:trPr>
          <w:trHeight w:val="144"/>
        </w:trPr>
        <w:tc>
          <w:tcPr>
            <w:tcW w:w="8700" w:type="dxa"/>
            <w:vAlign w:val="bottom"/>
          </w:tcPr>
          <w:p>
            <w:pPr>
              <w:ind w:left="80"/>
              <w:spacing w:after="0"/>
              <w:rPr>
                <w:sz w:val="20"/>
                <w:szCs w:val="20"/>
                <w:color w:val="auto"/>
              </w:rPr>
            </w:pPr>
            <w:r>
              <w:rPr>
                <w:rFonts w:ascii="Arial" w:cs="Arial" w:eastAsia="Arial" w:hAnsi="Arial"/>
                <w:sz w:val="12"/>
                <w:szCs w:val="12"/>
                <w:color w:val="auto"/>
              </w:rPr>
              <w:t>Other</w:t>
            </w:r>
          </w:p>
        </w:tc>
        <w:tc>
          <w:tcPr>
            <w:tcW w:w="7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18</w:t>
            </w:r>
          </w:p>
        </w:tc>
        <w:tc>
          <w:tcPr>
            <w:tcW w:w="0" w:type="dxa"/>
            <w:vAlign w:val="bottom"/>
          </w:tcPr>
          <w:p>
            <w:pPr>
              <w:spacing w:after="0"/>
              <w:rPr>
                <w:sz w:val="1"/>
                <w:szCs w:val="1"/>
                <w:color w:val="auto"/>
              </w:rPr>
            </w:pPr>
          </w:p>
        </w:tc>
      </w:tr>
      <w:tr>
        <w:trPr>
          <w:trHeight w:val="142"/>
        </w:trPr>
        <w:tc>
          <w:tcPr>
            <w:tcW w:w="8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Gross deferred tax liabilities</w:t>
            </w:r>
          </w:p>
        </w:tc>
        <w:tc>
          <w:tcPr>
            <w:tcW w:w="760" w:type="dxa"/>
            <w:vAlign w:val="bottom"/>
            <w:tcBorders>
              <w:top w:val="single" w:sz="8" w:color="auto"/>
              <w:bottom w:val="single" w:sz="8" w:color="auto"/>
            </w:tcBorders>
            <w:shd w:val="clear" w:color="auto" w:fill="CCEEFF"/>
          </w:tcPr>
          <w:p>
            <w:pPr>
              <w:spacing w:after="0"/>
              <w:rPr>
                <w:sz w:val="12"/>
                <w:szCs w:val="12"/>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7"/>
              </w:rPr>
              <w:t>11,290</w:t>
            </w:r>
          </w:p>
        </w:tc>
        <w:tc>
          <w:tcPr>
            <w:tcW w:w="2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11,790</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700" w:type="dxa"/>
            <w:vAlign w:val="bottom"/>
          </w:tcPr>
          <w:p>
            <w:pPr>
              <w:ind w:left="320"/>
              <w:spacing w:after="0"/>
              <w:rPr>
                <w:sz w:val="20"/>
                <w:szCs w:val="20"/>
                <w:color w:val="auto"/>
              </w:rPr>
            </w:pPr>
            <w:r>
              <w:rPr>
                <w:rFonts w:ascii="Arial" w:cs="Arial" w:eastAsia="Arial" w:hAnsi="Arial"/>
                <w:sz w:val="12"/>
                <w:szCs w:val="12"/>
                <w:color w:val="auto"/>
              </w:rPr>
              <w:t>Deferred tax assets, net (2)</w:t>
            </w:r>
          </w:p>
        </w:tc>
        <w:tc>
          <w:tcPr>
            <w:tcW w:w="760" w:type="dxa"/>
            <w:vAlign w:val="bottom"/>
          </w:tcPr>
          <w:p>
            <w:pPr>
              <w:jc w:val="right"/>
              <w:ind w:right="648"/>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4,345</w:t>
            </w:r>
          </w:p>
        </w:tc>
        <w:tc>
          <w:tcPr>
            <w:tcW w:w="220" w:type="dxa"/>
            <w:vAlign w:val="bottom"/>
          </w:tcPr>
          <w:p>
            <w:pPr>
              <w:spacing w:after="0"/>
              <w:rPr>
                <w:sz w:val="12"/>
                <w:szCs w:val="12"/>
                <w:color w:val="auto"/>
              </w:rPr>
            </w:pPr>
          </w:p>
        </w:tc>
        <w:tc>
          <w:tcPr>
            <w:tcW w:w="360" w:type="dxa"/>
            <w:vAlign w:val="bottom"/>
          </w:tcPr>
          <w:p>
            <w:pPr>
              <w:jc w:val="center"/>
              <w:ind w:right="240"/>
              <w:spacing w:after="0"/>
              <w:rPr>
                <w:sz w:val="20"/>
                <w:szCs w:val="20"/>
                <w:color w:val="auto"/>
              </w:rPr>
            </w:pPr>
            <w:r>
              <w:rPr>
                <w:rFonts w:ascii="Arial" w:cs="Arial" w:eastAsia="Arial" w:hAnsi="Arial"/>
                <w:sz w:val="12"/>
                <w:szCs w:val="12"/>
                <w:color w:val="auto"/>
                <w:w w:val="89"/>
              </w:rPr>
              <w:t>$</w:t>
            </w: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275</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left="208" w:hanging="208"/>
        <w:spacing w:after="0"/>
        <w:tabs>
          <w:tab w:leader="none" w:pos="208" w:val="left"/>
        </w:tabs>
        <w:numPr>
          <w:ilvl w:val="0"/>
          <w:numId w:val="34"/>
        </w:numPr>
        <w:rPr>
          <w:rFonts w:ascii="Arial" w:cs="Arial" w:eastAsia="Arial" w:hAnsi="Arial"/>
          <w:sz w:val="12"/>
          <w:szCs w:val="12"/>
          <w:color w:val="auto"/>
        </w:rPr>
      </w:pPr>
      <w:r>
        <w:rPr>
          <w:rFonts w:ascii="Arial" w:cs="Arial" w:eastAsia="Arial" w:hAnsi="Arial"/>
          <w:sz w:val="12"/>
          <w:szCs w:val="12"/>
          <w:color w:val="auto"/>
        </w:rPr>
        <w:t>Beginning January 1, 2021, calculation is based on CECL methodology. Prior to January 1, 2021, calculation was based on the probable incurred loss methodology.</w:t>
      </w:r>
    </w:p>
    <w:p>
      <w:pPr>
        <w:spacing w:after="0" w:line="14" w:lineRule="exact"/>
        <w:rPr>
          <w:rFonts w:ascii="Arial" w:cs="Arial" w:eastAsia="Arial" w:hAnsi="Arial"/>
          <w:sz w:val="12"/>
          <w:szCs w:val="12"/>
          <w:color w:val="auto"/>
        </w:rPr>
      </w:pPr>
    </w:p>
    <w:p>
      <w:pPr>
        <w:ind w:left="208" w:hanging="208"/>
        <w:spacing w:after="0"/>
        <w:tabs>
          <w:tab w:leader="none" w:pos="208" w:val="left"/>
        </w:tabs>
        <w:numPr>
          <w:ilvl w:val="0"/>
          <w:numId w:val="34"/>
        </w:numPr>
        <w:rPr>
          <w:rFonts w:ascii="Arial" w:cs="Arial" w:eastAsia="Arial" w:hAnsi="Arial"/>
          <w:sz w:val="12"/>
          <w:szCs w:val="12"/>
          <w:color w:val="auto"/>
        </w:rPr>
      </w:pPr>
      <w:r>
        <w:rPr>
          <w:rFonts w:ascii="Arial" w:cs="Arial" w:eastAsia="Arial" w:hAnsi="Arial"/>
          <w:sz w:val="12"/>
          <w:szCs w:val="12"/>
          <w:color w:val="auto"/>
        </w:rPr>
        <w:t>Included in accrued income and other assets on the Consolidated Statements of Financial Position.</w:t>
      </w:r>
    </w:p>
    <w:p>
      <w:pPr>
        <w:spacing w:after="0" w:line="285" w:lineRule="exact"/>
        <w:rPr>
          <w:sz w:val="20"/>
          <w:szCs w:val="20"/>
          <w:color w:val="auto"/>
        </w:rPr>
      </w:pPr>
    </w:p>
    <w:p>
      <w:pPr>
        <w:ind w:left="8" w:firstLine="216"/>
        <w:spacing w:after="0" w:line="323" w:lineRule="auto"/>
        <w:rPr>
          <w:sz w:val="20"/>
          <w:szCs w:val="20"/>
          <w:color w:val="auto"/>
        </w:rPr>
      </w:pPr>
      <w:r>
        <w:rPr>
          <w:rFonts w:ascii="Arial" w:cs="Arial" w:eastAsia="Arial" w:hAnsi="Arial"/>
          <w:sz w:val="11"/>
          <w:szCs w:val="11"/>
          <w:color w:val="auto"/>
        </w:rPr>
        <w:t>We assess whether a valuation allowance should be established against our deferred tax assets based on the consideration of all available evidence using a ‘‘more likely than not’’ standard. The ultimate realization of this asset is primarily based on generating future income. We concluded at both December 31, 2021 and 2020, that the realization of substantially all of our deferred tax assets continues to be more likely than not.</w:t>
      </w:r>
    </w:p>
    <w:p>
      <w:pPr>
        <w:spacing w:after="0" w:line="92"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4800" w:type="dxa"/>
            <w:vAlign w:val="bottom"/>
          </w:tcPr>
          <w:p>
            <w:pPr>
              <w:ind w:left="200"/>
              <w:spacing w:after="0"/>
              <w:rPr>
                <w:sz w:val="20"/>
                <w:szCs w:val="20"/>
                <w:color w:val="auto"/>
              </w:rPr>
            </w:pPr>
            <w:r>
              <w:rPr>
                <w:rFonts w:ascii="Arial" w:cs="Arial" w:eastAsia="Arial" w:hAnsi="Arial"/>
                <w:sz w:val="12"/>
                <w:szCs w:val="12"/>
                <w:color w:val="auto"/>
              </w:rPr>
              <w:t>Changes in unrecognized tax benefits for the years ended December 31 follow:</w:t>
            </w:r>
          </w:p>
        </w:tc>
        <w:tc>
          <w:tcPr>
            <w:tcW w:w="2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4800" w:type="dxa"/>
            <w:vAlign w:val="bottom"/>
          </w:tcPr>
          <w:p>
            <w:pPr>
              <w:spacing w:after="0"/>
              <w:rPr>
                <w:sz w:val="24"/>
                <w:szCs w:val="24"/>
                <w:color w:val="auto"/>
              </w:rPr>
            </w:pPr>
          </w:p>
        </w:tc>
        <w:tc>
          <w:tcPr>
            <w:tcW w:w="3380" w:type="dxa"/>
            <w:vAlign w:val="bottom"/>
            <w:gridSpan w:val="2"/>
          </w:tcPr>
          <w:p>
            <w:pPr>
              <w:jc w:val="right"/>
              <w:ind w:right="92"/>
              <w:spacing w:after="0"/>
              <w:rPr>
                <w:sz w:val="20"/>
                <w:szCs w:val="20"/>
                <w:color w:val="auto"/>
              </w:rPr>
            </w:pPr>
            <w:r>
              <w:rPr>
                <w:rFonts w:ascii="Arial" w:cs="Arial" w:eastAsia="Arial" w:hAnsi="Arial"/>
                <w:sz w:val="12"/>
                <w:szCs w:val="12"/>
                <w:b w:val="1"/>
                <w:bCs w:val="1"/>
                <w:color w:val="auto"/>
              </w:rPr>
              <w:t>2021</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380"/>
              <w:spacing w:after="0"/>
              <w:rPr>
                <w:sz w:val="20"/>
                <w:szCs w:val="20"/>
                <w:color w:val="auto"/>
              </w:rPr>
            </w:pPr>
            <w:r>
              <w:rPr>
                <w:rFonts w:ascii="Arial" w:cs="Arial" w:eastAsia="Arial" w:hAnsi="Arial"/>
                <w:sz w:val="12"/>
                <w:szCs w:val="12"/>
                <w:b w:val="1"/>
                <w:bCs w:val="1"/>
                <w:color w:val="auto"/>
              </w:rPr>
              <w:t>2020</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380"/>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24"/>
                <w:szCs w:val="24"/>
                <w:color w:val="auto"/>
              </w:rPr>
            </w:pPr>
          </w:p>
        </w:tc>
      </w:tr>
      <w:tr>
        <w:trPr>
          <w:trHeight w:val="155"/>
        </w:trPr>
        <w:tc>
          <w:tcPr>
            <w:tcW w:w="480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140"/>
              <w:spacing w:after="0"/>
              <w:rPr>
                <w:sz w:val="20"/>
                <w:szCs w:val="20"/>
                <w:color w:val="auto"/>
              </w:rPr>
            </w:pPr>
            <w:r>
              <w:rPr>
                <w:rFonts w:ascii="Arial" w:cs="Arial" w:eastAsia="Arial" w:hAnsi="Arial"/>
                <w:sz w:val="12"/>
                <w:szCs w:val="12"/>
                <w:b w:val="1"/>
                <w:bCs w:val="1"/>
                <w:color w:val="auto"/>
                <w:w w:val="94"/>
              </w:rPr>
              <w:t>(In thousands)</w:t>
            </w:r>
          </w:p>
        </w:tc>
        <w:tc>
          <w:tcPr>
            <w:tcW w:w="2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31"/>
        </w:trPr>
        <w:tc>
          <w:tcPr>
            <w:tcW w:w="4800" w:type="dxa"/>
            <w:vAlign w:val="bottom"/>
          </w:tcPr>
          <w:p>
            <w:pPr>
              <w:spacing w:after="0"/>
              <w:rPr>
                <w:sz w:val="11"/>
                <w:szCs w:val="11"/>
                <w:color w:val="auto"/>
              </w:rPr>
            </w:pPr>
          </w:p>
        </w:tc>
        <w:tc>
          <w:tcPr>
            <w:tcW w:w="3380" w:type="dxa"/>
            <w:vAlign w:val="bottom"/>
            <w:gridSpan w:val="2"/>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gridSpan w:val="2"/>
          </w:tcPr>
          <w:p>
            <w:pPr>
              <w:spacing w:after="0"/>
              <w:rPr>
                <w:sz w:val="11"/>
                <w:szCs w:val="11"/>
                <w:color w:val="auto"/>
              </w:rPr>
            </w:pPr>
          </w:p>
        </w:tc>
      </w:tr>
      <w:tr>
        <w:trPr>
          <w:trHeight w:val="144"/>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Balance at beginning of year</w:t>
            </w:r>
          </w:p>
        </w:tc>
        <w:tc>
          <w:tcPr>
            <w:tcW w:w="3380" w:type="dxa"/>
            <w:vAlign w:val="bottom"/>
            <w:gridSpan w:val="2"/>
            <w:shd w:val="clear" w:color="auto" w:fill="CCEEFF"/>
          </w:tcPr>
          <w:p>
            <w:pPr>
              <w:jc w:val="right"/>
              <w:ind w:right="732"/>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180</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438</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588</w:t>
            </w:r>
          </w:p>
        </w:tc>
      </w:tr>
      <w:tr>
        <w:trPr>
          <w:trHeight w:val="144"/>
        </w:trPr>
        <w:tc>
          <w:tcPr>
            <w:tcW w:w="4800" w:type="dxa"/>
            <w:vAlign w:val="bottom"/>
          </w:tcPr>
          <w:p>
            <w:pPr>
              <w:ind w:left="80"/>
              <w:spacing w:after="0"/>
              <w:rPr>
                <w:sz w:val="20"/>
                <w:szCs w:val="20"/>
                <w:color w:val="auto"/>
              </w:rPr>
            </w:pPr>
            <w:r>
              <w:rPr>
                <w:rFonts w:ascii="Arial" w:cs="Arial" w:eastAsia="Arial" w:hAnsi="Arial"/>
                <w:sz w:val="12"/>
                <w:szCs w:val="12"/>
                <w:color w:val="auto"/>
              </w:rPr>
              <w:t>Additions based on tax positions related to the current year</w:t>
            </w:r>
          </w:p>
        </w:tc>
        <w:tc>
          <w:tcPr>
            <w:tcW w:w="2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11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15</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20</w:t>
            </w:r>
          </w:p>
        </w:tc>
      </w:tr>
      <w:tr>
        <w:trPr>
          <w:trHeight w:val="144"/>
        </w:trPr>
        <w:tc>
          <w:tcPr>
            <w:tcW w:w="4800" w:type="dxa"/>
            <w:vAlign w:val="bottom"/>
            <w:shd w:val="clear" w:color="auto" w:fill="CCEEFF"/>
          </w:tcPr>
          <w:p>
            <w:pPr>
              <w:ind w:left="80"/>
              <w:spacing w:after="0"/>
              <w:rPr>
                <w:sz w:val="20"/>
                <w:szCs w:val="20"/>
                <w:color w:val="auto"/>
              </w:rPr>
            </w:pPr>
            <w:r>
              <w:rPr>
                <w:rFonts w:ascii="Arial" w:cs="Arial" w:eastAsia="Arial" w:hAnsi="Arial"/>
                <w:sz w:val="12"/>
                <w:szCs w:val="12"/>
                <w:color w:val="auto"/>
              </w:rPr>
              <w:t>Reductions due to the statute of limitations</w:t>
            </w:r>
          </w:p>
        </w:tc>
        <w:tc>
          <w:tcPr>
            <w:tcW w:w="25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(273)</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(170)</w:t>
            </w:r>
          </w:p>
        </w:tc>
      </w:tr>
      <w:tr>
        <w:trPr>
          <w:trHeight w:val="144"/>
        </w:trPr>
        <w:tc>
          <w:tcPr>
            <w:tcW w:w="4800" w:type="dxa"/>
            <w:vAlign w:val="bottom"/>
          </w:tcPr>
          <w:p>
            <w:pPr>
              <w:ind w:left="80"/>
              <w:spacing w:after="0"/>
              <w:rPr>
                <w:sz w:val="20"/>
                <w:szCs w:val="20"/>
                <w:color w:val="auto"/>
              </w:rPr>
            </w:pPr>
            <w:r>
              <w:rPr>
                <w:rFonts w:ascii="Arial" w:cs="Arial" w:eastAsia="Arial" w:hAnsi="Arial"/>
                <w:sz w:val="12"/>
                <w:szCs w:val="12"/>
                <w:color w:val="auto"/>
              </w:rPr>
              <w:t>Reductions due to settlements</w:t>
            </w:r>
          </w:p>
        </w:tc>
        <w:tc>
          <w:tcPr>
            <w:tcW w:w="2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82"/>
        </w:trPr>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Balance at end of year</w:t>
            </w:r>
          </w:p>
        </w:tc>
        <w:tc>
          <w:tcPr>
            <w:tcW w:w="25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ind w:right="732"/>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180</w:t>
            </w:r>
          </w:p>
        </w:tc>
        <w:tc>
          <w:tcPr>
            <w:tcW w:w="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180</w:t>
            </w:r>
          </w:p>
        </w:tc>
        <w:tc>
          <w:tcPr>
            <w:tcW w:w="2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438</w:t>
            </w:r>
          </w:p>
        </w:tc>
        <w:tc>
          <w:tcPr>
            <w:tcW w:w="120" w:type="dxa"/>
            <w:vAlign w:val="bottom"/>
            <w:tcBorders>
              <w:bottom w:val="single" w:sz="8" w:color="CCEEFF"/>
            </w:tcBorders>
            <w:shd w:val="clear" w:color="auto" w:fill="CCEEFF"/>
          </w:tcPr>
          <w:p>
            <w:pPr>
              <w:spacing w:after="0"/>
              <w:rPr>
                <w:sz w:val="15"/>
                <w:szCs w:val="15"/>
                <w:color w:val="auto"/>
              </w:rPr>
            </w:pPr>
          </w:p>
        </w:tc>
      </w:tr>
      <w:tr>
        <w:trPr>
          <w:trHeight w:val="355"/>
        </w:trPr>
        <w:tc>
          <w:tcPr>
            <w:tcW w:w="4800" w:type="dxa"/>
            <w:vAlign w:val="bottom"/>
          </w:tcPr>
          <w:p>
            <w:pPr>
              <w:spacing w:after="0"/>
              <w:rPr>
                <w:sz w:val="24"/>
                <w:szCs w:val="24"/>
                <w:color w:val="auto"/>
              </w:rPr>
            </w:pPr>
          </w:p>
        </w:tc>
        <w:tc>
          <w:tcPr>
            <w:tcW w:w="2540" w:type="dxa"/>
            <w:vAlign w:val="bottom"/>
          </w:tcPr>
          <w:p>
            <w:pPr>
              <w:jc w:val="right"/>
              <w:ind w:right="1584"/>
              <w:spacing w:after="0"/>
              <w:rPr>
                <w:sz w:val="20"/>
                <w:szCs w:val="20"/>
                <w:color w:val="auto"/>
              </w:rPr>
            </w:pPr>
            <w:r>
              <w:rPr>
                <w:rFonts w:ascii="Arial" w:cs="Arial" w:eastAsia="Arial" w:hAnsi="Arial"/>
                <w:sz w:val="10"/>
                <w:szCs w:val="10"/>
                <w:color w:val="auto"/>
              </w:rPr>
              <w:t>83</w:t>
            </w: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
        </w:trPr>
        <w:tc>
          <w:tcPr>
            <w:tcW w:w="48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bl>
    <w:p>
      <w:pPr>
        <w:sectPr>
          <w:pgSz w:w="11900" w:h="16838" w:orient="portrait"/>
          <w:cols w:equalWidth="0" w:num="1">
            <w:col w:w="11308"/>
          </w:cols>
          <w:pgMar w:left="292" w:top="127" w:right="29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2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If recognized, the entire amount of unrecognized tax benefits, net of $0.04 million of federal tax on state benefits, would affect our effective tax rate. We do not expect the total amount of unrecognized tax benefits to significantly increase or decrease in the next twelve months. No amounts were expensed for interest and penalties for the years ended December 31, 2021, 2020 and 2019. No amounts were accrued for interest and penalties at December 31, 2021, 2020 and 2019. At December 31, 2021, U.S. Federal tax years 2018 through the present remain open to examination.</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14 – SHARE BASED COMPENSATION AND BENEFIT PLANS</w:t>
      </w:r>
    </w:p>
    <w:p>
      <w:pPr>
        <w:spacing w:after="0" w:line="154" w:lineRule="exact"/>
        <w:rPr>
          <w:sz w:val="20"/>
          <w:szCs w:val="20"/>
          <w:color w:val="auto"/>
        </w:rPr>
      </w:pPr>
    </w:p>
    <w:p>
      <w:pPr>
        <w:jc w:val="both"/>
        <w:ind w:firstLine="216"/>
        <w:spacing w:after="0" w:line="289" w:lineRule="auto"/>
        <w:rPr>
          <w:sz w:val="20"/>
          <w:szCs w:val="20"/>
          <w:color w:val="auto"/>
        </w:rPr>
      </w:pPr>
      <w:r>
        <w:rPr>
          <w:rFonts w:ascii="Arial" w:cs="Arial" w:eastAsia="Arial" w:hAnsi="Arial"/>
          <w:sz w:val="11"/>
          <w:szCs w:val="11"/>
          <w:color w:val="auto"/>
        </w:rPr>
        <w:t>We maintain share based payment plans that include a non-employee director stock purchase plan and a long-term incentive plan that permits the issuance of share based compensation, including stock options and non-vested share awards. The long-term incentive plan, which is shareholder approved, permits the grant of additional share based awards for up to 0.7 million shares of common stock as of December 31, 2021. The non-employee director stock purchase plan permits the grant of additional share based payments for up to 0.1 million shares of common stock as of December 31, 2021. Share based awards and payments are measured at fair value at the date of grant and are expensed over the requisite service period. Common shares issued upon exercise of stock options come from currently authorized but unissued shares.</w:t>
      </w:r>
    </w:p>
    <w:p>
      <w:pPr>
        <w:spacing w:after="0" w:line="111"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During 2021, 2020 and 2019 pursuant to our long-term incentive plan, we granted 0.09 million, 0.06 million and 0.06 million shares, respectively of restricted stock and 0.02 million during each year of performance stock units (‘‘PSUs’’), to certain officers. Except for 0.010 million shares of restricted stock issued in 2019 that vest ratably over three years, all shares of restricted stock and PSUs cliff vest after a period of three years. The performance feature of the PSUs is based on a comparison of our total shareholder return over the vesting period starting on the grant date to the total shareholder return over that period for a banking index of our peers. We have not issued stock options in the previous three years.</w:t>
      </w:r>
    </w:p>
    <w:p>
      <w:pPr>
        <w:spacing w:after="0" w:line="124"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Our directors may elect to receive all or a portion of their cash retainer fees in the form of common stock (either on a current basis or on a deferred basis) pursuant to the non-employee director stock purchase plan referenced above. Shares equal in value to that portion of each director’s fees that he or she has elected to receive in stock on a current basis are issued each quarter and vest immediately. Shares issued on a deferred basis are credited at the rate of 90% of the current fair value of our common stock and vest immediately. We issued 0.02 million, 0.02 million and 0.01 million shares to directors pursuant to this plan during the years ending 2021, 2020 and 2019, respectively and expensed their value during those same periods.</w:t>
      </w:r>
    </w:p>
    <w:p>
      <w:pPr>
        <w:spacing w:after="0" w:line="124"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Total compensation expense recognized for grants pursuant to our long-term incentive plan was $1.6 million in 2021, 2020 and 2019. The corresponding tax benefit relating to this expense was $0.3 million during each year. Total expense recognized for non-employee director share based payments was $0.4 million, $0.4 million and $0.3 million in 2021, 2020 and 2019, respectively. The corresponding tax benefit relating to this expense was $0.08 million, $0.07 million and $0.05 million in 2021, 2020 and 2019, respectively.</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27"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At December 31, 2021, the total expected compensation cost related to non-vested restricted stock and PSUs not yet recognized was $2.1 million. The weighted-average period over which this amount will be recognized is 1.8 years.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740" w:type="dxa"/>
            <w:vAlign w:val="bottom"/>
            <w:gridSpan w:val="2"/>
          </w:tcPr>
          <w:p>
            <w:pPr>
              <w:ind w:left="200"/>
              <w:spacing w:after="0"/>
              <w:rPr>
                <w:sz w:val="20"/>
                <w:szCs w:val="20"/>
                <w:color w:val="auto"/>
              </w:rPr>
            </w:pPr>
            <w:r>
              <w:rPr>
                <w:rFonts w:ascii="Arial" w:cs="Arial" w:eastAsia="Arial" w:hAnsi="Arial"/>
                <w:sz w:val="12"/>
                <w:szCs w:val="12"/>
                <w:color w:val="auto"/>
              </w:rPr>
              <w:t>A summary of outstanding stock option grants and related transactions follows:</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75"/>
        </w:trPr>
        <w:tc>
          <w:tcPr>
            <w:tcW w:w="60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89"/>
              </w:rPr>
              <w:t>Weighted-</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144"/>
        </w:trPr>
        <w:tc>
          <w:tcPr>
            <w:tcW w:w="60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8"/>
              </w:rPr>
              <w:t>Average</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0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center"/>
              <w:ind w:left="263"/>
              <w:spacing w:after="0"/>
              <w:rPr>
                <w:sz w:val="20"/>
                <w:szCs w:val="20"/>
                <w:color w:val="auto"/>
              </w:rPr>
            </w:pPr>
            <w:r>
              <w:rPr>
                <w:rFonts w:ascii="Arial" w:cs="Arial" w:eastAsia="Arial" w:hAnsi="Arial"/>
                <w:sz w:val="12"/>
                <w:szCs w:val="12"/>
                <w:b w:val="1"/>
                <w:bCs w:val="1"/>
                <w:color w:val="auto"/>
                <w:w w:val="84"/>
              </w:rPr>
              <w:t>Average</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1"/>
              </w:rPr>
              <w:t>Remaining</w:t>
            </w:r>
          </w:p>
        </w:tc>
        <w:tc>
          <w:tcPr>
            <w:tcW w:w="120" w:type="dxa"/>
            <w:vAlign w:val="bottom"/>
          </w:tcPr>
          <w:p>
            <w:pPr>
              <w:spacing w:after="0"/>
              <w:rPr>
                <w:sz w:val="12"/>
                <w:szCs w:val="12"/>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6"/>
              </w:rPr>
              <w:t>Aggregated</w:t>
            </w:r>
          </w:p>
        </w:tc>
      </w:tr>
      <w:tr>
        <w:trPr>
          <w:trHeight w:val="144"/>
        </w:trPr>
        <w:tc>
          <w:tcPr>
            <w:tcW w:w="6000" w:type="dxa"/>
            <w:vAlign w:val="bottom"/>
          </w:tcPr>
          <w:p>
            <w:pPr>
              <w:spacing w:after="0"/>
              <w:rPr>
                <w:sz w:val="12"/>
                <w:szCs w:val="12"/>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2"/>
                <w:szCs w:val="12"/>
                <w:b w:val="1"/>
                <w:bCs w:val="1"/>
                <w:color w:val="auto"/>
                <w:w w:val="93"/>
              </w:rPr>
              <w:t>Number of</w:t>
            </w:r>
          </w:p>
        </w:tc>
        <w:tc>
          <w:tcPr>
            <w:tcW w:w="880" w:type="dxa"/>
            <w:vAlign w:val="bottom"/>
          </w:tcPr>
          <w:p>
            <w:pPr>
              <w:jc w:val="center"/>
              <w:ind w:left="263"/>
              <w:spacing w:after="0"/>
              <w:rPr>
                <w:sz w:val="20"/>
                <w:szCs w:val="20"/>
                <w:color w:val="auto"/>
              </w:rPr>
            </w:pPr>
            <w:r>
              <w:rPr>
                <w:rFonts w:ascii="Arial" w:cs="Arial" w:eastAsia="Arial" w:hAnsi="Arial"/>
                <w:sz w:val="12"/>
                <w:szCs w:val="12"/>
                <w:b w:val="1"/>
                <w:bCs w:val="1"/>
                <w:color w:val="auto"/>
                <w:w w:val="89"/>
              </w:rPr>
              <w:t>Exercise</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2"/>
              </w:rPr>
              <w:t>Contractual</w:t>
            </w:r>
          </w:p>
        </w:tc>
        <w:tc>
          <w:tcPr>
            <w:tcW w:w="120" w:type="dxa"/>
            <w:vAlign w:val="bottom"/>
          </w:tcPr>
          <w:p>
            <w:pPr>
              <w:spacing w:after="0"/>
              <w:rPr>
                <w:sz w:val="12"/>
                <w:szCs w:val="12"/>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4"/>
              </w:rPr>
              <w:t>Intrinsic</w:t>
            </w:r>
          </w:p>
        </w:tc>
      </w:tr>
      <w:tr>
        <w:trPr>
          <w:trHeight w:val="157"/>
        </w:trPr>
        <w:tc>
          <w:tcPr>
            <w:tcW w:w="6000" w:type="dxa"/>
            <w:vAlign w:val="bottom"/>
          </w:tcPr>
          <w:p>
            <w:pPr>
              <w:spacing w:after="0"/>
              <w:rPr>
                <w:sz w:val="13"/>
                <w:szCs w:val="13"/>
                <w:color w:val="auto"/>
              </w:rPr>
            </w:pPr>
          </w:p>
        </w:tc>
        <w:tc>
          <w:tcPr>
            <w:tcW w:w="740" w:type="dxa"/>
            <w:vAlign w:val="bottom"/>
          </w:tcPr>
          <w:p>
            <w:pPr>
              <w:jc w:val="center"/>
              <w:ind w:left="340"/>
              <w:spacing w:after="0"/>
              <w:rPr>
                <w:sz w:val="20"/>
                <w:szCs w:val="20"/>
                <w:color w:val="auto"/>
              </w:rPr>
            </w:pPr>
            <w:r>
              <w:rPr>
                <w:rFonts w:ascii="Arial" w:cs="Arial" w:eastAsia="Arial" w:hAnsi="Arial"/>
                <w:sz w:val="12"/>
                <w:szCs w:val="12"/>
                <w:b w:val="1"/>
                <w:bCs w:val="1"/>
                <w:color w:val="auto"/>
                <w:w w:val="84"/>
              </w:rPr>
              <w:t>Shares</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center"/>
              <w:ind w:left="263"/>
              <w:spacing w:after="0"/>
              <w:rPr>
                <w:sz w:val="20"/>
                <w:szCs w:val="20"/>
                <w:color w:val="auto"/>
              </w:rPr>
            </w:pPr>
            <w:r>
              <w:rPr>
                <w:rFonts w:ascii="Arial" w:cs="Arial" w:eastAsia="Arial" w:hAnsi="Arial"/>
                <w:sz w:val="12"/>
                <w:szCs w:val="12"/>
                <w:b w:val="1"/>
                <w:bCs w:val="1"/>
                <w:color w:val="auto"/>
                <w:w w:val="95"/>
              </w:rPr>
              <w:t>Price</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2"/>
              </w:rPr>
              <w:t>Term (Years)</w:t>
            </w:r>
          </w:p>
        </w:tc>
        <w:tc>
          <w:tcPr>
            <w:tcW w:w="120" w:type="dxa"/>
            <w:vAlign w:val="bottom"/>
          </w:tcPr>
          <w:p>
            <w:pPr>
              <w:spacing w:after="0"/>
              <w:rPr>
                <w:sz w:val="13"/>
                <w:szCs w:val="13"/>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3"/>
              </w:rPr>
              <w:t>Value</w:t>
            </w:r>
          </w:p>
        </w:tc>
      </w:tr>
      <w:tr>
        <w:trPr>
          <w:trHeight w:val="142"/>
        </w:trPr>
        <w:tc>
          <w:tcPr>
            <w:tcW w:w="60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center"/>
              <w:ind w:right="40"/>
              <w:spacing w:after="0"/>
              <w:rPr>
                <w:sz w:val="20"/>
                <w:szCs w:val="20"/>
                <w:color w:val="auto"/>
              </w:rPr>
            </w:pPr>
            <w:r>
              <w:rPr>
                <w:rFonts w:ascii="Arial" w:cs="Arial" w:eastAsia="Arial" w:hAnsi="Arial"/>
                <w:sz w:val="12"/>
                <w:szCs w:val="12"/>
                <w:b w:val="1"/>
                <w:bCs w:val="1"/>
                <w:color w:val="auto"/>
                <w:w w:val="89"/>
              </w:rPr>
              <w:t>(In thousands)</w:t>
            </w:r>
          </w:p>
        </w:tc>
        <w:tc>
          <w:tcPr>
            <w:tcW w:w="120" w:type="dxa"/>
            <w:vAlign w:val="bottom"/>
          </w:tcPr>
          <w:p>
            <w:pPr>
              <w:spacing w:after="0"/>
              <w:rPr>
                <w:sz w:val="12"/>
                <w:szCs w:val="12"/>
                <w:color w:val="auto"/>
              </w:rPr>
            </w:pPr>
          </w:p>
        </w:tc>
      </w:tr>
      <w:tr>
        <w:trPr>
          <w:trHeight w:val="144"/>
        </w:trPr>
        <w:tc>
          <w:tcPr>
            <w:tcW w:w="67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Outstanding at January 1,2021</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7"/>
              </w:rPr>
              <w:t>121,189</w:t>
            </w:r>
          </w:p>
        </w:tc>
        <w:tc>
          <w:tcPr>
            <w:tcW w:w="200" w:type="dxa"/>
            <w:vAlign w:val="bottom"/>
            <w:shd w:val="clear" w:color="auto" w:fill="CCEEFF"/>
          </w:tcPr>
          <w:p>
            <w:pPr>
              <w:spacing w:after="0"/>
              <w:rPr>
                <w:sz w:val="12"/>
                <w:szCs w:val="12"/>
                <w:color w:val="auto"/>
              </w:rPr>
            </w:pPr>
          </w:p>
        </w:tc>
        <w:tc>
          <w:tcPr>
            <w:tcW w:w="880" w:type="dxa"/>
            <w:vAlign w:val="bottom"/>
            <w:tcBorders>
              <w:left w:val="single" w:sz="8" w:color="CCEEFF"/>
            </w:tcBorders>
            <w:shd w:val="clear" w:color="auto" w:fill="CCEEFF"/>
          </w:tcPr>
          <w:p>
            <w:pPr>
              <w:jc w:val="right"/>
              <w:ind w:right="723"/>
              <w:spacing w:after="0"/>
              <w:rPr>
                <w:sz w:val="20"/>
                <w:szCs w:val="20"/>
                <w:color w:val="auto"/>
              </w:rPr>
            </w:pPr>
            <w:r>
              <w:rPr>
                <w:rFonts w:ascii="Arial" w:cs="Arial" w:eastAsia="Arial" w:hAnsi="Arial"/>
                <w:sz w:val="12"/>
                <w:szCs w:val="12"/>
                <w:color w:val="auto"/>
              </w:rPr>
              <w:t>$</w:t>
            </w:r>
          </w:p>
        </w:tc>
        <w:tc>
          <w:tcPr>
            <w:tcW w:w="500" w:type="dxa"/>
            <w:vAlign w:val="bottom"/>
            <w:tcBorders>
              <w:right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2"/>
                <w:szCs w:val="12"/>
                <w:color w:val="auto"/>
                <w:w w:val="85"/>
              </w:rPr>
              <w:t>4.81</w:t>
            </w:r>
          </w:p>
        </w:tc>
        <w:tc>
          <w:tcPr>
            <w:tcW w:w="120" w:type="dxa"/>
            <w:vAlign w:val="bottom"/>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6740" w:type="dxa"/>
            <w:vAlign w:val="bottom"/>
            <w:gridSpan w:val="2"/>
          </w:tcPr>
          <w:p>
            <w:pPr>
              <w:ind w:left="80"/>
              <w:spacing w:after="0"/>
              <w:rPr>
                <w:sz w:val="20"/>
                <w:szCs w:val="20"/>
                <w:color w:val="auto"/>
              </w:rPr>
            </w:pPr>
            <w:r>
              <w:rPr>
                <w:rFonts w:ascii="Arial" w:cs="Arial" w:eastAsia="Arial" w:hAnsi="Arial"/>
                <w:sz w:val="12"/>
                <w:szCs w:val="12"/>
                <w:color w:val="auto"/>
              </w:rPr>
              <w:t>Granted</w:t>
            </w: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74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Exercised</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93"/>
              </w:rPr>
              <w:t>(40,350)</w:t>
            </w:r>
          </w:p>
        </w:tc>
        <w:tc>
          <w:tcPr>
            <w:tcW w:w="880" w:type="dxa"/>
            <w:vAlign w:val="bottom"/>
            <w:tcBorders>
              <w:left w:val="single" w:sz="8" w:color="CCEEFF"/>
            </w:tcBorders>
            <w:shd w:val="clear" w:color="auto" w:fill="CCEEFF"/>
          </w:tcPr>
          <w:p>
            <w:pPr>
              <w:spacing w:after="0"/>
              <w:rPr>
                <w:sz w:val="12"/>
                <w:szCs w:val="12"/>
                <w:color w:val="auto"/>
              </w:rPr>
            </w:pPr>
          </w:p>
        </w:tc>
        <w:tc>
          <w:tcPr>
            <w:tcW w:w="500" w:type="dxa"/>
            <w:vAlign w:val="bottom"/>
            <w:tcBorders>
              <w:right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2"/>
                <w:szCs w:val="12"/>
                <w:color w:val="auto"/>
                <w:w w:val="85"/>
              </w:rPr>
              <w:t>2.90</w:t>
            </w:r>
          </w:p>
        </w:tc>
        <w:tc>
          <w:tcPr>
            <w:tcW w:w="120" w:type="dxa"/>
            <w:vAlign w:val="bottom"/>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6740" w:type="dxa"/>
            <w:vAlign w:val="bottom"/>
            <w:gridSpan w:val="2"/>
          </w:tcPr>
          <w:p>
            <w:pPr>
              <w:ind w:left="80"/>
              <w:spacing w:after="0"/>
              <w:rPr>
                <w:sz w:val="20"/>
                <w:szCs w:val="20"/>
                <w:color w:val="auto"/>
              </w:rPr>
            </w:pPr>
            <w:r>
              <w:rPr>
                <w:rFonts w:ascii="Arial" w:cs="Arial" w:eastAsia="Arial" w:hAnsi="Arial"/>
                <w:sz w:val="12"/>
                <w:szCs w:val="12"/>
                <w:color w:val="auto"/>
              </w:rPr>
              <w:t>Forfeited</w:t>
            </w: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0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Expired</w:t>
            </w:r>
          </w:p>
        </w:tc>
        <w:tc>
          <w:tcPr>
            <w:tcW w:w="74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left w:val="single" w:sz="8" w:color="CCEEFF"/>
              <w:bottom w:val="single" w:sz="8" w:color="CCEEFF"/>
            </w:tcBorders>
            <w:shd w:val="clear" w:color="auto" w:fill="CCEEFF"/>
          </w:tcPr>
          <w:p>
            <w:pPr>
              <w:spacing w:after="0"/>
              <w:rPr>
                <w:sz w:val="12"/>
                <w:szCs w:val="12"/>
                <w:color w:val="auto"/>
              </w:rPr>
            </w:pPr>
          </w:p>
        </w:tc>
        <w:tc>
          <w:tcPr>
            <w:tcW w:w="280" w:type="dxa"/>
            <w:vAlign w:val="bottom"/>
            <w:tcBorders>
              <w:bottom w:val="single" w:sz="8" w:color="CCEEFF"/>
              <w:right w:val="single" w:sz="8" w:color="CCEEFF"/>
            </w:tcBorders>
            <w:shd w:val="clear" w:color="auto" w:fill="CCEEFF"/>
          </w:tcPr>
          <w:p>
            <w:pPr>
              <w:spacing w:after="0"/>
              <w:rPr>
                <w:sz w:val="12"/>
                <w:szCs w:val="12"/>
                <w:color w:val="auto"/>
              </w:rPr>
            </w:pPr>
          </w:p>
        </w:tc>
        <w:tc>
          <w:tcPr>
            <w:tcW w:w="220" w:type="dxa"/>
            <w:vAlign w:val="bottom"/>
            <w:tcBorders>
              <w:bottom w:val="single" w:sz="8" w:color="CCEEFF"/>
              <w:right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right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r>
      <w:tr>
        <w:trPr>
          <w:trHeight w:val="142"/>
        </w:trPr>
        <w:tc>
          <w:tcPr>
            <w:tcW w:w="6000" w:type="dxa"/>
            <w:vAlign w:val="bottom"/>
          </w:tcPr>
          <w:p>
            <w:pPr>
              <w:spacing w:after="0"/>
              <w:rPr>
                <w:sz w:val="20"/>
                <w:szCs w:val="20"/>
                <w:color w:val="auto"/>
              </w:rPr>
            </w:pPr>
            <w:r>
              <w:rPr>
                <w:rFonts w:ascii="Arial" w:cs="Arial" w:eastAsia="Arial" w:hAnsi="Arial"/>
                <w:sz w:val="12"/>
                <w:szCs w:val="12"/>
                <w:color w:val="auto"/>
              </w:rPr>
              <w:t>Outstanding at December 31, 2021</w:t>
            </w:r>
          </w:p>
        </w:tc>
        <w:tc>
          <w:tcPr>
            <w:tcW w:w="7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80,839</w:t>
            </w:r>
          </w:p>
        </w:tc>
        <w:tc>
          <w:tcPr>
            <w:tcW w:w="200" w:type="dxa"/>
            <w:vAlign w:val="bottom"/>
          </w:tcPr>
          <w:p>
            <w:pPr>
              <w:spacing w:after="0"/>
              <w:rPr>
                <w:sz w:val="12"/>
                <w:szCs w:val="12"/>
                <w:color w:val="auto"/>
              </w:rPr>
            </w:pPr>
          </w:p>
        </w:tc>
        <w:tc>
          <w:tcPr>
            <w:tcW w:w="880" w:type="dxa"/>
            <w:vAlign w:val="bottom"/>
          </w:tcPr>
          <w:p>
            <w:pPr>
              <w:jc w:val="right"/>
              <w:ind w:right="723"/>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5.76</w:t>
            </w: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1.6</w:t>
            </w:r>
          </w:p>
        </w:tc>
        <w:tc>
          <w:tcPr>
            <w:tcW w:w="200" w:type="dxa"/>
            <w:vAlign w:val="bottom"/>
          </w:tcPr>
          <w:p>
            <w:pPr>
              <w:spacing w:after="0"/>
              <w:rPr>
                <w:sz w:val="12"/>
                <w:szCs w:val="12"/>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1,464</w:t>
            </w:r>
          </w:p>
        </w:tc>
      </w:tr>
      <w:tr>
        <w:trPr>
          <w:trHeight w:val="20"/>
        </w:trPr>
        <w:tc>
          <w:tcPr>
            <w:tcW w:w="60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0"/>
        </w:trPr>
        <w:tc>
          <w:tcPr>
            <w:tcW w:w="6740" w:type="dxa"/>
            <w:vAlign w:val="bottom"/>
            <w:gridSpan w:val="2"/>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80" w:type="dxa"/>
            <w:vAlign w:val="bottom"/>
            <w:tcBorders>
              <w:left w:val="single" w:sz="8" w:color="CCEEFF"/>
            </w:tcBorders>
            <w:shd w:val="clear" w:color="auto" w:fill="CCEEFF"/>
          </w:tcPr>
          <w:p>
            <w:pPr>
              <w:spacing w:after="0"/>
              <w:rPr>
                <w:sz w:val="10"/>
                <w:szCs w:val="10"/>
                <w:color w:val="auto"/>
              </w:rPr>
            </w:pPr>
          </w:p>
        </w:tc>
        <w:tc>
          <w:tcPr>
            <w:tcW w:w="280" w:type="dxa"/>
            <w:vAlign w:val="bottom"/>
            <w:tcBorders>
              <w:right w:val="single" w:sz="8" w:color="CCEEFF"/>
            </w:tcBorders>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tcBorders>
              <w:right w:val="single" w:sz="8" w:color="CCEEFF"/>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20" w:type="dxa"/>
            <w:vAlign w:val="bottom"/>
            <w:gridSpan w:val="2"/>
            <w:shd w:val="clear" w:color="auto" w:fill="CCEEFF"/>
          </w:tcPr>
          <w:p>
            <w:pPr>
              <w:spacing w:after="0"/>
              <w:rPr>
                <w:sz w:val="10"/>
                <w:szCs w:val="10"/>
                <w:color w:val="auto"/>
              </w:rPr>
            </w:pPr>
          </w:p>
        </w:tc>
      </w:tr>
      <w:tr>
        <w:trPr>
          <w:trHeight w:val="144"/>
        </w:trPr>
        <w:tc>
          <w:tcPr>
            <w:tcW w:w="6000" w:type="dxa"/>
            <w:vAlign w:val="bottom"/>
          </w:tcPr>
          <w:p>
            <w:pPr>
              <w:spacing w:after="0"/>
              <w:rPr>
                <w:sz w:val="20"/>
                <w:szCs w:val="20"/>
                <w:color w:val="auto"/>
              </w:rPr>
            </w:pPr>
            <w:r>
              <w:rPr>
                <w:rFonts w:ascii="Arial" w:cs="Arial" w:eastAsia="Arial" w:hAnsi="Arial"/>
                <w:sz w:val="12"/>
                <w:szCs w:val="12"/>
                <w:color w:val="auto"/>
              </w:rPr>
              <w:t>Vested and expected to vest at December 31, 2021</w:t>
            </w:r>
          </w:p>
        </w:tc>
        <w:tc>
          <w:tcPr>
            <w:tcW w:w="7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80,839</w:t>
            </w:r>
          </w:p>
        </w:tc>
        <w:tc>
          <w:tcPr>
            <w:tcW w:w="200" w:type="dxa"/>
            <w:vAlign w:val="bottom"/>
          </w:tcPr>
          <w:p>
            <w:pPr>
              <w:spacing w:after="0"/>
              <w:rPr>
                <w:sz w:val="12"/>
                <w:szCs w:val="12"/>
                <w:color w:val="auto"/>
              </w:rPr>
            </w:pPr>
          </w:p>
        </w:tc>
        <w:tc>
          <w:tcPr>
            <w:tcW w:w="880" w:type="dxa"/>
            <w:vAlign w:val="bottom"/>
          </w:tcPr>
          <w:p>
            <w:pPr>
              <w:jc w:val="right"/>
              <w:ind w:right="723"/>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5.76</w:t>
            </w: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1.6</w:t>
            </w:r>
          </w:p>
        </w:tc>
        <w:tc>
          <w:tcPr>
            <w:tcW w:w="200" w:type="dxa"/>
            <w:vAlign w:val="bottom"/>
          </w:tcPr>
          <w:p>
            <w:pPr>
              <w:spacing w:after="0"/>
              <w:rPr>
                <w:sz w:val="12"/>
                <w:szCs w:val="12"/>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1,464</w:t>
            </w:r>
          </w:p>
        </w:tc>
      </w:tr>
      <w:tr>
        <w:trPr>
          <w:trHeight w:val="20"/>
        </w:trPr>
        <w:tc>
          <w:tcPr>
            <w:tcW w:w="60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0"/>
        </w:trPr>
        <w:tc>
          <w:tcPr>
            <w:tcW w:w="6000" w:type="dxa"/>
            <w:vAlign w:val="bottom"/>
            <w:tcBorders>
              <w:bottom w:val="single" w:sz="8" w:color="CCEEFF"/>
            </w:tcBorders>
            <w:shd w:val="clear" w:color="auto" w:fill="CCEEFF"/>
          </w:tcPr>
          <w:p>
            <w:pPr>
              <w:spacing w:after="0" w:line="120" w:lineRule="exact"/>
              <w:rPr>
                <w:sz w:val="20"/>
                <w:szCs w:val="20"/>
                <w:color w:val="auto"/>
              </w:rPr>
            </w:pPr>
            <w:r>
              <w:rPr>
                <w:rFonts w:ascii="Arial" w:cs="Arial" w:eastAsia="Arial" w:hAnsi="Arial"/>
                <w:sz w:val="12"/>
                <w:szCs w:val="12"/>
                <w:color w:val="auto"/>
              </w:rPr>
              <w:t>Exercisable at December 31, 2021</w:t>
            </w:r>
          </w:p>
        </w:tc>
        <w:tc>
          <w:tcPr>
            <w:tcW w:w="74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80,839</w:t>
            </w:r>
          </w:p>
        </w:tc>
        <w:tc>
          <w:tcPr>
            <w:tcW w:w="2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left w:val="single" w:sz="8" w:color="CCEEFF"/>
              <w:bottom w:val="single" w:sz="8" w:color="auto"/>
            </w:tcBorders>
            <w:shd w:val="clear" w:color="auto" w:fill="CCEEFF"/>
          </w:tcPr>
          <w:p>
            <w:pPr>
              <w:jc w:val="right"/>
              <w:ind w:right="723"/>
              <w:spacing w:after="0" w:line="120" w:lineRule="exact"/>
              <w:rPr>
                <w:sz w:val="20"/>
                <w:szCs w:val="20"/>
                <w:color w:val="auto"/>
              </w:rPr>
            </w:pPr>
            <w:r>
              <w:rPr>
                <w:rFonts w:ascii="Arial" w:cs="Arial" w:eastAsia="Arial" w:hAnsi="Arial"/>
                <w:sz w:val="12"/>
                <w:szCs w:val="12"/>
                <w:color w:val="auto"/>
              </w:rPr>
              <w:t>$</w:t>
            </w:r>
          </w:p>
        </w:tc>
        <w:tc>
          <w:tcPr>
            <w:tcW w:w="280" w:type="dxa"/>
            <w:vAlign w:val="bottom"/>
            <w:tcBorders>
              <w:bottom w:val="single" w:sz="8" w:color="auto"/>
              <w:right w:val="single" w:sz="8" w:color="CCEEFF"/>
            </w:tcBorders>
            <w:shd w:val="clear" w:color="auto" w:fill="CCEEFF"/>
          </w:tcPr>
          <w:p>
            <w:pPr>
              <w:jc w:val="center"/>
              <w:ind w:left="20"/>
              <w:spacing w:after="0" w:line="120" w:lineRule="exact"/>
              <w:rPr>
                <w:sz w:val="20"/>
                <w:szCs w:val="20"/>
                <w:color w:val="auto"/>
              </w:rPr>
            </w:pPr>
            <w:r>
              <w:rPr>
                <w:rFonts w:ascii="Arial" w:cs="Arial" w:eastAsia="Arial" w:hAnsi="Arial"/>
                <w:sz w:val="12"/>
                <w:szCs w:val="12"/>
                <w:color w:val="auto"/>
                <w:w w:val="85"/>
              </w:rPr>
              <w:t>5.76</w:t>
            </w:r>
          </w:p>
        </w:tc>
        <w:tc>
          <w:tcPr>
            <w:tcW w:w="220" w:type="dxa"/>
            <w:vAlign w:val="bottom"/>
            <w:tcBorders>
              <w:bottom w:val="single" w:sz="8" w:color="CCEEFF"/>
              <w:right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right w:val="single" w:sz="8" w:color="CCEEFF"/>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1.6</w:t>
            </w:r>
          </w:p>
        </w:tc>
        <w:tc>
          <w:tcPr>
            <w:tcW w:w="2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1,464</w:t>
            </w:r>
          </w:p>
        </w:tc>
        <w:tc>
          <w:tcPr>
            <w:tcW w:w="120" w:type="dxa"/>
            <w:vAlign w:val="bottom"/>
            <w:tcBorders>
              <w:bottom w:val="single" w:sz="8" w:color="CCEEFF"/>
            </w:tcBorders>
            <w:shd w:val="clear" w:color="auto" w:fill="CCEEFF"/>
          </w:tcPr>
          <w:p>
            <w:pPr>
              <w:spacing w:after="0"/>
              <w:rPr>
                <w:sz w:val="13"/>
                <w:szCs w:val="13"/>
                <w:color w:val="auto"/>
              </w:rPr>
            </w:pPr>
          </w:p>
        </w:tc>
      </w:tr>
      <w:tr>
        <w:trPr>
          <w:trHeight w:val="264"/>
        </w:trPr>
        <w:tc>
          <w:tcPr>
            <w:tcW w:w="6740" w:type="dxa"/>
            <w:vAlign w:val="bottom"/>
            <w:gridSpan w:val="2"/>
          </w:tcPr>
          <w:p>
            <w:pPr>
              <w:ind w:left="200"/>
              <w:spacing w:after="0"/>
              <w:rPr>
                <w:sz w:val="20"/>
                <w:szCs w:val="20"/>
                <w:color w:val="auto"/>
              </w:rPr>
            </w:pPr>
            <w:r>
              <w:rPr>
                <w:rFonts w:ascii="Arial" w:cs="Arial" w:eastAsia="Arial" w:hAnsi="Arial"/>
                <w:sz w:val="12"/>
                <w:szCs w:val="12"/>
                <w:color w:val="auto"/>
              </w:rPr>
              <w:t>A summary of outstanding non-vested stock and related transactions follows:</w:t>
            </w: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75"/>
        </w:trPr>
        <w:tc>
          <w:tcPr>
            <w:tcW w:w="60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9"/>
              </w:rPr>
              <w:t>Weighted-</w:t>
            </w:r>
          </w:p>
        </w:tc>
      </w:tr>
      <w:tr>
        <w:trPr>
          <w:trHeight w:val="144"/>
        </w:trPr>
        <w:tc>
          <w:tcPr>
            <w:tcW w:w="60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8"/>
              </w:rPr>
              <w:t>Average</w:t>
            </w:r>
          </w:p>
        </w:tc>
      </w:tr>
      <w:tr>
        <w:trPr>
          <w:trHeight w:val="144"/>
        </w:trPr>
        <w:tc>
          <w:tcPr>
            <w:tcW w:w="60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2"/>
              </w:rPr>
              <w:t>Number</w:t>
            </w:r>
          </w:p>
        </w:tc>
        <w:tc>
          <w:tcPr>
            <w:tcW w:w="120" w:type="dxa"/>
            <w:vAlign w:val="bottom"/>
          </w:tcPr>
          <w:p>
            <w:pPr>
              <w:spacing w:after="0"/>
              <w:rPr>
                <w:sz w:val="12"/>
                <w:szCs w:val="12"/>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4"/>
              </w:rPr>
              <w:t>Grant Date</w:t>
            </w:r>
          </w:p>
        </w:tc>
      </w:tr>
      <w:tr>
        <w:trPr>
          <w:trHeight w:val="157"/>
        </w:trPr>
        <w:tc>
          <w:tcPr>
            <w:tcW w:w="60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87"/>
              </w:rPr>
              <w:t>of Shares</w:t>
            </w:r>
          </w:p>
        </w:tc>
        <w:tc>
          <w:tcPr>
            <w:tcW w:w="120" w:type="dxa"/>
            <w:vAlign w:val="bottom"/>
          </w:tcPr>
          <w:p>
            <w:pPr>
              <w:spacing w:after="0"/>
              <w:rPr>
                <w:sz w:val="13"/>
                <w:szCs w:val="13"/>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4"/>
              </w:rPr>
              <w:t>Fair Value</w:t>
            </w:r>
          </w:p>
        </w:tc>
      </w:tr>
      <w:tr>
        <w:trPr>
          <w:trHeight w:val="142"/>
        </w:trPr>
        <w:tc>
          <w:tcPr>
            <w:tcW w:w="67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Outstanding at January 1, 2021</w:t>
            </w: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tcBorders>
              <w:left w:val="single" w:sz="8" w:color="CCEEFF"/>
            </w:tcBorders>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207,117</w:t>
            </w:r>
          </w:p>
        </w:tc>
        <w:tc>
          <w:tcPr>
            <w:tcW w:w="2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22.70</w:t>
            </w:r>
          </w:p>
        </w:tc>
        <w:tc>
          <w:tcPr>
            <w:tcW w:w="120" w:type="dxa"/>
            <w:vAlign w:val="bottom"/>
            <w:shd w:val="clear" w:color="auto" w:fill="CCEEFF"/>
          </w:tcPr>
          <w:p>
            <w:pPr>
              <w:spacing w:after="0"/>
              <w:rPr>
                <w:sz w:val="12"/>
                <w:szCs w:val="12"/>
                <w:color w:val="auto"/>
              </w:rPr>
            </w:pPr>
          </w:p>
        </w:tc>
      </w:tr>
      <w:tr>
        <w:trPr>
          <w:trHeight w:val="144"/>
        </w:trPr>
        <w:tc>
          <w:tcPr>
            <w:tcW w:w="6740" w:type="dxa"/>
            <w:vAlign w:val="bottom"/>
            <w:gridSpan w:val="2"/>
          </w:tcPr>
          <w:p>
            <w:pPr>
              <w:ind w:left="80"/>
              <w:spacing w:after="0"/>
              <w:rPr>
                <w:sz w:val="20"/>
                <w:szCs w:val="20"/>
                <w:color w:val="auto"/>
              </w:rPr>
            </w:pPr>
            <w:r>
              <w:rPr>
                <w:rFonts w:ascii="Arial" w:cs="Arial" w:eastAsia="Arial" w:hAnsi="Arial"/>
                <w:sz w:val="12"/>
                <w:szCs w:val="12"/>
                <w:color w:val="auto"/>
              </w:rPr>
              <w:t>Granted</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114,565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20.45</w:t>
            </w:r>
          </w:p>
        </w:tc>
      </w:tr>
      <w:tr>
        <w:trPr>
          <w:trHeight w:val="144"/>
        </w:trPr>
        <w:tc>
          <w:tcPr>
            <w:tcW w:w="674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Vested</w:t>
            </w: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tcBorders>
              <w:left w:val="single" w:sz="8" w:color="CCEEFF"/>
            </w:tcBorders>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(73,081)</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22.82</w:t>
            </w:r>
          </w:p>
        </w:tc>
      </w:tr>
      <w:tr>
        <w:trPr>
          <w:trHeight w:val="144"/>
        </w:trPr>
        <w:tc>
          <w:tcPr>
            <w:tcW w:w="6740" w:type="dxa"/>
            <w:vAlign w:val="bottom"/>
            <w:gridSpan w:val="2"/>
          </w:tcPr>
          <w:p>
            <w:pPr>
              <w:ind w:left="80"/>
              <w:spacing w:after="0"/>
              <w:rPr>
                <w:sz w:val="20"/>
                <w:szCs w:val="20"/>
                <w:color w:val="auto"/>
              </w:rPr>
            </w:pPr>
            <w:r>
              <w:rPr>
                <w:rFonts w:ascii="Arial" w:cs="Arial" w:eastAsia="Arial" w:hAnsi="Arial"/>
                <w:sz w:val="12"/>
                <w:szCs w:val="12"/>
                <w:color w:val="auto"/>
              </w:rPr>
              <w:t>Forfeited</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2"/>
                <w:szCs w:val="12"/>
                <w:color w:val="auto"/>
              </w:rPr>
              <w:t>(14,375)</w:t>
            </w:r>
          </w:p>
        </w:tc>
        <w:tc>
          <w:tcPr>
            <w:tcW w:w="120" w:type="dxa"/>
            <w:vAlign w:val="bottom"/>
          </w:tcPr>
          <w:p>
            <w:pPr>
              <w:spacing w:after="0"/>
              <w:rPr>
                <w:sz w:val="12"/>
                <w:szCs w:val="12"/>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21.89</w:t>
            </w:r>
          </w:p>
        </w:tc>
      </w:tr>
      <w:tr>
        <w:trPr>
          <w:trHeight w:val="182"/>
        </w:trPr>
        <w:tc>
          <w:tcPr>
            <w:tcW w:w="67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Outstanding at December 31, 2021</w:t>
            </w:r>
          </w:p>
        </w:tc>
        <w:tc>
          <w:tcPr>
            <w:tcW w:w="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tcBorders>
              <w:left w:val="single" w:sz="8" w:color="CCEEFF"/>
            </w:tcBorders>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234,226</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21.64</w:t>
            </w:r>
          </w:p>
        </w:tc>
      </w:tr>
      <w:tr>
        <w:trPr>
          <w:trHeight w:val="264"/>
        </w:trPr>
        <w:tc>
          <w:tcPr>
            <w:tcW w:w="6740" w:type="dxa"/>
            <w:vAlign w:val="bottom"/>
            <w:tcBorders>
              <w:top w:val="single" w:sz="8" w:color="CCEEFF"/>
            </w:tcBorders>
            <w:gridSpan w:val="2"/>
          </w:tcPr>
          <w:p>
            <w:pPr>
              <w:ind w:left="200"/>
              <w:spacing w:after="0"/>
              <w:rPr>
                <w:sz w:val="20"/>
                <w:szCs w:val="20"/>
                <w:color w:val="auto"/>
              </w:rPr>
            </w:pPr>
            <w:r>
              <w:rPr>
                <w:rFonts w:ascii="Arial" w:cs="Arial" w:eastAsia="Arial" w:hAnsi="Arial"/>
                <w:sz w:val="12"/>
                <w:szCs w:val="12"/>
                <w:color w:val="auto"/>
              </w:rPr>
              <w:t>Certain information regarding options exercised during the periods ending December 31 follows:</w:t>
            </w:r>
          </w:p>
        </w:tc>
        <w:tc>
          <w:tcPr>
            <w:tcW w:w="400" w:type="dxa"/>
            <w:vAlign w:val="bottom"/>
            <w:tcBorders>
              <w:top w:val="single" w:sz="8" w:color="CCEEFF"/>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880" w:type="dxa"/>
            <w:vAlign w:val="bottom"/>
            <w:tcBorders>
              <w:top w:val="single" w:sz="8" w:color="CCEEFF"/>
            </w:tcBorders>
          </w:tcPr>
          <w:p>
            <w:pPr>
              <w:spacing w:after="0"/>
              <w:rPr>
                <w:sz w:val="22"/>
                <w:szCs w:val="22"/>
                <w:color w:val="auto"/>
              </w:rPr>
            </w:pPr>
          </w:p>
        </w:tc>
        <w:tc>
          <w:tcPr>
            <w:tcW w:w="28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r>
      <w:tr>
        <w:trPr>
          <w:trHeight w:val="288"/>
        </w:trPr>
        <w:tc>
          <w:tcPr>
            <w:tcW w:w="6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Borders>
              <w:bottom w:val="single" w:sz="8" w:color="auto"/>
            </w:tcBorders>
          </w:tcPr>
          <w:p>
            <w:pPr>
              <w:jc w:val="right"/>
              <w:ind w:right="123"/>
              <w:spacing w:after="0"/>
              <w:rPr>
                <w:sz w:val="20"/>
                <w:szCs w:val="20"/>
                <w:color w:val="auto"/>
              </w:rPr>
            </w:pPr>
            <w:r>
              <w:rPr>
                <w:rFonts w:ascii="Arial" w:cs="Arial" w:eastAsia="Arial" w:hAnsi="Arial"/>
                <w:sz w:val="12"/>
                <w:szCs w:val="12"/>
                <w:b w:val="1"/>
                <w:bCs w:val="1"/>
                <w:color w:val="auto"/>
              </w:rPr>
              <w:t>2021</w:t>
            </w:r>
          </w:p>
        </w:tc>
        <w:tc>
          <w:tcPr>
            <w:tcW w:w="2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center"/>
              <w:ind w:right="80"/>
              <w:spacing w:after="0"/>
              <w:rPr>
                <w:sz w:val="20"/>
                <w:szCs w:val="20"/>
                <w:color w:val="auto"/>
              </w:rPr>
            </w:pPr>
            <w:r>
              <w:rPr>
                <w:rFonts w:ascii="Arial" w:cs="Arial" w:eastAsia="Arial" w:hAnsi="Arial"/>
                <w:sz w:val="12"/>
                <w:szCs w:val="12"/>
                <w:b w:val="1"/>
                <w:bCs w:val="1"/>
                <w:color w:val="auto"/>
                <w:w w:val="89"/>
              </w:rPr>
              <w:t>2020</w:t>
            </w: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60"/>
              <w:spacing w:after="0"/>
              <w:rPr>
                <w:sz w:val="20"/>
                <w:szCs w:val="20"/>
                <w:color w:val="auto"/>
              </w:rPr>
            </w:pPr>
            <w:r>
              <w:rPr>
                <w:rFonts w:ascii="Arial" w:cs="Arial" w:eastAsia="Arial" w:hAnsi="Arial"/>
                <w:sz w:val="12"/>
                <w:szCs w:val="12"/>
                <w:b w:val="1"/>
                <w:bCs w:val="1"/>
                <w:color w:val="auto"/>
                <w:w w:val="89"/>
              </w:rPr>
              <w:t>2019</w:t>
            </w:r>
          </w:p>
        </w:tc>
        <w:tc>
          <w:tcPr>
            <w:tcW w:w="120" w:type="dxa"/>
            <w:vAlign w:val="bottom"/>
          </w:tcPr>
          <w:p>
            <w:pPr>
              <w:spacing w:after="0"/>
              <w:rPr>
                <w:sz w:val="24"/>
                <w:szCs w:val="24"/>
                <w:color w:val="auto"/>
              </w:rPr>
            </w:pPr>
          </w:p>
        </w:tc>
      </w:tr>
      <w:tr>
        <w:trPr>
          <w:trHeight w:val="142"/>
        </w:trPr>
        <w:tc>
          <w:tcPr>
            <w:tcW w:w="60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ind w:right="160"/>
              <w:spacing w:after="0"/>
              <w:rPr>
                <w:sz w:val="20"/>
                <w:szCs w:val="20"/>
                <w:color w:val="auto"/>
              </w:rPr>
            </w:pPr>
            <w:r>
              <w:rPr>
                <w:rFonts w:ascii="Arial" w:cs="Arial" w:eastAsia="Arial" w:hAnsi="Arial"/>
                <w:sz w:val="12"/>
                <w:szCs w:val="12"/>
                <w:b w:val="1"/>
                <w:bCs w:val="1"/>
                <w:color w:val="auto"/>
                <w:w w:val="94"/>
              </w:rPr>
              <w:t>(In thousands)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4"/>
        </w:trPr>
        <w:tc>
          <w:tcPr>
            <w:tcW w:w="67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Intrinsic value</w:t>
            </w: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tcBorders>
              <w:left w:val="single" w:sz="8" w:color="CCEEFF"/>
            </w:tcBorders>
            <w:shd w:val="clear" w:color="auto" w:fill="CCEEFF"/>
          </w:tcPr>
          <w:p>
            <w:pPr>
              <w:jc w:val="right"/>
              <w:ind w:right="763"/>
              <w:spacing w:after="0"/>
              <w:rPr>
                <w:sz w:val="20"/>
                <w:szCs w:val="20"/>
                <w:color w:val="auto"/>
              </w:rPr>
            </w:pPr>
            <w:r>
              <w:rPr>
                <w:rFonts w:ascii="Arial" w:cs="Arial" w:eastAsia="Arial" w:hAnsi="Arial"/>
                <w:sz w:val="10"/>
                <w:szCs w:val="10"/>
                <w:color w:val="auto"/>
                <w:w w:val="71"/>
              </w:rPr>
              <w:t>$</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752</w:t>
            </w:r>
          </w:p>
        </w:tc>
        <w:tc>
          <w:tcPr>
            <w:tcW w:w="22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293</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897</w:t>
            </w:r>
          </w:p>
        </w:tc>
      </w:tr>
      <w:tr>
        <w:trPr>
          <w:trHeight w:val="20"/>
        </w:trPr>
        <w:tc>
          <w:tcPr>
            <w:tcW w:w="60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20"/>
        </w:trPr>
        <w:tc>
          <w:tcPr>
            <w:tcW w:w="6740" w:type="dxa"/>
            <w:vAlign w:val="bottom"/>
            <w:gridSpan w:val="2"/>
          </w:tcPr>
          <w:p>
            <w:pPr>
              <w:spacing w:after="0" w:line="120" w:lineRule="exact"/>
              <w:rPr>
                <w:sz w:val="20"/>
                <w:szCs w:val="20"/>
                <w:color w:val="auto"/>
              </w:rPr>
            </w:pPr>
            <w:r>
              <w:rPr>
                <w:rFonts w:ascii="Arial" w:cs="Arial" w:eastAsia="Arial" w:hAnsi="Arial"/>
                <w:sz w:val="12"/>
                <w:szCs w:val="12"/>
                <w:color w:val="auto"/>
              </w:rPr>
              <w:t>Cash proceeds received</w:t>
            </w: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jc w:val="right"/>
              <w:ind w:right="763"/>
              <w:spacing w:after="0"/>
              <w:rPr>
                <w:sz w:val="20"/>
                <w:szCs w:val="20"/>
                <w:color w:val="auto"/>
              </w:rPr>
            </w:pPr>
            <w:r>
              <w:rPr>
                <w:rFonts w:ascii="Arial" w:cs="Arial" w:eastAsia="Arial" w:hAnsi="Arial"/>
                <w:sz w:val="10"/>
                <w:szCs w:val="10"/>
                <w:color w:val="auto"/>
                <w:w w:val="71"/>
              </w:rPr>
              <w:t>$</w:t>
            </w:r>
          </w:p>
        </w:tc>
        <w:tc>
          <w:tcPr>
            <w:tcW w:w="280" w:type="dxa"/>
            <w:vAlign w:val="bottom"/>
          </w:tcPr>
          <w:p>
            <w:pPr>
              <w:jc w:val="center"/>
              <w:ind w:left="20"/>
              <w:spacing w:after="0" w:line="120" w:lineRule="exact"/>
              <w:rPr>
                <w:sz w:val="20"/>
                <w:szCs w:val="20"/>
                <w:color w:val="auto"/>
              </w:rPr>
            </w:pPr>
            <w:r>
              <w:rPr>
                <w:rFonts w:ascii="Arial" w:cs="Arial" w:eastAsia="Arial" w:hAnsi="Arial"/>
                <w:sz w:val="12"/>
                <w:szCs w:val="12"/>
                <w:color w:val="auto"/>
                <w:w w:val="79"/>
              </w:rPr>
              <w:t>117</w:t>
            </w:r>
          </w:p>
        </w:tc>
        <w:tc>
          <w:tcPr>
            <w:tcW w:w="220" w:type="dxa"/>
            <w:vAlign w:val="bottom"/>
          </w:tcPr>
          <w:p>
            <w:pPr>
              <w:spacing w:after="0"/>
              <w:rPr>
                <w:sz w:val="10"/>
                <w:szCs w:val="10"/>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line="120" w:lineRule="exact"/>
              <w:rPr>
                <w:sz w:val="20"/>
                <w:szCs w:val="20"/>
                <w:color w:val="auto"/>
              </w:rPr>
            </w:pPr>
            <w:r>
              <w:rPr>
                <w:rFonts w:ascii="Arial" w:cs="Arial" w:eastAsia="Arial" w:hAnsi="Arial"/>
                <w:sz w:val="12"/>
                <w:szCs w:val="12"/>
                <w:color w:val="auto"/>
              </w:rPr>
              <w:t>57</w:t>
            </w:r>
          </w:p>
        </w:tc>
        <w:tc>
          <w:tcPr>
            <w:tcW w:w="200" w:type="dxa"/>
            <w:vAlign w:val="bottom"/>
          </w:tcPr>
          <w:p>
            <w:pPr>
              <w:spacing w:after="0"/>
              <w:rPr>
                <w:sz w:val="10"/>
                <w:szCs w:val="10"/>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120"/>
              <w:spacing w:after="0" w:line="120" w:lineRule="exact"/>
              <w:rPr>
                <w:sz w:val="20"/>
                <w:szCs w:val="20"/>
                <w:color w:val="auto"/>
              </w:rPr>
            </w:pPr>
            <w:r>
              <w:rPr>
                <w:rFonts w:ascii="Arial" w:cs="Arial" w:eastAsia="Arial" w:hAnsi="Arial"/>
                <w:sz w:val="12"/>
                <w:szCs w:val="12"/>
                <w:color w:val="auto"/>
              </w:rPr>
              <w:t>706</w:t>
            </w:r>
          </w:p>
        </w:tc>
      </w:tr>
      <w:tr>
        <w:trPr>
          <w:trHeight w:val="20"/>
        </w:trPr>
        <w:tc>
          <w:tcPr>
            <w:tcW w:w="6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0"/>
        </w:trPr>
        <w:tc>
          <w:tcPr>
            <w:tcW w:w="6740" w:type="dxa"/>
            <w:vAlign w:val="bottom"/>
            <w:tcBorders>
              <w:bottom w:val="single" w:sz="8" w:color="CCEEFF"/>
            </w:tcBorders>
            <w:gridSpan w:val="2"/>
            <w:shd w:val="clear" w:color="auto" w:fill="CCEEFF"/>
          </w:tcPr>
          <w:p>
            <w:pPr>
              <w:spacing w:after="0" w:line="120" w:lineRule="exact"/>
              <w:rPr>
                <w:sz w:val="20"/>
                <w:szCs w:val="20"/>
                <w:color w:val="auto"/>
              </w:rPr>
            </w:pPr>
            <w:r>
              <w:rPr>
                <w:rFonts w:ascii="Arial" w:cs="Arial" w:eastAsia="Arial" w:hAnsi="Arial"/>
                <w:sz w:val="12"/>
                <w:szCs w:val="12"/>
                <w:color w:val="auto"/>
              </w:rPr>
              <w:t>Tax benefit realized</w:t>
            </w:r>
          </w:p>
        </w:tc>
        <w:tc>
          <w:tcPr>
            <w:tcW w:w="4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left w:val="single" w:sz="8" w:color="CCEEFF"/>
              <w:bottom w:val="single" w:sz="8" w:color="auto"/>
            </w:tcBorders>
            <w:shd w:val="clear" w:color="auto" w:fill="CCEEFF"/>
          </w:tcPr>
          <w:p>
            <w:pPr>
              <w:jc w:val="right"/>
              <w:ind w:right="763"/>
              <w:spacing w:after="0"/>
              <w:rPr>
                <w:sz w:val="20"/>
                <w:szCs w:val="20"/>
                <w:color w:val="auto"/>
              </w:rPr>
            </w:pPr>
            <w:r>
              <w:rPr>
                <w:rFonts w:ascii="Arial" w:cs="Arial" w:eastAsia="Arial" w:hAnsi="Arial"/>
                <w:sz w:val="10"/>
                <w:szCs w:val="10"/>
                <w:color w:val="auto"/>
                <w:w w:val="71"/>
              </w:rPr>
              <w:t>$</w:t>
            </w:r>
          </w:p>
        </w:tc>
        <w:tc>
          <w:tcPr>
            <w:tcW w:w="280" w:type="dxa"/>
            <w:vAlign w:val="bottom"/>
            <w:tcBorders>
              <w:bottom w:val="single" w:sz="8" w:color="auto"/>
              <w:right w:val="single" w:sz="8" w:color="CCEEFF"/>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158</w:t>
            </w:r>
          </w:p>
        </w:tc>
        <w:tc>
          <w:tcPr>
            <w:tcW w:w="220" w:type="dxa"/>
            <w:vAlign w:val="bottom"/>
            <w:tcBorders>
              <w:bottom w:val="single" w:sz="8" w:color="CCEEFF"/>
              <w:right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right w:val="single" w:sz="8" w:color="CCEEFF"/>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61</w:t>
            </w:r>
          </w:p>
        </w:tc>
        <w:tc>
          <w:tcPr>
            <w:tcW w:w="2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188</w:t>
            </w:r>
          </w:p>
        </w:tc>
        <w:tc>
          <w:tcPr>
            <w:tcW w:w="120" w:type="dxa"/>
            <w:vAlign w:val="bottom"/>
            <w:tcBorders>
              <w:bottom w:val="single" w:sz="8" w:color="CCEEFF"/>
            </w:tcBorders>
            <w:shd w:val="clear" w:color="auto" w:fill="CCEEFF"/>
          </w:tcPr>
          <w:p>
            <w:pPr>
              <w:spacing w:after="0"/>
              <w:rPr>
                <w:sz w:val="13"/>
                <w:szCs w:val="13"/>
                <w:color w:val="auto"/>
              </w:rPr>
            </w:pPr>
          </w:p>
        </w:tc>
      </w:tr>
    </w:tbl>
    <w:p>
      <w:pPr>
        <w:spacing w:after="0" w:line="135"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We maintain 401(k) and employee stock ownership plans covering substantially all of our full-time employees. We matched 50% of employee contributions to the 401(k) plan up to a maximum of 8% of participating employees’ eligible wages for 2021, 2020 and 2019. Contributions to the employee stock ownership plan are determined annually and require approval of our Board of Directors. The maximum contribution is 6% of employees’ eligible wages. Contributions to the employee stock ownership plan were 2% for 2021, 2020 and 2019. Amounts expensed for these retirement plans were $3.3 million, $3.2 million and $2.6 million in 2021, 2020 and 2019, respectively.</w:t>
      </w:r>
    </w:p>
    <w:p>
      <w:pPr>
        <w:spacing w:after="0" w:line="105" w:lineRule="exact"/>
        <w:rPr>
          <w:sz w:val="20"/>
          <w:szCs w:val="20"/>
          <w:color w:val="auto"/>
        </w:rPr>
      </w:pPr>
    </w:p>
    <w:p>
      <w:pPr>
        <w:ind w:left="200"/>
        <w:spacing w:after="0"/>
        <w:rPr>
          <w:sz w:val="20"/>
          <w:szCs w:val="20"/>
          <w:color w:val="auto"/>
        </w:rPr>
      </w:pPr>
      <w:r>
        <w:rPr>
          <w:rFonts w:ascii="Arial" w:cs="Arial" w:eastAsia="Arial" w:hAnsi="Arial"/>
          <w:sz w:val="11"/>
          <w:szCs w:val="11"/>
          <w:color w:val="auto"/>
        </w:rPr>
        <w:t>Our employees participate in various performance-based compensation plans. Amounts expensed for all incentive plans totaled $15.6 million, $15.7 million and $9.5 million in 2021, 2020 and 2019, respectively.</w:t>
      </w:r>
    </w:p>
    <w:p>
      <w:pPr>
        <w:spacing w:after="0" w:line="162"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We also provide certain health care and life insurance programs to substantially all full-time employees. Amounts expensed for these programs totaled $6.1 million, $4.8 million and $5.7 million in 2021, 2020 and 2019 respectively.</w:t>
      </w:r>
    </w:p>
    <w:p>
      <w:pPr>
        <w:spacing w:after="0" w:line="115"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These insurance programs are also available to retired employees at their own expense.</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157"/>
        </w:trPr>
        <w:tc>
          <w:tcPr>
            <w:tcW w:w="3600" w:type="dxa"/>
            <w:vAlign w:val="bottom"/>
          </w:tcPr>
          <w:p>
            <w:pPr>
              <w:spacing w:after="0"/>
              <w:rPr>
                <w:sz w:val="13"/>
                <w:szCs w:val="13"/>
                <w:color w:val="auto"/>
              </w:rPr>
            </w:pPr>
          </w:p>
        </w:tc>
        <w:tc>
          <w:tcPr>
            <w:tcW w:w="4520" w:type="dxa"/>
            <w:vAlign w:val="bottom"/>
            <w:gridSpan w:val="2"/>
          </w:tcPr>
          <w:p>
            <w:pPr>
              <w:jc w:val="right"/>
              <w:ind w:right="472"/>
              <w:spacing w:after="0"/>
              <w:rPr>
                <w:sz w:val="20"/>
                <w:szCs w:val="20"/>
                <w:color w:val="auto"/>
              </w:rPr>
            </w:pPr>
            <w:r>
              <w:rPr>
                <w:rFonts w:ascii="Arial" w:cs="Arial" w:eastAsia="Arial" w:hAnsi="Arial"/>
                <w:sz w:val="12"/>
                <w:szCs w:val="12"/>
                <w:b w:val="1"/>
                <w:bCs w:val="1"/>
                <w:color w:val="auto"/>
              </w:rPr>
              <w:t>NOTES TO CONSOLIDATED FINANCIAL STATEMENTS − (Continued)</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61"/>
        </w:trPr>
        <w:tc>
          <w:tcPr>
            <w:tcW w:w="3600" w:type="dxa"/>
            <w:vAlign w:val="bottom"/>
          </w:tcPr>
          <w:p>
            <w:pPr>
              <w:spacing w:after="0"/>
              <w:rPr>
                <w:sz w:val="20"/>
                <w:szCs w:val="20"/>
                <w:color w:val="auto"/>
              </w:rPr>
            </w:pPr>
            <w:r>
              <w:rPr>
                <w:rFonts w:ascii="Arial" w:cs="Arial" w:eastAsia="Arial" w:hAnsi="Arial"/>
                <w:sz w:val="12"/>
                <w:szCs w:val="12"/>
                <w:b w:val="1"/>
                <w:bCs w:val="1"/>
                <w:color w:val="auto"/>
              </w:rPr>
              <w:t>NOTE 15 – OTHER NON-INTEREST INCOME</w:t>
            </w:r>
          </w:p>
        </w:tc>
        <w:tc>
          <w:tcPr>
            <w:tcW w:w="3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88"/>
        </w:trPr>
        <w:tc>
          <w:tcPr>
            <w:tcW w:w="3600" w:type="dxa"/>
            <w:vAlign w:val="bottom"/>
          </w:tcPr>
          <w:p>
            <w:pPr>
              <w:ind w:left="200"/>
              <w:spacing w:after="0"/>
              <w:rPr>
                <w:sz w:val="20"/>
                <w:szCs w:val="20"/>
                <w:color w:val="auto"/>
              </w:rPr>
            </w:pPr>
            <w:r>
              <w:rPr>
                <w:rFonts w:ascii="Arial" w:cs="Arial" w:eastAsia="Arial" w:hAnsi="Arial"/>
                <w:sz w:val="12"/>
                <w:szCs w:val="12"/>
                <w:color w:val="auto"/>
                <w:w w:val="92"/>
              </w:rPr>
              <w:t>Other non-interest income for the years ended December 31 follows:</w:t>
            </w:r>
          </w:p>
        </w:tc>
        <w:tc>
          <w:tcPr>
            <w:tcW w:w="3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8"/>
        </w:trPr>
        <w:tc>
          <w:tcPr>
            <w:tcW w:w="3600" w:type="dxa"/>
            <w:vAlign w:val="bottom"/>
          </w:tcPr>
          <w:p>
            <w:pPr>
              <w:spacing w:after="0"/>
              <w:rPr>
                <w:sz w:val="24"/>
                <w:szCs w:val="24"/>
                <w:color w:val="auto"/>
              </w:rPr>
            </w:pPr>
          </w:p>
        </w:tc>
        <w:tc>
          <w:tcPr>
            <w:tcW w:w="4520" w:type="dxa"/>
            <w:vAlign w:val="bottom"/>
            <w:gridSpan w:val="2"/>
          </w:tcPr>
          <w:p>
            <w:pPr>
              <w:jc w:val="right"/>
              <w:ind w:right="32"/>
              <w:spacing w:after="0"/>
              <w:rPr>
                <w:sz w:val="20"/>
                <w:szCs w:val="20"/>
                <w:color w:val="auto"/>
              </w:rPr>
            </w:pPr>
            <w:r>
              <w:rPr>
                <w:rFonts w:ascii="Arial" w:cs="Arial" w:eastAsia="Arial" w:hAnsi="Arial"/>
                <w:sz w:val="12"/>
                <w:szCs w:val="12"/>
                <w:b w:val="1"/>
                <w:bCs w:val="1"/>
                <w:color w:val="auto"/>
              </w:rPr>
              <w:t>2021</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380"/>
              <w:spacing w:after="0"/>
              <w:rPr>
                <w:sz w:val="20"/>
                <w:szCs w:val="20"/>
                <w:color w:val="auto"/>
              </w:rPr>
            </w:pPr>
            <w:r>
              <w:rPr>
                <w:rFonts w:ascii="Arial" w:cs="Arial" w:eastAsia="Arial" w:hAnsi="Arial"/>
                <w:sz w:val="12"/>
                <w:szCs w:val="12"/>
                <w:b w:val="1"/>
                <w:bCs w:val="1"/>
                <w:color w:val="auto"/>
              </w:rPr>
              <w:t>2020</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ind w:left="180"/>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24"/>
                <w:szCs w:val="24"/>
                <w:color w:val="auto"/>
              </w:rPr>
            </w:pPr>
          </w:p>
        </w:tc>
      </w:tr>
      <w:tr>
        <w:trPr>
          <w:trHeight w:val="142"/>
        </w:trPr>
        <w:tc>
          <w:tcPr>
            <w:tcW w:w="360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center"/>
              <w:ind w:right="80"/>
              <w:spacing w:after="0"/>
              <w:rPr>
                <w:sz w:val="20"/>
                <w:szCs w:val="20"/>
                <w:color w:val="auto"/>
              </w:rPr>
            </w:pPr>
            <w:r>
              <w:rPr>
                <w:rFonts w:ascii="Arial" w:cs="Arial" w:eastAsia="Arial" w:hAnsi="Arial"/>
                <w:sz w:val="12"/>
                <w:szCs w:val="12"/>
                <w:b w:val="1"/>
                <w:bCs w:val="1"/>
                <w:color w:val="auto"/>
                <w:w w:val="89"/>
              </w:rPr>
              <w:t>(In thousands)</w:t>
            </w:r>
          </w:p>
        </w:tc>
        <w:tc>
          <w:tcPr>
            <w:tcW w:w="2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600" w:type="dxa"/>
            <w:vAlign w:val="bottom"/>
            <w:shd w:val="clear" w:color="auto" w:fill="CCEEFF"/>
          </w:tcPr>
          <w:p>
            <w:pPr>
              <w:spacing w:after="0"/>
              <w:rPr>
                <w:sz w:val="20"/>
                <w:szCs w:val="20"/>
                <w:color w:val="auto"/>
              </w:rPr>
            </w:pPr>
            <w:r>
              <w:rPr>
                <w:rFonts w:ascii="Arial" w:cs="Arial" w:eastAsia="Arial" w:hAnsi="Arial"/>
                <w:sz w:val="12"/>
                <w:szCs w:val="12"/>
                <w:color w:val="auto"/>
              </w:rPr>
              <w:t>Investment and insurance commissions</w:t>
            </w:r>
          </w:p>
        </w:tc>
        <w:tc>
          <w:tcPr>
            <w:tcW w:w="4520" w:type="dxa"/>
            <w:vAlign w:val="bottom"/>
            <w:gridSpan w:val="2"/>
            <w:shd w:val="clear" w:color="auto" w:fill="CCEEFF"/>
          </w:tcPr>
          <w:p>
            <w:pPr>
              <w:jc w:val="right"/>
              <w:ind w:right="672"/>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2,603</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1,971</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2"/>
                <w:szCs w:val="12"/>
                <w:color w:val="auto"/>
              </w:rPr>
              <w:t>1,658</w:t>
            </w:r>
          </w:p>
        </w:tc>
      </w:tr>
      <w:tr>
        <w:trPr>
          <w:trHeight w:val="144"/>
        </w:trPr>
        <w:tc>
          <w:tcPr>
            <w:tcW w:w="3600" w:type="dxa"/>
            <w:vAlign w:val="bottom"/>
          </w:tcPr>
          <w:p>
            <w:pPr>
              <w:spacing w:after="0"/>
              <w:rPr>
                <w:sz w:val="20"/>
                <w:szCs w:val="20"/>
                <w:color w:val="auto"/>
              </w:rPr>
            </w:pPr>
            <w:r>
              <w:rPr>
                <w:rFonts w:ascii="Arial" w:cs="Arial" w:eastAsia="Arial" w:hAnsi="Arial"/>
                <w:sz w:val="12"/>
                <w:szCs w:val="12"/>
                <w:color w:val="auto"/>
              </w:rPr>
              <w:t>ATM fees</w:t>
            </w:r>
          </w:p>
        </w:tc>
        <w:tc>
          <w:tcPr>
            <w:tcW w:w="3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1,133</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1,197</w:t>
            </w:r>
          </w:p>
        </w:tc>
        <w:tc>
          <w:tcPr>
            <w:tcW w:w="260" w:type="dxa"/>
            <w:vAlign w:val="bottom"/>
          </w:tcPr>
          <w:p>
            <w:pPr>
              <w:spacing w:after="0"/>
              <w:rPr>
                <w:sz w:val="12"/>
                <w:szCs w:val="12"/>
                <w:color w:val="auto"/>
              </w:rPr>
            </w:pPr>
          </w:p>
        </w:tc>
        <w:tc>
          <w:tcPr>
            <w:tcW w:w="980" w:type="dxa"/>
            <w:vAlign w:val="bottom"/>
            <w:gridSpan w:val="2"/>
          </w:tcPr>
          <w:p>
            <w:pPr>
              <w:ind w:left="600"/>
              <w:spacing w:after="0"/>
              <w:rPr>
                <w:sz w:val="20"/>
                <w:szCs w:val="20"/>
                <w:color w:val="auto"/>
              </w:rPr>
            </w:pPr>
            <w:r>
              <w:rPr>
                <w:rFonts w:ascii="Arial" w:cs="Arial" w:eastAsia="Arial" w:hAnsi="Arial"/>
                <w:sz w:val="12"/>
                <w:szCs w:val="12"/>
                <w:color w:val="auto"/>
              </w:rPr>
              <w:t>1,403</w:t>
            </w:r>
          </w:p>
        </w:tc>
      </w:tr>
      <w:tr>
        <w:trPr>
          <w:trHeight w:val="144"/>
        </w:trPr>
        <w:tc>
          <w:tcPr>
            <w:tcW w:w="3600" w:type="dxa"/>
            <w:vAlign w:val="bottom"/>
            <w:shd w:val="clear" w:color="auto" w:fill="CCEEFF"/>
          </w:tcPr>
          <w:p>
            <w:pPr>
              <w:spacing w:after="0"/>
              <w:rPr>
                <w:sz w:val="20"/>
                <w:szCs w:val="20"/>
                <w:color w:val="auto"/>
              </w:rPr>
            </w:pPr>
            <w:r>
              <w:rPr>
                <w:rFonts w:ascii="Arial" w:cs="Arial" w:eastAsia="Arial" w:hAnsi="Arial"/>
                <w:sz w:val="12"/>
                <w:szCs w:val="12"/>
                <w:color w:val="auto"/>
              </w:rPr>
              <w:t>Bank owned life insurance</w:t>
            </w:r>
          </w:p>
        </w:tc>
        <w:tc>
          <w:tcPr>
            <w:tcW w:w="37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567</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910</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2"/>
                <w:szCs w:val="12"/>
                <w:color w:val="auto"/>
              </w:rPr>
              <w:t>1,111</w:t>
            </w:r>
          </w:p>
        </w:tc>
      </w:tr>
      <w:tr>
        <w:trPr>
          <w:trHeight w:val="144"/>
        </w:trPr>
        <w:tc>
          <w:tcPr>
            <w:tcW w:w="3600" w:type="dxa"/>
            <w:vAlign w:val="bottom"/>
          </w:tcPr>
          <w:p>
            <w:pPr>
              <w:spacing w:after="0"/>
              <w:rPr>
                <w:sz w:val="20"/>
                <w:szCs w:val="20"/>
                <w:color w:val="auto"/>
              </w:rPr>
            </w:pPr>
            <w:r>
              <w:rPr>
                <w:rFonts w:ascii="Arial" w:cs="Arial" w:eastAsia="Arial" w:hAnsi="Arial"/>
                <w:sz w:val="12"/>
                <w:szCs w:val="12"/>
                <w:color w:val="auto"/>
              </w:rPr>
              <w:t>Other</w:t>
            </w:r>
          </w:p>
        </w:tc>
        <w:tc>
          <w:tcPr>
            <w:tcW w:w="3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5,089</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3,443</w:t>
            </w:r>
          </w:p>
        </w:tc>
        <w:tc>
          <w:tcPr>
            <w:tcW w:w="260" w:type="dxa"/>
            <w:vAlign w:val="bottom"/>
          </w:tcPr>
          <w:p>
            <w:pPr>
              <w:spacing w:after="0"/>
              <w:rPr>
                <w:sz w:val="12"/>
                <w:szCs w:val="12"/>
                <w:color w:val="auto"/>
              </w:rPr>
            </w:pPr>
          </w:p>
        </w:tc>
        <w:tc>
          <w:tcPr>
            <w:tcW w:w="980" w:type="dxa"/>
            <w:vAlign w:val="bottom"/>
            <w:gridSpan w:val="2"/>
          </w:tcPr>
          <w:p>
            <w:pPr>
              <w:ind w:left="600"/>
              <w:spacing w:after="0"/>
              <w:rPr>
                <w:sz w:val="20"/>
                <w:szCs w:val="20"/>
                <w:color w:val="auto"/>
              </w:rPr>
            </w:pPr>
            <w:r>
              <w:rPr>
                <w:rFonts w:ascii="Arial" w:cs="Arial" w:eastAsia="Arial" w:hAnsi="Arial"/>
                <w:sz w:val="12"/>
                <w:szCs w:val="12"/>
                <w:color w:val="auto"/>
              </w:rPr>
              <w:t>5,110</w:t>
            </w:r>
          </w:p>
        </w:tc>
      </w:tr>
      <w:tr>
        <w:trPr>
          <w:trHeight w:val="182"/>
        </w:trPr>
        <w:tc>
          <w:tcPr>
            <w:tcW w:w="36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Total other non-interest income</w:t>
            </w:r>
          </w:p>
        </w:tc>
        <w:tc>
          <w:tcPr>
            <w:tcW w:w="37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ind w:right="672"/>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9,392</w:t>
            </w:r>
          </w:p>
        </w:tc>
        <w:tc>
          <w:tcPr>
            <w:tcW w:w="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7,521</w:t>
            </w:r>
          </w:p>
        </w:tc>
        <w:tc>
          <w:tcPr>
            <w:tcW w:w="2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2"/>
                <w:szCs w:val="12"/>
                <w:color w:val="auto"/>
                <w:w w:val="79"/>
              </w:rPr>
              <w:t>9,282</w:t>
            </w:r>
          </w:p>
        </w:tc>
        <w:tc>
          <w:tcPr>
            <w:tcW w:w="120" w:type="dxa"/>
            <w:vAlign w:val="bottom"/>
            <w:tcBorders>
              <w:bottom w:val="single" w:sz="8" w:color="CCEEFF"/>
            </w:tcBorders>
            <w:shd w:val="clear" w:color="auto" w:fill="CCEEFF"/>
          </w:tcPr>
          <w:p>
            <w:pPr>
              <w:spacing w:after="0"/>
              <w:rPr>
                <w:sz w:val="15"/>
                <w:szCs w:val="15"/>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16 – DERIVATIVE FINANCIAL INSTRUMENTS</w:t>
      </w:r>
    </w:p>
    <w:p>
      <w:pPr>
        <w:spacing w:after="0" w:line="154"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We are required to record derivatives on our Consolidated Statements of Financial Condition as assets and liabilities measured at their fair value. The accounting for increases and decreases in the value of derivatives depends upon the use of derivatives and whether the derivatives qualify for hedge accounting.</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157"/>
        </w:trPr>
        <w:tc>
          <w:tcPr>
            <w:tcW w:w="3540" w:type="dxa"/>
            <w:vAlign w:val="bottom"/>
          </w:tcPr>
          <w:p>
            <w:pPr>
              <w:spacing w:after="0"/>
              <w:rPr>
                <w:sz w:val="13"/>
                <w:szCs w:val="13"/>
                <w:color w:val="auto"/>
              </w:rPr>
            </w:pPr>
          </w:p>
        </w:tc>
        <w:tc>
          <w:tcPr>
            <w:tcW w:w="4100" w:type="dxa"/>
            <w:vAlign w:val="bottom"/>
            <w:gridSpan w:val="3"/>
          </w:tcPr>
          <w:p>
            <w:pPr>
              <w:ind w:left="160"/>
              <w:spacing w:after="0"/>
              <w:rPr>
                <w:sz w:val="20"/>
                <w:szCs w:val="20"/>
                <w:color w:val="auto"/>
              </w:rPr>
            </w:pPr>
            <w:r>
              <w:rPr>
                <w:rFonts w:ascii="Arial" w:cs="Arial" w:eastAsia="Arial" w:hAnsi="Arial"/>
                <w:sz w:val="12"/>
                <w:szCs w:val="12"/>
                <w:b w:val="1"/>
                <w:bCs w:val="1"/>
                <w:color w:val="auto"/>
                <w:w w:val="99"/>
              </w:rPr>
              <w:t>NOTES TO CONSOLIDATED FINANCIAL STATEMENTS − (Continued)</w:t>
            </w: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7640" w:type="dxa"/>
            <w:vAlign w:val="bottom"/>
            <w:gridSpan w:val="4"/>
          </w:tcPr>
          <w:p>
            <w:pPr>
              <w:ind w:left="200"/>
              <w:spacing w:after="0"/>
              <w:rPr>
                <w:sz w:val="20"/>
                <w:szCs w:val="20"/>
                <w:color w:val="auto"/>
              </w:rPr>
            </w:pPr>
            <w:r>
              <w:rPr>
                <w:rFonts w:ascii="Arial" w:cs="Arial" w:eastAsia="Arial" w:hAnsi="Arial"/>
                <w:sz w:val="12"/>
                <w:szCs w:val="12"/>
                <w:color w:val="auto"/>
              </w:rPr>
              <w:t>Our derivative financial instruments according to the type of hedge in which they are designated at December 31 follow:</w:t>
            </w: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35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2"/>
                <w:szCs w:val="12"/>
                <w:b w:val="1"/>
                <w:bCs w:val="1"/>
                <w:color w:val="auto"/>
              </w:rPr>
              <w:t>2021</w:t>
            </w: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54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tcPr>
          <w:p>
            <w:pPr>
              <w:jc w:val="center"/>
              <w:ind w:right="200"/>
              <w:spacing w:after="0" w:line="129" w:lineRule="exact"/>
              <w:rPr>
                <w:sz w:val="20"/>
                <w:szCs w:val="20"/>
                <w:color w:val="auto"/>
              </w:rPr>
            </w:pPr>
            <w:r>
              <w:rPr>
                <w:rFonts w:ascii="Arial" w:cs="Arial" w:eastAsia="Arial" w:hAnsi="Arial"/>
                <w:sz w:val="12"/>
                <w:szCs w:val="12"/>
                <w:b w:val="1"/>
                <w:bCs w:val="1"/>
                <w:color w:val="auto"/>
                <w:w w:val="88"/>
              </w:rPr>
              <w:t>Average</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5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Notional</w:t>
            </w:r>
          </w:p>
        </w:tc>
        <w:tc>
          <w:tcPr>
            <w:tcW w:w="240" w:type="dxa"/>
            <w:vAlign w:val="bottom"/>
          </w:tcPr>
          <w:p>
            <w:pPr>
              <w:spacing w:after="0"/>
              <w:rPr>
                <w:sz w:val="12"/>
                <w:szCs w:val="12"/>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8"/>
              </w:rPr>
              <w:t>Maturity</w:t>
            </w:r>
          </w:p>
        </w:tc>
        <w:tc>
          <w:tcPr>
            <w:tcW w:w="120" w:type="dxa"/>
            <w:vAlign w:val="bottom"/>
          </w:tcPr>
          <w:p>
            <w:pPr>
              <w:spacing w:after="0"/>
              <w:rPr>
                <w:sz w:val="12"/>
                <w:szCs w:val="12"/>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9"/>
              </w:rPr>
              <w:t>Fair</w:t>
            </w:r>
          </w:p>
        </w:tc>
        <w:tc>
          <w:tcPr>
            <w:tcW w:w="0" w:type="dxa"/>
            <w:vAlign w:val="bottom"/>
          </w:tcPr>
          <w:p>
            <w:pPr>
              <w:spacing w:after="0"/>
              <w:rPr>
                <w:sz w:val="1"/>
                <w:szCs w:val="1"/>
                <w:color w:val="auto"/>
              </w:rPr>
            </w:pPr>
          </w:p>
        </w:tc>
      </w:tr>
      <w:tr>
        <w:trPr>
          <w:trHeight w:val="157"/>
        </w:trPr>
        <w:tc>
          <w:tcPr>
            <w:tcW w:w="354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3"/>
                <w:szCs w:val="13"/>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1"/>
              </w:rPr>
              <w:t>(years)</w:t>
            </w:r>
          </w:p>
        </w:tc>
        <w:tc>
          <w:tcPr>
            <w:tcW w:w="120" w:type="dxa"/>
            <w:vAlign w:val="bottom"/>
          </w:tcPr>
          <w:p>
            <w:pPr>
              <w:spacing w:after="0"/>
              <w:rPr>
                <w:sz w:val="13"/>
                <w:szCs w:val="13"/>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3"/>
              </w:rPr>
              <w:t>Value</w:t>
            </w:r>
          </w:p>
        </w:tc>
        <w:tc>
          <w:tcPr>
            <w:tcW w:w="0" w:type="dxa"/>
            <w:vAlign w:val="bottom"/>
          </w:tcPr>
          <w:p>
            <w:pPr>
              <w:spacing w:after="0"/>
              <w:rPr>
                <w:sz w:val="1"/>
                <w:szCs w:val="1"/>
                <w:color w:val="auto"/>
              </w:rPr>
            </w:pPr>
          </w:p>
        </w:tc>
      </w:tr>
      <w:tr>
        <w:trPr>
          <w:trHeight w:val="155"/>
        </w:trPr>
        <w:tc>
          <w:tcPr>
            <w:tcW w:w="3540" w:type="dxa"/>
            <w:vAlign w:val="bottom"/>
            <w:vMerge w:val="restart"/>
          </w:tcPr>
          <w:p>
            <w:pPr>
              <w:spacing w:after="0"/>
              <w:rPr>
                <w:sz w:val="20"/>
                <w:szCs w:val="20"/>
                <w:color w:val="auto"/>
              </w:rPr>
            </w:pPr>
            <w:r>
              <w:rPr>
                <w:rFonts w:ascii="Arial" w:cs="Arial" w:eastAsia="Arial" w:hAnsi="Arial"/>
                <w:sz w:val="12"/>
                <w:szCs w:val="12"/>
                <w:color w:val="auto"/>
              </w:rPr>
              <w:t>Fair value hedge designation</w:t>
            </w:r>
          </w:p>
        </w:tc>
        <w:tc>
          <w:tcPr>
            <w:tcW w:w="38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(Dollars in thousands)</w:t>
            </w: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540" w:type="dxa"/>
            <w:vAlign w:val="bottom"/>
            <w:vMerge w:val="continue"/>
          </w:tcPr>
          <w:p>
            <w:pPr>
              <w:spacing w:after="0"/>
              <w:rPr>
                <w:sz w:val="11"/>
                <w:szCs w:val="11"/>
                <w:color w:val="auto"/>
              </w:rPr>
            </w:pPr>
          </w:p>
        </w:tc>
        <w:tc>
          <w:tcPr>
            <w:tcW w:w="3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540" w:type="dxa"/>
            <w:vAlign w:val="bottom"/>
            <w:shd w:val="clear" w:color="auto" w:fill="CCEEFF"/>
          </w:tcPr>
          <w:p>
            <w:pPr>
              <w:ind w:left="80"/>
              <w:spacing w:after="0"/>
              <w:rPr>
                <w:sz w:val="20"/>
                <w:szCs w:val="20"/>
                <w:color w:val="auto"/>
              </w:rPr>
            </w:pPr>
            <w:r>
              <w:rPr>
                <w:rFonts w:ascii="Arial" w:cs="Arial" w:eastAsia="Arial" w:hAnsi="Arial"/>
                <w:sz w:val="12"/>
                <w:szCs w:val="12"/>
                <w:color w:val="auto"/>
              </w:rPr>
              <w:t>Pay-fixed interest rate swap agreements - commercial</w:t>
            </w:r>
          </w:p>
        </w:tc>
        <w:tc>
          <w:tcPr>
            <w:tcW w:w="3920" w:type="dxa"/>
            <w:vAlign w:val="bottom"/>
            <w:gridSpan w:val="2"/>
            <w:shd w:val="clear" w:color="auto" w:fill="CCEEFF"/>
          </w:tcPr>
          <w:p>
            <w:pPr>
              <w:jc w:val="right"/>
              <w:ind w:right="12"/>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6,753</w:t>
            </w: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7.4</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(384)</w:t>
            </w:r>
          </w:p>
        </w:tc>
        <w:tc>
          <w:tcPr>
            <w:tcW w:w="0" w:type="dxa"/>
            <w:vAlign w:val="bottom"/>
          </w:tcPr>
          <w:p>
            <w:pPr>
              <w:spacing w:after="0"/>
              <w:rPr>
                <w:sz w:val="1"/>
                <w:szCs w:val="1"/>
                <w:color w:val="auto"/>
              </w:rPr>
            </w:pPr>
          </w:p>
        </w:tc>
      </w:tr>
      <w:tr>
        <w:trPr>
          <w:trHeight w:val="144"/>
        </w:trPr>
        <w:tc>
          <w:tcPr>
            <w:tcW w:w="3540" w:type="dxa"/>
            <w:vAlign w:val="bottom"/>
          </w:tcPr>
          <w:p>
            <w:pPr>
              <w:ind w:left="80"/>
              <w:spacing w:after="0"/>
              <w:rPr>
                <w:sz w:val="20"/>
                <w:szCs w:val="20"/>
                <w:color w:val="auto"/>
              </w:rPr>
            </w:pPr>
            <w:r>
              <w:rPr>
                <w:rFonts w:ascii="Arial" w:cs="Arial" w:eastAsia="Arial" w:hAnsi="Arial"/>
                <w:sz w:val="12"/>
                <w:szCs w:val="12"/>
                <w:color w:val="auto"/>
                <w:w w:val="93"/>
              </w:rPr>
              <w:t>Pay-fixed interest rate swap agreements - securities available for sale</w:t>
            </w:r>
          </w:p>
        </w:tc>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148,895</w:t>
            </w:r>
          </w:p>
        </w:tc>
        <w:tc>
          <w:tcPr>
            <w:tcW w:w="1580" w:type="dxa"/>
            <w:vAlign w:val="bottom"/>
            <w:gridSpan w:val="3"/>
          </w:tcPr>
          <w:p>
            <w:pPr>
              <w:jc w:val="right"/>
              <w:ind w:right="220"/>
              <w:spacing w:after="0"/>
              <w:rPr>
                <w:sz w:val="20"/>
                <w:szCs w:val="20"/>
                <w:color w:val="auto"/>
              </w:rPr>
            </w:pPr>
            <w:r>
              <w:rPr>
                <w:rFonts w:ascii="Arial" w:cs="Arial" w:eastAsia="Arial" w:hAnsi="Arial"/>
                <w:sz w:val="12"/>
                <w:szCs w:val="12"/>
                <w:color w:val="auto"/>
              </w:rPr>
              <w:t>5.8</w:t>
            </w:r>
          </w:p>
        </w:tc>
        <w:tc>
          <w:tcPr>
            <w:tcW w:w="120" w:type="dxa"/>
            <w:vAlign w:val="bottom"/>
          </w:tcPr>
          <w:p>
            <w:pPr>
              <w:spacing w:after="0"/>
              <w:rPr>
                <w:sz w:val="12"/>
                <w:szCs w:val="12"/>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4,413</w:t>
            </w:r>
          </w:p>
        </w:tc>
        <w:tc>
          <w:tcPr>
            <w:tcW w:w="0" w:type="dxa"/>
            <w:vAlign w:val="bottom"/>
          </w:tcPr>
          <w:p>
            <w:pPr>
              <w:spacing w:after="0"/>
              <w:rPr>
                <w:sz w:val="1"/>
                <w:szCs w:val="1"/>
                <w:color w:val="auto"/>
              </w:rPr>
            </w:pPr>
          </w:p>
        </w:tc>
      </w:tr>
      <w:tr>
        <w:trPr>
          <w:trHeight w:val="182"/>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Total</w:t>
            </w:r>
          </w:p>
        </w:tc>
        <w:tc>
          <w:tcPr>
            <w:tcW w:w="38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155,648</w:t>
            </w:r>
          </w:p>
        </w:tc>
        <w:tc>
          <w:tcPr>
            <w:tcW w:w="15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5.9</w:t>
            </w:r>
          </w:p>
        </w:tc>
        <w:tc>
          <w:tcPr>
            <w:tcW w:w="1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4,029</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354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540" w:type="dxa"/>
            <w:vAlign w:val="bottom"/>
            <w:shd w:val="clear" w:color="auto" w:fill="CCEEFF"/>
          </w:tcPr>
          <w:p>
            <w:pPr>
              <w:spacing w:after="0"/>
              <w:rPr>
                <w:sz w:val="20"/>
                <w:szCs w:val="20"/>
                <w:color w:val="auto"/>
              </w:rPr>
            </w:pPr>
            <w:r>
              <w:rPr>
                <w:rFonts w:ascii="Arial" w:cs="Arial" w:eastAsia="Arial" w:hAnsi="Arial"/>
                <w:sz w:val="12"/>
                <w:szCs w:val="12"/>
                <w:color w:val="auto"/>
              </w:rPr>
              <w:t>No hedge designation</w:t>
            </w:r>
          </w:p>
        </w:tc>
        <w:tc>
          <w:tcPr>
            <w:tcW w:w="3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40" w:type="dxa"/>
            <w:vAlign w:val="bottom"/>
          </w:tcPr>
          <w:p>
            <w:pPr>
              <w:ind w:left="80"/>
              <w:spacing w:after="0"/>
              <w:rPr>
                <w:sz w:val="20"/>
                <w:szCs w:val="20"/>
                <w:color w:val="auto"/>
              </w:rPr>
            </w:pPr>
            <w:r>
              <w:rPr>
                <w:rFonts w:ascii="Arial" w:cs="Arial" w:eastAsia="Arial" w:hAnsi="Arial"/>
                <w:sz w:val="12"/>
                <w:szCs w:val="12"/>
                <w:color w:val="auto"/>
              </w:rPr>
              <w:t>Rate-lock mortgage loan commitments</w:t>
            </w:r>
          </w:p>
        </w:tc>
        <w:tc>
          <w:tcPr>
            <w:tcW w:w="3920" w:type="dxa"/>
            <w:vAlign w:val="bottom"/>
            <w:gridSpan w:val="2"/>
          </w:tcPr>
          <w:p>
            <w:pPr>
              <w:jc w:val="right"/>
              <w:ind w:right="12"/>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129,846</w:t>
            </w:r>
          </w:p>
        </w:tc>
        <w:tc>
          <w:tcPr>
            <w:tcW w:w="1580" w:type="dxa"/>
            <w:vAlign w:val="bottom"/>
            <w:gridSpan w:val="3"/>
          </w:tcPr>
          <w:p>
            <w:pPr>
              <w:jc w:val="right"/>
              <w:ind w:right="220"/>
              <w:spacing w:after="0"/>
              <w:rPr>
                <w:sz w:val="20"/>
                <w:szCs w:val="20"/>
                <w:color w:val="auto"/>
              </w:rPr>
            </w:pPr>
            <w:r>
              <w:rPr>
                <w:rFonts w:ascii="Arial" w:cs="Arial" w:eastAsia="Arial" w:hAnsi="Arial"/>
                <w:sz w:val="12"/>
                <w:szCs w:val="12"/>
                <w:color w:val="auto"/>
              </w:rPr>
              <w:t>0.1</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2,140</w:t>
            </w:r>
          </w:p>
        </w:tc>
        <w:tc>
          <w:tcPr>
            <w:tcW w:w="0" w:type="dxa"/>
            <w:vAlign w:val="bottom"/>
          </w:tcPr>
          <w:p>
            <w:pPr>
              <w:spacing w:after="0"/>
              <w:rPr>
                <w:sz w:val="1"/>
                <w:szCs w:val="1"/>
                <w:color w:val="auto"/>
              </w:rPr>
            </w:pPr>
          </w:p>
        </w:tc>
      </w:tr>
      <w:tr>
        <w:trPr>
          <w:trHeight w:val="144"/>
        </w:trPr>
        <w:tc>
          <w:tcPr>
            <w:tcW w:w="3540" w:type="dxa"/>
            <w:vAlign w:val="bottom"/>
            <w:shd w:val="clear" w:color="auto" w:fill="CCEEFF"/>
          </w:tcPr>
          <w:p>
            <w:pPr>
              <w:ind w:left="80"/>
              <w:spacing w:after="0"/>
              <w:rPr>
                <w:sz w:val="20"/>
                <w:szCs w:val="20"/>
                <w:color w:val="auto"/>
              </w:rPr>
            </w:pPr>
            <w:r>
              <w:rPr>
                <w:rFonts w:ascii="Arial" w:cs="Arial" w:eastAsia="Arial" w:hAnsi="Arial"/>
                <w:sz w:val="12"/>
                <w:szCs w:val="12"/>
                <w:color w:val="auto"/>
              </w:rPr>
              <w:t>Mandatory commitments to sell mortgage loans</w:t>
            </w:r>
          </w:p>
        </w:tc>
        <w:tc>
          <w:tcPr>
            <w:tcW w:w="3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97,737</w:t>
            </w: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0.1</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(68)</w:t>
            </w:r>
          </w:p>
        </w:tc>
        <w:tc>
          <w:tcPr>
            <w:tcW w:w="0" w:type="dxa"/>
            <w:vAlign w:val="bottom"/>
          </w:tcPr>
          <w:p>
            <w:pPr>
              <w:spacing w:after="0"/>
              <w:rPr>
                <w:sz w:val="1"/>
                <w:szCs w:val="1"/>
                <w:color w:val="auto"/>
              </w:rPr>
            </w:pPr>
          </w:p>
        </w:tc>
      </w:tr>
      <w:tr>
        <w:trPr>
          <w:trHeight w:val="144"/>
        </w:trPr>
        <w:tc>
          <w:tcPr>
            <w:tcW w:w="3540" w:type="dxa"/>
            <w:vAlign w:val="bottom"/>
          </w:tcPr>
          <w:p>
            <w:pPr>
              <w:ind w:left="100"/>
              <w:spacing w:after="0"/>
              <w:rPr>
                <w:sz w:val="20"/>
                <w:szCs w:val="20"/>
                <w:color w:val="auto"/>
              </w:rPr>
            </w:pPr>
            <w:r>
              <w:rPr>
                <w:rFonts w:ascii="Arial" w:cs="Arial" w:eastAsia="Arial" w:hAnsi="Arial"/>
                <w:sz w:val="12"/>
                <w:szCs w:val="12"/>
                <w:color w:val="auto"/>
              </w:rPr>
              <w:t>Interest rate swaption agreement</w:t>
            </w:r>
          </w:p>
        </w:tc>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10,000</w:t>
            </w:r>
          </w:p>
        </w:tc>
        <w:tc>
          <w:tcPr>
            <w:tcW w:w="1580" w:type="dxa"/>
            <w:vAlign w:val="bottom"/>
            <w:gridSpan w:val="3"/>
          </w:tcPr>
          <w:p>
            <w:pPr>
              <w:jc w:val="right"/>
              <w:ind w:right="220"/>
              <w:spacing w:after="0"/>
              <w:rPr>
                <w:sz w:val="20"/>
                <w:szCs w:val="20"/>
                <w:color w:val="auto"/>
              </w:rPr>
            </w:pPr>
            <w:r>
              <w:rPr>
                <w:rFonts w:ascii="Arial" w:cs="Arial" w:eastAsia="Arial" w:hAnsi="Arial"/>
                <w:sz w:val="12"/>
                <w:szCs w:val="12"/>
                <w:color w:val="auto"/>
              </w:rPr>
              <w:t>0.2</w:t>
            </w:r>
          </w:p>
        </w:tc>
        <w:tc>
          <w:tcPr>
            <w:tcW w:w="120" w:type="dxa"/>
            <w:vAlign w:val="bottom"/>
          </w:tcPr>
          <w:p>
            <w:pPr>
              <w:spacing w:after="0"/>
              <w:rPr>
                <w:sz w:val="12"/>
                <w:szCs w:val="12"/>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186</w:t>
            </w:r>
          </w:p>
        </w:tc>
        <w:tc>
          <w:tcPr>
            <w:tcW w:w="0" w:type="dxa"/>
            <w:vAlign w:val="bottom"/>
          </w:tcPr>
          <w:p>
            <w:pPr>
              <w:spacing w:after="0"/>
              <w:rPr>
                <w:sz w:val="1"/>
                <w:szCs w:val="1"/>
                <w:color w:val="auto"/>
              </w:rPr>
            </w:pPr>
          </w:p>
        </w:tc>
      </w:tr>
      <w:tr>
        <w:trPr>
          <w:trHeight w:val="144"/>
        </w:trPr>
        <w:tc>
          <w:tcPr>
            <w:tcW w:w="3540" w:type="dxa"/>
            <w:vAlign w:val="bottom"/>
            <w:shd w:val="clear" w:color="auto" w:fill="CCEEFF"/>
          </w:tcPr>
          <w:p>
            <w:pPr>
              <w:ind w:left="80"/>
              <w:spacing w:after="0"/>
              <w:rPr>
                <w:sz w:val="20"/>
                <w:szCs w:val="20"/>
                <w:color w:val="auto"/>
              </w:rPr>
            </w:pPr>
            <w:r>
              <w:rPr>
                <w:rFonts w:ascii="Arial" w:cs="Arial" w:eastAsia="Arial" w:hAnsi="Arial"/>
                <w:sz w:val="12"/>
                <w:szCs w:val="12"/>
                <w:color w:val="auto"/>
              </w:rPr>
              <w:t>Pay-fixed interest rate swap agreements - commercial</w:t>
            </w:r>
          </w:p>
        </w:tc>
        <w:tc>
          <w:tcPr>
            <w:tcW w:w="3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207,080</w:t>
            </w: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5.7</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(5,179)</w:t>
            </w:r>
          </w:p>
        </w:tc>
        <w:tc>
          <w:tcPr>
            <w:tcW w:w="0" w:type="dxa"/>
            <w:vAlign w:val="bottom"/>
          </w:tcPr>
          <w:p>
            <w:pPr>
              <w:spacing w:after="0"/>
              <w:rPr>
                <w:sz w:val="1"/>
                <w:szCs w:val="1"/>
                <w:color w:val="auto"/>
              </w:rPr>
            </w:pPr>
          </w:p>
        </w:tc>
      </w:tr>
      <w:tr>
        <w:trPr>
          <w:trHeight w:val="144"/>
        </w:trPr>
        <w:tc>
          <w:tcPr>
            <w:tcW w:w="3540" w:type="dxa"/>
            <w:vAlign w:val="bottom"/>
          </w:tcPr>
          <w:p>
            <w:pPr>
              <w:ind w:left="80"/>
              <w:spacing w:after="0"/>
              <w:rPr>
                <w:sz w:val="20"/>
                <w:szCs w:val="20"/>
                <w:color w:val="auto"/>
              </w:rPr>
            </w:pPr>
            <w:r>
              <w:rPr>
                <w:rFonts w:ascii="Arial" w:cs="Arial" w:eastAsia="Arial" w:hAnsi="Arial"/>
                <w:sz w:val="12"/>
                <w:szCs w:val="12"/>
                <w:color w:val="auto"/>
              </w:rPr>
              <w:t>Pay-variable interest rate swap agreements - commercial</w:t>
            </w:r>
          </w:p>
        </w:tc>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207,080</w:t>
            </w:r>
          </w:p>
        </w:tc>
        <w:tc>
          <w:tcPr>
            <w:tcW w:w="1580" w:type="dxa"/>
            <w:vAlign w:val="bottom"/>
            <w:gridSpan w:val="3"/>
          </w:tcPr>
          <w:p>
            <w:pPr>
              <w:jc w:val="right"/>
              <w:ind w:right="220"/>
              <w:spacing w:after="0"/>
              <w:rPr>
                <w:sz w:val="20"/>
                <w:szCs w:val="20"/>
                <w:color w:val="auto"/>
              </w:rPr>
            </w:pPr>
            <w:r>
              <w:rPr>
                <w:rFonts w:ascii="Arial" w:cs="Arial" w:eastAsia="Arial" w:hAnsi="Arial"/>
                <w:sz w:val="12"/>
                <w:szCs w:val="12"/>
                <w:color w:val="auto"/>
              </w:rPr>
              <w:t>5.7</w:t>
            </w:r>
          </w:p>
        </w:tc>
        <w:tc>
          <w:tcPr>
            <w:tcW w:w="120" w:type="dxa"/>
            <w:vAlign w:val="bottom"/>
          </w:tcPr>
          <w:p>
            <w:pPr>
              <w:spacing w:after="0"/>
              <w:rPr>
                <w:sz w:val="12"/>
                <w:szCs w:val="12"/>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5,179</w:t>
            </w:r>
          </w:p>
        </w:tc>
        <w:tc>
          <w:tcPr>
            <w:tcW w:w="0" w:type="dxa"/>
            <w:vAlign w:val="bottom"/>
          </w:tcPr>
          <w:p>
            <w:pPr>
              <w:spacing w:after="0"/>
              <w:rPr>
                <w:sz w:val="1"/>
                <w:szCs w:val="1"/>
                <w:color w:val="auto"/>
              </w:rPr>
            </w:pPr>
          </w:p>
        </w:tc>
      </w:tr>
      <w:tr>
        <w:trPr>
          <w:trHeight w:val="144"/>
        </w:trPr>
        <w:tc>
          <w:tcPr>
            <w:tcW w:w="3540" w:type="dxa"/>
            <w:vAlign w:val="bottom"/>
            <w:shd w:val="clear" w:color="auto" w:fill="CCEEFF"/>
          </w:tcPr>
          <w:p>
            <w:pPr>
              <w:ind w:left="80"/>
              <w:spacing w:after="0"/>
              <w:rPr>
                <w:sz w:val="20"/>
                <w:szCs w:val="20"/>
                <w:color w:val="auto"/>
              </w:rPr>
            </w:pPr>
            <w:r>
              <w:rPr>
                <w:rFonts w:ascii="Arial" w:cs="Arial" w:eastAsia="Arial" w:hAnsi="Arial"/>
                <w:sz w:val="12"/>
                <w:szCs w:val="12"/>
                <w:color w:val="auto"/>
              </w:rPr>
              <w:t>Interest rate cap agreements</w:t>
            </w:r>
          </w:p>
        </w:tc>
        <w:tc>
          <w:tcPr>
            <w:tcW w:w="3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90,000</w:t>
            </w: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1.3</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35</w:t>
            </w:r>
          </w:p>
        </w:tc>
        <w:tc>
          <w:tcPr>
            <w:tcW w:w="0" w:type="dxa"/>
            <w:vAlign w:val="bottom"/>
          </w:tcPr>
          <w:p>
            <w:pPr>
              <w:spacing w:after="0"/>
              <w:rPr>
                <w:sz w:val="1"/>
                <w:szCs w:val="1"/>
                <w:color w:val="auto"/>
              </w:rPr>
            </w:pPr>
          </w:p>
        </w:tc>
      </w:tr>
      <w:tr>
        <w:trPr>
          <w:trHeight w:val="20"/>
        </w:trPr>
        <w:tc>
          <w:tcPr>
            <w:tcW w:w="3540" w:type="dxa"/>
            <w:vAlign w:val="bottom"/>
            <w:shd w:val="clear" w:color="auto" w:fill="CCEEFF"/>
          </w:tcPr>
          <w:p>
            <w:pPr>
              <w:spacing w:after="0" w:line="20" w:lineRule="exact"/>
              <w:rPr>
                <w:sz w:val="1"/>
                <w:szCs w:val="1"/>
                <w:color w:val="auto"/>
              </w:rPr>
            </w:pPr>
          </w:p>
        </w:tc>
        <w:tc>
          <w:tcPr>
            <w:tcW w:w="38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540" w:type="dxa"/>
            <w:vAlign w:val="bottom"/>
          </w:tcPr>
          <w:p>
            <w:pPr>
              <w:ind w:left="200"/>
              <w:spacing w:after="0"/>
              <w:rPr>
                <w:sz w:val="20"/>
                <w:szCs w:val="20"/>
                <w:color w:val="auto"/>
              </w:rPr>
            </w:pPr>
            <w:r>
              <w:rPr>
                <w:rFonts w:ascii="Arial" w:cs="Arial" w:eastAsia="Arial" w:hAnsi="Arial"/>
                <w:sz w:val="12"/>
                <w:szCs w:val="12"/>
                <w:color w:val="auto"/>
              </w:rPr>
              <w:t>Total</w:t>
            </w:r>
          </w:p>
        </w:tc>
        <w:tc>
          <w:tcPr>
            <w:tcW w:w="3920" w:type="dxa"/>
            <w:vAlign w:val="bottom"/>
            <w:gridSpan w:val="2"/>
          </w:tcPr>
          <w:p>
            <w:pPr>
              <w:jc w:val="right"/>
              <w:ind w:right="12"/>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741,743</w:t>
            </w:r>
          </w:p>
        </w:tc>
        <w:tc>
          <w:tcPr>
            <w:tcW w:w="1580" w:type="dxa"/>
            <w:vAlign w:val="bottom"/>
            <w:gridSpan w:val="3"/>
          </w:tcPr>
          <w:p>
            <w:pPr>
              <w:jc w:val="right"/>
              <w:ind w:right="220"/>
              <w:spacing w:after="0"/>
              <w:rPr>
                <w:sz w:val="20"/>
                <w:szCs w:val="20"/>
                <w:color w:val="auto"/>
              </w:rPr>
            </w:pPr>
            <w:r>
              <w:rPr>
                <w:rFonts w:ascii="Arial" w:cs="Arial" w:eastAsia="Arial" w:hAnsi="Arial"/>
                <w:sz w:val="12"/>
                <w:szCs w:val="12"/>
                <w:color w:val="auto"/>
              </w:rPr>
              <w:t>3.4</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2,293</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gridSpan w:val="2"/>
            <w:vMerge w:val="restart"/>
          </w:tcPr>
          <w:p>
            <w:pPr>
              <w:jc w:val="right"/>
              <w:ind w:right="400"/>
              <w:spacing w:after="0"/>
              <w:rPr>
                <w:sz w:val="20"/>
                <w:szCs w:val="20"/>
                <w:color w:val="auto"/>
              </w:rPr>
            </w:pPr>
            <w:r>
              <w:rPr>
                <w:rFonts w:ascii="Arial" w:cs="Arial" w:eastAsia="Arial" w:hAnsi="Arial"/>
                <w:sz w:val="12"/>
                <w:szCs w:val="12"/>
                <w:b w:val="1"/>
                <w:bCs w:val="1"/>
                <w:color w:val="auto"/>
              </w:rPr>
              <w:t>2020</w:t>
            </w: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54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vMerge w:val="continue"/>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354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tcPr>
          <w:p>
            <w:pPr>
              <w:jc w:val="center"/>
              <w:ind w:right="200"/>
              <w:spacing w:after="0" w:line="129" w:lineRule="exact"/>
              <w:rPr>
                <w:sz w:val="20"/>
                <w:szCs w:val="20"/>
                <w:color w:val="auto"/>
              </w:rPr>
            </w:pPr>
            <w:r>
              <w:rPr>
                <w:rFonts w:ascii="Arial" w:cs="Arial" w:eastAsia="Arial" w:hAnsi="Arial"/>
                <w:sz w:val="12"/>
                <w:szCs w:val="12"/>
                <w:b w:val="1"/>
                <w:bCs w:val="1"/>
                <w:color w:val="auto"/>
                <w:w w:val="88"/>
              </w:rPr>
              <w:t>Average</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5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Notional</w:t>
            </w:r>
          </w:p>
        </w:tc>
        <w:tc>
          <w:tcPr>
            <w:tcW w:w="240" w:type="dxa"/>
            <w:vAlign w:val="bottom"/>
          </w:tcPr>
          <w:p>
            <w:pPr>
              <w:spacing w:after="0"/>
              <w:rPr>
                <w:sz w:val="12"/>
                <w:szCs w:val="12"/>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8"/>
              </w:rPr>
              <w:t>Maturity</w:t>
            </w:r>
          </w:p>
        </w:tc>
        <w:tc>
          <w:tcPr>
            <w:tcW w:w="120" w:type="dxa"/>
            <w:vAlign w:val="bottom"/>
          </w:tcPr>
          <w:p>
            <w:pPr>
              <w:spacing w:after="0"/>
              <w:rPr>
                <w:sz w:val="12"/>
                <w:szCs w:val="12"/>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9"/>
              </w:rPr>
              <w:t>Fair</w:t>
            </w:r>
          </w:p>
        </w:tc>
        <w:tc>
          <w:tcPr>
            <w:tcW w:w="0" w:type="dxa"/>
            <w:vAlign w:val="bottom"/>
          </w:tcPr>
          <w:p>
            <w:pPr>
              <w:spacing w:after="0"/>
              <w:rPr>
                <w:sz w:val="1"/>
                <w:szCs w:val="1"/>
                <w:color w:val="auto"/>
              </w:rPr>
            </w:pPr>
          </w:p>
        </w:tc>
      </w:tr>
      <w:tr>
        <w:trPr>
          <w:trHeight w:val="157"/>
        </w:trPr>
        <w:tc>
          <w:tcPr>
            <w:tcW w:w="354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3"/>
                <w:szCs w:val="13"/>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1"/>
              </w:rPr>
              <w:t>(years)</w:t>
            </w:r>
          </w:p>
        </w:tc>
        <w:tc>
          <w:tcPr>
            <w:tcW w:w="120" w:type="dxa"/>
            <w:vAlign w:val="bottom"/>
          </w:tcPr>
          <w:p>
            <w:pPr>
              <w:spacing w:after="0"/>
              <w:rPr>
                <w:sz w:val="13"/>
                <w:szCs w:val="13"/>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3"/>
              </w:rPr>
              <w:t>Value</w:t>
            </w:r>
          </w:p>
        </w:tc>
        <w:tc>
          <w:tcPr>
            <w:tcW w:w="0" w:type="dxa"/>
            <w:vAlign w:val="bottom"/>
          </w:tcPr>
          <w:p>
            <w:pPr>
              <w:spacing w:after="0"/>
              <w:rPr>
                <w:sz w:val="1"/>
                <w:szCs w:val="1"/>
                <w:color w:val="auto"/>
              </w:rPr>
            </w:pPr>
          </w:p>
        </w:tc>
      </w:tr>
      <w:tr>
        <w:trPr>
          <w:trHeight w:val="155"/>
        </w:trPr>
        <w:tc>
          <w:tcPr>
            <w:tcW w:w="3540" w:type="dxa"/>
            <w:vAlign w:val="bottom"/>
            <w:vMerge w:val="restart"/>
          </w:tcPr>
          <w:p>
            <w:pPr>
              <w:spacing w:after="0"/>
              <w:rPr>
                <w:sz w:val="20"/>
                <w:szCs w:val="20"/>
                <w:color w:val="auto"/>
              </w:rPr>
            </w:pPr>
            <w:r>
              <w:rPr>
                <w:rFonts w:ascii="Arial" w:cs="Arial" w:eastAsia="Arial" w:hAnsi="Arial"/>
                <w:sz w:val="12"/>
                <w:szCs w:val="12"/>
                <w:color w:val="auto"/>
              </w:rPr>
              <w:t>Fair value hedge designation</w:t>
            </w:r>
          </w:p>
        </w:tc>
        <w:tc>
          <w:tcPr>
            <w:tcW w:w="38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(Dollars in thousands)</w:t>
            </w: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540" w:type="dxa"/>
            <w:vAlign w:val="bottom"/>
            <w:vMerge w:val="continue"/>
          </w:tcPr>
          <w:p>
            <w:pPr>
              <w:spacing w:after="0"/>
              <w:rPr>
                <w:sz w:val="11"/>
                <w:szCs w:val="11"/>
                <w:color w:val="auto"/>
              </w:rPr>
            </w:pPr>
          </w:p>
        </w:tc>
        <w:tc>
          <w:tcPr>
            <w:tcW w:w="3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540" w:type="dxa"/>
            <w:vAlign w:val="bottom"/>
            <w:shd w:val="clear" w:color="auto" w:fill="CCEEFF"/>
          </w:tcPr>
          <w:p>
            <w:pPr>
              <w:ind w:left="80"/>
              <w:spacing w:after="0"/>
              <w:rPr>
                <w:sz w:val="20"/>
                <w:szCs w:val="20"/>
                <w:color w:val="auto"/>
              </w:rPr>
            </w:pPr>
            <w:r>
              <w:rPr>
                <w:rFonts w:ascii="Arial" w:cs="Arial" w:eastAsia="Arial" w:hAnsi="Arial"/>
                <w:sz w:val="12"/>
                <w:szCs w:val="12"/>
                <w:color w:val="auto"/>
              </w:rPr>
              <w:t>Pay-fixed interest rate swap agreements - commercial</w:t>
            </w:r>
          </w:p>
        </w:tc>
        <w:tc>
          <w:tcPr>
            <w:tcW w:w="3920" w:type="dxa"/>
            <w:vAlign w:val="bottom"/>
            <w:gridSpan w:val="2"/>
            <w:shd w:val="clear" w:color="auto" w:fill="CCEEFF"/>
          </w:tcPr>
          <w:p>
            <w:pPr>
              <w:jc w:val="right"/>
              <w:ind w:right="12"/>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7,088</w:t>
            </w: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8.4</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(776)</w:t>
            </w:r>
          </w:p>
        </w:tc>
        <w:tc>
          <w:tcPr>
            <w:tcW w:w="0" w:type="dxa"/>
            <w:vAlign w:val="bottom"/>
          </w:tcPr>
          <w:p>
            <w:pPr>
              <w:spacing w:after="0"/>
              <w:rPr>
                <w:sz w:val="1"/>
                <w:szCs w:val="1"/>
                <w:color w:val="auto"/>
              </w:rPr>
            </w:pPr>
          </w:p>
        </w:tc>
      </w:tr>
      <w:tr>
        <w:trPr>
          <w:trHeight w:val="144"/>
        </w:trPr>
        <w:tc>
          <w:tcPr>
            <w:tcW w:w="3540" w:type="dxa"/>
            <w:vAlign w:val="bottom"/>
          </w:tcPr>
          <w:p>
            <w:pPr>
              <w:ind w:left="80"/>
              <w:spacing w:after="0"/>
              <w:rPr>
                <w:sz w:val="20"/>
                <w:szCs w:val="20"/>
                <w:color w:val="auto"/>
              </w:rPr>
            </w:pPr>
            <w:r>
              <w:rPr>
                <w:rFonts w:ascii="Arial" w:cs="Arial" w:eastAsia="Arial" w:hAnsi="Arial"/>
                <w:sz w:val="12"/>
                <w:szCs w:val="12"/>
                <w:color w:val="auto"/>
                <w:w w:val="93"/>
              </w:rPr>
              <w:t>Pay-fixed interest rate swap agreements - securities available for sale</w:t>
            </w:r>
          </w:p>
        </w:tc>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41,950</w:t>
            </w:r>
          </w:p>
        </w:tc>
        <w:tc>
          <w:tcPr>
            <w:tcW w:w="1580" w:type="dxa"/>
            <w:vAlign w:val="bottom"/>
            <w:gridSpan w:val="3"/>
          </w:tcPr>
          <w:p>
            <w:pPr>
              <w:jc w:val="right"/>
              <w:ind w:right="220"/>
              <w:spacing w:after="0"/>
              <w:rPr>
                <w:sz w:val="20"/>
                <w:szCs w:val="20"/>
                <w:color w:val="auto"/>
              </w:rPr>
            </w:pPr>
            <w:r>
              <w:rPr>
                <w:rFonts w:ascii="Arial" w:cs="Arial" w:eastAsia="Arial" w:hAnsi="Arial"/>
                <w:sz w:val="12"/>
                <w:szCs w:val="12"/>
                <w:color w:val="auto"/>
              </w:rPr>
              <w:t>7.1</w:t>
            </w:r>
          </w:p>
        </w:tc>
        <w:tc>
          <w:tcPr>
            <w:tcW w:w="120" w:type="dxa"/>
            <w:vAlign w:val="bottom"/>
          </w:tcPr>
          <w:p>
            <w:pPr>
              <w:spacing w:after="0"/>
              <w:rPr>
                <w:sz w:val="12"/>
                <w:szCs w:val="12"/>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82"/>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Total</w:t>
            </w:r>
          </w:p>
        </w:tc>
        <w:tc>
          <w:tcPr>
            <w:tcW w:w="38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49,038</w:t>
            </w:r>
          </w:p>
        </w:tc>
        <w:tc>
          <w:tcPr>
            <w:tcW w:w="15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7.3</w:t>
            </w:r>
          </w:p>
        </w:tc>
        <w:tc>
          <w:tcPr>
            <w:tcW w:w="1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(761)</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354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540" w:type="dxa"/>
            <w:vAlign w:val="bottom"/>
            <w:shd w:val="clear" w:color="auto" w:fill="CCEEFF"/>
          </w:tcPr>
          <w:p>
            <w:pPr>
              <w:spacing w:after="0"/>
              <w:rPr>
                <w:sz w:val="20"/>
                <w:szCs w:val="20"/>
                <w:color w:val="auto"/>
              </w:rPr>
            </w:pPr>
            <w:r>
              <w:rPr>
                <w:rFonts w:ascii="Arial" w:cs="Arial" w:eastAsia="Arial" w:hAnsi="Arial"/>
                <w:sz w:val="12"/>
                <w:szCs w:val="12"/>
                <w:color w:val="auto"/>
              </w:rPr>
              <w:t>No hedge designation</w:t>
            </w:r>
          </w:p>
        </w:tc>
        <w:tc>
          <w:tcPr>
            <w:tcW w:w="3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40" w:type="dxa"/>
            <w:vAlign w:val="bottom"/>
          </w:tcPr>
          <w:p>
            <w:pPr>
              <w:ind w:left="80"/>
              <w:spacing w:after="0"/>
              <w:rPr>
                <w:sz w:val="20"/>
                <w:szCs w:val="20"/>
                <w:color w:val="auto"/>
              </w:rPr>
            </w:pPr>
            <w:r>
              <w:rPr>
                <w:rFonts w:ascii="Arial" w:cs="Arial" w:eastAsia="Arial" w:hAnsi="Arial"/>
                <w:sz w:val="12"/>
                <w:szCs w:val="12"/>
                <w:color w:val="auto"/>
              </w:rPr>
              <w:t>Rate-lock mortgage loan commitments</w:t>
            </w:r>
          </w:p>
        </w:tc>
        <w:tc>
          <w:tcPr>
            <w:tcW w:w="3920" w:type="dxa"/>
            <w:vAlign w:val="bottom"/>
            <w:gridSpan w:val="2"/>
          </w:tcPr>
          <w:p>
            <w:pPr>
              <w:jc w:val="right"/>
              <w:ind w:right="12"/>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168,816</w:t>
            </w:r>
          </w:p>
        </w:tc>
        <w:tc>
          <w:tcPr>
            <w:tcW w:w="1580" w:type="dxa"/>
            <w:vAlign w:val="bottom"/>
            <w:gridSpan w:val="3"/>
          </w:tcPr>
          <w:p>
            <w:pPr>
              <w:jc w:val="right"/>
              <w:ind w:right="220"/>
              <w:spacing w:after="0"/>
              <w:rPr>
                <w:sz w:val="20"/>
                <w:szCs w:val="20"/>
                <w:color w:val="auto"/>
              </w:rPr>
            </w:pPr>
            <w:r>
              <w:rPr>
                <w:rFonts w:ascii="Arial" w:cs="Arial" w:eastAsia="Arial" w:hAnsi="Arial"/>
                <w:sz w:val="12"/>
                <w:szCs w:val="12"/>
                <w:color w:val="auto"/>
              </w:rPr>
              <w:t>0.1</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7,020</w:t>
            </w:r>
          </w:p>
        </w:tc>
        <w:tc>
          <w:tcPr>
            <w:tcW w:w="0" w:type="dxa"/>
            <w:vAlign w:val="bottom"/>
          </w:tcPr>
          <w:p>
            <w:pPr>
              <w:spacing w:after="0"/>
              <w:rPr>
                <w:sz w:val="1"/>
                <w:szCs w:val="1"/>
                <w:color w:val="auto"/>
              </w:rPr>
            </w:pPr>
          </w:p>
        </w:tc>
      </w:tr>
      <w:tr>
        <w:trPr>
          <w:trHeight w:val="144"/>
        </w:trPr>
        <w:tc>
          <w:tcPr>
            <w:tcW w:w="3540" w:type="dxa"/>
            <w:vAlign w:val="bottom"/>
            <w:shd w:val="clear" w:color="auto" w:fill="CCEEFF"/>
          </w:tcPr>
          <w:p>
            <w:pPr>
              <w:ind w:left="80"/>
              <w:spacing w:after="0"/>
              <w:rPr>
                <w:sz w:val="20"/>
                <w:szCs w:val="20"/>
                <w:color w:val="auto"/>
              </w:rPr>
            </w:pPr>
            <w:r>
              <w:rPr>
                <w:rFonts w:ascii="Arial" w:cs="Arial" w:eastAsia="Arial" w:hAnsi="Arial"/>
                <w:sz w:val="12"/>
                <w:szCs w:val="12"/>
                <w:color w:val="auto"/>
              </w:rPr>
              <w:t>Mandatory commitments to sell mortgage loans</w:t>
            </w:r>
          </w:p>
        </w:tc>
        <w:tc>
          <w:tcPr>
            <w:tcW w:w="3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186,092</w:t>
            </w: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0.1</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(941)</w:t>
            </w:r>
          </w:p>
        </w:tc>
        <w:tc>
          <w:tcPr>
            <w:tcW w:w="0" w:type="dxa"/>
            <w:vAlign w:val="bottom"/>
          </w:tcPr>
          <w:p>
            <w:pPr>
              <w:spacing w:after="0"/>
              <w:rPr>
                <w:sz w:val="1"/>
                <w:szCs w:val="1"/>
                <w:color w:val="auto"/>
              </w:rPr>
            </w:pPr>
          </w:p>
        </w:tc>
      </w:tr>
      <w:tr>
        <w:trPr>
          <w:trHeight w:val="144"/>
        </w:trPr>
        <w:tc>
          <w:tcPr>
            <w:tcW w:w="3540" w:type="dxa"/>
            <w:vAlign w:val="bottom"/>
          </w:tcPr>
          <w:p>
            <w:pPr>
              <w:ind w:left="80"/>
              <w:spacing w:after="0"/>
              <w:rPr>
                <w:sz w:val="20"/>
                <w:szCs w:val="20"/>
                <w:color w:val="auto"/>
              </w:rPr>
            </w:pPr>
            <w:r>
              <w:rPr>
                <w:rFonts w:ascii="Arial" w:cs="Arial" w:eastAsia="Arial" w:hAnsi="Arial"/>
                <w:sz w:val="12"/>
                <w:szCs w:val="12"/>
                <w:color w:val="auto"/>
              </w:rPr>
              <w:t>Pay-fixed interest rate swap agreements - commercial</w:t>
            </w:r>
          </w:p>
        </w:tc>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147,456</w:t>
            </w:r>
          </w:p>
        </w:tc>
        <w:tc>
          <w:tcPr>
            <w:tcW w:w="1580" w:type="dxa"/>
            <w:vAlign w:val="bottom"/>
            <w:gridSpan w:val="3"/>
          </w:tcPr>
          <w:p>
            <w:pPr>
              <w:jc w:val="right"/>
              <w:ind w:right="220"/>
              <w:spacing w:after="0"/>
              <w:rPr>
                <w:sz w:val="20"/>
                <w:szCs w:val="20"/>
                <w:color w:val="auto"/>
              </w:rPr>
            </w:pPr>
            <w:r>
              <w:rPr>
                <w:rFonts w:ascii="Arial" w:cs="Arial" w:eastAsia="Arial" w:hAnsi="Arial"/>
                <w:sz w:val="12"/>
                <w:szCs w:val="12"/>
                <w:color w:val="auto"/>
              </w:rPr>
              <w:t>4.5</w:t>
            </w:r>
          </w:p>
        </w:tc>
        <w:tc>
          <w:tcPr>
            <w:tcW w:w="120" w:type="dxa"/>
            <w:vAlign w:val="bottom"/>
          </w:tcPr>
          <w:p>
            <w:pPr>
              <w:spacing w:after="0"/>
              <w:rPr>
                <w:sz w:val="12"/>
                <w:szCs w:val="12"/>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2"/>
                <w:szCs w:val="12"/>
                <w:color w:val="auto"/>
              </w:rPr>
              <w:t>(9,700)</w:t>
            </w:r>
          </w:p>
        </w:tc>
        <w:tc>
          <w:tcPr>
            <w:tcW w:w="0" w:type="dxa"/>
            <w:vAlign w:val="bottom"/>
          </w:tcPr>
          <w:p>
            <w:pPr>
              <w:spacing w:after="0"/>
              <w:rPr>
                <w:sz w:val="1"/>
                <w:szCs w:val="1"/>
                <w:color w:val="auto"/>
              </w:rPr>
            </w:pPr>
          </w:p>
        </w:tc>
      </w:tr>
      <w:tr>
        <w:trPr>
          <w:trHeight w:val="144"/>
        </w:trPr>
        <w:tc>
          <w:tcPr>
            <w:tcW w:w="3540" w:type="dxa"/>
            <w:vAlign w:val="bottom"/>
            <w:shd w:val="clear" w:color="auto" w:fill="CCEEFF"/>
          </w:tcPr>
          <w:p>
            <w:pPr>
              <w:ind w:left="80"/>
              <w:spacing w:after="0"/>
              <w:rPr>
                <w:sz w:val="20"/>
                <w:szCs w:val="20"/>
                <w:color w:val="auto"/>
              </w:rPr>
            </w:pPr>
            <w:r>
              <w:rPr>
                <w:rFonts w:ascii="Arial" w:cs="Arial" w:eastAsia="Arial" w:hAnsi="Arial"/>
                <w:sz w:val="12"/>
                <w:szCs w:val="12"/>
                <w:color w:val="auto"/>
              </w:rPr>
              <w:t>Pay-variable interest rate swap agreements - commercial</w:t>
            </w:r>
          </w:p>
        </w:tc>
        <w:tc>
          <w:tcPr>
            <w:tcW w:w="3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147,456</w:t>
            </w: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4.5</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9,700</w:t>
            </w:r>
          </w:p>
        </w:tc>
        <w:tc>
          <w:tcPr>
            <w:tcW w:w="0" w:type="dxa"/>
            <w:vAlign w:val="bottom"/>
          </w:tcPr>
          <w:p>
            <w:pPr>
              <w:spacing w:after="0"/>
              <w:rPr>
                <w:sz w:val="1"/>
                <w:szCs w:val="1"/>
                <w:color w:val="auto"/>
              </w:rPr>
            </w:pPr>
          </w:p>
        </w:tc>
      </w:tr>
      <w:tr>
        <w:trPr>
          <w:trHeight w:val="144"/>
        </w:trPr>
        <w:tc>
          <w:tcPr>
            <w:tcW w:w="3540" w:type="dxa"/>
            <w:vAlign w:val="bottom"/>
          </w:tcPr>
          <w:p>
            <w:pPr>
              <w:ind w:left="100"/>
              <w:spacing w:after="0"/>
              <w:rPr>
                <w:sz w:val="20"/>
                <w:szCs w:val="20"/>
                <w:color w:val="auto"/>
              </w:rPr>
            </w:pPr>
            <w:r>
              <w:rPr>
                <w:rFonts w:ascii="Arial" w:cs="Arial" w:eastAsia="Arial" w:hAnsi="Arial"/>
                <w:sz w:val="12"/>
                <w:szCs w:val="12"/>
                <w:color w:val="auto"/>
              </w:rPr>
              <w:t>Pay-fixed interest rate swap agreements</w:t>
            </w:r>
          </w:p>
        </w:tc>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25,000</w:t>
            </w:r>
          </w:p>
        </w:tc>
        <w:tc>
          <w:tcPr>
            <w:tcW w:w="1580" w:type="dxa"/>
            <w:vAlign w:val="bottom"/>
            <w:gridSpan w:val="3"/>
          </w:tcPr>
          <w:p>
            <w:pPr>
              <w:jc w:val="right"/>
              <w:ind w:right="220"/>
              <w:spacing w:after="0"/>
              <w:rPr>
                <w:sz w:val="20"/>
                <w:szCs w:val="20"/>
                <w:color w:val="auto"/>
              </w:rPr>
            </w:pPr>
            <w:r>
              <w:rPr>
                <w:rFonts w:ascii="Arial" w:cs="Arial" w:eastAsia="Arial" w:hAnsi="Arial"/>
                <w:sz w:val="12"/>
                <w:szCs w:val="12"/>
                <w:color w:val="auto"/>
              </w:rPr>
              <w:t>0.6</w:t>
            </w:r>
          </w:p>
        </w:tc>
        <w:tc>
          <w:tcPr>
            <w:tcW w:w="120" w:type="dxa"/>
            <w:vAlign w:val="bottom"/>
          </w:tcPr>
          <w:p>
            <w:pPr>
              <w:spacing w:after="0"/>
              <w:rPr>
                <w:sz w:val="12"/>
                <w:szCs w:val="12"/>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2"/>
                <w:szCs w:val="12"/>
                <w:color w:val="auto"/>
              </w:rPr>
              <w:t>(295)</w:t>
            </w:r>
          </w:p>
        </w:tc>
        <w:tc>
          <w:tcPr>
            <w:tcW w:w="0" w:type="dxa"/>
            <w:vAlign w:val="bottom"/>
          </w:tcPr>
          <w:p>
            <w:pPr>
              <w:spacing w:after="0"/>
              <w:rPr>
                <w:sz w:val="1"/>
                <w:szCs w:val="1"/>
                <w:color w:val="auto"/>
              </w:rPr>
            </w:pPr>
          </w:p>
        </w:tc>
      </w:tr>
      <w:tr>
        <w:trPr>
          <w:trHeight w:val="144"/>
        </w:trPr>
        <w:tc>
          <w:tcPr>
            <w:tcW w:w="35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Interest rate cap agreements</w:t>
            </w:r>
          </w:p>
        </w:tc>
        <w:tc>
          <w:tcPr>
            <w:tcW w:w="3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135,000</w:t>
            </w: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1.8</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44"/>
        </w:trPr>
        <w:tc>
          <w:tcPr>
            <w:tcW w:w="3540" w:type="dxa"/>
            <w:vAlign w:val="bottom"/>
          </w:tcPr>
          <w:p>
            <w:pPr>
              <w:ind w:left="80"/>
              <w:spacing w:after="0"/>
              <w:rPr>
                <w:sz w:val="20"/>
                <w:szCs w:val="20"/>
                <w:color w:val="auto"/>
              </w:rPr>
            </w:pPr>
            <w:r>
              <w:rPr>
                <w:rFonts w:ascii="Arial" w:cs="Arial" w:eastAsia="Arial" w:hAnsi="Arial"/>
                <w:sz w:val="12"/>
                <w:szCs w:val="12"/>
                <w:color w:val="auto"/>
              </w:rPr>
              <w:t>Purchased options</w:t>
            </w:r>
          </w:p>
        </w:tc>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2,908</w:t>
            </w:r>
          </w:p>
        </w:tc>
        <w:tc>
          <w:tcPr>
            <w:tcW w:w="1580" w:type="dxa"/>
            <w:vAlign w:val="bottom"/>
            <w:gridSpan w:val="3"/>
          </w:tcPr>
          <w:p>
            <w:pPr>
              <w:jc w:val="right"/>
              <w:ind w:right="220"/>
              <w:spacing w:after="0"/>
              <w:rPr>
                <w:sz w:val="20"/>
                <w:szCs w:val="20"/>
                <w:color w:val="auto"/>
              </w:rPr>
            </w:pPr>
            <w:r>
              <w:rPr>
                <w:rFonts w:ascii="Arial" w:cs="Arial" w:eastAsia="Arial" w:hAnsi="Arial"/>
                <w:sz w:val="12"/>
                <w:szCs w:val="12"/>
                <w:color w:val="auto"/>
              </w:rPr>
              <w:t>0.5</w:t>
            </w:r>
          </w:p>
        </w:tc>
        <w:tc>
          <w:tcPr>
            <w:tcW w:w="120" w:type="dxa"/>
            <w:vAlign w:val="bottom"/>
          </w:tcPr>
          <w:p>
            <w:pPr>
              <w:spacing w:after="0"/>
              <w:rPr>
                <w:sz w:val="12"/>
                <w:szCs w:val="12"/>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42</w:t>
            </w:r>
          </w:p>
        </w:tc>
        <w:tc>
          <w:tcPr>
            <w:tcW w:w="0" w:type="dxa"/>
            <w:vAlign w:val="bottom"/>
          </w:tcPr>
          <w:p>
            <w:pPr>
              <w:spacing w:after="0"/>
              <w:rPr>
                <w:sz w:val="1"/>
                <w:szCs w:val="1"/>
                <w:color w:val="auto"/>
              </w:rPr>
            </w:pPr>
          </w:p>
        </w:tc>
      </w:tr>
      <w:tr>
        <w:trPr>
          <w:trHeight w:val="144"/>
        </w:trPr>
        <w:tc>
          <w:tcPr>
            <w:tcW w:w="3540" w:type="dxa"/>
            <w:vAlign w:val="bottom"/>
            <w:shd w:val="clear" w:color="auto" w:fill="CCEEFF"/>
          </w:tcPr>
          <w:p>
            <w:pPr>
              <w:ind w:left="80"/>
              <w:spacing w:after="0"/>
              <w:rPr>
                <w:sz w:val="20"/>
                <w:szCs w:val="20"/>
                <w:color w:val="auto"/>
              </w:rPr>
            </w:pPr>
            <w:r>
              <w:rPr>
                <w:rFonts w:ascii="Arial" w:cs="Arial" w:eastAsia="Arial" w:hAnsi="Arial"/>
                <w:sz w:val="12"/>
                <w:szCs w:val="12"/>
                <w:color w:val="auto"/>
              </w:rPr>
              <w:t>Written options</w:t>
            </w:r>
          </w:p>
        </w:tc>
        <w:tc>
          <w:tcPr>
            <w:tcW w:w="3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2,848</w:t>
            </w: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0.5</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(42)</w:t>
            </w:r>
          </w:p>
        </w:tc>
        <w:tc>
          <w:tcPr>
            <w:tcW w:w="0" w:type="dxa"/>
            <w:vAlign w:val="bottom"/>
          </w:tcPr>
          <w:p>
            <w:pPr>
              <w:spacing w:after="0"/>
              <w:rPr>
                <w:sz w:val="1"/>
                <w:szCs w:val="1"/>
                <w:color w:val="auto"/>
              </w:rPr>
            </w:pPr>
          </w:p>
        </w:tc>
      </w:tr>
      <w:tr>
        <w:trPr>
          <w:trHeight w:val="20"/>
        </w:trPr>
        <w:tc>
          <w:tcPr>
            <w:tcW w:w="3540" w:type="dxa"/>
            <w:vAlign w:val="bottom"/>
            <w:shd w:val="clear" w:color="auto" w:fill="CCEEFF"/>
          </w:tcPr>
          <w:p>
            <w:pPr>
              <w:spacing w:after="0" w:line="20" w:lineRule="exact"/>
              <w:rPr>
                <w:sz w:val="1"/>
                <w:szCs w:val="1"/>
                <w:color w:val="auto"/>
              </w:rPr>
            </w:pPr>
          </w:p>
        </w:tc>
        <w:tc>
          <w:tcPr>
            <w:tcW w:w="38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540" w:type="dxa"/>
            <w:vAlign w:val="bottom"/>
          </w:tcPr>
          <w:p>
            <w:pPr>
              <w:ind w:left="200"/>
              <w:spacing w:after="0"/>
              <w:rPr>
                <w:sz w:val="20"/>
                <w:szCs w:val="20"/>
                <w:color w:val="auto"/>
              </w:rPr>
            </w:pPr>
            <w:r>
              <w:rPr>
                <w:rFonts w:ascii="Arial" w:cs="Arial" w:eastAsia="Arial" w:hAnsi="Arial"/>
                <w:sz w:val="12"/>
                <w:szCs w:val="12"/>
                <w:color w:val="auto"/>
              </w:rPr>
              <w:t>Total</w:t>
            </w:r>
          </w:p>
        </w:tc>
        <w:tc>
          <w:tcPr>
            <w:tcW w:w="3800" w:type="dxa"/>
            <w:vAlign w:val="bottom"/>
          </w:tcPr>
          <w:p>
            <w:pPr>
              <w:spacing w:after="0"/>
              <w:rPr>
                <w:sz w:val="12"/>
                <w:szCs w:val="12"/>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815,576</w:t>
            </w:r>
          </w:p>
        </w:tc>
        <w:tc>
          <w:tcPr>
            <w:tcW w:w="1580" w:type="dxa"/>
            <w:vAlign w:val="bottom"/>
            <w:gridSpan w:val="3"/>
          </w:tcPr>
          <w:p>
            <w:pPr>
              <w:jc w:val="right"/>
              <w:ind w:right="220"/>
              <w:spacing w:after="0"/>
              <w:rPr>
                <w:sz w:val="20"/>
                <w:szCs w:val="20"/>
                <w:color w:val="auto"/>
              </w:rPr>
            </w:pPr>
            <w:r>
              <w:rPr>
                <w:rFonts w:ascii="Arial" w:cs="Arial" w:eastAsia="Arial" w:hAnsi="Arial"/>
                <w:sz w:val="12"/>
                <w:szCs w:val="12"/>
                <w:color w:val="auto"/>
              </w:rPr>
              <w:t>2.0</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5,789</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We have established management objectives and strategies that include interest-rate risk parameters for maximum fluctuations in net interest income and market value of portfolio equity. We monitor our interest rate risk position via simulation modeling reports. The goal of our asset/liability management efforts is to maintain profitable financial leverage within established risk parameters.</w:t>
      </w:r>
    </w:p>
    <w:p>
      <w:pPr>
        <w:spacing w:after="0" w:line="237" w:lineRule="exact"/>
        <w:rPr>
          <w:sz w:val="20"/>
          <w:szCs w:val="20"/>
          <w:color w:val="auto"/>
        </w:rPr>
      </w:pPr>
    </w:p>
    <w:p>
      <w:pPr>
        <w:jc w:val="center"/>
        <w:ind w:right="-199"/>
        <w:spacing w:after="0"/>
        <w:rPr>
          <w:sz w:val="20"/>
          <w:szCs w:val="20"/>
          <w:color w:val="auto"/>
        </w:rPr>
      </w:pPr>
      <w:r>
        <w:rPr>
          <w:rFonts w:ascii="Arial" w:cs="Arial" w:eastAsia="Arial" w:hAnsi="Arial"/>
          <w:sz w:val="10"/>
          <w:szCs w:val="10"/>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07" w:name="page108"/>
    <w:bookmarkEnd w:id="107"/>
    <w:p>
      <w:pPr>
        <w:jc w:val="center"/>
        <w:ind w:right="-199"/>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27" w:lineRule="exact"/>
        <w:rPr>
          <w:sz w:val="20"/>
          <w:szCs w:val="20"/>
          <w:color w:val="auto"/>
        </w:rPr>
      </w:pPr>
    </w:p>
    <w:p>
      <w:pPr>
        <w:jc w:val="both"/>
        <w:ind w:firstLine="216"/>
        <w:spacing w:after="0" w:line="310" w:lineRule="auto"/>
        <w:rPr>
          <w:sz w:val="20"/>
          <w:szCs w:val="20"/>
          <w:color w:val="auto"/>
        </w:rPr>
      </w:pPr>
      <w:r>
        <w:rPr>
          <w:rFonts w:ascii="Arial" w:cs="Arial" w:eastAsia="Arial" w:hAnsi="Arial"/>
          <w:sz w:val="10"/>
          <w:szCs w:val="10"/>
          <w:color w:val="231F20"/>
        </w:rPr>
        <w:t xml:space="preserve">To meet our asset/liability management objectives, we may periodically enter into derivative financial instruments to mitigate exposure to fluctuations in cash flows resulting from changes in interest rates (‘‘Cash Flow Hedges’’). Cash Flow Hedges had included certain pay-fixed interest rate swap and interest rate cap agreements. Pay-fixed interest rate swap agreements convert the variable-rate cash flows on debt obligations to fixed-rates. </w:t>
      </w:r>
      <w:r>
        <w:rPr>
          <w:rFonts w:ascii="Arial" w:cs="Arial" w:eastAsia="Arial" w:hAnsi="Arial"/>
          <w:sz w:val="10"/>
          <w:szCs w:val="10"/>
          <w:color w:val="000000"/>
        </w:rPr>
        <w:t>Under interest-rate</w:t>
      </w:r>
      <w:r>
        <w:rPr>
          <w:rFonts w:ascii="Arial" w:cs="Arial" w:eastAsia="Arial" w:hAnsi="Arial"/>
          <w:sz w:val="10"/>
          <w:szCs w:val="10"/>
          <w:color w:val="231F20"/>
        </w:rPr>
        <w:t xml:space="preserve"> </w:t>
      </w:r>
      <w:r>
        <w:rPr>
          <w:rFonts w:ascii="Arial" w:cs="Arial" w:eastAsia="Arial" w:hAnsi="Arial"/>
          <w:sz w:val="10"/>
          <w:szCs w:val="10"/>
          <w:color w:val="000000"/>
        </w:rPr>
        <w:t>cap agreements, we will receive cash if interest rates rise above a predetermined level. As a result, we effectively have variable-rate debt with an established maximum rate. We paid an upfront premium on interest rate caps which was recognized in earnings in the same period in which the hedged item affected earnings. During the first and third quarters of 2020 we transferred all of our Cash Flow Hedge interest rate cap and pay-fixed interest rate swap agreements, respectively to a no hedge designation. The $2.0 million and $0.5 million unrealized loss on our Cash Flow Hedge interest rate cap and pay-fixed interest rate swap agreements, respectively, which were included as a component of accumulated other comprehensive income at the time of the transfers, were being reclassified into earnings over the remaining life of the interest rate cap agreements and pay-fixed interest rate swap agreements. In the fourth quarter of 2020 it became probable that the forecasted transactions being hedged by these interest rate cap and pay-fixed interest rate swap agreements would not occur by the end of the originally specified time period. As a result, all remaining unrealized losses included as a component of accumulated other comprehensive income were reclassified into earnings at that time. The no hedge designation pay-fixed interest rate swap agreements, which all matured in 2021, as well as the no hedge designation interest rate cap agreements in the tables above were classified as a no hedge designation during 2020 and any changes in fair value since the transfers to the no hedge designation are recorded in earnings.</w:t>
      </w:r>
    </w:p>
    <w:p>
      <w:pPr>
        <w:spacing w:after="0" w:line="103"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We have entered into a pay-fixed interest rate swap to protect a portion of the fair value of a certain fixed rate commercial loan (‘‘Fair Value Hedge – Commercial Loan’’). As a result, changes in the fair value of the pay-fixed interest rate swap is expected to offset changes in the fair value of the fixed rate commercial loan due to fluctuations in interest rates. We record the fair value of Fair Value Hedge – Commercial Loan in accrued income and other assets and accrued expenses and other liabilities on our Consolidated Statements of Financial Condition. The hedged item (fixed rate commercial loan) is also recorded at fair value which offsets the adjustment to the Fair Value Hedge – Commercial Loan. On an ongoing basis, we adjust our Consolidated Statements of Financial Condition to reflect the then current fair value of both the Fair Value Hedge – Commercial Loan and the hedged item. The related gains or losses are reported in interest income – interest and fees on loans in our Consolidated Statements of Operations.</w:t>
      </w:r>
    </w:p>
    <w:p>
      <w:pPr>
        <w:spacing w:after="0" w:line="128" w:lineRule="exact"/>
        <w:rPr>
          <w:sz w:val="20"/>
          <w:szCs w:val="20"/>
          <w:color w:val="auto"/>
        </w:rPr>
      </w:pPr>
    </w:p>
    <w:p>
      <w:pPr>
        <w:jc w:val="both"/>
        <w:ind w:firstLine="216"/>
        <w:spacing w:after="0" w:line="285" w:lineRule="auto"/>
        <w:rPr>
          <w:sz w:val="20"/>
          <w:szCs w:val="20"/>
          <w:color w:val="auto"/>
        </w:rPr>
      </w:pPr>
      <w:r>
        <w:rPr>
          <w:rFonts w:ascii="Arial" w:cs="Arial" w:eastAsia="Arial" w:hAnsi="Arial"/>
          <w:sz w:val="11"/>
          <w:szCs w:val="11"/>
          <w:color w:val="auto"/>
        </w:rPr>
        <w:t>We have entered into pay-fixed interest rate swaps to protect a portion of the fair value of certain securities available for sale (‘‘Fair Value Hedge – AFS Securities’’). As a result, the change in the fair value of the pay-fixed interest rate swaps is expected to offset a portion of the change in the fair value of the fixed rate securities available for sale due to fluctuations in interest rates. We record the fair value of Fair Value Hedge – AFS Securities in accrued income and other assets and accrued expenses and other liabilities on our Consolidated Statements of Financial Condition. The hedged items (fixed rate securities available for sale) are also recorded at fair value which offsets the adjustment to the Fair Value Hedge – AFS Securities. On an ongoing basis, we adjust our Consolidated Statements of Financial Condition to reflect the then current fair value of both the Fair Value Hedge – AFS Securities and the hedged item. The related gains or losses are reported in interest income – interest on securities available for sale – tax-exempt in our Consolidated Statements of Operations.</w:t>
      </w:r>
    </w:p>
    <w:p>
      <w:pPr>
        <w:spacing w:after="0" w:line="113"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Certain derivative financial instruments have not been designated as hedges. The fair value of these derivative financial instruments has been recorded on our Consolidated Statements of Financial Condition and is adjusted on an ongoing basis to reflect their then current fair value. The changes in fair value of derivative financial instruments not designated as hedges are recognized in earnings.</w:t>
      </w:r>
    </w:p>
    <w:p>
      <w:pPr>
        <w:spacing w:after="0" w:line="115" w:lineRule="exact"/>
        <w:rPr>
          <w:sz w:val="20"/>
          <w:szCs w:val="20"/>
          <w:color w:val="auto"/>
        </w:rPr>
      </w:pPr>
    </w:p>
    <w:p>
      <w:pPr>
        <w:jc w:val="both"/>
        <w:ind w:firstLine="216"/>
        <w:spacing w:after="0" w:line="326" w:lineRule="auto"/>
        <w:rPr>
          <w:sz w:val="20"/>
          <w:szCs w:val="20"/>
          <w:color w:val="auto"/>
        </w:rPr>
      </w:pPr>
      <w:r>
        <w:rPr>
          <w:rFonts w:ascii="Arial" w:cs="Arial" w:eastAsia="Arial" w:hAnsi="Arial"/>
          <w:sz w:val="10"/>
          <w:szCs w:val="10"/>
          <w:color w:val="auto"/>
        </w:rPr>
        <w:t>In the ordinary course of business, we enter into rate-lock mortgage loan commitments with customers (‘‘Rate-Lock Commitments’’). These commitments expose us to interest rate risk. We also enter into mandatory commitments to sell mortgage loans (‘‘Mandatory Commitments’’) to reduce the impact of price fluctuations of mortgage loans held for sale and Rate-Lock Commitments. Mandatory Commitments help protect our loan sale profit margin from fluctuations in interest rates. The changes in the fair value of Rate Lock Commitments and Mandatory Commitments are recognized currently as part of net gains on mortgage loans in the Consolidated Statements of Operations. We obtain market prices on Mandatory Commitments and Rate-Lock Commitments. Net gains on mortgage loans, as well as net income, may be more volatile as a result of these derivative instruments, which are not designated as hedges.</w:t>
      </w:r>
    </w:p>
    <w:p>
      <w:pPr>
        <w:spacing w:after="0" w:line="95" w:lineRule="exact"/>
        <w:rPr>
          <w:sz w:val="20"/>
          <w:szCs w:val="20"/>
          <w:color w:val="auto"/>
        </w:rPr>
      </w:pPr>
    </w:p>
    <w:p>
      <w:pPr>
        <w:jc w:val="both"/>
        <w:ind w:firstLine="216"/>
        <w:spacing w:after="0" w:line="323" w:lineRule="auto"/>
        <w:rPr>
          <w:sz w:val="20"/>
          <w:szCs w:val="20"/>
          <w:color w:val="auto"/>
        </w:rPr>
      </w:pPr>
      <w:r>
        <w:rPr>
          <w:rFonts w:ascii="Arial" w:cs="Arial" w:eastAsia="Arial" w:hAnsi="Arial"/>
          <w:sz w:val="11"/>
          <w:szCs w:val="11"/>
          <w:color w:val="auto"/>
        </w:rPr>
        <w:t>We have purchased a swaption agreement, whereby we have the right but not the obligation to pay fixed on an interest rate swap at a future date, in an attempt to reduce the impact of price fluctuations of certain mortgage construction loans held for sale. The changes in the fair value of the swaption agreement is recognized currently as part of net gains on mortgage loans in our Consolidated Statements of Operations.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27"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In prior periods we offered to our deposit customers an equity linked time deposit product (‘‘Altitude CD’’). The Altitude CD was a time deposit that provided the customer a guaranteed return of principal at maturity plus a potential equity return (a written option), while we receive a like stream of funds based on the equity return (a purchased option). The written and purchased options will generally move in opposite directions resulting in little or no net impact on our Consolidated Statements of Operations. The written and purchased options in the table above relate to this Altitude CD product and matured during the fourth quarter of 2021.</w:t>
      </w:r>
    </w:p>
    <w:p>
      <w:pPr>
        <w:spacing w:after="0" w:line="105"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We have a program that allows commercial loan customers to lock in a fixed rate for a longer period of time than we would normally offer for interest rate risk reasons. We will enter into a variable rate commercial loan and an interest rate swap agreement with a customer and then enter into an offsetting interest rate swap agreement with an unrelated party. The interest rate swap agreement fair values will generally move in opposite directions resulting in little or no net impact on our Consolidated Statements of Operations. All of the interest rate swap agreements-commercial with no hedge designation in the table above relate to this program.</w:t>
      </w:r>
    </w:p>
    <w:p>
      <w:pPr>
        <w:spacing w:after="0" w:line="10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following table illustrate the impact that the derivative financial instruments discussed above have on individual line items in the Consolidated Statements of Financial Condition for the periods presented: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380" w:type="dxa"/>
            <w:vAlign w:val="bottom"/>
          </w:tcPr>
          <w:p>
            <w:pPr>
              <w:ind w:left="200"/>
              <w:spacing w:after="0"/>
              <w:rPr>
                <w:sz w:val="20"/>
                <w:szCs w:val="20"/>
                <w:color w:val="auto"/>
              </w:rPr>
            </w:pPr>
            <w:r>
              <w:rPr>
                <w:rFonts w:ascii="Arial" w:cs="Arial" w:eastAsia="Arial" w:hAnsi="Arial"/>
                <w:sz w:val="12"/>
                <w:szCs w:val="12"/>
                <w:color w:val="auto"/>
              </w:rPr>
              <w:t>Fair Values of Derivative Instruments</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38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2"/>
                <w:szCs w:val="12"/>
                <w:b w:val="1"/>
                <w:bCs w:val="1"/>
                <w:color w:val="auto"/>
                <w:w w:val="87"/>
              </w:rPr>
              <w:t>Asset Derivatives</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2"/>
                <w:szCs w:val="12"/>
                <w:b w:val="1"/>
                <w:bCs w:val="1"/>
                <w:color w:val="auto"/>
                <w:w w:val="93"/>
              </w:rPr>
              <w:t>Liability Derivatives</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gridSpan w:val="3"/>
            <w:vMerge w:val="restart"/>
          </w:tcPr>
          <w:p>
            <w:pPr>
              <w:jc w:val="right"/>
              <w:ind w:right="152"/>
              <w:spacing w:after="0"/>
              <w:rPr>
                <w:sz w:val="20"/>
                <w:szCs w:val="20"/>
                <w:color w:val="auto"/>
              </w:rPr>
            </w:pPr>
            <w:r>
              <w:rPr>
                <w:rFonts w:ascii="Arial" w:cs="Arial" w:eastAsia="Arial" w:hAnsi="Arial"/>
                <w:sz w:val="12"/>
                <w:szCs w:val="12"/>
                <w:b w:val="1"/>
                <w:bCs w:val="1"/>
                <w:color w:val="auto"/>
              </w:rPr>
              <w:t>2021</w:t>
            </w:r>
          </w:p>
        </w:tc>
        <w:tc>
          <w:tcPr>
            <w:tcW w:w="1740" w:type="dxa"/>
            <w:vAlign w:val="bottom"/>
            <w:gridSpan w:val="3"/>
          </w:tcPr>
          <w:p>
            <w:pPr>
              <w:jc w:val="center"/>
              <w:ind w:right="20"/>
              <w:spacing w:after="0"/>
              <w:rPr>
                <w:sz w:val="20"/>
                <w:szCs w:val="20"/>
                <w:color w:val="auto"/>
              </w:rPr>
            </w:pPr>
            <w:r>
              <w:rPr>
                <w:rFonts w:ascii="Arial" w:cs="Arial" w:eastAsia="Arial" w:hAnsi="Arial"/>
                <w:sz w:val="12"/>
                <w:szCs w:val="12"/>
                <w:b w:val="1"/>
                <w:bCs w:val="1"/>
                <w:color w:val="auto"/>
                <w:w w:val="89"/>
              </w:rPr>
              <w:t>December 31,</w:t>
            </w:r>
          </w:p>
        </w:tc>
        <w:tc>
          <w:tcPr>
            <w:tcW w:w="540" w:type="dxa"/>
            <w:vAlign w:val="bottom"/>
            <w:gridSpan w:val="3"/>
            <w:vMerge w:val="restart"/>
          </w:tcPr>
          <w:p>
            <w:pPr>
              <w:jc w:val="right"/>
              <w:ind w:right="152"/>
              <w:spacing w:after="0"/>
              <w:rPr>
                <w:sz w:val="20"/>
                <w:szCs w:val="20"/>
                <w:color w:val="auto"/>
              </w:rPr>
            </w:pPr>
            <w:r>
              <w:rPr>
                <w:rFonts w:ascii="Arial" w:cs="Arial" w:eastAsia="Arial" w:hAnsi="Arial"/>
                <w:sz w:val="12"/>
                <w:szCs w:val="12"/>
                <w:b w:val="1"/>
                <w:bCs w:val="1"/>
                <w:color w:val="auto"/>
              </w:rPr>
              <w:t>2020</w:t>
            </w: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2021</w:t>
            </w:r>
          </w:p>
        </w:tc>
        <w:tc>
          <w:tcPr>
            <w:tcW w:w="180" w:type="dxa"/>
            <w:vAlign w:val="bottom"/>
          </w:tcPr>
          <w:p>
            <w:pPr>
              <w:spacing w:after="0"/>
              <w:rPr>
                <w:sz w:val="13"/>
                <w:szCs w:val="13"/>
                <w:color w:val="auto"/>
              </w:rPr>
            </w:pPr>
          </w:p>
        </w:tc>
        <w:tc>
          <w:tcPr>
            <w:tcW w:w="1740" w:type="dxa"/>
            <w:vAlign w:val="bottom"/>
            <w:gridSpan w:val="3"/>
          </w:tcPr>
          <w:p>
            <w:pPr>
              <w:jc w:val="center"/>
              <w:ind w:right="60"/>
              <w:spacing w:after="0"/>
              <w:rPr>
                <w:sz w:val="20"/>
                <w:szCs w:val="20"/>
                <w:color w:val="auto"/>
              </w:rPr>
            </w:pPr>
            <w:r>
              <w:rPr>
                <w:rFonts w:ascii="Arial" w:cs="Arial" w:eastAsia="Arial" w:hAnsi="Arial"/>
                <w:sz w:val="12"/>
                <w:szCs w:val="12"/>
                <w:b w:val="1"/>
                <w:bCs w:val="1"/>
                <w:color w:val="auto"/>
                <w:w w:val="89"/>
              </w:rPr>
              <w:t>December 31,</w:t>
            </w:r>
          </w:p>
        </w:tc>
        <w:tc>
          <w:tcPr>
            <w:tcW w:w="480" w:type="dxa"/>
            <w:vAlign w:val="bottom"/>
            <w:gridSpan w:val="3"/>
            <w:vMerge w:val="restart"/>
          </w:tcPr>
          <w:p>
            <w:pPr>
              <w:jc w:val="right"/>
              <w:ind w:right="132"/>
              <w:spacing w:after="0"/>
              <w:rPr>
                <w:sz w:val="20"/>
                <w:szCs w:val="20"/>
                <w:color w:val="auto"/>
              </w:rPr>
            </w:pPr>
            <w:r>
              <w:rPr>
                <w:rFonts w:ascii="Arial" w:cs="Arial" w:eastAsia="Arial" w:hAnsi="Arial"/>
                <w:sz w:val="12"/>
                <w:szCs w:val="12"/>
                <w:b w:val="1"/>
                <w:bCs w:val="1"/>
                <w:color w:val="auto"/>
              </w:rPr>
              <w:t>2020</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38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gridSpan w:val="3"/>
            <w:vMerge w:val="continue"/>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gridSpan w:val="3"/>
            <w:vMerge w:val="continue"/>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gridSpan w:val="2"/>
            <w:vMerge w:val="continue"/>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gridSpan w:val="3"/>
            <w:vMerge w:val="continue"/>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380" w:type="dxa"/>
            <w:vAlign w:val="bottom"/>
          </w:tcPr>
          <w:p>
            <w:pPr>
              <w:spacing w:after="0"/>
              <w:rPr>
                <w:sz w:val="11"/>
                <w:szCs w:val="11"/>
                <w:color w:val="auto"/>
              </w:rPr>
            </w:pPr>
          </w:p>
        </w:tc>
        <w:tc>
          <w:tcPr>
            <w:tcW w:w="800" w:type="dxa"/>
            <w:vAlign w:val="bottom"/>
          </w:tcPr>
          <w:p>
            <w:pPr>
              <w:jc w:val="center"/>
              <w:ind w:left="40"/>
              <w:spacing w:after="0" w:line="129" w:lineRule="exact"/>
              <w:rPr>
                <w:sz w:val="20"/>
                <w:szCs w:val="20"/>
                <w:color w:val="auto"/>
              </w:rPr>
            </w:pPr>
            <w:r>
              <w:rPr>
                <w:rFonts w:ascii="Arial" w:cs="Arial" w:eastAsia="Arial" w:hAnsi="Arial"/>
                <w:sz w:val="12"/>
                <w:szCs w:val="12"/>
                <w:b w:val="1"/>
                <w:bCs w:val="1"/>
                <w:color w:val="auto"/>
                <w:w w:val="91"/>
              </w:rPr>
              <w:t>Balance</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center"/>
              <w:ind w:left="60"/>
              <w:spacing w:after="0" w:line="129" w:lineRule="exact"/>
              <w:rPr>
                <w:sz w:val="20"/>
                <w:szCs w:val="20"/>
                <w:color w:val="auto"/>
              </w:rPr>
            </w:pPr>
            <w:r>
              <w:rPr>
                <w:rFonts w:ascii="Arial" w:cs="Arial" w:eastAsia="Arial" w:hAnsi="Arial"/>
                <w:sz w:val="12"/>
                <w:szCs w:val="12"/>
                <w:b w:val="1"/>
                <w:bCs w:val="1"/>
                <w:color w:val="auto"/>
                <w:w w:val="86"/>
              </w:rPr>
              <w:t>Balance</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center"/>
              <w:ind w:left="20"/>
              <w:spacing w:after="0" w:line="129" w:lineRule="exact"/>
              <w:rPr>
                <w:sz w:val="20"/>
                <w:szCs w:val="20"/>
                <w:color w:val="auto"/>
              </w:rPr>
            </w:pPr>
            <w:r>
              <w:rPr>
                <w:rFonts w:ascii="Arial" w:cs="Arial" w:eastAsia="Arial" w:hAnsi="Arial"/>
                <w:sz w:val="12"/>
                <w:szCs w:val="12"/>
                <w:b w:val="1"/>
                <w:bCs w:val="1"/>
                <w:color w:val="auto"/>
                <w:w w:val="86"/>
              </w:rPr>
              <w:t>Balance</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jc w:val="center"/>
              <w:ind w:left="40"/>
              <w:spacing w:after="0" w:line="129" w:lineRule="exact"/>
              <w:rPr>
                <w:sz w:val="20"/>
                <w:szCs w:val="20"/>
                <w:color w:val="auto"/>
              </w:rPr>
            </w:pPr>
            <w:r>
              <w:rPr>
                <w:rFonts w:ascii="Arial" w:cs="Arial" w:eastAsia="Arial" w:hAnsi="Arial"/>
                <w:sz w:val="12"/>
                <w:szCs w:val="12"/>
                <w:b w:val="1"/>
                <w:bCs w:val="1"/>
                <w:color w:val="auto"/>
                <w:w w:val="86"/>
              </w:rPr>
              <w:t>Balance</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380" w:type="dxa"/>
            <w:vAlign w:val="bottom"/>
          </w:tcPr>
          <w:p>
            <w:pPr>
              <w:spacing w:after="0"/>
              <w:rPr>
                <w:sz w:val="12"/>
                <w:szCs w:val="12"/>
                <w:color w:val="auto"/>
              </w:rPr>
            </w:pPr>
          </w:p>
        </w:tc>
        <w:tc>
          <w:tcPr>
            <w:tcW w:w="800" w:type="dxa"/>
            <w:vAlign w:val="bottom"/>
          </w:tcPr>
          <w:p>
            <w:pPr>
              <w:jc w:val="center"/>
              <w:ind w:left="60"/>
              <w:spacing w:after="0"/>
              <w:rPr>
                <w:sz w:val="20"/>
                <w:szCs w:val="20"/>
                <w:color w:val="auto"/>
              </w:rPr>
            </w:pPr>
            <w:r>
              <w:rPr>
                <w:rFonts w:ascii="Arial" w:cs="Arial" w:eastAsia="Arial" w:hAnsi="Arial"/>
                <w:sz w:val="12"/>
                <w:szCs w:val="12"/>
                <w:b w:val="1"/>
                <w:bCs w:val="1"/>
                <w:color w:val="auto"/>
                <w:w w:val="85"/>
              </w:rPr>
              <w:t>Sheet</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Fair</w:t>
            </w:r>
          </w:p>
        </w:tc>
        <w:tc>
          <w:tcPr>
            <w:tcW w:w="800" w:type="dxa"/>
            <w:vAlign w:val="bottom"/>
          </w:tcPr>
          <w:p>
            <w:pPr>
              <w:jc w:val="center"/>
              <w:ind w:left="60"/>
              <w:spacing w:after="0"/>
              <w:rPr>
                <w:sz w:val="20"/>
                <w:szCs w:val="20"/>
                <w:color w:val="auto"/>
              </w:rPr>
            </w:pPr>
            <w:r>
              <w:rPr>
                <w:rFonts w:ascii="Arial" w:cs="Arial" w:eastAsia="Arial" w:hAnsi="Arial"/>
                <w:sz w:val="12"/>
                <w:szCs w:val="12"/>
                <w:b w:val="1"/>
                <w:bCs w:val="1"/>
                <w:color w:val="auto"/>
                <w:w w:val="85"/>
              </w:rPr>
              <w:t>Sheet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Fair</w:t>
            </w:r>
          </w:p>
        </w:tc>
        <w:tc>
          <w:tcPr>
            <w:tcW w:w="840" w:type="dxa"/>
            <w:vAlign w:val="bottom"/>
          </w:tcPr>
          <w:p>
            <w:pPr>
              <w:jc w:val="center"/>
              <w:ind w:left="20"/>
              <w:spacing w:after="0"/>
              <w:rPr>
                <w:sz w:val="20"/>
                <w:szCs w:val="20"/>
                <w:color w:val="auto"/>
              </w:rPr>
            </w:pPr>
            <w:r>
              <w:rPr>
                <w:rFonts w:ascii="Arial" w:cs="Arial" w:eastAsia="Arial" w:hAnsi="Arial"/>
                <w:sz w:val="12"/>
                <w:szCs w:val="12"/>
                <w:b w:val="1"/>
                <w:bCs w:val="1"/>
                <w:color w:val="auto"/>
                <w:w w:val="85"/>
              </w:rPr>
              <w:t>Sheet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Fair</w:t>
            </w:r>
          </w:p>
        </w:tc>
        <w:tc>
          <w:tcPr>
            <w:tcW w:w="820" w:type="dxa"/>
            <w:vAlign w:val="bottom"/>
          </w:tcPr>
          <w:p>
            <w:pPr>
              <w:jc w:val="center"/>
              <w:ind w:left="40"/>
              <w:spacing w:after="0"/>
              <w:rPr>
                <w:sz w:val="20"/>
                <w:szCs w:val="20"/>
                <w:color w:val="auto"/>
              </w:rPr>
            </w:pPr>
            <w:r>
              <w:rPr>
                <w:rFonts w:ascii="Arial" w:cs="Arial" w:eastAsia="Arial" w:hAnsi="Arial"/>
                <w:sz w:val="12"/>
                <w:szCs w:val="12"/>
                <w:b w:val="1"/>
                <w:bCs w:val="1"/>
                <w:color w:val="auto"/>
                <w:w w:val="85"/>
              </w:rPr>
              <w:t>Sheet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9"/>
              </w:rPr>
              <w:t>Fair</w:t>
            </w:r>
          </w:p>
        </w:tc>
        <w:tc>
          <w:tcPr>
            <w:tcW w:w="0" w:type="dxa"/>
            <w:vAlign w:val="bottom"/>
          </w:tcPr>
          <w:p>
            <w:pPr>
              <w:spacing w:after="0"/>
              <w:rPr>
                <w:sz w:val="1"/>
                <w:szCs w:val="1"/>
                <w:color w:val="auto"/>
              </w:rPr>
            </w:pPr>
          </w:p>
        </w:tc>
      </w:tr>
      <w:tr>
        <w:trPr>
          <w:trHeight w:val="157"/>
        </w:trPr>
        <w:tc>
          <w:tcPr>
            <w:tcW w:w="2380" w:type="dxa"/>
            <w:vAlign w:val="bottom"/>
          </w:tcPr>
          <w:p>
            <w:pPr>
              <w:spacing w:after="0"/>
              <w:rPr>
                <w:sz w:val="13"/>
                <w:szCs w:val="13"/>
                <w:color w:val="auto"/>
              </w:rPr>
            </w:pPr>
          </w:p>
        </w:tc>
        <w:tc>
          <w:tcPr>
            <w:tcW w:w="800" w:type="dxa"/>
            <w:vAlign w:val="bottom"/>
            <w:tcBorders>
              <w:bottom w:val="single" w:sz="8" w:color="auto"/>
            </w:tcBorders>
          </w:tcPr>
          <w:p>
            <w:pPr>
              <w:jc w:val="center"/>
              <w:ind w:left="40"/>
              <w:spacing w:after="0"/>
              <w:rPr>
                <w:sz w:val="20"/>
                <w:szCs w:val="20"/>
                <w:color w:val="auto"/>
              </w:rPr>
            </w:pPr>
            <w:r>
              <w:rPr>
                <w:rFonts w:ascii="Arial" w:cs="Arial" w:eastAsia="Arial" w:hAnsi="Arial"/>
                <w:sz w:val="12"/>
                <w:szCs w:val="12"/>
                <w:b w:val="1"/>
                <w:bCs w:val="1"/>
                <w:color w:val="auto"/>
                <w:w w:val="91"/>
              </w:rPr>
              <w:t>Location</w:t>
            </w:r>
          </w:p>
        </w:tc>
        <w:tc>
          <w:tcPr>
            <w:tcW w:w="1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Value</w:t>
            </w:r>
          </w:p>
        </w:tc>
        <w:tc>
          <w:tcPr>
            <w:tcW w:w="240" w:type="dxa"/>
            <w:vAlign w:val="bottom"/>
          </w:tcPr>
          <w:p>
            <w:pPr>
              <w:spacing w:after="0"/>
              <w:rPr>
                <w:sz w:val="13"/>
                <w:szCs w:val="13"/>
                <w:color w:val="auto"/>
              </w:rPr>
            </w:pPr>
          </w:p>
        </w:tc>
        <w:tc>
          <w:tcPr>
            <w:tcW w:w="800" w:type="dxa"/>
            <w:vAlign w:val="bottom"/>
            <w:tcBorders>
              <w:bottom w:val="single" w:sz="8" w:color="auto"/>
            </w:tcBorders>
          </w:tcPr>
          <w:p>
            <w:pPr>
              <w:jc w:val="center"/>
              <w:ind w:left="60"/>
              <w:spacing w:after="0"/>
              <w:rPr>
                <w:sz w:val="20"/>
                <w:szCs w:val="20"/>
                <w:color w:val="auto"/>
              </w:rPr>
            </w:pPr>
            <w:r>
              <w:rPr>
                <w:rFonts w:ascii="Arial" w:cs="Arial" w:eastAsia="Arial" w:hAnsi="Arial"/>
                <w:sz w:val="12"/>
                <w:szCs w:val="12"/>
                <w:b w:val="1"/>
                <w:bCs w:val="1"/>
                <w:color w:val="auto"/>
                <w:w w:val="87"/>
              </w:rPr>
              <w:t>Location</w:t>
            </w:r>
          </w:p>
        </w:tc>
        <w:tc>
          <w:tcPr>
            <w:tcW w:w="1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Value</w:t>
            </w:r>
          </w:p>
        </w:tc>
        <w:tc>
          <w:tcPr>
            <w:tcW w:w="220" w:type="dxa"/>
            <w:vAlign w:val="bottom"/>
          </w:tcPr>
          <w:p>
            <w:pPr>
              <w:spacing w:after="0"/>
              <w:rPr>
                <w:sz w:val="13"/>
                <w:szCs w:val="13"/>
                <w:color w:val="auto"/>
              </w:rPr>
            </w:pPr>
          </w:p>
        </w:tc>
        <w:tc>
          <w:tcPr>
            <w:tcW w:w="840" w:type="dxa"/>
            <w:vAlign w:val="bottom"/>
            <w:tcBorders>
              <w:bottom w:val="single" w:sz="8" w:color="auto"/>
            </w:tcBorders>
          </w:tcPr>
          <w:p>
            <w:pPr>
              <w:jc w:val="center"/>
              <w:ind w:left="40"/>
              <w:spacing w:after="0"/>
              <w:rPr>
                <w:sz w:val="20"/>
                <w:szCs w:val="20"/>
                <w:color w:val="auto"/>
              </w:rPr>
            </w:pPr>
            <w:r>
              <w:rPr>
                <w:rFonts w:ascii="Arial" w:cs="Arial" w:eastAsia="Arial" w:hAnsi="Arial"/>
                <w:sz w:val="12"/>
                <w:szCs w:val="12"/>
                <w:b w:val="1"/>
                <w:bCs w:val="1"/>
                <w:color w:val="auto"/>
                <w:w w:val="91"/>
              </w:rPr>
              <w:t>Location</w:t>
            </w:r>
          </w:p>
        </w:tc>
        <w:tc>
          <w:tcPr>
            <w:tcW w:w="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Value</w:t>
            </w:r>
          </w:p>
        </w:tc>
        <w:tc>
          <w:tcPr>
            <w:tcW w:w="200" w:type="dxa"/>
            <w:vAlign w:val="bottom"/>
          </w:tcPr>
          <w:p>
            <w:pPr>
              <w:spacing w:after="0"/>
              <w:rPr>
                <w:sz w:val="13"/>
                <w:szCs w:val="13"/>
                <w:color w:val="auto"/>
              </w:rPr>
            </w:pPr>
          </w:p>
        </w:tc>
        <w:tc>
          <w:tcPr>
            <w:tcW w:w="820" w:type="dxa"/>
            <w:vAlign w:val="bottom"/>
            <w:tcBorders>
              <w:bottom w:val="single" w:sz="8" w:color="auto"/>
            </w:tcBorders>
          </w:tcPr>
          <w:p>
            <w:pPr>
              <w:jc w:val="center"/>
              <w:ind w:left="20"/>
              <w:spacing w:after="0"/>
              <w:rPr>
                <w:sz w:val="20"/>
                <w:szCs w:val="20"/>
                <w:color w:val="auto"/>
              </w:rPr>
            </w:pPr>
            <w:r>
              <w:rPr>
                <w:rFonts w:ascii="Arial" w:cs="Arial" w:eastAsia="Arial" w:hAnsi="Arial"/>
                <w:sz w:val="12"/>
                <w:szCs w:val="12"/>
                <w:b w:val="1"/>
                <w:bCs w:val="1"/>
                <w:color w:val="auto"/>
                <w:w w:val="91"/>
              </w:rPr>
              <w:t>Location</w:t>
            </w:r>
          </w:p>
        </w:tc>
        <w:tc>
          <w:tcPr>
            <w:tcW w:w="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120"/>
              <w:spacing w:after="0"/>
              <w:rPr>
                <w:sz w:val="20"/>
                <w:szCs w:val="20"/>
                <w:color w:val="auto"/>
              </w:rPr>
            </w:pPr>
            <w:r>
              <w:rPr>
                <w:rFonts w:ascii="Arial" w:cs="Arial" w:eastAsia="Arial" w:hAnsi="Arial"/>
                <w:sz w:val="12"/>
                <w:szCs w:val="12"/>
                <w:b w:val="1"/>
                <w:bCs w:val="1"/>
                <w:color w:val="auto"/>
                <w:w w:val="87"/>
              </w:rPr>
              <w:t>Value</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380" w:type="dxa"/>
            <w:vAlign w:val="bottom"/>
            <w:vMerge w:val="restart"/>
          </w:tcPr>
          <w:p>
            <w:pPr>
              <w:spacing w:after="0"/>
              <w:rPr>
                <w:sz w:val="20"/>
                <w:szCs w:val="20"/>
                <w:color w:val="auto"/>
              </w:rPr>
            </w:pPr>
            <w:r>
              <w:rPr>
                <w:rFonts w:ascii="Arial" w:cs="Arial" w:eastAsia="Arial" w:hAnsi="Arial"/>
                <w:sz w:val="12"/>
                <w:szCs w:val="12"/>
                <w:color w:val="auto"/>
                <w:w w:val="94"/>
              </w:rPr>
              <w:t>Derivatives designated as hedging instruments</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100"/>
              <w:spacing w:after="0"/>
              <w:rPr>
                <w:sz w:val="20"/>
                <w:szCs w:val="20"/>
                <w:color w:val="auto"/>
              </w:rPr>
            </w:pPr>
            <w:r>
              <w:rPr>
                <w:rFonts w:ascii="Arial" w:cs="Arial" w:eastAsia="Arial" w:hAnsi="Arial"/>
                <w:sz w:val="12"/>
                <w:szCs w:val="12"/>
                <w:b w:val="1"/>
                <w:bCs w:val="1"/>
                <w:color w:val="auto"/>
              </w:rPr>
              <w:t>(In</w:t>
            </w:r>
          </w:p>
        </w:tc>
        <w:tc>
          <w:tcPr>
            <w:tcW w:w="1060" w:type="dxa"/>
            <w:vAlign w:val="bottom"/>
            <w:gridSpan w:val="2"/>
          </w:tcPr>
          <w:p>
            <w:pPr>
              <w:spacing w:after="0"/>
              <w:rPr>
                <w:sz w:val="20"/>
                <w:szCs w:val="20"/>
                <w:color w:val="auto"/>
              </w:rPr>
            </w:pPr>
            <w:r>
              <w:rPr>
                <w:rFonts w:ascii="Arial" w:cs="Arial" w:eastAsia="Arial" w:hAnsi="Arial"/>
                <w:sz w:val="12"/>
                <w:szCs w:val="12"/>
                <w:b w:val="1"/>
                <w:bCs w:val="1"/>
                <w:color w:val="auto"/>
              </w:rPr>
              <w:t>thousands)</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38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380" w:type="dxa"/>
            <w:vAlign w:val="bottom"/>
            <w:shd w:val="clear" w:color="auto" w:fill="CCEEFF"/>
          </w:tcPr>
          <w:p>
            <w:pPr>
              <w:ind w:left="80"/>
              <w:spacing w:after="0"/>
              <w:rPr>
                <w:sz w:val="20"/>
                <w:szCs w:val="20"/>
                <w:color w:val="auto"/>
              </w:rPr>
            </w:pPr>
            <w:r>
              <w:rPr>
                <w:rFonts w:ascii="Arial" w:cs="Arial" w:eastAsia="Arial" w:hAnsi="Arial"/>
                <w:sz w:val="12"/>
                <w:szCs w:val="12"/>
                <w:color w:val="auto"/>
              </w:rPr>
              <w:t>Pay-fixed interest rate swap agreements</w:t>
            </w:r>
          </w:p>
        </w:tc>
        <w:tc>
          <w:tcPr>
            <w:tcW w:w="800" w:type="dxa"/>
            <w:vAlign w:val="bottom"/>
            <w:shd w:val="clear" w:color="auto" w:fill="CCEEFF"/>
          </w:tcPr>
          <w:p>
            <w:pPr>
              <w:spacing w:after="0"/>
              <w:rPr>
                <w:sz w:val="20"/>
                <w:szCs w:val="20"/>
                <w:color w:val="auto"/>
              </w:rPr>
            </w:pPr>
            <w:r>
              <w:rPr>
                <w:rFonts w:ascii="Arial" w:cs="Arial" w:eastAsia="Arial" w:hAnsi="Arial"/>
                <w:sz w:val="12"/>
                <w:szCs w:val="12"/>
                <w:color w:val="auto"/>
              </w:rPr>
              <w:t>Other assets</w:t>
            </w:r>
          </w:p>
        </w:tc>
        <w:tc>
          <w:tcPr>
            <w:tcW w:w="540" w:type="dxa"/>
            <w:vAlign w:val="bottom"/>
            <w:gridSpan w:val="3"/>
            <w:shd w:val="clear" w:color="auto" w:fill="CCEEFF"/>
          </w:tcPr>
          <w:p>
            <w:pPr>
              <w:jc w:val="right"/>
              <w:ind w:right="92"/>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4,413</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2"/>
                <w:szCs w:val="12"/>
                <w:color w:val="auto"/>
              </w:rPr>
              <w:t>Other assets</w:t>
            </w:r>
          </w:p>
        </w:tc>
        <w:tc>
          <w:tcPr>
            <w:tcW w:w="540" w:type="dxa"/>
            <w:vAlign w:val="bottom"/>
            <w:gridSpan w:val="3"/>
            <w:shd w:val="clear" w:color="auto" w:fill="CCEEFF"/>
          </w:tcPr>
          <w:p>
            <w:pPr>
              <w:jc w:val="right"/>
              <w:ind w:right="92"/>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15</w:t>
            </w:r>
          </w:p>
        </w:tc>
        <w:tc>
          <w:tcPr>
            <w:tcW w:w="840" w:type="dxa"/>
            <w:vAlign w:val="bottom"/>
            <w:shd w:val="clear" w:color="auto" w:fill="CCEEFF"/>
          </w:tcPr>
          <w:p>
            <w:pPr>
              <w:spacing w:after="0"/>
              <w:rPr>
                <w:sz w:val="20"/>
                <w:szCs w:val="20"/>
                <w:color w:val="auto"/>
              </w:rPr>
            </w:pPr>
            <w:r>
              <w:rPr>
                <w:rFonts w:ascii="Arial" w:cs="Arial" w:eastAsia="Arial" w:hAnsi="Arial"/>
                <w:sz w:val="12"/>
                <w:szCs w:val="12"/>
                <w:color w:val="auto"/>
              </w:rPr>
              <w:t>Other liabilities</w:t>
            </w:r>
          </w:p>
        </w:tc>
        <w:tc>
          <w:tcPr>
            <w:tcW w:w="480" w:type="dxa"/>
            <w:vAlign w:val="bottom"/>
            <w:gridSpan w:val="3"/>
            <w:shd w:val="clear" w:color="auto" w:fill="CCEEFF"/>
          </w:tcPr>
          <w:p>
            <w:pPr>
              <w:jc w:val="right"/>
              <w:ind w:right="72"/>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384</w:t>
            </w:r>
          </w:p>
        </w:tc>
        <w:tc>
          <w:tcPr>
            <w:tcW w:w="820" w:type="dxa"/>
            <w:vAlign w:val="bottom"/>
            <w:shd w:val="clear" w:color="auto" w:fill="CCEEFF"/>
          </w:tcPr>
          <w:p>
            <w:pPr>
              <w:ind w:left="20"/>
              <w:spacing w:after="0"/>
              <w:rPr>
                <w:sz w:val="20"/>
                <w:szCs w:val="20"/>
                <w:color w:val="auto"/>
              </w:rPr>
            </w:pPr>
            <w:r>
              <w:rPr>
                <w:rFonts w:ascii="Arial" w:cs="Arial" w:eastAsia="Arial" w:hAnsi="Arial"/>
                <w:sz w:val="12"/>
                <w:szCs w:val="12"/>
                <w:color w:val="auto"/>
                <w:w w:val="99"/>
              </w:rPr>
              <w:t>Other liabilities</w:t>
            </w:r>
          </w:p>
        </w:tc>
        <w:tc>
          <w:tcPr>
            <w:tcW w:w="480" w:type="dxa"/>
            <w:vAlign w:val="bottom"/>
            <w:gridSpan w:val="3"/>
            <w:shd w:val="clear" w:color="auto" w:fill="CCEEFF"/>
          </w:tcPr>
          <w:p>
            <w:pPr>
              <w:jc w:val="right"/>
              <w:ind w:right="72"/>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776</w:t>
            </w:r>
          </w:p>
        </w:tc>
        <w:tc>
          <w:tcPr>
            <w:tcW w:w="0" w:type="dxa"/>
            <w:vAlign w:val="bottom"/>
          </w:tcPr>
          <w:p>
            <w:pPr>
              <w:spacing w:after="0"/>
              <w:rPr>
                <w:sz w:val="1"/>
                <w:szCs w:val="1"/>
                <w:color w:val="auto"/>
              </w:rPr>
            </w:pPr>
          </w:p>
        </w:tc>
      </w:tr>
      <w:tr>
        <w:trPr>
          <w:trHeight w:val="133"/>
        </w:trPr>
        <w:tc>
          <w:tcPr>
            <w:tcW w:w="2380" w:type="dxa"/>
            <w:vAlign w:val="bottom"/>
            <w:tcBorders>
              <w:top w:val="single" w:sz="8" w:color="CCEEFF"/>
            </w:tcBorders>
          </w:tcPr>
          <w:p>
            <w:pPr>
              <w:spacing w:after="0" w:line="133" w:lineRule="exact"/>
              <w:rPr>
                <w:sz w:val="20"/>
                <w:szCs w:val="20"/>
                <w:color w:val="auto"/>
              </w:rPr>
            </w:pPr>
            <w:r>
              <w:rPr>
                <w:rFonts w:ascii="Arial" w:cs="Arial" w:eastAsia="Arial" w:hAnsi="Arial"/>
                <w:sz w:val="12"/>
                <w:szCs w:val="12"/>
                <w:color w:val="auto"/>
              </w:rPr>
              <w:t>Derivatives not designated as hedging</w:t>
            </w:r>
          </w:p>
        </w:tc>
        <w:tc>
          <w:tcPr>
            <w:tcW w:w="8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8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8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8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380" w:type="dxa"/>
            <w:vAlign w:val="bottom"/>
          </w:tcPr>
          <w:p>
            <w:pPr>
              <w:ind w:left="80"/>
              <w:spacing w:after="0"/>
              <w:rPr>
                <w:sz w:val="20"/>
                <w:szCs w:val="20"/>
                <w:color w:val="auto"/>
              </w:rPr>
            </w:pPr>
            <w:r>
              <w:rPr>
                <w:rFonts w:ascii="Arial" w:cs="Arial" w:eastAsia="Arial" w:hAnsi="Arial"/>
                <w:sz w:val="12"/>
                <w:szCs w:val="12"/>
                <w:color w:val="auto"/>
              </w:rPr>
              <w:t>instruments</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380" w:type="dxa"/>
            <w:vAlign w:val="bottom"/>
            <w:shd w:val="clear" w:color="auto" w:fill="CCEEFF"/>
          </w:tcPr>
          <w:p>
            <w:pPr>
              <w:ind w:left="80"/>
              <w:spacing w:after="0"/>
              <w:rPr>
                <w:sz w:val="20"/>
                <w:szCs w:val="20"/>
                <w:color w:val="auto"/>
              </w:rPr>
            </w:pPr>
            <w:r>
              <w:rPr>
                <w:rFonts w:ascii="Arial" w:cs="Arial" w:eastAsia="Arial" w:hAnsi="Arial"/>
                <w:sz w:val="12"/>
                <w:szCs w:val="12"/>
                <w:color w:val="auto"/>
              </w:rPr>
              <w:t>Rate-lock mortgage loan commitments</w:t>
            </w:r>
          </w:p>
        </w:tc>
        <w:tc>
          <w:tcPr>
            <w:tcW w:w="800" w:type="dxa"/>
            <w:vAlign w:val="bottom"/>
            <w:shd w:val="clear" w:color="auto" w:fill="CCEEFF"/>
          </w:tcPr>
          <w:p>
            <w:pPr>
              <w:spacing w:after="0"/>
              <w:rPr>
                <w:sz w:val="20"/>
                <w:szCs w:val="20"/>
                <w:color w:val="auto"/>
              </w:rPr>
            </w:pPr>
            <w:r>
              <w:rPr>
                <w:rFonts w:ascii="Arial" w:cs="Arial" w:eastAsia="Arial" w:hAnsi="Arial"/>
                <w:sz w:val="12"/>
                <w:szCs w:val="12"/>
                <w:color w:val="auto"/>
              </w:rPr>
              <w:t>Other assets</w:t>
            </w:r>
          </w:p>
        </w:tc>
        <w:tc>
          <w:tcPr>
            <w:tcW w:w="540" w:type="dxa"/>
            <w:vAlign w:val="bottom"/>
            <w:gridSpan w:val="3"/>
            <w:shd w:val="clear" w:color="auto" w:fill="CCEEFF"/>
          </w:tcPr>
          <w:p>
            <w:pPr>
              <w:jc w:val="right"/>
              <w:ind w:right="52"/>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2,140</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2"/>
                <w:szCs w:val="12"/>
                <w:color w:val="auto"/>
              </w:rPr>
              <w:t>Other assets</w:t>
            </w:r>
          </w:p>
        </w:tc>
        <w:tc>
          <w:tcPr>
            <w:tcW w:w="540" w:type="dxa"/>
            <w:vAlign w:val="bottom"/>
            <w:gridSpan w:val="3"/>
            <w:shd w:val="clear" w:color="auto" w:fill="CCEEFF"/>
          </w:tcPr>
          <w:p>
            <w:pPr>
              <w:jc w:val="right"/>
              <w:ind w:right="52"/>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7,020</w:t>
            </w:r>
          </w:p>
        </w:tc>
        <w:tc>
          <w:tcPr>
            <w:tcW w:w="840" w:type="dxa"/>
            <w:vAlign w:val="bottom"/>
            <w:shd w:val="clear" w:color="auto" w:fill="CCEEFF"/>
          </w:tcPr>
          <w:p>
            <w:pPr>
              <w:spacing w:after="0"/>
              <w:rPr>
                <w:sz w:val="20"/>
                <w:szCs w:val="20"/>
                <w:color w:val="auto"/>
              </w:rPr>
            </w:pPr>
            <w:r>
              <w:rPr>
                <w:rFonts w:ascii="Arial" w:cs="Arial" w:eastAsia="Arial" w:hAnsi="Arial"/>
                <w:sz w:val="12"/>
                <w:szCs w:val="12"/>
                <w:color w:val="auto"/>
              </w:rPr>
              <w:t>Other liabilities</w:t>
            </w:r>
          </w:p>
        </w:tc>
        <w:tc>
          <w:tcPr>
            <w:tcW w:w="480" w:type="dxa"/>
            <w:vAlign w:val="bottom"/>
            <w:gridSpan w:val="3"/>
            <w:shd w:val="clear" w:color="auto" w:fill="CCEEFF"/>
          </w:tcPr>
          <w:p>
            <w:pPr>
              <w:jc w:val="right"/>
              <w:ind w:right="72"/>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ind w:left="20"/>
              <w:spacing w:after="0"/>
              <w:rPr>
                <w:sz w:val="20"/>
                <w:szCs w:val="20"/>
                <w:color w:val="auto"/>
              </w:rPr>
            </w:pPr>
            <w:r>
              <w:rPr>
                <w:rFonts w:ascii="Arial" w:cs="Arial" w:eastAsia="Arial" w:hAnsi="Arial"/>
                <w:sz w:val="12"/>
                <w:szCs w:val="12"/>
                <w:color w:val="auto"/>
                <w:w w:val="99"/>
              </w:rPr>
              <w:t>Other liabilities</w:t>
            </w:r>
          </w:p>
        </w:tc>
        <w:tc>
          <w:tcPr>
            <w:tcW w:w="480" w:type="dxa"/>
            <w:vAlign w:val="bottom"/>
            <w:gridSpan w:val="3"/>
            <w:shd w:val="clear" w:color="auto" w:fill="CCEEFF"/>
          </w:tcPr>
          <w:p>
            <w:pPr>
              <w:jc w:val="right"/>
              <w:ind w:right="72"/>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380" w:type="dxa"/>
            <w:vAlign w:val="bottom"/>
          </w:tcPr>
          <w:p>
            <w:pPr>
              <w:ind w:left="80"/>
              <w:spacing w:after="0" w:line="135" w:lineRule="exact"/>
              <w:rPr>
                <w:sz w:val="20"/>
                <w:szCs w:val="20"/>
                <w:color w:val="auto"/>
              </w:rPr>
            </w:pPr>
            <w:r>
              <w:rPr>
                <w:rFonts w:ascii="Arial" w:cs="Arial" w:eastAsia="Arial" w:hAnsi="Arial"/>
                <w:sz w:val="12"/>
                <w:szCs w:val="12"/>
                <w:color w:val="auto"/>
              </w:rPr>
              <w:t>Mandatory commitments to sell mortgage</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380" w:type="dxa"/>
            <w:vAlign w:val="bottom"/>
          </w:tcPr>
          <w:p>
            <w:pPr>
              <w:ind w:left="160"/>
              <w:spacing w:after="0"/>
              <w:rPr>
                <w:sz w:val="20"/>
                <w:szCs w:val="20"/>
                <w:color w:val="auto"/>
              </w:rPr>
            </w:pPr>
            <w:r>
              <w:rPr>
                <w:rFonts w:ascii="Arial" w:cs="Arial" w:eastAsia="Arial" w:hAnsi="Arial"/>
                <w:sz w:val="12"/>
                <w:szCs w:val="12"/>
                <w:color w:val="auto"/>
              </w:rPr>
              <w:t>loans</w:t>
            </w:r>
          </w:p>
        </w:tc>
        <w:tc>
          <w:tcPr>
            <w:tcW w:w="800" w:type="dxa"/>
            <w:vAlign w:val="bottom"/>
          </w:tcPr>
          <w:p>
            <w:pPr>
              <w:spacing w:after="0"/>
              <w:rPr>
                <w:sz w:val="20"/>
                <w:szCs w:val="20"/>
                <w:color w:val="auto"/>
              </w:rPr>
            </w:pPr>
            <w:r>
              <w:rPr>
                <w:rFonts w:ascii="Arial" w:cs="Arial" w:eastAsia="Arial" w:hAnsi="Arial"/>
                <w:sz w:val="12"/>
                <w:szCs w:val="12"/>
                <w:color w:val="auto"/>
              </w:rPr>
              <w:t>Other assets</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800" w:type="dxa"/>
            <w:vAlign w:val="bottom"/>
          </w:tcPr>
          <w:p>
            <w:pPr>
              <w:spacing w:after="0"/>
              <w:rPr>
                <w:sz w:val="20"/>
                <w:szCs w:val="20"/>
                <w:color w:val="auto"/>
              </w:rPr>
            </w:pPr>
            <w:r>
              <w:rPr>
                <w:rFonts w:ascii="Arial" w:cs="Arial" w:eastAsia="Arial" w:hAnsi="Arial"/>
                <w:sz w:val="12"/>
                <w:szCs w:val="12"/>
                <w:color w:val="auto"/>
              </w:rPr>
              <w:t>Other assets</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40" w:type="dxa"/>
            <w:vAlign w:val="bottom"/>
          </w:tcPr>
          <w:p>
            <w:pPr>
              <w:spacing w:after="0"/>
              <w:rPr>
                <w:sz w:val="20"/>
                <w:szCs w:val="20"/>
                <w:color w:val="auto"/>
              </w:rPr>
            </w:pPr>
            <w:r>
              <w:rPr>
                <w:rFonts w:ascii="Arial" w:cs="Arial" w:eastAsia="Arial" w:hAnsi="Arial"/>
                <w:sz w:val="12"/>
                <w:szCs w:val="12"/>
                <w:color w:val="auto"/>
              </w:rPr>
              <w:t>Other liabilities</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68</w:t>
            </w:r>
          </w:p>
        </w:tc>
        <w:tc>
          <w:tcPr>
            <w:tcW w:w="820" w:type="dxa"/>
            <w:vAlign w:val="bottom"/>
          </w:tcPr>
          <w:p>
            <w:pPr>
              <w:ind w:left="20"/>
              <w:spacing w:after="0"/>
              <w:rPr>
                <w:sz w:val="20"/>
                <w:szCs w:val="20"/>
                <w:color w:val="auto"/>
              </w:rPr>
            </w:pPr>
            <w:r>
              <w:rPr>
                <w:rFonts w:ascii="Arial" w:cs="Arial" w:eastAsia="Arial" w:hAnsi="Arial"/>
                <w:sz w:val="12"/>
                <w:szCs w:val="12"/>
                <w:color w:val="auto"/>
                <w:w w:val="99"/>
              </w:rPr>
              <w:t>Other liabilities</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941</w:t>
            </w:r>
          </w:p>
        </w:tc>
        <w:tc>
          <w:tcPr>
            <w:tcW w:w="0" w:type="dxa"/>
            <w:vAlign w:val="bottom"/>
          </w:tcPr>
          <w:p>
            <w:pPr>
              <w:spacing w:after="0"/>
              <w:rPr>
                <w:sz w:val="1"/>
                <w:szCs w:val="1"/>
                <w:color w:val="auto"/>
              </w:rPr>
            </w:pPr>
          </w:p>
        </w:tc>
      </w:tr>
      <w:tr>
        <w:trPr>
          <w:trHeight w:val="144"/>
        </w:trPr>
        <w:tc>
          <w:tcPr>
            <w:tcW w:w="23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Interest rate swaption agreement</w:t>
            </w:r>
          </w:p>
        </w:tc>
        <w:tc>
          <w:tcPr>
            <w:tcW w:w="800" w:type="dxa"/>
            <w:vAlign w:val="bottom"/>
            <w:shd w:val="clear" w:color="auto" w:fill="CCEEFF"/>
          </w:tcPr>
          <w:p>
            <w:pPr>
              <w:spacing w:after="0"/>
              <w:rPr>
                <w:sz w:val="20"/>
                <w:szCs w:val="20"/>
                <w:color w:val="auto"/>
              </w:rPr>
            </w:pPr>
            <w:r>
              <w:rPr>
                <w:rFonts w:ascii="Arial" w:cs="Arial" w:eastAsia="Arial" w:hAnsi="Arial"/>
                <w:sz w:val="12"/>
                <w:szCs w:val="12"/>
                <w:color w:val="auto"/>
              </w:rPr>
              <w:t>Other assets</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186</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2"/>
                <w:szCs w:val="12"/>
                <w:color w:val="auto"/>
              </w:rPr>
              <w:t>Other assets</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spacing w:after="0"/>
              <w:rPr>
                <w:sz w:val="20"/>
                <w:szCs w:val="20"/>
                <w:color w:val="auto"/>
              </w:rPr>
            </w:pPr>
            <w:r>
              <w:rPr>
                <w:rFonts w:ascii="Arial" w:cs="Arial" w:eastAsia="Arial" w:hAnsi="Arial"/>
                <w:sz w:val="12"/>
                <w:szCs w:val="12"/>
                <w:color w:val="auto"/>
              </w:rPr>
              <w:t>Other liabilities</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ind w:left="20"/>
              <w:spacing w:after="0"/>
              <w:rPr>
                <w:sz w:val="20"/>
                <w:szCs w:val="20"/>
                <w:color w:val="auto"/>
              </w:rPr>
            </w:pPr>
            <w:r>
              <w:rPr>
                <w:rFonts w:ascii="Arial" w:cs="Arial" w:eastAsia="Arial" w:hAnsi="Arial"/>
                <w:sz w:val="12"/>
                <w:szCs w:val="12"/>
                <w:color w:val="auto"/>
                <w:w w:val="99"/>
              </w:rPr>
              <w:t>Other liabilities</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380" w:type="dxa"/>
            <w:vAlign w:val="bottom"/>
          </w:tcPr>
          <w:p>
            <w:pPr>
              <w:ind w:left="80"/>
              <w:spacing w:after="0" w:line="135" w:lineRule="exact"/>
              <w:rPr>
                <w:sz w:val="20"/>
                <w:szCs w:val="20"/>
                <w:color w:val="auto"/>
              </w:rPr>
            </w:pPr>
            <w:r>
              <w:rPr>
                <w:rFonts w:ascii="Arial" w:cs="Arial" w:eastAsia="Arial" w:hAnsi="Arial"/>
                <w:sz w:val="12"/>
                <w:szCs w:val="12"/>
                <w:color w:val="auto"/>
              </w:rPr>
              <w:t>Pay-fixed interest rate swap agreements -</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380" w:type="dxa"/>
            <w:vAlign w:val="bottom"/>
          </w:tcPr>
          <w:p>
            <w:pPr>
              <w:ind w:left="160"/>
              <w:spacing w:after="0"/>
              <w:rPr>
                <w:sz w:val="20"/>
                <w:szCs w:val="20"/>
                <w:color w:val="auto"/>
              </w:rPr>
            </w:pPr>
            <w:r>
              <w:rPr>
                <w:rFonts w:ascii="Arial" w:cs="Arial" w:eastAsia="Arial" w:hAnsi="Arial"/>
                <w:sz w:val="12"/>
                <w:szCs w:val="12"/>
                <w:color w:val="auto"/>
              </w:rPr>
              <w:t>commercial</w:t>
            </w:r>
          </w:p>
        </w:tc>
        <w:tc>
          <w:tcPr>
            <w:tcW w:w="800" w:type="dxa"/>
            <w:vAlign w:val="bottom"/>
          </w:tcPr>
          <w:p>
            <w:pPr>
              <w:spacing w:after="0"/>
              <w:rPr>
                <w:sz w:val="20"/>
                <w:szCs w:val="20"/>
                <w:color w:val="auto"/>
              </w:rPr>
            </w:pPr>
            <w:r>
              <w:rPr>
                <w:rFonts w:ascii="Arial" w:cs="Arial" w:eastAsia="Arial" w:hAnsi="Arial"/>
                <w:sz w:val="12"/>
                <w:szCs w:val="12"/>
                <w:color w:val="auto"/>
              </w:rPr>
              <w:t>Other assets</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165</w:t>
            </w:r>
          </w:p>
        </w:tc>
        <w:tc>
          <w:tcPr>
            <w:tcW w:w="240" w:type="dxa"/>
            <w:vAlign w:val="bottom"/>
          </w:tcPr>
          <w:p>
            <w:pPr>
              <w:spacing w:after="0"/>
              <w:rPr>
                <w:sz w:val="13"/>
                <w:szCs w:val="13"/>
                <w:color w:val="auto"/>
              </w:rPr>
            </w:pPr>
          </w:p>
        </w:tc>
        <w:tc>
          <w:tcPr>
            <w:tcW w:w="800" w:type="dxa"/>
            <w:vAlign w:val="bottom"/>
          </w:tcPr>
          <w:p>
            <w:pPr>
              <w:spacing w:after="0"/>
              <w:rPr>
                <w:sz w:val="20"/>
                <w:szCs w:val="20"/>
                <w:color w:val="auto"/>
              </w:rPr>
            </w:pPr>
            <w:r>
              <w:rPr>
                <w:rFonts w:ascii="Arial" w:cs="Arial" w:eastAsia="Arial" w:hAnsi="Arial"/>
                <w:sz w:val="12"/>
                <w:szCs w:val="12"/>
                <w:color w:val="auto"/>
              </w:rPr>
              <w:t>Other assets</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40" w:type="dxa"/>
            <w:vAlign w:val="bottom"/>
          </w:tcPr>
          <w:p>
            <w:pPr>
              <w:spacing w:after="0"/>
              <w:rPr>
                <w:sz w:val="20"/>
                <w:szCs w:val="20"/>
                <w:color w:val="auto"/>
              </w:rPr>
            </w:pPr>
            <w:r>
              <w:rPr>
                <w:rFonts w:ascii="Arial" w:cs="Arial" w:eastAsia="Arial" w:hAnsi="Arial"/>
                <w:sz w:val="12"/>
                <w:szCs w:val="12"/>
                <w:color w:val="auto"/>
              </w:rPr>
              <w:t>Other liabilities</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5,344</w:t>
            </w:r>
          </w:p>
        </w:tc>
        <w:tc>
          <w:tcPr>
            <w:tcW w:w="820" w:type="dxa"/>
            <w:vAlign w:val="bottom"/>
          </w:tcPr>
          <w:p>
            <w:pPr>
              <w:ind w:left="20"/>
              <w:spacing w:after="0"/>
              <w:rPr>
                <w:sz w:val="20"/>
                <w:szCs w:val="20"/>
                <w:color w:val="auto"/>
              </w:rPr>
            </w:pPr>
            <w:r>
              <w:rPr>
                <w:rFonts w:ascii="Arial" w:cs="Arial" w:eastAsia="Arial" w:hAnsi="Arial"/>
                <w:sz w:val="12"/>
                <w:szCs w:val="12"/>
                <w:color w:val="auto"/>
                <w:w w:val="99"/>
              </w:rPr>
              <w:t>Other liabilities</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9,700</w:t>
            </w:r>
          </w:p>
        </w:tc>
        <w:tc>
          <w:tcPr>
            <w:tcW w:w="0" w:type="dxa"/>
            <w:vAlign w:val="bottom"/>
          </w:tcPr>
          <w:p>
            <w:pPr>
              <w:spacing w:after="0"/>
              <w:rPr>
                <w:sz w:val="1"/>
                <w:szCs w:val="1"/>
                <w:color w:val="auto"/>
              </w:rPr>
            </w:pPr>
          </w:p>
        </w:tc>
      </w:tr>
      <w:tr>
        <w:trPr>
          <w:trHeight w:val="135"/>
        </w:trPr>
        <w:tc>
          <w:tcPr>
            <w:tcW w:w="2380" w:type="dxa"/>
            <w:vAlign w:val="bottom"/>
            <w:shd w:val="clear" w:color="auto" w:fill="CCEEFF"/>
          </w:tcPr>
          <w:p>
            <w:pPr>
              <w:ind w:left="80"/>
              <w:spacing w:after="0" w:line="135" w:lineRule="exact"/>
              <w:rPr>
                <w:sz w:val="20"/>
                <w:szCs w:val="20"/>
                <w:color w:val="auto"/>
              </w:rPr>
            </w:pPr>
            <w:r>
              <w:rPr>
                <w:rFonts w:ascii="Arial" w:cs="Arial" w:eastAsia="Arial" w:hAnsi="Arial"/>
                <w:sz w:val="12"/>
                <w:szCs w:val="12"/>
                <w:color w:val="auto"/>
                <w:w w:val="95"/>
              </w:rPr>
              <w:t>Pay-variable interest rate swap agreements -</w:t>
            </w: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380" w:type="dxa"/>
            <w:vAlign w:val="bottom"/>
            <w:shd w:val="clear" w:color="auto" w:fill="CCEEFF"/>
          </w:tcPr>
          <w:p>
            <w:pPr>
              <w:ind w:left="160"/>
              <w:spacing w:after="0"/>
              <w:rPr>
                <w:sz w:val="20"/>
                <w:szCs w:val="20"/>
                <w:color w:val="auto"/>
              </w:rPr>
            </w:pPr>
            <w:r>
              <w:rPr>
                <w:rFonts w:ascii="Arial" w:cs="Arial" w:eastAsia="Arial" w:hAnsi="Arial"/>
                <w:sz w:val="12"/>
                <w:szCs w:val="12"/>
                <w:color w:val="auto"/>
              </w:rPr>
              <w:t>commercial</w:t>
            </w:r>
          </w:p>
        </w:tc>
        <w:tc>
          <w:tcPr>
            <w:tcW w:w="800" w:type="dxa"/>
            <w:vAlign w:val="bottom"/>
            <w:shd w:val="clear" w:color="auto" w:fill="CCEEFF"/>
          </w:tcPr>
          <w:p>
            <w:pPr>
              <w:spacing w:after="0"/>
              <w:rPr>
                <w:sz w:val="20"/>
                <w:szCs w:val="20"/>
                <w:color w:val="auto"/>
              </w:rPr>
            </w:pPr>
            <w:r>
              <w:rPr>
                <w:rFonts w:ascii="Arial" w:cs="Arial" w:eastAsia="Arial" w:hAnsi="Arial"/>
                <w:sz w:val="12"/>
                <w:szCs w:val="12"/>
                <w:color w:val="auto"/>
              </w:rPr>
              <w:t>Other assets</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5,344</w:t>
            </w: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2"/>
                <w:szCs w:val="12"/>
                <w:color w:val="auto"/>
              </w:rPr>
              <w:t>Other assets</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9,700</w:t>
            </w:r>
          </w:p>
        </w:tc>
        <w:tc>
          <w:tcPr>
            <w:tcW w:w="840" w:type="dxa"/>
            <w:vAlign w:val="bottom"/>
            <w:shd w:val="clear" w:color="auto" w:fill="CCEEFF"/>
          </w:tcPr>
          <w:p>
            <w:pPr>
              <w:spacing w:after="0"/>
              <w:rPr>
                <w:sz w:val="20"/>
                <w:szCs w:val="20"/>
                <w:color w:val="auto"/>
              </w:rPr>
            </w:pPr>
            <w:r>
              <w:rPr>
                <w:rFonts w:ascii="Arial" w:cs="Arial" w:eastAsia="Arial" w:hAnsi="Arial"/>
                <w:sz w:val="12"/>
                <w:szCs w:val="12"/>
                <w:color w:val="auto"/>
              </w:rPr>
              <w:t>Other liabilities</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165</w:t>
            </w:r>
          </w:p>
        </w:tc>
        <w:tc>
          <w:tcPr>
            <w:tcW w:w="820" w:type="dxa"/>
            <w:vAlign w:val="bottom"/>
            <w:shd w:val="clear" w:color="auto" w:fill="CCEEFF"/>
          </w:tcPr>
          <w:p>
            <w:pPr>
              <w:ind w:left="20"/>
              <w:spacing w:after="0"/>
              <w:rPr>
                <w:sz w:val="20"/>
                <w:szCs w:val="20"/>
                <w:color w:val="auto"/>
              </w:rPr>
            </w:pPr>
            <w:r>
              <w:rPr>
                <w:rFonts w:ascii="Arial" w:cs="Arial" w:eastAsia="Arial" w:hAnsi="Arial"/>
                <w:sz w:val="12"/>
                <w:szCs w:val="12"/>
                <w:color w:val="auto"/>
                <w:w w:val="99"/>
              </w:rPr>
              <w:t>Other liabilities</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380" w:type="dxa"/>
            <w:vAlign w:val="bottom"/>
          </w:tcPr>
          <w:p>
            <w:pPr>
              <w:ind w:left="80"/>
              <w:spacing w:after="0"/>
              <w:rPr>
                <w:sz w:val="20"/>
                <w:szCs w:val="20"/>
                <w:color w:val="auto"/>
              </w:rPr>
            </w:pPr>
            <w:r>
              <w:rPr>
                <w:rFonts w:ascii="Arial" w:cs="Arial" w:eastAsia="Arial" w:hAnsi="Arial"/>
                <w:sz w:val="12"/>
                <w:szCs w:val="12"/>
                <w:color w:val="auto"/>
              </w:rPr>
              <w:t>Pay-fixed interest rate swap agreements</w:t>
            </w:r>
          </w:p>
        </w:tc>
        <w:tc>
          <w:tcPr>
            <w:tcW w:w="800" w:type="dxa"/>
            <w:vAlign w:val="bottom"/>
          </w:tcPr>
          <w:p>
            <w:pPr>
              <w:spacing w:after="0"/>
              <w:rPr>
                <w:sz w:val="20"/>
                <w:szCs w:val="20"/>
                <w:color w:val="auto"/>
              </w:rPr>
            </w:pPr>
            <w:r>
              <w:rPr>
                <w:rFonts w:ascii="Arial" w:cs="Arial" w:eastAsia="Arial" w:hAnsi="Arial"/>
                <w:sz w:val="12"/>
                <w:szCs w:val="12"/>
                <w:color w:val="auto"/>
              </w:rPr>
              <w:t>Other assets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0" w:type="dxa"/>
            <w:vAlign w:val="bottom"/>
          </w:tcPr>
          <w:p>
            <w:pPr>
              <w:spacing w:after="0"/>
              <w:rPr>
                <w:sz w:val="20"/>
                <w:szCs w:val="20"/>
                <w:color w:val="auto"/>
              </w:rPr>
            </w:pPr>
            <w:r>
              <w:rPr>
                <w:rFonts w:ascii="Arial" w:cs="Arial" w:eastAsia="Arial" w:hAnsi="Arial"/>
                <w:sz w:val="12"/>
                <w:szCs w:val="12"/>
                <w:color w:val="auto"/>
              </w:rPr>
              <w:t>Other assets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40" w:type="dxa"/>
            <w:vAlign w:val="bottom"/>
          </w:tcPr>
          <w:p>
            <w:pPr>
              <w:spacing w:after="0"/>
              <w:rPr>
                <w:sz w:val="20"/>
                <w:szCs w:val="20"/>
                <w:color w:val="auto"/>
              </w:rPr>
            </w:pPr>
            <w:r>
              <w:rPr>
                <w:rFonts w:ascii="Arial" w:cs="Arial" w:eastAsia="Arial" w:hAnsi="Arial"/>
                <w:sz w:val="12"/>
                <w:szCs w:val="12"/>
                <w:color w:val="auto"/>
              </w:rPr>
              <w:t>Other liabilities</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20" w:type="dxa"/>
            <w:vAlign w:val="bottom"/>
          </w:tcPr>
          <w:p>
            <w:pPr>
              <w:ind w:left="20"/>
              <w:spacing w:after="0"/>
              <w:rPr>
                <w:sz w:val="20"/>
                <w:szCs w:val="20"/>
                <w:color w:val="auto"/>
              </w:rPr>
            </w:pPr>
            <w:r>
              <w:rPr>
                <w:rFonts w:ascii="Arial" w:cs="Arial" w:eastAsia="Arial" w:hAnsi="Arial"/>
                <w:sz w:val="12"/>
                <w:szCs w:val="12"/>
                <w:color w:val="auto"/>
                <w:w w:val="99"/>
              </w:rPr>
              <w:t>Other liabilities</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295</w:t>
            </w:r>
          </w:p>
        </w:tc>
        <w:tc>
          <w:tcPr>
            <w:tcW w:w="0" w:type="dxa"/>
            <w:vAlign w:val="bottom"/>
          </w:tcPr>
          <w:p>
            <w:pPr>
              <w:spacing w:after="0"/>
              <w:rPr>
                <w:sz w:val="1"/>
                <w:szCs w:val="1"/>
                <w:color w:val="auto"/>
              </w:rPr>
            </w:pPr>
          </w:p>
        </w:tc>
      </w:tr>
      <w:tr>
        <w:trPr>
          <w:trHeight w:val="144"/>
        </w:trPr>
        <w:tc>
          <w:tcPr>
            <w:tcW w:w="2380" w:type="dxa"/>
            <w:vAlign w:val="bottom"/>
            <w:shd w:val="clear" w:color="auto" w:fill="CCEEFF"/>
          </w:tcPr>
          <w:p>
            <w:pPr>
              <w:ind w:left="80"/>
              <w:spacing w:after="0"/>
              <w:rPr>
                <w:sz w:val="20"/>
                <w:szCs w:val="20"/>
                <w:color w:val="auto"/>
              </w:rPr>
            </w:pPr>
            <w:r>
              <w:rPr>
                <w:rFonts w:ascii="Arial" w:cs="Arial" w:eastAsia="Arial" w:hAnsi="Arial"/>
                <w:sz w:val="12"/>
                <w:szCs w:val="12"/>
                <w:color w:val="auto"/>
              </w:rPr>
              <w:t>Interest rate cap agreements</w:t>
            </w:r>
          </w:p>
        </w:tc>
        <w:tc>
          <w:tcPr>
            <w:tcW w:w="800" w:type="dxa"/>
            <w:vAlign w:val="bottom"/>
            <w:shd w:val="clear" w:color="auto" w:fill="CCEEFF"/>
          </w:tcPr>
          <w:p>
            <w:pPr>
              <w:spacing w:after="0"/>
              <w:rPr>
                <w:sz w:val="20"/>
                <w:szCs w:val="20"/>
                <w:color w:val="auto"/>
              </w:rPr>
            </w:pPr>
            <w:r>
              <w:rPr>
                <w:rFonts w:ascii="Arial" w:cs="Arial" w:eastAsia="Arial" w:hAnsi="Arial"/>
                <w:sz w:val="12"/>
                <w:szCs w:val="12"/>
                <w:color w:val="auto"/>
              </w:rPr>
              <w:t>Other assets</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2"/>
                <w:szCs w:val="12"/>
                <w:color w:val="auto"/>
              </w:rPr>
              <w:t>Other assets</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5</w:t>
            </w:r>
          </w:p>
        </w:tc>
        <w:tc>
          <w:tcPr>
            <w:tcW w:w="840" w:type="dxa"/>
            <w:vAlign w:val="bottom"/>
            <w:shd w:val="clear" w:color="auto" w:fill="CCEEFF"/>
          </w:tcPr>
          <w:p>
            <w:pPr>
              <w:spacing w:after="0"/>
              <w:rPr>
                <w:sz w:val="20"/>
                <w:szCs w:val="20"/>
                <w:color w:val="auto"/>
              </w:rPr>
            </w:pPr>
            <w:r>
              <w:rPr>
                <w:rFonts w:ascii="Arial" w:cs="Arial" w:eastAsia="Arial" w:hAnsi="Arial"/>
                <w:sz w:val="12"/>
                <w:szCs w:val="12"/>
                <w:color w:val="auto"/>
              </w:rPr>
              <w:t>Other liabilities</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ind w:left="20"/>
              <w:spacing w:after="0"/>
              <w:rPr>
                <w:sz w:val="20"/>
                <w:szCs w:val="20"/>
                <w:color w:val="auto"/>
              </w:rPr>
            </w:pPr>
            <w:r>
              <w:rPr>
                <w:rFonts w:ascii="Arial" w:cs="Arial" w:eastAsia="Arial" w:hAnsi="Arial"/>
                <w:sz w:val="12"/>
                <w:szCs w:val="12"/>
                <w:color w:val="auto"/>
                <w:w w:val="99"/>
              </w:rPr>
              <w:t>Other liabilities</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380" w:type="dxa"/>
            <w:vAlign w:val="bottom"/>
          </w:tcPr>
          <w:p>
            <w:pPr>
              <w:ind w:left="80"/>
              <w:spacing w:after="0"/>
              <w:rPr>
                <w:sz w:val="20"/>
                <w:szCs w:val="20"/>
                <w:color w:val="auto"/>
              </w:rPr>
            </w:pPr>
            <w:r>
              <w:rPr>
                <w:rFonts w:ascii="Arial" w:cs="Arial" w:eastAsia="Arial" w:hAnsi="Arial"/>
                <w:sz w:val="12"/>
                <w:szCs w:val="12"/>
                <w:color w:val="auto"/>
              </w:rPr>
              <w:t>Purchased options</w:t>
            </w:r>
          </w:p>
        </w:tc>
        <w:tc>
          <w:tcPr>
            <w:tcW w:w="800" w:type="dxa"/>
            <w:vAlign w:val="bottom"/>
          </w:tcPr>
          <w:p>
            <w:pPr>
              <w:spacing w:after="0"/>
              <w:rPr>
                <w:sz w:val="20"/>
                <w:szCs w:val="20"/>
                <w:color w:val="auto"/>
              </w:rPr>
            </w:pPr>
            <w:r>
              <w:rPr>
                <w:rFonts w:ascii="Arial" w:cs="Arial" w:eastAsia="Arial" w:hAnsi="Arial"/>
                <w:sz w:val="12"/>
                <w:szCs w:val="12"/>
                <w:color w:val="auto"/>
              </w:rPr>
              <w:t>Other assets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0" w:type="dxa"/>
            <w:vAlign w:val="bottom"/>
          </w:tcPr>
          <w:p>
            <w:pPr>
              <w:spacing w:after="0"/>
              <w:rPr>
                <w:sz w:val="20"/>
                <w:szCs w:val="20"/>
                <w:color w:val="auto"/>
              </w:rPr>
            </w:pPr>
            <w:r>
              <w:rPr>
                <w:rFonts w:ascii="Arial" w:cs="Arial" w:eastAsia="Arial" w:hAnsi="Arial"/>
                <w:sz w:val="12"/>
                <w:szCs w:val="12"/>
                <w:color w:val="auto"/>
              </w:rPr>
              <w:t>Other assets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42</w:t>
            </w:r>
          </w:p>
        </w:tc>
        <w:tc>
          <w:tcPr>
            <w:tcW w:w="840" w:type="dxa"/>
            <w:vAlign w:val="bottom"/>
          </w:tcPr>
          <w:p>
            <w:pPr>
              <w:spacing w:after="0"/>
              <w:rPr>
                <w:sz w:val="20"/>
                <w:szCs w:val="20"/>
                <w:color w:val="auto"/>
              </w:rPr>
            </w:pPr>
            <w:r>
              <w:rPr>
                <w:rFonts w:ascii="Arial" w:cs="Arial" w:eastAsia="Arial" w:hAnsi="Arial"/>
                <w:sz w:val="12"/>
                <w:szCs w:val="12"/>
                <w:color w:val="auto"/>
              </w:rPr>
              <w:t>Other liabilities</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20" w:type="dxa"/>
            <w:vAlign w:val="bottom"/>
          </w:tcPr>
          <w:p>
            <w:pPr>
              <w:ind w:left="20"/>
              <w:spacing w:after="0"/>
              <w:rPr>
                <w:sz w:val="20"/>
                <w:szCs w:val="20"/>
                <w:color w:val="auto"/>
              </w:rPr>
            </w:pPr>
            <w:r>
              <w:rPr>
                <w:rFonts w:ascii="Arial" w:cs="Arial" w:eastAsia="Arial" w:hAnsi="Arial"/>
                <w:sz w:val="12"/>
                <w:szCs w:val="12"/>
                <w:color w:val="auto"/>
                <w:w w:val="99"/>
              </w:rPr>
              <w:t>Other liabilities</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380" w:type="dxa"/>
            <w:vAlign w:val="bottom"/>
            <w:shd w:val="clear" w:color="auto" w:fill="CCEEFF"/>
          </w:tcPr>
          <w:p>
            <w:pPr>
              <w:ind w:left="80"/>
              <w:spacing w:after="0"/>
              <w:rPr>
                <w:sz w:val="20"/>
                <w:szCs w:val="20"/>
                <w:color w:val="auto"/>
              </w:rPr>
            </w:pPr>
            <w:r>
              <w:rPr>
                <w:rFonts w:ascii="Arial" w:cs="Arial" w:eastAsia="Arial" w:hAnsi="Arial"/>
                <w:sz w:val="12"/>
                <w:szCs w:val="12"/>
                <w:color w:val="auto"/>
              </w:rPr>
              <w:t>Written options</w:t>
            </w:r>
          </w:p>
        </w:tc>
        <w:tc>
          <w:tcPr>
            <w:tcW w:w="800" w:type="dxa"/>
            <w:vAlign w:val="bottom"/>
            <w:shd w:val="clear" w:color="auto" w:fill="CCEEFF"/>
          </w:tcPr>
          <w:p>
            <w:pPr>
              <w:spacing w:after="0"/>
              <w:rPr>
                <w:sz w:val="20"/>
                <w:szCs w:val="20"/>
                <w:color w:val="auto"/>
              </w:rPr>
            </w:pPr>
            <w:r>
              <w:rPr>
                <w:rFonts w:ascii="Arial" w:cs="Arial" w:eastAsia="Arial" w:hAnsi="Arial"/>
                <w:sz w:val="12"/>
                <w:szCs w:val="12"/>
                <w:color w:val="auto"/>
              </w:rPr>
              <w:t>Other assets</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2"/>
                <w:szCs w:val="12"/>
                <w:color w:val="auto"/>
              </w:rPr>
              <w:t>Other assets</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2"/>
                <w:szCs w:val="12"/>
                <w:color w:val="auto"/>
              </w:rPr>
              <w:t>Other liabilities</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ind w:left="20"/>
              <w:spacing w:after="0"/>
              <w:rPr>
                <w:sz w:val="20"/>
                <w:szCs w:val="20"/>
                <w:color w:val="auto"/>
              </w:rPr>
            </w:pPr>
            <w:r>
              <w:rPr>
                <w:rFonts w:ascii="Arial" w:cs="Arial" w:eastAsia="Arial" w:hAnsi="Arial"/>
                <w:sz w:val="12"/>
                <w:szCs w:val="12"/>
                <w:color w:val="auto"/>
                <w:w w:val="99"/>
              </w:rPr>
              <w:t>Other liabilities</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42</w:t>
            </w:r>
          </w:p>
        </w:tc>
        <w:tc>
          <w:tcPr>
            <w:tcW w:w="0" w:type="dxa"/>
            <w:vAlign w:val="bottom"/>
          </w:tcPr>
          <w:p>
            <w:pPr>
              <w:spacing w:after="0"/>
              <w:rPr>
                <w:sz w:val="1"/>
                <w:szCs w:val="1"/>
                <w:color w:val="auto"/>
              </w:rPr>
            </w:pPr>
          </w:p>
        </w:tc>
      </w:tr>
      <w:tr>
        <w:trPr>
          <w:trHeight w:val="20"/>
        </w:trPr>
        <w:tc>
          <w:tcPr>
            <w:tcW w:w="23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7,870</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16,767</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5,577</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10,978</w:t>
            </w:r>
          </w:p>
        </w:tc>
        <w:tc>
          <w:tcPr>
            <w:tcW w:w="0" w:type="dxa"/>
            <w:vAlign w:val="bottom"/>
          </w:tcPr>
          <w:p>
            <w:pPr>
              <w:spacing w:after="0"/>
              <w:rPr>
                <w:sz w:val="1"/>
                <w:szCs w:val="1"/>
                <w:color w:val="auto"/>
              </w:rPr>
            </w:pPr>
          </w:p>
        </w:tc>
      </w:tr>
      <w:tr>
        <w:trPr>
          <w:trHeight w:val="182"/>
        </w:trPr>
        <w:tc>
          <w:tcPr>
            <w:tcW w:w="2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Total derivatives</w:t>
            </w:r>
          </w:p>
        </w:tc>
        <w:tc>
          <w:tcPr>
            <w:tcW w:w="8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gridSpan w:val="2"/>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12,283</w:t>
            </w:r>
          </w:p>
        </w:tc>
        <w:tc>
          <w:tcPr>
            <w:tcW w:w="2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gridSpan w:val="2"/>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16,782</w:t>
            </w:r>
          </w:p>
        </w:tc>
        <w:tc>
          <w:tcPr>
            <w:tcW w:w="2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2"/>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5,961</w:t>
            </w: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2"/>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11,754</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55"/>
        </w:trPr>
        <w:tc>
          <w:tcPr>
            <w:tcW w:w="2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0"/>
                <w:szCs w:val="10"/>
                <w:color w:val="auto"/>
              </w:rPr>
              <w:t>89</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27" w:right="299" w:bottom="1440" w:gutter="0" w:footer="0" w:header="0"/>
        </w:sectPr>
      </w:pPr>
    </w:p>
    <w:bookmarkStart w:id="109" w:name="page110"/>
    <w:bookmarkEnd w:id="109"/>
    <w:p>
      <w:pPr>
        <w:ind w:left="3700"/>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effect of derivative financial instruments on the Consolidated Statements of Operations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9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2"/>
                <w:szCs w:val="12"/>
                <w:b w:val="1"/>
                <w:bCs w:val="1"/>
                <w:color w:val="auto"/>
                <w:w w:val="94"/>
              </w:rPr>
              <w:t>Year Ended December 31,</w:t>
            </w:r>
          </w:p>
        </w:tc>
        <w:tc>
          <w:tcPr>
            <w:tcW w:w="1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9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jc w:val="center"/>
              <w:ind w:right="152"/>
              <w:spacing w:after="0" w:line="129" w:lineRule="exact"/>
              <w:rPr>
                <w:sz w:val="20"/>
                <w:szCs w:val="20"/>
                <w:color w:val="auto"/>
              </w:rPr>
            </w:pPr>
            <w:r>
              <w:rPr>
                <w:rFonts w:ascii="Arial" w:cs="Arial" w:eastAsia="Arial" w:hAnsi="Arial"/>
                <w:sz w:val="12"/>
                <w:szCs w:val="12"/>
                <w:b w:val="1"/>
                <w:bCs w:val="1"/>
                <w:color w:val="auto"/>
                <w:w w:val="89"/>
              </w:rPr>
              <w:t>Location of</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172"/>
              <w:spacing w:after="0"/>
              <w:rPr>
                <w:sz w:val="20"/>
                <w:szCs w:val="20"/>
                <w:color w:val="auto"/>
              </w:rPr>
            </w:pPr>
            <w:r>
              <w:rPr>
                <w:rFonts w:ascii="Arial" w:cs="Arial" w:eastAsia="Arial" w:hAnsi="Arial"/>
                <w:sz w:val="12"/>
                <w:szCs w:val="12"/>
                <w:b w:val="1"/>
                <w:bCs w:val="1"/>
                <w:color w:val="auto"/>
                <w:w w:val="90"/>
              </w:rPr>
              <w:t>Gain (Loss)</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172"/>
              <w:spacing w:after="0"/>
              <w:rPr>
                <w:sz w:val="20"/>
                <w:szCs w:val="20"/>
                <w:color w:val="auto"/>
              </w:rPr>
            </w:pPr>
            <w:r>
              <w:rPr>
                <w:rFonts w:ascii="Arial" w:cs="Arial" w:eastAsia="Arial" w:hAnsi="Arial"/>
                <w:sz w:val="12"/>
                <w:szCs w:val="12"/>
                <w:b w:val="1"/>
                <w:bCs w:val="1"/>
                <w:color w:val="auto"/>
                <w:w w:val="85"/>
              </w:rPr>
              <w:t>Reclassified</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9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center"/>
              <w:ind w:right="172"/>
              <w:spacing w:after="0"/>
              <w:rPr>
                <w:sz w:val="20"/>
                <w:szCs w:val="20"/>
                <w:color w:val="auto"/>
              </w:rPr>
            </w:pPr>
            <w:r>
              <w:rPr>
                <w:rFonts w:ascii="Arial" w:cs="Arial" w:eastAsia="Arial" w:hAnsi="Arial"/>
                <w:sz w:val="12"/>
                <w:szCs w:val="12"/>
                <w:b w:val="1"/>
                <w:bCs w:val="1"/>
                <w:color w:val="auto"/>
                <w:w w:val="89"/>
              </w:rPr>
              <w:t>from</w:t>
            </w: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0"/>
              </w:rPr>
              <w:t>Gain (Loss)</w:t>
            </w: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5"/>
          </w:tcPr>
          <w:p>
            <w:pPr>
              <w:jc w:val="center"/>
              <w:ind w:right="112"/>
              <w:spacing w:after="0"/>
              <w:rPr>
                <w:sz w:val="20"/>
                <w:szCs w:val="20"/>
                <w:color w:val="auto"/>
              </w:rPr>
            </w:pPr>
            <w:r>
              <w:rPr>
                <w:rFonts w:ascii="Arial" w:cs="Arial" w:eastAsia="Arial" w:hAnsi="Arial"/>
                <w:sz w:val="12"/>
                <w:szCs w:val="12"/>
                <w:b w:val="1"/>
                <w:bCs w:val="1"/>
                <w:color w:val="auto"/>
                <w:w w:val="87"/>
              </w:rPr>
              <w:t>Gain (loss) Recognized</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172"/>
              <w:spacing w:after="0"/>
              <w:rPr>
                <w:sz w:val="20"/>
                <w:szCs w:val="20"/>
                <w:color w:val="auto"/>
              </w:rPr>
            </w:pPr>
            <w:r>
              <w:rPr>
                <w:rFonts w:ascii="Arial" w:cs="Arial" w:eastAsia="Arial" w:hAnsi="Arial"/>
                <w:sz w:val="12"/>
                <w:szCs w:val="12"/>
                <w:b w:val="1"/>
                <w:bCs w:val="1"/>
                <w:color w:val="auto"/>
                <w:w w:val="90"/>
              </w:rPr>
              <w:t>Accumulated</w:t>
            </w:r>
          </w:p>
        </w:tc>
        <w:tc>
          <w:tcPr>
            <w:tcW w:w="600" w:type="dxa"/>
            <w:vAlign w:val="bottom"/>
          </w:tcPr>
          <w:p>
            <w:pPr>
              <w:spacing w:after="0"/>
              <w:rPr>
                <w:sz w:val="12"/>
                <w:szCs w:val="12"/>
                <w:color w:val="auto"/>
              </w:rPr>
            </w:pPr>
          </w:p>
        </w:tc>
        <w:tc>
          <w:tcPr>
            <w:tcW w:w="1200" w:type="dxa"/>
            <w:vAlign w:val="bottom"/>
            <w:gridSpan w:val="4"/>
          </w:tcPr>
          <w:p>
            <w:pPr>
              <w:jc w:val="center"/>
              <w:spacing w:after="0"/>
              <w:rPr>
                <w:sz w:val="20"/>
                <w:szCs w:val="20"/>
                <w:color w:val="auto"/>
              </w:rPr>
            </w:pPr>
            <w:r>
              <w:rPr>
                <w:rFonts w:ascii="Arial" w:cs="Arial" w:eastAsia="Arial" w:hAnsi="Arial"/>
                <w:sz w:val="12"/>
                <w:szCs w:val="12"/>
                <w:b w:val="1"/>
                <w:bCs w:val="1"/>
                <w:color w:val="auto"/>
                <w:w w:val="87"/>
              </w:rPr>
              <w:t>Reclassified from</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5"/>
              </w:rPr>
              <w:t>in Other</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172"/>
              <w:spacing w:after="0"/>
              <w:rPr>
                <w:sz w:val="20"/>
                <w:szCs w:val="20"/>
                <w:color w:val="auto"/>
              </w:rPr>
            </w:pPr>
            <w:r>
              <w:rPr>
                <w:rFonts w:ascii="Arial" w:cs="Arial" w:eastAsia="Arial" w:hAnsi="Arial"/>
                <w:sz w:val="12"/>
                <w:szCs w:val="12"/>
                <w:b w:val="1"/>
                <w:bCs w:val="1"/>
                <w:color w:val="auto"/>
                <w:w w:val="99"/>
              </w:rPr>
              <w:t>Other</w:t>
            </w:r>
          </w:p>
        </w:tc>
        <w:tc>
          <w:tcPr>
            <w:tcW w:w="600" w:type="dxa"/>
            <w:vAlign w:val="bottom"/>
          </w:tcPr>
          <w:p>
            <w:pPr>
              <w:spacing w:after="0"/>
              <w:rPr>
                <w:sz w:val="12"/>
                <w:szCs w:val="12"/>
                <w:color w:val="auto"/>
              </w:rPr>
            </w:pPr>
          </w:p>
        </w:tc>
        <w:tc>
          <w:tcPr>
            <w:tcW w:w="1200" w:type="dxa"/>
            <w:vAlign w:val="bottom"/>
            <w:gridSpan w:val="4"/>
          </w:tcPr>
          <w:p>
            <w:pPr>
              <w:jc w:val="center"/>
              <w:spacing w:after="0"/>
              <w:rPr>
                <w:sz w:val="20"/>
                <w:szCs w:val="20"/>
                <w:color w:val="auto"/>
              </w:rPr>
            </w:pPr>
            <w:r>
              <w:rPr>
                <w:rFonts w:ascii="Arial" w:cs="Arial" w:eastAsia="Arial" w:hAnsi="Arial"/>
                <w:sz w:val="12"/>
                <w:szCs w:val="12"/>
                <w:b w:val="1"/>
                <w:bCs w:val="1"/>
                <w:color w:val="auto"/>
                <w:w w:val="92"/>
              </w:rPr>
              <w:t>Accumulated Other</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3"/>
          </w:tcPr>
          <w:p>
            <w:pPr>
              <w:jc w:val="center"/>
              <w:ind w:right="180"/>
              <w:spacing w:after="0"/>
              <w:rPr>
                <w:sz w:val="20"/>
                <w:szCs w:val="20"/>
                <w:color w:val="auto"/>
              </w:rPr>
            </w:pPr>
            <w:r>
              <w:rPr>
                <w:rFonts w:ascii="Arial" w:cs="Arial" w:eastAsia="Arial" w:hAnsi="Arial"/>
                <w:sz w:val="12"/>
                <w:szCs w:val="12"/>
                <w:b w:val="1"/>
                <w:bCs w:val="1"/>
                <w:color w:val="auto"/>
                <w:w w:val="88"/>
              </w:rPr>
              <w:t>Comprehensive</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172"/>
              <w:spacing w:after="0"/>
              <w:rPr>
                <w:sz w:val="20"/>
                <w:szCs w:val="20"/>
                <w:color w:val="auto"/>
              </w:rPr>
            </w:pPr>
            <w:r>
              <w:rPr>
                <w:rFonts w:ascii="Arial" w:cs="Arial" w:eastAsia="Arial" w:hAnsi="Arial"/>
                <w:sz w:val="12"/>
                <w:szCs w:val="12"/>
                <w:b w:val="1"/>
                <w:bCs w:val="1"/>
                <w:color w:val="auto"/>
                <w:w w:val="88"/>
              </w:rPr>
              <w:t>Comprehensive</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3"/>
          </w:tcPr>
          <w:p>
            <w:pPr>
              <w:jc w:val="center"/>
              <w:ind w:right="200"/>
              <w:spacing w:after="0"/>
              <w:rPr>
                <w:sz w:val="20"/>
                <w:szCs w:val="20"/>
                <w:color w:val="auto"/>
              </w:rPr>
            </w:pPr>
            <w:r>
              <w:rPr>
                <w:rFonts w:ascii="Arial" w:cs="Arial" w:eastAsia="Arial" w:hAnsi="Arial"/>
                <w:sz w:val="12"/>
                <w:szCs w:val="12"/>
                <w:b w:val="1"/>
                <w:bCs w:val="1"/>
                <w:color w:val="auto"/>
                <w:w w:val="88"/>
              </w:rPr>
              <w:t>Comprehensive</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0"/>
              </w:rPr>
              <w:t>Gain (Loss)</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3"/>
          </w:tcPr>
          <w:p>
            <w:pPr>
              <w:jc w:val="center"/>
              <w:ind w:right="180"/>
              <w:spacing w:after="0"/>
              <w:rPr>
                <w:sz w:val="20"/>
                <w:szCs w:val="20"/>
                <w:color w:val="auto"/>
              </w:rPr>
            </w:pPr>
            <w:r>
              <w:rPr>
                <w:rFonts w:ascii="Arial" w:cs="Arial" w:eastAsia="Arial" w:hAnsi="Arial"/>
                <w:sz w:val="12"/>
                <w:szCs w:val="12"/>
                <w:b w:val="1"/>
                <w:bCs w:val="1"/>
                <w:color w:val="auto"/>
                <w:w w:val="88"/>
              </w:rPr>
              <w:t>Income (Loss)</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192"/>
              <w:spacing w:after="0"/>
              <w:rPr>
                <w:sz w:val="20"/>
                <w:szCs w:val="20"/>
                <w:color w:val="auto"/>
              </w:rPr>
            </w:pPr>
            <w:r>
              <w:rPr>
                <w:rFonts w:ascii="Arial" w:cs="Arial" w:eastAsia="Arial" w:hAnsi="Arial"/>
                <w:sz w:val="12"/>
                <w:szCs w:val="12"/>
                <w:b w:val="1"/>
                <w:bCs w:val="1"/>
                <w:color w:val="auto"/>
                <w:w w:val="90"/>
              </w:rPr>
              <w:t>Income</w:t>
            </w:r>
          </w:p>
        </w:tc>
        <w:tc>
          <w:tcPr>
            <w:tcW w:w="600" w:type="dxa"/>
            <w:vAlign w:val="bottom"/>
          </w:tcPr>
          <w:p>
            <w:pPr>
              <w:spacing w:after="0"/>
              <w:rPr>
                <w:sz w:val="12"/>
                <w:szCs w:val="12"/>
                <w:color w:val="auto"/>
              </w:rPr>
            </w:pPr>
          </w:p>
        </w:tc>
        <w:tc>
          <w:tcPr>
            <w:tcW w:w="1200" w:type="dxa"/>
            <w:vAlign w:val="bottom"/>
            <w:gridSpan w:val="4"/>
          </w:tcPr>
          <w:p>
            <w:pPr>
              <w:jc w:val="center"/>
              <w:spacing w:after="0"/>
              <w:rPr>
                <w:sz w:val="20"/>
                <w:szCs w:val="20"/>
                <w:color w:val="auto"/>
              </w:rPr>
            </w:pPr>
            <w:r>
              <w:rPr>
                <w:rFonts w:ascii="Arial" w:cs="Arial" w:eastAsia="Arial" w:hAnsi="Arial"/>
                <w:sz w:val="12"/>
                <w:szCs w:val="12"/>
                <w:b w:val="1"/>
                <w:bCs w:val="1"/>
                <w:color w:val="auto"/>
                <w:w w:val="90"/>
              </w:rPr>
              <w:t>Income into Income</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8"/>
              </w:rPr>
              <w:t>Location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6"/>
              </w:rPr>
              <w:t>Recognized</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4"/>
          </w:tcPr>
          <w:p>
            <w:pPr>
              <w:jc w:val="center"/>
              <w:spacing w:after="0"/>
              <w:rPr>
                <w:sz w:val="20"/>
                <w:szCs w:val="20"/>
                <w:color w:val="auto"/>
              </w:rPr>
            </w:pPr>
            <w:r>
              <w:rPr>
                <w:rFonts w:ascii="Arial" w:cs="Arial" w:eastAsia="Arial" w:hAnsi="Arial"/>
                <w:sz w:val="12"/>
                <w:szCs w:val="12"/>
                <w:b w:val="1"/>
                <w:bCs w:val="1"/>
                <w:color w:val="auto"/>
                <w:w w:val="92"/>
              </w:rPr>
              <w:t>(Effective Portion)</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172"/>
              <w:spacing w:after="0"/>
              <w:rPr>
                <w:sz w:val="20"/>
                <w:szCs w:val="20"/>
                <w:color w:val="auto"/>
              </w:rPr>
            </w:pPr>
            <w:r>
              <w:rPr>
                <w:rFonts w:ascii="Arial" w:cs="Arial" w:eastAsia="Arial" w:hAnsi="Arial"/>
                <w:sz w:val="12"/>
                <w:szCs w:val="12"/>
                <w:b w:val="1"/>
                <w:bCs w:val="1"/>
                <w:color w:val="auto"/>
                <w:w w:val="89"/>
              </w:rPr>
              <w:t>into Income</w:t>
            </w:r>
          </w:p>
        </w:tc>
        <w:tc>
          <w:tcPr>
            <w:tcW w:w="600" w:type="dxa"/>
            <w:vAlign w:val="bottom"/>
          </w:tcPr>
          <w:p>
            <w:pPr>
              <w:spacing w:after="0"/>
              <w:rPr>
                <w:sz w:val="12"/>
                <w:szCs w:val="12"/>
                <w:color w:val="auto"/>
              </w:rPr>
            </w:pPr>
          </w:p>
        </w:tc>
        <w:tc>
          <w:tcPr>
            <w:tcW w:w="1200" w:type="dxa"/>
            <w:vAlign w:val="bottom"/>
            <w:gridSpan w:val="4"/>
          </w:tcPr>
          <w:p>
            <w:pPr>
              <w:jc w:val="center"/>
              <w:spacing w:after="0"/>
              <w:rPr>
                <w:sz w:val="20"/>
                <w:szCs w:val="20"/>
                <w:color w:val="auto"/>
              </w:rPr>
            </w:pPr>
            <w:r>
              <w:rPr>
                <w:rFonts w:ascii="Arial" w:cs="Arial" w:eastAsia="Arial" w:hAnsi="Arial"/>
                <w:sz w:val="12"/>
                <w:szCs w:val="12"/>
                <w:b w:val="1"/>
                <w:bCs w:val="1"/>
                <w:color w:val="auto"/>
                <w:w w:val="92"/>
              </w:rPr>
              <w:t>(Effective Portion)</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9"/>
              </w:rPr>
              <w:t>Gain (Loss)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2"/>
              </w:rPr>
              <w:t>in Income</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94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vMerge w:val="restart"/>
          </w:tcPr>
          <w:p>
            <w:pPr>
              <w:jc w:val="center"/>
              <w:spacing w:after="0" w:line="132" w:lineRule="exact"/>
              <w:rPr>
                <w:sz w:val="20"/>
                <w:szCs w:val="20"/>
                <w:color w:val="auto"/>
              </w:rPr>
            </w:pPr>
            <w:r>
              <w:rPr>
                <w:rFonts w:ascii="Arial" w:cs="Arial" w:eastAsia="Arial" w:hAnsi="Arial"/>
                <w:sz w:val="12"/>
                <w:szCs w:val="12"/>
                <w:b w:val="1"/>
                <w:bCs w:val="1"/>
                <w:color w:val="auto"/>
                <w:w w:val="88"/>
              </w:rPr>
              <w:t>(Effective</w:t>
            </w:r>
          </w:p>
        </w:tc>
        <w:tc>
          <w:tcPr>
            <w:tcW w:w="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780" w:type="dxa"/>
            <w:vAlign w:val="bottom"/>
            <w:vMerge w:val="restart"/>
          </w:tcPr>
          <w:p>
            <w:pPr>
              <w:ind w:left="100"/>
              <w:spacing w:after="0" w:line="132" w:lineRule="exact"/>
              <w:rPr>
                <w:sz w:val="20"/>
                <w:szCs w:val="20"/>
                <w:color w:val="auto"/>
              </w:rPr>
            </w:pPr>
            <w:r>
              <w:rPr>
                <w:rFonts w:ascii="Arial" w:cs="Arial" w:eastAsia="Arial" w:hAnsi="Arial"/>
                <w:sz w:val="12"/>
                <w:szCs w:val="12"/>
                <w:b w:val="1"/>
                <w:bCs w:val="1"/>
                <w:color w:val="auto"/>
                <w:w w:val="97"/>
              </w:rPr>
              <w:t>Recognized</w:t>
            </w: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5"/>
        </w:trPr>
        <w:tc>
          <w:tcPr>
            <w:tcW w:w="9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940" w:type="dxa"/>
            <w:vAlign w:val="bottom"/>
          </w:tcPr>
          <w:p>
            <w:pPr>
              <w:spacing w:after="0"/>
              <w:rPr>
                <w:sz w:val="13"/>
                <w:szCs w:val="13"/>
                <w:color w:val="auto"/>
              </w:rPr>
            </w:pPr>
          </w:p>
        </w:tc>
        <w:tc>
          <w:tcPr>
            <w:tcW w:w="620" w:type="dxa"/>
            <w:vAlign w:val="bottom"/>
          </w:tcPr>
          <w:p>
            <w:pPr>
              <w:jc w:val="right"/>
              <w:ind w:right="68"/>
              <w:spacing w:after="0"/>
              <w:rPr>
                <w:sz w:val="20"/>
                <w:szCs w:val="20"/>
                <w:color w:val="auto"/>
              </w:rPr>
            </w:pPr>
            <w:r>
              <w:rPr>
                <w:rFonts w:ascii="Arial" w:cs="Arial" w:eastAsia="Arial" w:hAnsi="Arial"/>
                <w:sz w:val="12"/>
                <w:szCs w:val="12"/>
                <w:b w:val="1"/>
                <w:bCs w:val="1"/>
                <w:color w:val="auto"/>
              </w:rPr>
              <w:t>2021</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center"/>
              <w:ind w:right="80"/>
              <w:spacing w:after="0"/>
              <w:rPr>
                <w:sz w:val="20"/>
                <w:szCs w:val="20"/>
                <w:color w:val="auto"/>
              </w:rPr>
            </w:pPr>
            <w:r>
              <w:rPr>
                <w:rFonts w:ascii="Arial" w:cs="Arial" w:eastAsia="Arial" w:hAnsi="Arial"/>
                <w:sz w:val="12"/>
                <w:szCs w:val="12"/>
                <w:b w:val="1"/>
                <w:bCs w:val="1"/>
                <w:color w:val="auto"/>
                <w:w w:val="89"/>
              </w:rPr>
              <w:t>2020</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220"/>
              <w:spacing w:after="0"/>
              <w:rPr>
                <w:sz w:val="20"/>
                <w:szCs w:val="20"/>
                <w:color w:val="auto"/>
              </w:rPr>
            </w:pPr>
            <w:r>
              <w:rPr>
                <w:rFonts w:ascii="Arial" w:cs="Arial" w:eastAsia="Arial" w:hAnsi="Arial"/>
                <w:sz w:val="12"/>
                <w:szCs w:val="12"/>
                <w:b w:val="1"/>
                <w:bCs w:val="1"/>
                <w:color w:val="auto"/>
              </w:rPr>
              <w:t>2019</w:t>
            </w:r>
          </w:p>
        </w:tc>
        <w:tc>
          <w:tcPr>
            <w:tcW w:w="80" w:type="dxa"/>
            <w:vAlign w:val="bottom"/>
          </w:tcPr>
          <w:p>
            <w:pPr>
              <w:spacing w:after="0"/>
              <w:rPr>
                <w:sz w:val="13"/>
                <w:szCs w:val="13"/>
                <w:color w:val="auto"/>
              </w:rPr>
            </w:pPr>
          </w:p>
        </w:tc>
        <w:tc>
          <w:tcPr>
            <w:tcW w:w="1100" w:type="dxa"/>
            <w:vAlign w:val="bottom"/>
            <w:gridSpan w:val="2"/>
          </w:tcPr>
          <w:p>
            <w:pPr>
              <w:jc w:val="center"/>
              <w:ind w:right="172"/>
              <w:spacing w:after="0"/>
              <w:rPr>
                <w:sz w:val="20"/>
                <w:szCs w:val="20"/>
                <w:color w:val="auto"/>
              </w:rPr>
            </w:pPr>
            <w:r>
              <w:rPr>
                <w:rFonts w:ascii="Arial" w:cs="Arial" w:eastAsia="Arial" w:hAnsi="Arial"/>
                <w:sz w:val="12"/>
                <w:szCs w:val="12"/>
                <w:b w:val="1"/>
                <w:bCs w:val="1"/>
                <w:color w:val="auto"/>
                <w:w w:val="95"/>
              </w:rPr>
              <w:t>Portion)</w:t>
            </w:r>
          </w:p>
        </w:tc>
        <w:tc>
          <w:tcPr>
            <w:tcW w:w="600" w:type="dxa"/>
            <w:vAlign w:val="bottom"/>
          </w:tcPr>
          <w:p>
            <w:pPr>
              <w:jc w:val="right"/>
              <w:ind w:right="200"/>
              <w:spacing w:after="0"/>
              <w:rPr>
                <w:sz w:val="20"/>
                <w:szCs w:val="20"/>
                <w:color w:val="auto"/>
              </w:rPr>
            </w:pPr>
            <w:r>
              <w:rPr>
                <w:rFonts w:ascii="Arial" w:cs="Arial" w:eastAsia="Arial" w:hAnsi="Arial"/>
                <w:sz w:val="12"/>
                <w:szCs w:val="12"/>
                <w:b w:val="1"/>
                <w:bCs w:val="1"/>
                <w:color w:val="auto"/>
              </w:rPr>
              <w:t>2021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center"/>
              <w:ind w:right="20"/>
              <w:spacing w:after="0"/>
              <w:rPr>
                <w:sz w:val="20"/>
                <w:szCs w:val="20"/>
                <w:color w:val="auto"/>
              </w:rPr>
            </w:pPr>
            <w:r>
              <w:rPr>
                <w:rFonts w:ascii="Arial" w:cs="Arial" w:eastAsia="Arial" w:hAnsi="Arial"/>
                <w:sz w:val="12"/>
                <w:szCs w:val="12"/>
                <w:b w:val="1"/>
                <w:bCs w:val="1"/>
                <w:color w:val="auto"/>
                <w:w w:val="89"/>
              </w:rPr>
              <w:t>2020</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b w:val="1"/>
                <w:bCs w:val="1"/>
                <w:color w:val="auto"/>
              </w:rPr>
              <w:t>2019</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in Income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ind w:right="220"/>
              <w:spacing w:after="0"/>
              <w:rPr>
                <w:sz w:val="20"/>
                <w:szCs w:val="20"/>
                <w:color w:val="auto"/>
              </w:rPr>
            </w:pPr>
            <w:r>
              <w:rPr>
                <w:rFonts w:ascii="Arial" w:cs="Arial" w:eastAsia="Arial" w:hAnsi="Arial"/>
                <w:sz w:val="12"/>
                <w:szCs w:val="12"/>
                <w:b w:val="1"/>
                <w:bCs w:val="1"/>
                <w:color w:val="auto"/>
              </w:rPr>
              <w:t>2021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center"/>
              <w:ind w:right="20"/>
              <w:spacing w:after="0"/>
              <w:rPr>
                <w:sz w:val="20"/>
                <w:szCs w:val="20"/>
                <w:color w:val="auto"/>
              </w:rPr>
            </w:pPr>
            <w:r>
              <w:rPr>
                <w:rFonts w:ascii="Arial" w:cs="Arial" w:eastAsia="Arial" w:hAnsi="Arial"/>
                <w:sz w:val="12"/>
                <w:szCs w:val="12"/>
                <w:b w:val="1"/>
                <w:bCs w:val="1"/>
                <w:color w:val="auto"/>
                <w:w w:val="89"/>
              </w:rPr>
              <w:t>2020</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220"/>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40" w:type="dxa"/>
            <w:vAlign w:val="bottom"/>
            <w:vMerge w:val="restart"/>
          </w:tcPr>
          <w:p>
            <w:pPr>
              <w:spacing w:after="0"/>
              <w:rPr>
                <w:sz w:val="20"/>
                <w:szCs w:val="20"/>
                <w:color w:val="auto"/>
              </w:rPr>
            </w:pPr>
            <w:r>
              <w:rPr>
                <w:rFonts w:ascii="Arial" w:cs="Arial" w:eastAsia="Arial" w:hAnsi="Arial"/>
                <w:sz w:val="12"/>
                <w:szCs w:val="12"/>
                <w:color w:val="auto"/>
              </w:rPr>
              <w:t>Fair Value</w:t>
            </w:r>
          </w:p>
        </w:tc>
        <w:tc>
          <w:tcPr>
            <w:tcW w:w="6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4"/>
              </w:rPr>
              <w:t>(In thousands)</w:t>
            </w:r>
          </w:p>
        </w:tc>
        <w:tc>
          <w:tcPr>
            <w:tcW w:w="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4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940" w:type="dxa"/>
            <w:vAlign w:val="bottom"/>
          </w:tcPr>
          <w:p>
            <w:pPr>
              <w:ind w:left="320"/>
              <w:spacing w:after="0"/>
              <w:rPr>
                <w:sz w:val="20"/>
                <w:szCs w:val="20"/>
                <w:color w:val="auto"/>
              </w:rPr>
            </w:pPr>
            <w:r>
              <w:rPr>
                <w:rFonts w:ascii="Arial" w:cs="Arial" w:eastAsia="Arial" w:hAnsi="Arial"/>
                <w:sz w:val="12"/>
                <w:szCs w:val="12"/>
                <w:color w:val="auto"/>
              </w:rPr>
              <w:t>Hedges</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940" w:type="dxa"/>
            <w:vAlign w:val="bottom"/>
            <w:shd w:val="clear" w:color="auto" w:fill="CCEEFF"/>
          </w:tcPr>
          <w:p>
            <w:pPr>
              <w:ind w:left="100"/>
              <w:spacing w:after="0" w:line="135" w:lineRule="exact"/>
              <w:rPr>
                <w:sz w:val="20"/>
                <w:szCs w:val="20"/>
                <w:color w:val="auto"/>
              </w:rPr>
            </w:pPr>
            <w:r>
              <w:rPr>
                <w:rFonts w:ascii="Arial" w:cs="Arial" w:eastAsia="Arial" w:hAnsi="Arial"/>
                <w:sz w:val="12"/>
                <w:szCs w:val="12"/>
                <w:color w:val="auto"/>
              </w:rPr>
              <w:t>Pay-fixed</w:t>
            </w: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interest rate</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swap</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agreement -</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2"/>
                <w:szCs w:val="12"/>
                <w:color w:val="auto"/>
              </w:rPr>
              <w:t>Interest and</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9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commercial</w:t>
            </w: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ind w:left="120"/>
              <w:spacing w:after="0"/>
              <w:rPr>
                <w:sz w:val="20"/>
                <w:szCs w:val="20"/>
                <w:color w:val="auto"/>
              </w:rPr>
            </w:pPr>
            <w:r>
              <w:rPr>
                <w:rFonts w:ascii="Arial" w:cs="Arial" w:eastAsia="Arial" w:hAnsi="Arial"/>
                <w:sz w:val="12"/>
                <w:szCs w:val="12"/>
                <w:color w:val="auto"/>
                <w:w w:val="89"/>
              </w:rPr>
              <w:t>fees on loans</w:t>
            </w:r>
          </w:p>
        </w:tc>
        <w:tc>
          <w:tcPr>
            <w:tcW w:w="260" w:type="dxa"/>
            <w:vAlign w:val="bottom"/>
            <w:gridSpan w:val="2"/>
            <w:shd w:val="clear" w:color="auto" w:fill="CCEEFF"/>
          </w:tcPr>
          <w:p>
            <w:pPr>
              <w:jc w:val="right"/>
              <w:ind w:right="52"/>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392</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(534)</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(242)</w:t>
            </w:r>
          </w:p>
        </w:tc>
        <w:tc>
          <w:tcPr>
            <w:tcW w:w="0" w:type="dxa"/>
            <w:vAlign w:val="bottom"/>
          </w:tcPr>
          <w:p>
            <w:pPr>
              <w:spacing w:after="0"/>
              <w:rPr>
                <w:sz w:val="1"/>
                <w:szCs w:val="1"/>
                <w:color w:val="auto"/>
              </w:rPr>
            </w:pPr>
          </w:p>
        </w:tc>
      </w:tr>
      <w:tr>
        <w:trPr>
          <w:trHeight w:val="135"/>
        </w:trPr>
        <w:tc>
          <w:tcPr>
            <w:tcW w:w="940" w:type="dxa"/>
            <w:vAlign w:val="bottom"/>
          </w:tcPr>
          <w:p>
            <w:pPr>
              <w:ind w:left="100"/>
              <w:spacing w:after="0" w:line="135" w:lineRule="exact"/>
              <w:rPr>
                <w:sz w:val="20"/>
                <w:szCs w:val="20"/>
                <w:color w:val="auto"/>
              </w:rPr>
            </w:pPr>
            <w:r>
              <w:rPr>
                <w:rFonts w:ascii="Arial" w:cs="Arial" w:eastAsia="Arial" w:hAnsi="Arial"/>
                <w:sz w:val="12"/>
                <w:szCs w:val="12"/>
                <w:color w:val="auto"/>
              </w:rPr>
              <w:t>Pay-fixed</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line="135" w:lineRule="exact"/>
              <w:rPr>
                <w:sz w:val="20"/>
                <w:szCs w:val="20"/>
                <w:color w:val="auto"/>
              </w:rPr>
            </w:pPr>
            <w:r>
              <w:rPr>
                <w:rFonts w:ascii="Arial" w:cs="Arial" w:eastAsia="Arial" w:hAnsi="Arial"/>
                <w:sz w:val="12"/>
                <w:szCs w:val="12"/>
                <w:color w:val="auto"/>
              </w:rPr>
              <w:t>Interest on</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40" w:type="dxa"/>
            <w:vAlign w:val="bottom"/>
          </w:tcPr>
          <w:p>
            <w:pPr>
              <w:ind w:left="200"/>
              <w:spacing w:after="0"/>
              <w:rPr>
                <w:sz w:val="20"/>
                <w:szCs w:val="20"/>
                <w:color w:val="auto"/>
              </w:rPr>
            </w:pPr>
            <w:r>
              <w:rPr>
                <w:rFonts w:ascii="Arial" w:cs="Arial" w:eastAsia="Arial" w:hAnsi="Arial"/>
                <w:sz w:val="12"/>
                <w:szCs w:val="12"/>
                <w:color w:val="auto"/>
              </w:rPr>
              <w:t>interest rate</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ind w:left="120"/>
              <w:spacing w:after="0"/>
              <w:rPr>
                <w:sz w:val="20"/>
                <w:szCs w:val="20"/>
                <w:color w:val="auto"/>
              </w:rPr>
            </w:pPr>
            <w:r>
              <w:rPr>
                <w:rFonts w:ascii="Arial" w:cs="Arial" w:eastAsia="Arial" w:hAnsi="Arial"/>
                <w:sz w:val="12"/>
                <w:szCs w:val="12"/>
                <w:color w:val="auto"/>
              </w:rPr>
              <w:t>securities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tcPr>
          <w:p>
            <w:pPr>
              <w:ind w:left="200"/>
              <w:spacing w:after="0"/>
              <w:rPr>
                <w:sz w:val="20"/>
                <w:szCs w:val="20"/>
                <w:color w:val="auto"/>
              </w:rPr>
            </w:pPr>
            <w:r>
              <w:rPr>
                <w:rFonts w:ascii="Arial" w:cs="Arial" w:eastAsia="Arial" w:hAnsi="Arial"/>
                <w:sz w:val="12"/>
                <w:szCs w:val="12"/>
                <w:color w:val="auto"/>
              </w:rPr>
              <w:t>swap</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ind w:left="120"/>
              <w:spacing w:after="0"/>
              <w:rPr>
                <w:sz w:val="20"/>
                <w:szCs w:val="20"/>
                <w:color w:val="auto"/>
              </w:rPr>
            </w:pPr>
            <w:r>
              <w:rPr>
                <w:rFonts w:ascii="Arial" w:cs="Arial" w:eastAsia="Arial" w:hAnsi="Arial"/>
                <w:sz w:val="12"/>
                <w:szCs w:val="12"/>
                <w:color w:val="auto"/>
                <w:w w:val="98"/>
              </w:rPr>
              <w:t>available for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tcPr>
          <w:p>
            <w:pPr>
              <w:ind w:left="200"/>
              <w:spacing w:after="0"/>
              <w:rPr>
                <w:sz w:val="20"/>
                <w:szCs w:val="20"/>
                <w:color w:val="auto"/>
              </w:rPr>
            </w:pPr>
            <w:r>
              <w:rPr>
                <w:rFonts w:ascii="Arial" w:cs="Arial" w:eastAsia="Arial" w:hAnsi="Arial"/>
                <w:sz w:val="12"/>
                <w:szCs w:val="12"/>
                <w:color w:val="auto"/>
              </w:rPr>
              <w:t>agreement -</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ind w:left="120"/>
              <w:spacing w:after="0"/>
              <w:rPr>
                <w:sz w:val="20"/>
                <w:szCs w:val="20"/>
                <w:color w:val="auto"/>
              </w:rPr>
            </w:pPr>
            <w:r>
              <w:rPr>
                <w:rFonts w:ascii="Arial" w:cs="Arial" w:eastAsia="Arial" w:hAnsi="Arial"/>
                <w:sz w:val="12"/>
                <w:szCs w:val="12"/>
                <w:color w:val="auto"/>
              </w:rPr>
              <w:t>sale - tax-</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tcPr>
          <w:p>
            <w:pPr>
              <w:ind w:left="200"/>
              <w:spacing w:after="0"/>
              <w:rPr>
                <w:sz w:val="20"/>
                <w:szCs w:val="20"/>
                <w:color w:val="auto"/>
              </w:rPr>
            </w:pPr>
            <w:r>
              <w:rPr>
                <w:rFonts w:ascii="Arial" w:cs="Arial" w:eastAsia="Arial" w:hAnsi="Arial"/>
                <w:sz w:val="12"/>
                <w:szCs w:val="12"/>
                <w:color w:val="auto"/>
              </w:rPr>
              <w:t>securities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ind w:left="120"/>
              <w:spacing w:after="0"/>
              <w:rPr>
                <w:sz w:val="20"/>
                <w:szCs w:val="20"/>
                <w:color w:val="auto"/>
              </w:rPr>
            </w:pPr>
            <w:r>
              <w:rPr>
                <w:rFonts w:ascii="Arial" w:cs="Arial" w:eastAsia="Arial" w:hAnsi="Arial"/>
                <w:sz w:val="12"/>
                <w:szCs w:val="12"/>
                <w:color w:val="auto"/>
              </w:rPr>
              <w:t>exempt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tcPr>
          <w:p>
            <w:pPr>
              <w:ind w:left="200"/>
              <w:spacing w:after="0"/>
              <w:rPr>
                <w:sz w:val="20"/>
                <w:szCs w:val="20"/>
                <w:color w:val="auto"/>
              </w:rPr>
            </w:pPr>
            <w:r>
              <w:rPr>
                <w:rFonts w:ascii="Arial" w:cs="Arial" w:eastAsia="Arial" w:hAnsi="Arial"/>
                <w:sz w:val="12"/>
                <w:szCs w:val="12"/>
                <w:color w:val="auto"/>
              </w:rPr>
              <w:t>available for</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940" w:type="dxa"/>
            <w:vAlign w:val="bottom"/>
          </w:tcPr>
          <w:p>
            <w:pPr>
              <w:ind w:left="200"/>
              <w:spacing w:after="0"/>
              <w:rPr>
                <w:sz w:val="20"/>
                <w:szCs w:val="20"/>
                <w:color w:val="auto"/>
              </w:rPr>
            </w:pPr>
            <w:r>
              <w:rPr>
                <w:rFonts w:ascii="Arial" w:cs="Arial" w:eastAsia="Arial" w:hAnsi="Arial"/>
                <w:sz w:val="12"/>
                <w:szCs w:val="12"/>
                <w:color w:val="auto"/>
              </w:rPr>
              <w:t>sale</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4,398</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15</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2"/>
                <w:szCs w:val="12"/>
                <w:color w:val="auto"/>
              </w:rPr>
              <w:t>Total</w:t>
            </w:r>
          </w:p>
        </w:tc>
        <w:tc>
          <w:tcPr>
            <w:tcW w:w="6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4,790</w:t>
            </w:r>
          </w:p>
        </w:tc>
        <w:tc>
          <w:tcPr>
            <w:tcW w:w="2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(519)</w:t>
            </w:r>
          </w:p>
        </w:tc>
        <w:tc>
          <w:tcPr>
            <w:tcW w:w="2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(242)</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940" w:type="dxa"/>
            <w:vAlign w:val="bottom"/>
          </w:tcPr>
          <w:p>
            <w:pPr>
              <w:spacing w:after="0" w:line="111" w:lineRule="exact"/>
              <w:rPr>
                <w:sz w:val="20"/>
                <w:szCs w:val="20"/>
                <w:color w:val="auto"/>
              </w:rPr>
            </w:pPr>
            <w:r>
              <w:rPr>
                <w:rFonts w:ascii="Arial" w:cs="Arial" w:eastAsia="Arial" w:hAnsi="Arial"/>
                <w:sz w:val="12"/>
                <w:szCs w:val="12"/>
                <w:color w:val="auto"/>
              </w:rPr>
              <w:t>Cash Flow</w:t>
            </w: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940" w:type="dxa"/>
            <w:vAlign w:val="bottom"/>
          </w:tcPr>
          <w:p>
            <w:pPr>
              <w:spacing w:after="0"/>
              <w:rPr>
                <w:sz w:val="20"/>
                <w:szCs w:val="20"/>
                <w:color w:val="auto"/>
              </w:rPr>
            </w:pPr>
            <w:r>
              <w:rPr>
                <w:rFonts w:ascii="Arial" w:cs="Arial" w:eastAsia="Arial" w:hAnsi="Arial"/>
                <w:sz w:val="12"/>
                <w:szCs w:val="12"/>
                <w:color w:val="auto"/>
              </w:rPr>
              <w:t>Hedges</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940" w:type="dxa"/>
            <w:vAlign w:val="bottom"/>
            <w:shd w:val="clear" w:color="auto" w:fill="CCEEFF"/>
          </w:tcPr>
          <w:p>
            <w:pPr>
              <w:ind w:left="100"/>
              <w:spacing w:after="0" w:line="135" w:lineRule="exact"/>
              <w:rPr>
                <w:sz w:val="20"/>
                <w:szCs w:val="20"/>
                <w:color w:val="auto"/>
              </w:rPr>
            </w:pPr>
            <w:r>
              <w:rPr>
                <w:rFonts w:ascii="Arial" w:cs="Arial" w:eastAsia="Arial" w:hAnsi="Arial"/>
                <w:sz w:val="12"/>
                <w:szCs w:val="12"/>
                <w:color w:val="auto"/>
              </w:rPr>
              <w:t>Interest rate</w:t>
            </w: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40" w:type="dxa"/>
            <w:vAlign w:val="bottom"/>
            <w:shd w:val="clear" w:color="auto" w:fill="CCEEFF"/>
          </w:tcPr>
          <w:p>
            <w:pPr>
              <w:ind w:left="200"/>
              <w:spacing w:after="0"/>
              <w:rPr>
                <w:sz w:val="20"/>
                <w:szCs w:val="20"/>
                <w:color w:val="auto"/>
              </w:rPr>
            </w:pPr>
            <w:r>
              <w:rPr>
                <w:rFonts w:ascii="Arial" w:cs="Arial" w:eastAsia="Arial" w:hAnsi="Arial"/>
                <w:sz w:val="12"/>
                <w:szCs w:val="12"/>
                <w:color w:val="auto"/>
              </w:rPr>
              <w:t>cap</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940" w:type="dxa"/>
            <w:vAlign w:val="bottom"/>
            <w:shd w:val="clear" w:color="auto" w:fill="CCEEFF"/>
          </w:tcPr>
          <w:p>
            <w:pPr>
              <w:ind w:left="200"/>
              <w:spacing w:after="0"/>
              <w:rPr>
                <w:sz w:val="20"/>
                <w:szCs w:val="20"/>
                <w:color w:val="auto"/>
              </w:rPr>
            </w:pPr>
            <w:r>
              <w:rPr>
                <w:rFonts w:ascii="Arial" w:cs="Arial" w:eastAsia="Arial" w:hAnsi="Arial"/>
                <w:sz w:val="12"/>
                <w:szCs w:val="12"/>
                <w:color w:val="auto"/>
              </w:rPr>
              <w:t>agreements</w:t>
            </w:r>
          </w:p>
        </w:tc>
        <w:tc>
          <w:tcPr>
            <w:tcW w:w="620" w:type="dxa"/>
            <w:vAlign w:val="bottom"/>
            <w:shd w:val="clear" w:color="auto" w:fill="CCEEFF"/>
          </w:tcPr>
          <w:p>
            <w:pPr>
              <w:jc w:val="right"/>
              <w:ind w:right="508"/>
              <w:spacing w:after="0"/>
              <w:rPr>
                <w:sz w:val="20"/>
                <w:szCs w:val="20"/>
                <w:color w:val="auto"/>
              </w:rPr>
            </w:pPr>
            <w:r>
              <w:rPr>
                <w:rFonts w:ascii="Arial" w:cs="Arial" w:eastAsia="Arial" w:hAnsi="Arial"/>
                <w:sz w:val="10"/>
                <w:szCs w:val="10"/>
                <w:color w:val="auto"/>
                <w:w w:val="71"/>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00" w:type="dxa"/>
            <w:vAlign w:val="bottom"/>
            <w:gridSpan w:val="2"/>
            <w:shd w:val="clear" w:color="auto" w:fill="CCEEFF"/>
          </w:tcPr>
          <w:p>
            <w:pPr>
              <w:jc w:val="right"/>
              <w:ind w:right="4"/>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125</w:t>
            </w: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(1,211)</w:t>
            </w:r>
          </w:p>
        </w:tc>
        <w:tc>
          <w:tcPr>
            <w:tcW w:w="1100" w:type="dxa"/>
            <w:vAlign w:val="bottom"/>
            <w:gridSpan w:val="2"/>
            <w:shd w:val="clear" w:color="auto" w:fill="CCEEFF"/>
          </w:tcPr>
          <w:p>
            <w:pPr>
              <w:jc w:val="right"/>
              <w:ind w:right="52"/>
              <w:spacing w:after="0"/>
              <w:rPr>
                <w:sz w:val="20"/>
                <w:szCs w:val="20"/>
                <w:color w:val="auto"/>
              </w:rPr>
            </w:pPr>
            <w:r>
              <w:rPr>
                <w:rFonts w:ascii="Arial" w:cs="Arial" w:eastAsia="Arial" w:hAnsi="Arial"/>
                <w:sz w:val="12"/>
                <w:szCs w:val="12"/>
                <w:color w:val="auto"/>
                <w:w w:val="95"/>
              </w:rPr>
              <w:t>Interest expense  $</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(1,885)</w:t>
            </w: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9"/>
              </w:rPr>
              <w:t>363</w:t>
            </w: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940" w:type="dxa"/>
            <w:vAlign w:val="bottom"/>
          </w:tcPr>
          <w:p>
            <w:pPr>
              <w:ind w:left="100"/>
              <w:spacing w:after="0" w:line="135" w:lineRule="exact"/>
              <w:rPr>
                <w:sz w:val="20"/>
                <w:szCs w:val="20"/>
                <w:color w:val="auto"/>
              </w:rPr>
            </w:pPr>
            <w:r>
              <w:rPr>
                <w:rFonts w:ascii="Arial" w:cs="Arial" w:eastAsia="Arial" w:hAnsi="Arial"/>
                <w:sz w:val="12"/>
                <w:szCs w:val="12"/>
                <w:color w:val="auto"/>
              </w:rPr>
              <w:t>Pay-fixed</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40" w:type="dxa"/>
            <w:vAlign w:val="bottom"/>
          </w:tcPr>
          <w:p>
            <w:pPr>
              <w:ind w:left="200"/>
              <w:spacing w:after="0"/>
              <w:rPr>
                <w:sz w:val="20"/>
                <w:szCs w:val="20"/>
                <w:color w:val="auto"/>
              </w:rPr>
            </w:pPr>
            <w:r>
              <w:rPr>
                <w:rFonts w:ascii="Arial" w:cs="Arial" w:eastAsia="Arial" w:hAnsi="Arial"/>
                <w:sz w:val="12"/>
                <w:szCs w:val="12"/>
                <w:color w:val="auto"/>
              </w:rPr>
              <w:t>interest rate</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tcPr>
          <w:p>
            <w:pPr>
              <w:ind w:left="200"/>
              <w:spacing w:after="0"/>
              <w:rPr>
                <w:sz w:val="20"/>
                <w:szCs w:val="20"/>
                <w:color w:val="auto"/>
              </w:rPr>
            </w:pPr>
            <w:r>
              <w:rPr>
                <w:rFonts w:ascii="Arial" w:cs="Arial" w:eastAsia="Arial" w:hAnsi="Arial"/>
                <w:sz w:val="12"/>
                <w:szCs w:val="12"/>
                <w:color w:val="auto"/>
              </w:rPr>
              <w:t>swap</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940" w:type="dxa"/>
            <w:vAlign w:val="bottom"/>
          </w:tcPr>
          <w:p>
            <w:pPr>
              <w:ind w:left="200"/>
              <w:spacing w:after="0"/>
              <w:rPr>
                <w:sz w:val="20"/>
                <w:szCs w:val="20"/>
                <w:color w:val="auto"/>
              </w:rPr>
            </w:pPr>
            <w:r>
              <w:rPr>
                <w:rFonts w:ascii="Arial" w:cs="Arial" w:eastAsia="Arial" w:hAnsi="Arial"/>
                <w:sz w:val="12"/>
                <w:szCs w:val="12"/>
                <w:color w:val="auto"/>
              </w:rPr>
              <w:t>agreements</w:t>
            </w:r>
          </w:p>
        </w:tc>
        <w:tc>
          <w:tcPr>
            <w:tcW w:w="62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(479)</w:t>
            </w:r>
          </w:p>
        </w:tc>
        <w:tc>
          <w:tcPr>
            <w:tcW w:w="16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(392)</w:t>
            </w:r>
          </w:p>
        </w:tc>
        <w:tc>
          <w:tcPr>
            <w:tcW w:w="1100" w:type="dxa"/>
            <w:vAlign w:val="bottom"/>
            <w:gridSpan w:val="2"/>
          </w:tcPr>
          <w:p>
            <w:pPr>
              <w:jc w:val="center"/>
              <w:ind w:right="192"/>
              <w:spacing w:after="0"/>
              <w:rPr>
                <w:sz w:val="20"/>
                <w:szCs w:val="20"/>
                <w:color w:val="auto"/>
              </w:rPr>
            </w:pPr>
            <w:r>
              <w:rPr>
                <w:rFonts w:ascii="Arial" w:cs="Arial" w:eastAsia="Arial" w:hAnsi="Arial"/>
                <w:sz w:val="12"/>
                <w:szCs w:val="12"/>
                <w:color w:val="auto"/>
                <w:w w:val="87"/>
              </w:rPr>
              <w:t>Interest expense</w:t>
            </w: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(654)</w:t>
            </w: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2"/>
                <w:szCs w:val="12"/>
                <w:color w:val="auto"/>
              </w:rPr>
              <w:t>62</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Total</w:t>
            </w:r>
          </w:p>
        </w:tc>
        <w:tc>
          <w:tcPr>
            <w:tcW w:w="620" w:type="dxa"/>
            <w:vAlign w:val="bottom"/>
            <w:tcBorders>
              <w:top w:val="single" w:sz="8" w:color="auto"/>
              <w:bottom w:val="single" w:sz="8" w:color="auto"/>
            </w:tcBorders>
            <w:shd w:val="clear" w:color="auto" w:fill="CCEEFF"/>
          </w:tcPr>
          <w:p>
            <w:pPr>
              <w:jc w:val="right"/>
              <w:ind w:right="508"/>
              <w:spacing w:after="0"/>
              <w:rPr>
                <w:sz w:val="20"/>
                <w:szCs w:val="20"/>
                <w:color w:val="auto"/>
              </w:rPr>
            </w:pPr>
            <w:r>
              <w:rPr>
                <w:rFonts w:ascii="Arial" w:cs="Arial" w:eastAsia="Arial" w:hAnsi="Arial"/>
                <w:sz w:val="10"/>
                <w:szCs w:val="10"/>
                <w:color w:val="auto"/>
                <w:w w:val="71"/>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(354)</w:t>
            </w:r>
          </w:p>
        </w:tc>
        <w:tc>
          <w:tcPr>
            <w:tcW w:w="2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(1,603)</w:t>
            </w:r>
          </w:p>
        </w:tc>
        <w:tc>
          <w:tcPr>
            <w:tcW w:w="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(2,539)</w:t>
            </w:r>
          </w:p>
        </w:tc>
        <w:tc>
          <w:tcPr>
            <w:tcW w:w="2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9"/>
              </w:rPr>
              <w:t>425</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940" w:type="dxa"/>
            <w:vAlign w:val="bottom"/>
          </w:tcPr>
          <w:p>
            <w:pPr>
              <w:spacing w:after="0" w:line="111" w:lineRule="exact"/>
              <w:rPr>
                <w:sz w:val="20"/>
                <w:szCs w:val="20"/>
                <w:color w:val="auto"/>
              </w:rPr>
            </w:pPr>
            <w:r>
              <w:rPr>
                <w:rFonts w:ascii="Arial" w:cs="Arial" w:eastAsia="Arial" w:hAnsi="Arial"/>
                <w:sz w:val="12"/>
                <w:szCs w:val="12"/>
                <w:color w:val="auto"/>
              </w:rPr>
              <w:t>No hedge</w:t>
            </w: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940" w:type="dxa"/>
            <w:vAlign w:val="bottom"/>
          </w:tcPr>
          <w:p>
            <w:pPr>
              <w:spacing w:after="0"/>
              <w:rPr>
                <w:sz w:val="20"/>
                <w:szCs w:val="20"/>
                <w:color w:val="auto"/>
              </w:rPr>
            </w:pPr>
            <w:r>
              <w:rPr>
                <w:rFonts w:ascii="Arial" w:cs="Arial" w:eastAsia="Arial" w:hAnsi="Arial"/>
                <w:sz w:val="12"/>
                <w:szCs w:val="12"/>
                <w:color w:val="auto"/>
              </w:rPr>
              <w:t>designation</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940" w:type="dxa"/>
            <w:vAlign w:val="bottom"/>
            <w:shd w:val="clear" w:color="auto" w:fill="CCEEFF"/>
          </w:tcPr>
          <w:p>
            <w:pPr>
              <w:ind w:left="100"/>
              <w:spacing w:after="0" w:line="135" w:lineRule="exact"/>
              <w:rPr>
                <w:sz w:val="20"/>
                <w:szCs w:val="20"/>
                <w:color w:val="auto"/>
              </w:rPr>
            </w:pPr>
            <w:r>
              <w:rPr>
                <w:rFonts w:ascii="Arial" w:cs="Arial" w:eastAsia="Arial" w:hAnsi="Arial"/>
                <w:sz w:val="12"/>
                <w:szCs w:val="12"/>
                <w:color w:val="auto"/>
              </w:rPr>
              <w:t>Rate-lock</w:t>
            </w: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40" w:type="dxa"/>
            <w:vAlign w:val="bottom"/>
            <w:shd w:val="clear" w:color="auto" w:fill="CCEEFF"/>
          </w:tcPr>
          <w:p>
            <w:pPr>
              <w:ind w:left="200"/>
              <w:spacing w:after="0"/>
              <w:rPr>
                <w:sz w:val="20"/>
                <w:szCs w:val="20"/>
                <w:color w:val="auto"/>
              </w:rPr>
            </w:pPr>
            <w:r>
              <w:rPr>
                <w:rFonts w:ascii="Arial" w:cs="Arial" w:eastAsia="Arial" w:hAnsi="Arial"/>
                <w:sz w:val="12"/>
                <w:szCs w:val="12"/>
                <w:color w:val="auto"/>
              </w:rPr>
              <w:t>mortgage</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ind w:left="40"/>
              <w:spacing w:after="0"/>
              <w:rPr>
                <w:sz w:val="20"/>
                <w:szCs w:val="20"/>
                <w:color w:val="auto"/>
              </w:rPr>
            </w:pPr>
            <w:r>
              <w:rPr>
                <w:rFonts w:ascii="Arial" w:cs="Arial" w:eastAsia="Arial" w:hAnsi="Arial"/>
                <w:sz w:val="12"/>
                <w:szCs w:val="12"/>
                <w:color w:val="auto"/>
              </w:rPr>
              <w:t>Net gains on</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shd w:val="clear" w:color="auto" w:fill="CCEEFF"/>
          </w:tcPr>
          <w:p>
            <w:pPr>
              <w:ind w:left="200"/>
              <w:spacing w:after="0"/>
              <w:rPr>
                <w:sz w:val="20"/>
                <w:szCs w:val="20"/>
                <w:color w:val="auto"/>
              </w:rPr>
            </w:pPr>
            <w:r>
              <w:rPr>
                <w:rFonts w:ascii="Arial" w:cs="Arial" w:eastAsia="Arial" w:hAnsi="Arial"/>
                <w:sz w:val="12"/>
                <w:szCs w:val="12"/>
                <w:color w:val="auto"/>
              </w:rPr>
              <w:t>loan</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mortgage</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940" w:type="dxa"/>
            <w:vAlign w:val="bottom"/>
            <w:shd w:val="clear" w:color="auto" w:fill="CCEEFF"/>
          </w:tcPr>
          <w:p>
            <w:pPr>
              <w:ind w:left="200"/>
              <w:spacing w:after="0"/>
              <w:rPr>
                <w:sz w:val="20"/>
                <w:szCs w:val="20"/>
                <w:color w:val="auto"/>
              </w:rPr>
            </w:pPr>
            <w:r>
              <w:rPr>
                <w:rFonts w:ascii="Arial" w:cs="Arial" w:eastAsia="Arial" w:hAnsi="Arial"/>
                <w:sz w:val="12"/>
                <w:szCs w:val="12"/>
                <w:color w:val="auto"/>
              </w:rPr>
              <w:t>commitments</w:t>
            </w: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loans</w:t>
            </w:r>
          </w:p>
        </w:tc>
        <w:tc>
          <w:tcPr>
            <w:tcW w:w="260" w:type="dxa"/>
            <w:vAlign w:val="bottom"/>
            <w:gridSpan w:val="2"/>
            <w:shd w:val="clear" w:color="auto" w:fill="CCEEFF"/>
          </w:tcPr>
          <w:p>
            <w:pPr>
              <w:jc w:val="right"/>
              <w:ind w:right="52"/>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(4,880)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5,608</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725</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940" w:type="dxa"/>
            <w:vAlign w:val="bottom"/>
          </w:tcPr>
          <w:p>
            <w:pPr>
              <w:ind w:left="100"/>
              <w:spacing w:after="0" w:line="135" w:lineRule="exact"/>
              <w:rPr>
                <w:sz w:val="20"/>
                <w:szCs w:val="20"/>
                <w:color w:val="auto"/>
              </w:rPr>
            </w:pPr>
            <w:r>
              <w:rPr>
                <w:rFonts w:ascii="Arial" w:cs="Arial" w:eastAsia="Arial" w:hAnsi="Arial"/>
                <w:sz w:val="12"/>
                <w:szCs w:val="12"/>
                <w:color w:val="auto"/>
              </w:rPr>
              <w:t>Mandatory</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40" w:type="dxa"/>
            <w:vAlign w:val="bottom"/>
          </w:tcPr>
          <w:p>
            <w:pPr>
              <w:ind w:left="200"/>
              <w:spacing w:after="0"/>
              <w:rPr>
                <w:sz w:val="20"/>
                <w:szCs w:val="20"/>
                <w:color w:val="auto"/>
              </w:rPr>
            </w:pPr>
            <w:r>
              <w:rPr>
                <w:rFonts w:ascii="Arial" w:cs="Arial" w:eastAsia="Arial" w:hAnsi="Arial"/>
                <w:sz w:val="12"/>
                <w:szCs w:val="12"/>
                <w:color w:val="auto"/>
              </w:rPr>
              <w:t>commitments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tcPr>
          <w:p>
            <w:pPr>
              <w:ind w:left="200"/>
              <w:spacing w:after="0"/>
              <w:rPr>
                <w:sz w:val="20"/>
                <w:szCs w:val="20"/>
                <w:color w:val="auto"/>
              </w:rPr>
            </w:pPr>
            <w:r>
              <w:rPr>
                <w:rFonts w:ascii="Arial" w:cs="Arial" w:eastAsia="Arial" w:hAnsi="Arial"/>
                <w:sz w:val="12"/>
                <w:szCs w:val="12"/>
                <w:color w:val="auto"/>
              </w:rPr>
              <w:t>to sell</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ind w:left="40"/>
              <w:spacing w:after="0"/>
              <w:rPr>
                <w:sz w:val="20"/>
                <w:szCs w:val="20"/>
                <w:color w:val="auto"/>
              </w:rPr>
            </w:pPr>
            <w:r>
              <w:rPr>
                <w:rFonts w:ascii="Arial" w:cs="Arial" w:eastAsia="Arial" w:hAnsi="Arial"/>
                <w:sz w:val="12"/>
                <w:szCs w:val="12"/>
                <w:color w:val="auto"/>
              </w:rPr>
              <w:t>Net gains on</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tcPr>
          <w:p>
            <w:pPr>
              <w:ind w:left="200"/>
              <w:spacing w:after="0"/>
              <w:rPr>
                <w:sz w:val="20"/>
                <w:szCs w:val="20"/>
                <w:color w:val="auto"/>
              </w:rPr>
            </w:pPr>
            <w:r>
              <w:rPr>
                <w:rFonts w:ascii="Arial" w:cs="Arial" w:eastAsia="Arial" w:hAnsi="Arial"/>
                <w:sz w:val="12"/>
                <w:szCs w:val="12"/>
                <w:color w:val="auto"/>
              </w:rPr>
              <w:t>mortgage</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ind w:left="120"/>
              <w:spacing w:after="0"/>
              <w:rPr>
                <w:sz w:val="20"/>
                <w:szCs w:val="20"/>
                <w:color w:val="auto"/>
              </w:rPr>
            </w:pPr>
            <w:r>
              <w:rPr>
                <w:rFonts w:ascii="Arial" w:cs="Arial" w:eastAsia="Arial" w:hAnsi="Arial"/>
                <w:sz w:val="12"/>
                <w:szCs w:val="12"/>
                <w:color w:val="auto"/>
              </w:rPr>
              <w:t>mortgage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940" w:type="dxa"/>
            <w:vAlign w:val="bottom"/>
          </w:tcPr>
          <w:p>
            <w:pPr>
              <w:ind w:left="200"/>
              <w:spacing w:after="0"/>
              <w:rPr>
                <w:sz w:val="20"/>
                <w:szCs w:val="20"/>
                <w:color w:val="auto"/>
              </w:rPr>
            </w:pPr>
            <w:r>
              <w:rPr>
                <w:rFonts w:ascii="Arial" w:cs="Arial" w:eastAsia="Arial" w:hAnsi="Arial"/>
                <w:sz w:val="12"/>
                <w:szCs w:val="12"/>
                <w:color w:val="auto"/>
              </w:rPr>
              <w:t>loans</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ind w:left="120"/>
              <w:spacing w:after="0"/>
              <w:rPr>
                <w:sz w:val="20"/>
                <w:szCs w:val="20"/>
                <w:color w:val="auto"/>
              </w:rPr>
            </w:pPr>
            <w:r>
              <w:rPr>
                <w:rFonts w:ascii="Arial" w:cs="Arial" w:eastAsia="Arial" w:hAnsi="Arial"/>
                <w:sz w:val="12"/>
                <w:szCs w:val="12"/>
                <w:color w:val="auto"/>
              </w:rPr>
              <w:t>loans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873</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(791)</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233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940" w:type="dxa"/>
            <w:vAlign w:val="bottom"/>
            <w:shd w:val="clear" w:color="auto" w:fill="CCEEFF"/>
          </w:tcPr>
          <w:p>
            <w:pPr>
              <w:ind w:left="100"/>
              <w:spacing w:after="0" w:line="135" w:lineRule="exact"/>
              <w:rPr>
                <w:sz w:val="20"/>
                <w:szCs w:val="20"/>
                <w:color w:val="auto"/>
              </w:rPr>
            </w:pPr>
            <w:r>
              <w:rPr>
                <w:rFonts w:ascii="Arial" w:cs="Arial" w:eastAsia="Arial" w:hAnsi="Arial"/>
                <w:sz w:val="12"/>
                <w:szCs w:val="12"/>
                <w:color w:val="auto"/>
              </w:rPr>
              <w:t>Interest rate</w:t>
            </w: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ind w:left="40"/>
              <w:spacing w:after="0" w:line="135" w:lineRule="exact"/>
              <w:rPr>
                <w:sz w:val="20"/>
                <w:szCs w:val="20"/>
                <w:color w:val="auto"/>
              </w:rPr>
            </w:pPr>
            <w:r>
              <w:rPr>
                <w:rFonts w:ascii="Arial" w:cs="Arial" w:eastAsia="Arial" w:hAnsi="Arial"/>
                <w:sz w:val="12"/>
                <w:szCs w:val="12"/>
                <w:color w:val="auto"/>
              </w:rPr>
              <w:t>Net gains on</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40" w:type="dxa"/>
            <w:vAlign w:val="bottom"/>
            <w:shd w:val="clear" w:color="auto" w:fill="CCEEFF"/>
          </w:tcPr>
          <w:p>
            <w:pPr>
              <w:ind w:left="200"/>
              <w:spacing w:after="0"/>
              <w:rPr>
                <w:sz w:val="20"/>
                <w:szCs w:val="20"/>
                <w:color w:val="auto"/>
              </w:rPr>
            </w:pPr>
            <w:r>
              <w:rPr>
                <w:rFonts w:ascii="Arial" w:cs="Arial" w:eastAsia="Arial" w:hAnsi="Arial"/>
                <w:sz w:val="12"/>
                <w:szCs w:val="12"/>
                <w:color w:val="auto"/>
              </w:rPr>
              <w:t>swaption</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mortgage</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940" w:type="dxa"/>
            <w:vAlign w:val="bottom"/>
            <w:shd w:val="clear" w:color="auto" w:fill="CCEEFF"/>
          </w:tcPr>
          <w:p>
            <w:pPr>
              <w:ind w:left="200"/>
              <w:spacing w:after="0"/>
              <w:rPr>
                <w:sz w:val="20"/>
                <w:szCs w:val="20"/>
                <w:color w:val="auto"/>
              </w:rPr>
            </w:pPr>
            <w:r>
              <w:rPr>
                <w:rFonts w:ascii="Arial" w:cs="Arial" w:eastAsia="Arial" w:hAnsi="Arial"/>
                <w:sz w:val="12"/>
                <w:szCs w:val="12"/>
                <w:color w:val="auto"/>
              </w:rPr>
              <w:t>agreement</w:t>
            </w: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loans</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940" w:type="dxa"/>
            <w:vAlign w:val="bottom"/>
          </w:tcPr>
          <w:p>
            <w:pPr>
              <w:ind w:left="100"/>
              <w:spacing w:after="0" w:line="135" w:lineRule="exact"/>
              <w:rPr>
                <w:sz w:val="20"/>
                <w:szCs w:val="20"/>
                <w:color w:val="auto"/>
              </w:rPr>
            </w:pPr>
            <w:r>
              <w:rPr>
                <w:rFonts w:ascii="Arial" w:cs="Arial" w:eastAsia="Arial" w:hAnsi="Arial"/>
                <w:sz w:val="12"/>
                <w:szCs w:val="12"/>
                <w:color w:val="auto"/>
              </w:rPr>
              <w:t>Pay-fixed</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40" w:type="dxa"/>
            <w:vAlign w:val="bottom"/>
          </w:tcPr>
          <w:p>
            <w:pPr>
              <w:ind w:left="200"/>
              <w:spacing w:after="0"/>
              <w:rPr>
                <w:sz w:val="20"/>
                <w:szCs w:val="20"/>
                <w:color w:val="auto"/>
              </w:rPr>
            </w:pPr>
            <w:r>
              <w:rPr>
                <w:rFonts w:ascii="Arial" w:cs="Arial" w:eastAsia="Arial" w:hAnsi="Arial"/>
                <w:sz w:val="12"/>
                <w:szCs w:val="12"/>
                <w:color w:val="auto"/>
              </w:rPr>
              <w:t>interest rate</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tcPr>
          <w:p>
            <w:pPr>
              <w:ind w:left="200"/>
              <w:spacing w:after="0"/>
              <w:rPr>
                <w:sz w:val="20"/>
                <w:szCs w:val="20"/>
                <w:color w:val="auto"/>
              </w:rPr>
            </w:pPr>
            <w:r>
              <w:rPr>
                <w:rFonts w:ascii="Arial" w:cs="Arial" w:eastAsia="Arial" w:hAnsi="Arial"/>
                <w:sz w:val="12"/>
                <w:szCs w:val="12"/>
                <w:color w:val="auto"/>
              </w:rPr>
              <w:t>swap</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tcPr>
          <w:p>
            <w:pPr>
              <w:ind w:left="200"/>
              <w:spacing w:after="0"/>
              <w:rPr>
                <w:sz w:val="20"/>
                <w:szCs w:val="20"/>
                <w:color w:val="auto"/>
              </w:rPr>
            </w:pPr>
            <w:r>
              <w:rPr>
                <w:rFonts w:ascii="Arial" w:cs="Arial" w:eastAsia="Arial" w:hAnsi="Arial"/>
                <w:sz w:val="12"/>
                <w:szCs w:val="12"/>
                <w:color w:val="auto"/>
              </w:rPr>
              <w:t>agreements -</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ind w:left="40"/>
              <w:spacing w:after="0"/>
              <w:rPr>
                <w:sz w:val="20"/>
                <w:szCs w:val="20"/>
                <w:color w:val="auto"/>
              </w:rPr>
            </w:pPr>
            <w:r>
              <w:rPr>
                <w:rFonts w:ascii="Arial" w:cs="Arial" w:eastAsia="Arial" w:hAnsi="Arial"/>
                <w:sz w:val="12"/>
                <w:szCs w:val="12"/>
                <w:color w:val="auto"/>
              </w:rPr>
              <w:t>Interest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940" w:type="dxa"/>
            <w:vAlign w:val="bottom"/>
          </w:tcPr>
          <w:p>
            <w:pPr>
              <w:ind w:left="200"/>
              <w:spacing w:after="0"/>
              <w:rPr>
                <w:sz w:val="20"/>
                <w:szCs w:val="20"/>
                <w:color w:val="auto"/>
              </w:rPr>
            </w:pPr>
            <w:r>
              <w:rPr>
                <w:rFonts w:ascii="Arial" w:cs="Arial" w:eastAsia="Arial" w:hAnsi="Arial"/>
                <w:sz w:val="12"/>
                <w:szCs w:val="12"/>
                <w:color w:val="auto"/>
              </w:rPr>
              <w:t>commercial</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ind w:left="120"/>
              <w:spacing w:after="0"/>
              <w:rPr>
                <w:sz w:val="20"/>
                <w:szCs w:val="20"/>
                <w:color w:val="auto"/>
              </w:rPr>
            </w:pPr>
            <w:r>
              <w:rPr>
                <w:rFonts w:ascii="Arial" w:cs="Arial" w:eastAsia="Arial" w:hAnsi="Arial"/>
                <w:sz w:val="12"/>
                <w:szCs w:val="12"/>
                <w:color w:val="auto"/>
              </w:rPr>
              <w:t>income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4,521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(6,059)</w:t>
            </w:r>
          </w:p>
        </w:tc>
        <w:tc>
          <w:tcPr>
            <w:tcW w:w="180" w:type="dxa"/>
            <w:vAlign w:val="bottom"/>
          </w:tcPr>
          <w:p>
            <w:pPr>
              <w:spacing w:after="0"/>
              <w:rPr>
                <w:sz w:val="13"/>
                <w:szCs w:val="13"/>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(4,046)</w:t>
            </w:r>
          </w:p>
        </w:tc>
        <w:tc>
          <w:tcPr>
            <w:tcW w:w="0" w:type="dxa"/>
            <w:vAlign w:val="bottom"/>
          </w:tcPr>
          <w:p>
            <w:pPr>
              <w:spacing w:after="0"/>
              <w:rPr>
                <w:sz w:val="1"/>
                <w:szCs w:val="1"/>
                <w:color w:val="auto"/>
              </w:rPr>
            </w:pPr>
          </w:p>
        </w:tc>
      </w:tr>
      <w:tr>
        <w:trPr>
          <w:trHeight w:val="135"/>
        </w:trPr>
        <w:tc>
          <w:tcPr>
            <w:tcW w:w="940" w:type="dxa"/>
            <w:vAlign w:val="bottom"/>
            <w:shd w:val="clear" w:color="auto" w:fill="CCEEFF"/>
          </w:tcPr>
          <w:p>
            <w:pPr>
              <w:ind w:left="100"/>
              <w:spacing w:after="0" w:line="135" w:lineRule="exact"/>
              <w:rPr>
                <w:sz w:val="20"/>
                <w:szCs w:val="20"/>
                <w:color w:val="auto"/>
              </w:rPr>
            </w:pPr>
            <w:r>
              <w:rPr>
                <w:rFonts w:ascii="Arial" w:cs="Arial" w:eastAsia="Arial" w:hAnsi="Arial"/>
                <w:sz w:val="12"/>
                <w:szCs w:val="12"/>
                <w:color w:val="auto"/>
              </w:rPr>
              <w:t>Pay-variable</w:t>
            </w: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40" w:type="dxa"/>
            <w:vAlign w:val="bottom"/>
            <w:shd w:val="clear" w:color="auto" w:fill="CCEEFF"/>
          </w:tcPr>
          <w:p>
            <w:pPr>
              <w:ind w:left="200"/>
              <w:spacing w:after="0"/>
              <w:rPr>
                <w:sz w:val="20"/>
                <w:szCs w:val="20"/>
                <w:color w:val="auto"/>
              </w:rPr>
            </w:pPr>
            <w:r>
              <w:rPr>
                <w:rFonts w:ascii="Arial" w:cs="Arial" w:eastAsia="Arial" w:hAnsi="Arial"/>
                <w:sz w:val="12"/>
                <w:szCs w:val="12"/>
                <w:color w:val="auto"/>
              </w:rPr>
              <w:t>interest rate</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shd w:val="clear" w:color="auto" w:fill="CCEEFF"/>
          </w:tcPr>
          <w:p>
            <w:pPr>
              <w:ind w:left="200"/>
              <w:spacing w:after="0"/>
              <w:rPr>
                <w:sz w:val="20"/>
                <w:szCs w:val="20"/>
                <w:color w:val="auto"/>
              </w:rPr>
            </w:pPr>
            <w:r>
              <w:rPr>
                <w:rFonts w:ascii="Arial" w:cs="Arial" w:eastAsia="Arial" w:hAnsi="Arial"/>
                <w:sz w:val="12"/>
                <w:szCs w:val="12"/>
                <w:color w:val="auto"/>
              </w:rPr>
              <w:t>swap</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shd w:val="clear" w:color="auto" w:fill="CCEEFF"/>
          </w:tcPr>
          <w:p>
            <w:pPr>
              <w:ind w:left="200"/>
              <w:spacing w:after="0"/>
              <w:rPr>
                <w:sz w:val="20"/>
                <w:szCs w:val="20"/>
                <w:color w:val="auto"/>
              </w:rPr>
            </w:pPr>
            <w:r>
              <w:rPr>
                <w:rFonts w:ascii="Arial" w:cs="Arial" w:eastAsia="Arial" w:hAnsi="Arial"/>
                <w:sz w:val="12"/>
                <w:szCs w:val="12"/>
                <w:color w:val="auto"/>
              </w:rPr>
              <w:t>agreements -</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ind w:left="40"/>
              <w:spacing w:after="0"/>
              <w:rPr>
                <w:sz w:val="20"/>
                <w:szCs w:val="20"/>
                <w:color w:val="auto"/>
              </w:rPr>
            </w:pPr>
            <w:r>
              <w:rPr>
                <w:rFonts w:ascii="Arial" w:cs="Arial" w:eastAsia="Arial" w:hAnsi="Arial"/>
                <w:sz w:val="12"/>
                <w:szCs w:val="12"/>
                <w:color w:val="auto"/>
              </w:rPr>
              <w:t>Interest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940" w:type="dxa"/>
            <w:vAlign w:val="bottom"/>
            <w:shd w:val="clear" w:color="auto" w:fill="CCEEFF"/>
          </w:tcPr>
          <w:p>
            <w:pPr>
              <w:ind w:left="200"/>
              <w:spacing w:after="0"/>
              <w:rPr>
                <w:sz w:val="20"/>
                <w:szCs w:val="20"/>
                <w:color w:val="auto"/>
              </w:rPr>
            </w:pPr>
            <w:r>
              <w:rPr>
                <w:rFonts w:ascii="Arial" w:cs="Arial" w:eastAsia="Arial" w:hAnsi="Arial"/>
                <w:sz w:val="12"/>
                <w:szCs w:val="12"/>
                <w:color w:val="auto"/>
              </w:rPr>
              <w:t>commercial</w:t>
            </w: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income</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(4,521)</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6,059</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4,046</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940" w:type="dxa"/>
            <w:vAlign w:val="bottom"/>
          </w:tcPr>
          <w:p>
            <w:pPr>
              <w:ind w:left="100"/>
              <w:spacing w:after="0" w:line="135" w:lineRule="exact"/>
              <w:rPr>
                <w:sz w:val="20"/>
                <w:szCs w:val="20"/>
                <w:color w:val="auto"/>
              </w:rPr>
            </w:pPr>
            <w:r>
              <w:rPr>
                <w:rFonts w:ascii="Arial" w:cs="Arial" w:eastAsia="Arial" w:hAnsi="Arial"/>
                <w:sz w:val="12"/>
                <w:szCs w:val="12"/>
                <w:color w:val="auto"/>
              </w:rPr>
              <w:t>Pay-fixed</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40" w:type="dxa"/>
            <w:vAlign w:val="bottom"/>
          </w:tcPr>
          <w:p>
            <w:pPr>
              <w:ind w:left="200"/>
              <w:spacing w:after="0"/>
              <w:rPr>
                <w:sz w:val="20"/>
                <w:szCs w:val="20"/>
                <w:color w:val="auto"/>
              </w:rPr>
            </w:pPr>
            <w:r>
              <w:rPr>
                <w:rFonts w:ascii="Arial" w:cs="Arial" w:eastAsia="Arial" w:hAnsi="Arial"/>
                <w:sz w:val="12"/>
                <w:szCs w:val="12"/>
                <w:color w:val="auto"/>
              </w:rPr>
              <w:t>interest rate</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tcPr>
          <w:p>
            <w:pPr>
              <w:ind w:left="200"/>
              <w:spacing w:after="0"/>
              <w:rPr>
                <w:sz w:val="20"/>
                <w:szCs w:val="20"/>
                <w:color w:val="auto"/>
              </w:rPr>
            </w:pPr>
            <w:r>
              <w:rPr>
                <w:rFonts w:ascii="Arial" w:cs="Arial" w:eastAsia="Arial" w:hAnsi="Arial"/>
                <w:sz w:val="12"/>
                <w:szCs w:val="12"/>
                <w:color w:val="auto"/>
              </w:rPr>
              <w:t>swap</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ind w:left="40"/>
              <w:spacing w:after="0"/>
              <w:rPr>
                <w:sz w:val="20"/>
                <w:szCs w:val="20"/>
                <w:color w:val="auto"/>
              </w:rPr>
            </w:pPr>
            <w:r>
              <w:rPr>
                <w:rFonts w:ascii="Arial" w:cs="Arial" w:eastAsia="Arial" w:hAnsi="Arial"/>
                <w:sz w:val="12"/>
                <w:szCs w:val="12"/>
                <w:color w:val="auto"/>
              </w:rPr>
              <w:t>Interest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940" w:type="dxa"/>
            <w:vAlign w:val="bottom"/>
          </w:tcPr>
          <w:p>
            <w:pPr>
              <w:ind w:left="200"/>
              <w:spacing w:after="0"/>
              <w:rPr>
                <w:sz w:val="20"/>
                <w:szCs w:val="20"/>
                <w:color w:val="auto"/>
              </w:rPr>
            </w:pPr>
            <w:r>
              <w:rPr>
                <w:rFonts w:ascii="Arial" w:cs="Arial" w:eastAsia="Arial" w:hAnsi="Arial"/>
                <w:sz w:val="12"/>
                <w:szCs w:val="12"/>
                <w:color w:val="auto"/>
              </w:rPr>
              <w:t>agreements</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ind w:left="120"/>
              <w:spacing w:after="0"/>
              <w:rPr>
                <w:sz w:val="20"/>
                <w:szCs w:val="20"/>
                <w:color w:val="auto"/>
              </w:rPr>
            </w:pPr>
            <w:r>
              <w:rPr>
                <w:rFonts w:ascii="Arial" w:cs="Arial" w:eastAsia="Arial" w:hAnsi="Arial"/>
                <w:sz w:val="12"/>
                <w:szCs w:val="12"/>
                <w:color w:val="auto"/>
              </w:rPr>
              <w:t>expense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295</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231</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940" w:type="dxa"/>
            <w:vAlign w:val="bottom"/>
            <w:shd w:val="clear" w:color="auto" w:fill="CCEEFF"/>
          </w:tcPr>
          <w:p>
            <w:pPr>
              <w:ind w:left="100"/>
              <w:spacing w:after="0" w:line="135" w:lineRule="exact"/>
              <w:rPr>
                <w:sz w:val="20"/>
                <w:szCs w:val="20"/>
                <w:color w:val="auto"/>
              </w:rPr>
            </w:pPr>
            <w:r>
              <w:rPr>
                <w:rFonts w:ascii="Arial" w:cs="Arial" w:eastAsia="Arial" w:hAnsi="Arial"/>
                <w:sz w:val="12"/>
                <w:szCs w:val="12"/>
                <w:color w:val="auto"/>
              </w:rPr>
              <w:t>Interest rate</w:t>
            </w: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40" w:type="dxa"/>
            <w:vAlign w:val="bottom"/>
            <w:shd w:val="clear" w:color="auto" w:fill="CCEEFF"/>
          </w:tcPr>
          <w:p>
            <w:pPr>
              <w:ind w:left="200"/>
              <w:spacing w:after="0"/>
              <w:rPr>
                <w:sz w:val="20"/>
                <w:szCs w:val="20"/>
                <w:color w:val="auto"/>
              </w:rPr>
            </w:pPr>
            <w:r>
              <w:rPr>
                <w:rFonts w:ascii="Arial" w:cs="Arial" w:eastAsia="Arial" w:hAnsi="Arial"/>
                <w:sz w:val="12"/>
                <w:szCs w:val="12"/>
                <w:color w:val="auto"/>
              </w:rPr>
              <w:t>cap</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ind w:left="40"/>
              <w:spacing w:after="0"/>
              <w:rPr>
                <w:sz w:val="20"/>
                <w:szCs w:val="20"/>
                <w:color w:val="auto"/>
              </w:rPr>
            </w:pPr>
            <w:r>
              <w:rPr>
                <w:rFonts w:ascii="Arial" w:cs="Arial" w:eastAsia="Arial" w:hAnsi="Arial"/>
                <w:sz w:val="12"/>
                <w:szCs w:val="12"/>
                <w:color w:val="auto"/>
              </w:rPr>
              <w:t>Interest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940" w:type="dxa"/>
            <w:vAlign w:val="bottom"/>
            <w:shd w:val="clear" w:color="auto" w:fill="CCEEFF"/>
          </w:tcPr>
          <w:p>
            <w:pPr>
              <w:ind w:left="200"/>
              <w:spacing w:after="0"/>
              <w:rPr>
                <w:sz w:val="20"/>
                <w:szCs w:val="20"/>
                <w:color w:val="auto"/>
              </w:rPr>
            </w:pPr>
            <w:r>
              <w:rPr>
                <w:rFonts w:ascii="Arial" w:cs="Arial" w:eastAsia="Arial" w:hAnsi="Arial"/>
                <w:sz w:val="12"/>
                <w:szCs w:val="12"/>
                <w:color w:val="auto"/>
              </w:rPr>
              <w:t>agreements</w:t>
            </w: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expense</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(57)</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940" w:type="dxa"/>
            <w:vAlign w:val="bottom"/>
          </w:tcPr>
          <w:p>
            <w:pPr>
              <w:ind w:left="100"/>
              <w:spacing w:after="0" w:line="135" w:lineRule="exact"/>
              <w:rPr>
                <w:sz w:val="20"/>
                <w:szCs w:val="20"/>
                <w:color w:val="auto"/>
              </w:rPr>
            </w:pPr>
            <w:r>
              <w:rPr>
                <w:rFonts w:ascii="Arial" w:cs="Arial" w:eastAsia="Arial" w:hAnsi="Arial"/>
                <w:sz w:val="12"/>
                <w:szCs w:val="12"/>
                <w:color w:val="auto"/>
              </w:rPr>
              <w:t>Purchased</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ind w:left="40"/>
              <w:spacing w:after="0" w:line="135" w:lineRule="exact"/>
              <w:rPr>
                <w:sz w:val="20"/>
                <w:szCs w:val="20"/>
                <w:color w:val="auto"/>
              </w:rPr>
            </w:pPr>
            <w:r>
              <w:rPr>
                <w:rFonts w:ascii="Arial" w:cs="Arial" w:eastAsia="Arial" w:hAnsi="Arial"/>
                <w:sz w:val="12"/>
                <w:szCs w:val="12"/>
                <w:color w:val="auto"/>
              </w:rPr>
              <w:t>Interest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940" w:type="dxa"/>
            <w:vAlign w:val="bottom"/>
          </w:tcPr>
          <w:p>
            <w:pPr>
              <w:ind w:left="200"/>
              <w:spacing w:after="0"/>
              <w:rPr>
                <w:sz w:val="20"/>
                <w:szCs w:val="20"/>
                <w:color w:val="auto"/>
              </w:rPr>
            </w:pPr>
            <w:r>
              <w:rPr>
                <w:rFonts w:ascii="Arial" w:cs="Arial" w:eastAsia="Arial" w:hAnsi="Arial"/>
                <w:sz w:val="12"/>
                <w:szCs w:val="12"/>
                <w:color w:val="auto"/>
              </w:rPr>
              <w:t>options</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ind w:left="120"/>
              <w:spacing w:after="0"/>
              <w:rPr>
                <w:sz w:val="20"/>
                <w:szCs w:val="20"/>
                <w:color w:val="auto"/>
              </w:rPr>
            </w:pPr>
            <w:r>
              <w:rPr>
                <w:rFonts w:ascii="Arial" w:cs="Arial" w:eastAsia="Arial" w:hAnsi="Arial"/>
                <w:sz w:val="12"/>
                <w:szCs w:val="12"/>
                <w:color w:val="auto"/>
              </w:rPr>
              <w:t>expense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(42)</w:t>
            </w:r>
          </w:p>
        </w:tc>
        <w:tc>
          <w:tcPr>
            <w:tcW w:w="8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(99)</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9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ind w:left="40"/>
              <w:spacing w:after="0" w:line="135" w:lineRule="exact"/>
              <w:rPr>
                <w:sz w:val="20"/>
                <w:szCs w:val="20"/>
                <w:color w:val="auto"/>
              </w:rPr>
            </w:pPr>
            <w:r>
              <w:rPr>
                <w:rFonts w:ascii="Arial" w:cs="Arial" w:eastAsia="Arial" w:hAnsi="Arial"/>
                <w:sz w:val="12"/>
                <w:szCs w:val="12"/>
                <w:color w:val="auto"/>
              </w:rPr>
              <w:t>Interest</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9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Written options</w:t>
            </w: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expense</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97</w:t>
            </w:r>
          </w:p>
        </w:tc>
        <w:tc>
          <w:tcPr>
            <w:tcW w:w="1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(23)</w:t>
            </w:r>
          </w:p>
        </w:tc>
        <w:tc>
          <w:tcPr>
            <w:tcW w:w="0" w:type="dxa"/>
            <w:vAlign w:val="bottom"/>
          </w:tcPr>
          <w:p>
            <w:pPr>
              <w:spacing w:after="0"/>
              <w:rPr>
                <w:sz w:val="1"/>
                <w:szCs w:val="1"/>
                <w:color w:val="auto"/>
              </w:rPr>
            </w:pPr>
          </w:p>
        </w:tc>
      </w:tr>
      <w:tr>
        <w:trPr>
          <w:trHeight w:val="20"/>
        </w:trPr>
        <w:tc>
          <w:tcPr>
            <w:tcW w:w="94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40" w:type="dxa"/>
            <w:vAlign w:val="bottom"/>
          </w:tcPr>
          <w:p>
            <w:pPr>
              <w:ind w:left="200"/>
              <w:spacing w:after="0"/>
              <w:rPr>
                <w:sz w:val="20"/>
                <w:szCs w:val="20"/>
                <w:color w:val="auto"/>
              </w:rPr>
            </w:pPr>
            <w:r>
              <w:rPr>
                <w:rFonts w:ascii="Arial" w:cs="Arial" w:eastAsia="Arial" w:hAnsi="Arial"/>
                <w:sz w:val="12"/>
                <w:szCs w:val="12"/>
                <w:color w:val="auto"/>
              </w:rPr>
              <w:t>Total</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gridSpan w:val="2"/>
          </w:tcPr>
          <w:p>
            <w:pPr>
              <w:jc w:val="right"/>
              <w:ind w:right="52"/>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(3,684)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4,989</w:t>
            </w: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960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gridSpan w:val="2"/>
            <w:vMerge w:val="restart"/>
          </w:tcPr>
          <w:p>
            <w:pPr>
              <w:jc w:val="right"/>
              <w:spacing w:after="0"/>
              <w:rPr>
                <w:sz w:val="20"/>
                <w:szCs w:val="20"/>
                <w:color w:val="auto"/>
              </w:rPr>
            </w:pPr>
            <w:r>
              <w:rPr>
                <w:rFonts w:ascii="Arial" w:cs="Arial" w:eastAsia="Arial" w:hAnsi="Arial"/>
                <w:sz w:val="10"/>
                <w:szCs w:val="10"/>
                <w:color w:val="auto"/>
              </w:rPr>
              <w:t>90</w:t>
            </w: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gridSpan w:val="2"/>
            <w:vMerge w:val="continue"/>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27" w:right="29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17 – RELATED PARTY TRANSACTIONS</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Certain directors and executive officers, including companies in which they are officers or have significant ownership, were loan and deposit customers during 2021 and 2020.</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A summary of loans to our directors and executive officers (which includes loans to entities in which the individual owns a 10% or more voting interest) for the years ended December 31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700" w:type="dxa"/>
            <w:vAlign w:val="bottom"/>
          </w:tcPr>
          <w:p>
            <w:pPr>
              <w:spacing w:after="0"/>
              <w:rPr>
                <w:sz w:val="13"/>
                <w:szCs w:val="13"/>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2"/>
                <w:szCs w:val="12"/>
                <w:b w:val="1"/>
                <w:bCs w:val="1"/>
                <w:color w:val="auto"/>
              </w:rPr>
              <w:t>2021</w:t>
            </w:r>
          </w:p>
        </w:tc>
        <w:tc>
          <w:tcPr>
            <w:tcW w:w="3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13"/>
                <w:szCs w:val="13"/>
                <w:color w:val="auto"/>
              </w:rPr>
            </w:pPr>
          </w:p>
        </w:tc>
      </w:tr>
      <w:tr>
        <w:trPr>
          <w:trHeight w:val="155"/>
        </w:trPr>
        <w:tc>
          <w:tcPr>
            <w:tcW w:w="8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rPr>
              <w:t>(In</w:t>
            </w:r>
          </w:p>
        </w:tc>
        <w:tc>
          <w:tcPr>
            <w:tcW w:w="58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74"/>
              </w:rPr>
              <w:t>thousands)</w:t>
            </w: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1"/>
        </w:trPr>
        <w:tc>
          <w:tcPr>
            <w:tcW w:w="8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gridSpan w:val="2"/>
          </w:tcPr>
          <w:p>
            <w:pPr>
              <w:spacing w:after="0"/>
              <w:rPr>
                <w:sz w:val="11"/>
                <w:szCs w:val="11"/>
                <w:color w:val="auto"/>
              </w:rPr>
            </w:pPr>
          </w:p>
        </w:tc>
      </w:tr>
      <w:tr>
        <w:trPr>
          <w:trHeight w:val="144"/>
        </w:trPr>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Balance at beginning of year</w:t>
            </w:r>
          </w:p>
        </w:tc>
        <w:tc>
          <w:tcPr>
            <w:tcW w:w="760" w:type="dxa"/>
            <w:vAlign w:val="bottom"/>
            <w:shd w:val="clear" w:color="auto" w:fill="CCEEFF"/>
          </w:tcPr>
          <w:p>
            <w:pPr>
              <w:jc w:val="right"/>
              <w:ind w:right="648"/>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ind w:left="120"/>
              <w:spacing w:after="0"/>
              <w:rPr>
                <w:sz w:val="20"/>
                <w:szCs w:val="20"/>
                <w:color w:val="auto"/>
              </w:rPr>
            </w:pPr>
            <w:r>
              <w:rPr>
                <w:rFonts w:ascii="Arial" w:cs="Arial" w:eastAsia="Arial" w:hAnsi="Arial"/>
                <w:sz w:val="12"/>
                <w:szCs w:val="12"/>
                <w:color w:val="auto"/>
                <w:w w:val="79"/>
              </w:rPr>
              <w:t>2,416</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jc w:val="center"/>
              <w:ind w:right="240"/>
              <w:spacing w:after="0"/>
              <w:rPr>
                <w:sz w:val="20"/>
                <w:szCs w:val="20"/>
                <w:color w:val="auto"/>
              </w:rPr>
            </w:pPr>
            <w:r>
              <w:rPr>
                <w:rFonts w:ascii="Arial" w:cs="Arial" w:eastAsia="Arial" w:hAnsi="Arial"/>
                <w:sz w:val="12"/>
                <w:szCs w:val="12"/>
                <w:color w:val="auto"/>
                <w:w w:val="8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13,077</w:t>
            </w:r>
          </w:p>
        </w:tc>
      </w:tr>
      <w:tr>
        <w:trPr>
          <w:trHeight w:val="144"/>
        </w:trPr>
        <w:tc>
          <w:tcPr>
            <w:tcW w:w="8700" w:type="dxa"/>
            <w:vAlign w:val="bottom"/>
          </w:tcPr>
          <w:p>
            <w:pPr>
              <w:ind w:left="80"/>
              <w:spacing w:after="0"/>
              <w:rPr>
                <w:sz w:val="20"/>
                <w:szCs w:val="20"/>
                <w:color w:val="auto"/>
              </w:rPr>
            </w:pPr>
            <w:r>
              <w:rPr>
                <w:rFonts w:ascii="Arial" w:cs="Arial" w:eastAsia="Arial" w:hAnsi="Arial"/>
                <w:sz w:val="12"/>
                <w:szCs w:val="12"/>
                <w:color w:val="auto"/>
              </w:rPr>
              <w:t>New loans and advances</w:t>
            </w:r>
          </w:p>
        </w:tc>
        <w:tc>
          <w:tcPr>
            <w:tcW w:w="760" w:type="dxa"/>
            <w:vAlign w:val="bottom"/>
          </w:tcPr>
          <w:p>
            <w:pPr>
              <w:spacing w:after="0"/>
              <w:rPr>
                <w:sz w:val="12"/>
                <w:szCs w:val="12"/>
                <w:color w:val="auto"/>
              </w:rPr>
            </w:pPr>
          </w:p>
        </w:tc>
        <w:tc>
          <w:tcPr>
            <w:tcW w:w="380" w:type="dxa"/>
            <w:vAlign w:val="bottom"/>
          </w:tcPr>
          <w:p>
            <w:pPr>
              <w:ind w:left="120"/>
              <w:spacing w:after="0"/>
              <w:rPr>
                <w:sz w:val="20"/>
                <w:szCs w:val="20"/>
                <w:color w:val="auto"/>
              </w:rPr>
            </w:pPr>
            <w:r>
              <w:rPr>
                <w:rFonts w:ascii="Arial" w:cs="Arial" w:eastAsia="Arial" w:hAnsi="Arial"/>
                <w:sz w:val="12"/>
                <w:szCs w:val="12"/>
                <w:color w:val="auto"/>
                <w:w w:val="79"/>
              </w:rPr>
              <w:t>5,722</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417</w:t>
            </w:r>
          </w:p>
        </w:tc>
      </w:tr>
      <w:tr>
        <w:trPr>
          <w:trHeight w:val="144"/>
        </w:trPr>
        <w:tc>
          <w:tcPr>
            <w:tcW w:w="8700" w:type="dxa"/>
            <w:vAlign w:val="bottom"/>
            <w:shd w:val="clear" w:color="auto" w:fill="CCEEFF"/>
          </w:tcPr>
          <w:p>
            <w:pPr>
              <w:ind w:left="80"/>
              <w:spacing w:after="0"/>
              <w:rPr>
                <w:sz w:val="20"/>
                <w:szCs w:val="20"/>
                <w:color w:val="auto"/>
              </w:rPr>
            </w:pPr>
            <w:r>
              <w:rPr>
                <w:rFonts w:ascii="Arial" w:cs="Arial" w:eastAsia="Arial" w:hAnsi="Arial"/>
                <w:sz w:val="12"/>
                <w:szCs w:val="12"/>
                <w:color w:val="auto"/>
              </w:rPr>
              <w:t>Repayments</w:t>
            </w:r>
          </w:p>
        </w:tc>
        <w:tc>
          <w:tcPr>
            <w:tcW w:w="7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(1,259)</w:t>
            </w: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(11,078)</w:t>
            </w:r>
          </w:p>
        </w:tc>
      </w:tr>
      <w:tr>
        <w:trPr>
          <w:trHeight w:val="20"/>
        </w:trPr>
        <w:tc>
          <w:tcPr>
            <w:tcW w:w="870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8700" w:type="dxa"/>
            <w:vAlign w:val="bottom"/>
          </w:tcPr>
          <w:p>
            <w:pPr>
              <w:spacing w:after="0"/>
              <w:rPr>
                <w:sz w:val="20"/>
                <w:szCs w:val="20"/>
                <w:color w:val="auto"/>
              </w:rPr>
            </w:pPr>
            <w:r>
              <w:rPr>
                <w:rFonts w:ascii="Arial" w:cs="Arial" w:eastAsia="Arial" w:hAnsi="Arial"/>
                <w:sz w:val="12"/>
                <w:szCs w:val="12"/>
                <w:color w:val="auto"/>
              </w:rPr>
              <w:t>Balance at end of year</w:t>
            </w:r>
          </w:p>
        </w:tc>
        <w:tc>
          <w:tcPr>
            <w:tcW w:w="760" w:type="dxa"/>
            <w:vAlign w:val="bottom"/>
          </w:tcPr>
          <w:p>
            <w:pPr>
              <w:jc w:val="right"/>
              <w:ind w:right="648"/>
              <w:spacing w:after="0"/>
              <w:rPr>
                <w:sz w:val="20"/>
                <w:szCs w:val="20"/>
                <w:color w:val="auto"/>
              </w:rPr>
            </w:pPr>
            <w:r>
              <w:rPr>
                <w:rFonts w:ascii="Arial" w:cs="Arial" w:eastAsia="Arial" w:hAnsi="Arial"/>
                <w:sz w:val="10"/>
                <w:szCs w:val="10"/>
                <w:color w:val="auto"/>
                <w:w w:val="71"/>
              </w:rPr>
              <w:t>$</w:t>
            </w:r>
          </w:p>
        </w:tc>
        <w:tc>
          <w:tcPr>
            <w:tcW w:w="380" w:type="dxa"/>
            <w:vAlign w:val="bottom"/>
          </w:tcPr>
          <w:p>
            <w:pPr>
              <w:ind w:left="120"/>
              <w:spacing w:after="0"/>
              <w:rPr>
                <w:sz w:val="20"/>
                <w:szCs w:val="20"/>
                <w:color w:val="auto"/>
              </w:rPr>
            </w:pPr>
            <w:r>
              <w:rPr>
                <w:rFonts w:ascii="Arial" w:cs="Arial" w:eastAsia="Arial" w:hAnsi="Arial"/>
                <w:sz w:val="12"/>
                <w:szCs w:val="12"/>
                <w:color w:val="auto"/>
                <w:w w:val="79"/>
              </w:rPr>
              <w:t>6,879</w:t>
            </w:r>
          </w:p>
        </w:tc>
        <w:tc>
          <w:tcPr>
            <w:tcW w:w="220" w:type="dxa"/>
            <w:vAlign w:val="bottom"/>
          </w:tcPr>
          <w:p>
            <w:pPr>
              <w:spacing w:after="0"/>
              <w:rPr>
                <w:sz w:val="12"/>
                <w:szCs w:val="12"/>
                <w:color w:val="auto"/>
              </w:rPr>
            </w:pPr>
          </w:p>
        </w:tc>
        <w:tc>
          <w:tcPr>
            <w:tcW w:w="360" w:type="dxa"/>
            <w:vAlign w:val="bottom"/>
          </w:tcPr>
          <w:p>
            <w:pPr>
              <w:jc w:val="center"/>
              <w:ind w:right="240"/>
              <w:spacing w:after="0"/>
              <w:rPr>
                <w:sz w:val="20"/>
                <w:szCs w:val="20"/>
                <w:color w:val="auto"/>
              </w:rPr>
            </w:pPr>
            <w:r>
              <w:rPr>
                <w:rFonts w:ascii="Arial" w:cs="Arial" w:eastAsia="Arial" w:hAnsi="Arial"/>
                <w:sz w:val="12"/>
                <w:szCs w:val="12"/>
                <w:color w:val="auto"/>
                <w:w w:val="89"/>
              </w:rPr>
              <w:t>$</w:t>
            </w: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2,416</w:t>
            </w:r>
          </w:p>
        </w:tc>
      </w:tr>
      <w:tr>
        <w:trPr>
          <w:trHeight w:val="20"/>
        </w:trPr>
        <w:tc>
          <w:tcPr>
            <w:tcW w:w="87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5"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We had $1.9 million and $1.74 million in loan commitments to directors and executive officers at December 31, 2021 and 2020, respectively. Of these, commitments of $0.02 million and $0.04 million were outstanding at December 31, 2021 and 2020, respectively, and included in the table above.</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Deposits held by us for directors and executive officers totaled $3.4 million and $2.0 million at December 31, 2021 and 2020,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18 – LEASES</w:t>
      </w:r>
    </w:p>
    <w:p>
      <w:pPr>
        <w:spacing w:after="0" w:line="154" w:lineRule="exact"/>
        <w:rPr>
          <w:sz w:val="20"/>
          <w:szCs w:val="20"/>
          <w:color w:val="auto"/>
        </w:rPr>
      </w:pPr>
    </w:p>
    <w:p>
      <w:pPr>
        <w:jc w:val="both"/>
        <w:ind w:firstLine="216"/>
        <w:spacing w:after="0" w:line="289" w:lineRule="auto"/>
        <w:rPr>
          <w:sz w:val="20"/>
          <w:szCs w:val="20"/>
          <w:color w:val="auto"/>
        </w:rPr>
      </w:pPr>
      <w:r>
        <w:rPr>
          <w:rFonts w:ascii="Arial" w:cs="Arial" w:eastAsia="Arial" w:hAnsi="Arial"/>
          <w:sz w:val="11"/>
          <w:szCs w:val="11"/>
          <w:color w:val="auto"/>
        </w:rPr>
        <w:t>We have entered into leases in the normal course of business primarily for office facilities, some of which include renewal options and escalation clauses. Certain leases also include both lease components (fixed payments including rent, taxes and insurance costs) and non-lease components (common area or other maintenance costs) which are accounted for as a single lease component as we have elected the practical expedient to group lease and non-lease components together for all leases. We have also elected not to recognize leases with original lease terms of 12 months or less (short-term leases) on our Consolidated Statements of Financial Condition. Most of our leases include one or more options to renew. The exercise of lease renewal options is typically at our sole discretion and are included in our right of use (“ROU”) assets and lease liabilities if they are reasonably certain of exercise.</w:t>
      </w:r>
    </w:p>
    <w:p>
      <w:pPr>
        <w:spacing w:after="0" w:line="111"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Leases are classified as operating or finance leases at the lease commencement date (we did not have any finance leases as of December 31, 2021). Lease expense for operating leases and short-term leases is recognized on a straight-line basis over the lease term. The ROU assets represent our right to use an underlying asset for the lease term and lease liabilities represent our obligation to make lease payments arising from the lease. ROU assets and lease liabilities are recognized at the lease commencement date based on the estimated present value of the lease payment over the lease term.</w:t>
      </w:r>
    </w:p>
    <w:p>
      <w:pPr>
        <w:spacing w:after="0" w:line="122" w:lineRule="exact"/>
        <w:rPr>
          <w:sz w:val="20"/>
          <w:szCs w:val="20"/>
          <w:color w:val="auto"/>
        </w:rPr>
      </w:pPr>
    </w:p>
    <w:p>
      <w:pPr>
        <w:ind w:left="200"/>
        <w:spacing w:after="0"/>
        <w:rPr>
          <w:sz w:val="20"/>
          <w:szCs w:val="20"/>
          <w:color w:val="auto"/>
        </w:rPr>
      </w:pPr>
      <w:r>
        <w:rPr>
          <w:rFonts w:ascii="Arial" w:cs="Arial" w:eastAsia="Arial" w:hAnsi="Arial"/>
          <w:sz w:val="11"/>
          <w:szCs w:val="11"/>
          <w:color w:val="auto"/>
        </w:rPr>
        <w:t>As most of our leases do not provide an implicit rate, we use our incremental borrowing rate based on the information available at the lease commencement date in determining the present value of the lease payments.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340" w:type="dxa"/>
            <w:vAlign w:val="bottom"/>
          </w:tcPr>
          <w:p>
            <w:pPr>
              <w:ind w:left="200"/>
              <w:spacing w:after="0"/>
              <w:rPr>
                <w:sz w:val="20"/>
                <w:szCs w:val="20"/>
                <w:color w:val="auto"/>
              </w:rPr>
            </w:pPr>
            <w:r>
              <w:rPr>
                <w:rFonts w:ascii="Arial" w:cs="Arial" w:eastAsia="Arial" w:hAnsi="Arial"/>
                <w:sz w:val="12"/>
                <w:szCs w:val="12"/>
                <w:color w:val="auto"/>
              </w:rPr>
              <w:t>The cost components of our operating leases follows:</w:t>
            </w: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7340" w:type="dxa"/>
            <w:vAlign w:val="bottom"/>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2"/>
                <w:szCs w:val="12"/>
                <w:b w:val="1"/>
                <w:bCs w:val="1"/>
                <w:color w:val="auto"/>
              </w:rPr>
              <w:t>2021</w:t>
            </w:r>
          </w:p>
        </w:tc>
        <w:tc>
          <w:tcPr>
            <w:tcW w:w="3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2020</w:t>
            </w: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24"/>
                <w:szCs w:val="24"/>
                <w:color w:val="auto"/>
              </w:rPr>
            </w:pPr>
          </w:p>
        </w:tc>
      </w:tr>
      <w:tr>
        <w:trPr>
          <w:trHeight w:val="142"/>
        </w:trPr>
        <w:tc>
          <w:tcPr>
            <w:tcW w:w="7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ind w:right="140"/>
              <w:spacing w:after="0"/>
              <w:rPr>
                <w:sz w:val="20"/>
                <w:szCs w:val="20"/>
                <w:color w:val="auto"/>
              </w:rPr>
            </w:pPr>
            <w:r>
              <w:rPr>
                <w:rFonts w:ascii="Arial" w:cs="Arial" w:eastAsia="Arial" w:hAnsi="Arial"/>
                <w:sz w:val="12"/>
                <w:szCs w:val="12"/>
                <w:b w:val="1"/>
                <w:bCs w:val="1"/>
                <w:color w:val="auto"/>
                <w:w w:val="94"/>
              </w:rPr>
              <w:t>(In thousands)</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7340" w:type="dxa"/>
            <w:vAlign w:val="bottom"/>
            <w:shd w:val="clear" w:color="auto" w:fill="CCEEFF"/>
          </w:tcPr>
          <w:p>
            <w:pPr>
              <w:spacing w:after="0"/>
              <w:rPr>
                <w:sz w:val="20"/>
                <w:szCs w:val="20"/>
                <w:color w:val="auto"/>
              </w:rPr>
            </w:pPr>
            <w:r>
              <w:rPr>
                <w:rFonts w:ascii="Arial" w:cs="Arial" w:eastAsia="Arial" w:hAnsi="Arial"/>
                <w:sz w:val="12"/>
                <w:szCs w:val="12"/>
                <w:color w:val="auto"/>
              </w:rPr>
              <w:t>Operating lease cost</w:t>
            </w:r>
          </w:p>
        </w:tc>
        <w:tc>
          <w:tcPr>
            <w:tcW w:w="780" w:type="dxa"/>
            <w:vAlign w:val="bottom"/>
            <w:shd w:val="clear" w:color="auto" w:fill="CCEEFF"/>
          </w:tcPr>
          <w:p>
            <w:pPr>
              <w:jc w:val="right"/>
              <w:ind w:right="668"/>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1,672</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1,780</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2,217</w:t>
            </w:r>
          </w:p>
        </w:tc>
      </w:tr>
      <w:tr>
        <w:trPr>
          <w:trHeight w:val="144"/>
        </w:trPr>
        <w:tc>
          <w:tcPr>
            <w:tcW w:w="7340" w:type="dxa"/>
            <w:vAlign w:val="bottom"/>
          </w:tcPr>
          <w:p>
            <w:pPr>
              <w:spacing w:after="0"/>
              <w:rPr>
                <w:sz w:val="20"/>
                <w:szCs w:val="20"/>
                <w:color w:val="auto"/>
              </w:rPr>
            </w:pPr>
            <w:r>
              <w:rPr>
                <w:rFonts w:ascii="Arial" w:cs="Arial" w:eastAsia="Arial" w:hAnsi="Arial"/>
                <w:sz w:val="12"/>
                <w:szCs w:val="12"/>
                <w:color w:val="auto"/>
              </w:rPr>
              <w:t>Variable lease cost</w:t>
            </w:r>
          </w:p>
        </w:tc>
        <w:tc>
          <w:tcPr>
            <w:tcW w:w="7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63</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69</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142</w:t>
            </w:r>
          </w:p>
        </w:tc>
      </w:tr>
      <w:tr>
        <w:trPr>
          <w:trHeight w:val="144"/>
        </w:trPr>
        <w:tc>
          <w:tcPr>
            <w:tcW w:w="7340" w:type="dxa"/>
            <w:vAlign w:val="bottom"/>
            <w:shd w:val="clear" w:color="auto" w:fill="CCEEFF"/>
          </w:tcPr>
          <w:p>
            <w:pPr>
              <w:spacing w:after="0"/>
              <w:rPr>
                <w:sz w:val="20"/>
                <w:szCs w:val="20"/>
                <w:color w:val="auto"/>
              </w:rPr>
            </w:pPr>
            <w:r>
              <w:rPr>
                <w:rFonts w:ascii="Arial" w:cs="Arial" w:eastAsia="Arial" w:hAnsi="Arial"/>
                <w:sz w:val="12"/>
                <w:szCs w:val="12"/>
                <w:color w:val="auto"/>
              </w:rPr>
              <w:t>Short-term lease cost</w:t>
            </w:r>
          </w:p>
        </w:tc>
        <w:tc>
          <w:tcPr>
            <w:tcW w:w="7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36</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19</w:t>
            </w:r>
          </w:p>
        </w:tc>
      </w:tr>
      <w:tr>
        <w:trPr>
          <w:trHeight w:val="20"/>
        </w:trPr>
        <w:tc>
          <w:tcPr>
            <w:tcW w:w="73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7340" w:type="dxa"/>
            <w:vAlign w:val="bottom"/>
          </w:tcPr>
          <w:p>
            <w:pPr>
              <w:spacing w:after="0"/>
              <w:rPr>
                <w:sz w:val="20"/>
                <w:szCs w:val="20"/>
                <w:color w:val="auto"/>
              </w:rPr>
            </w:pPr>
            <w:r>
              <w:rPr>
                <w:rFonts w:ascii="Arial" w:cs="Arial" w:eastAsia="Arial" w:hAnsi="Arial"/>
                <w:sz w:val="12"/>
                <w:szCs w:val="12"/>
                <w:color w:val="auto"/>
              </w:rPr>
              <w:t>Total</w:t>
            </w:r>
          </w:p>
        </w:tc>
        <w:tc>
          <w:tcPr>
            <w:tcW w:w="780" w:type="dxa"/>
            <w:vAlign w:val="bottom"/>
          </w:tcPr>
          <w:p>
            <w:pPr>
              <w:jc w:val="right"/>
              <w:ind w:right="668"/>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1,799</w:t>
            </w:r>
          </w:p>
        </w:tc>
        <w:tc>
          <w:tcPr>
            <w:tcW w:w="240" w:type="dxa"/>
            <w:vAlign w:val="bottom"/>
          </w:tcPr>
          <w:p>
            <w:pPr>
              <w:spacing w:after="0"/>
              <w:rPr>
                <w:sz w:val="12"/>
                <w:szCs w:val="12"/>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1,885</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2,378</w:t>
            </w:r>
          </w:p>
        </w:tc>
      </w:tr>
      <w:tr>
        <w:trPr>
          <w:trHeight w:val="20"/>
        </w:trPr>
        <w:tc>
          <w:tcPr>
            <w:tcW w:w="73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Variable lease costs consist primarily of taxes, insurance, and common area or other maintenance costs for our leased facilities.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157"/>
        </w:trPr>
        <w:tc>
          <w:tcPr>
            <w:tcW w:w="9480" w:type="dxa"/>
            <w:vAlign w:val="bottom"/>
            <w:gridSpan w:val="3"/>
          </w:tcPr>
          <w:p>
            <w:pPr>
              <w:ind w:left="3700"/>
              <w:spacing w:after="0"/>
              <w:rPr>
                <w:sz w:val="20"/>
                <w:szCs w:val="20"/>
                <w:color w:val="auto"/>
              </w:rPr>
            </w:pPr>
            <w:r>
              <w:rPr>
                <w:rFonts w:ascii="Arial" w:cs="Arial" w:eastAsia="Arial" w:hAnsi="Arial"/>
                <w:sz w:val="12"/>
                <w:szCs w:val="12"/>
                <w:b w:val="1"/>
                <w:bCs w:val="1"/>
                <w:color w:val="auto"/>
              </w:rPr>
              <w:t>NOTES TO CONSOLIDATED FINANCIAL STATEMENTS − (Continued)</w:t>
            </w: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405"/>
        </w:trPr>
        <w:tc>
          <w:tcPr>
            <w:tcW w:w="4300" w:type="dxa"/>
            <w:vAlign w:val="bottom"/>
          </w:tcPr>
          <w:p>
            <w:pPr>
              <w:ind w:left="200"/>
              <w:spacing w:after="0"/>
              <w:rPr>
                <w:sz w:val="20"/>
                <w:szCs w:val="20"/>
                <w:color w:val="auto"/>
              </w:rPr>
            </w:pPr>
            <w:r>
              <w:rPr>
                <w:rFonts w:ascii="Arial" w:cs="Arial" w:eastAsia="Arial" w:hAnsi="Arial"/>
                <w:sz w:val="12"/>
                <w:szCs w:val="12"/>
                <w:color w:val="auto"/>
                <w:w w:val="96"/>
              </w:rPr>
              <w:t>Supplemental balance sheet information related to our operating leases follows:</w:t>
            </w:r>
          </w:p>
        </w:tc>
        <w:tc>
          <w:tcPr>
            <w:tcW w:w="4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88"/>
        </w:trPr>
        <w:tc>
          <w:tcPr>
            <w:tcW w:w="43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2"/>
                <w:szCs w:val="12"/>
                <w:b w:val="1"/>
                <w:bCs w:val="1"/>
                <w:color w:val="auto"/>
              </w:rPr>
              <w:t>2021</w:t>
            </w:r>
          </w:p>
        </w:tc>
        <w:tc>
          <w:tcPr>
            <w:tcW w:w="3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2020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30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jc w:val="right"/>
              <w:ind w:right="60"/>
              <w:spacing w:after="0"/>
              <w:rPr>
                <w:sz w:val="20"/>
                <w:szCs w:val="20"/>
                <w:color w:val="auto"/>
              </w:rPr>
            </w:pPr>
            <w:r>
              <w:rPr>
                <w:rFonts w:ascii="Arial" w:cs="Arial" w:eastAsia="Arial" w:hAnsi="Arial"/>
                <w:sz w:val="12"/>
                <w:szCs w:val="12"/>
                <w:b w:val="1"/>
                <w:bCs w:val="1"/>
                <w:color w:val="auto"/>
              </w:rPr>
              <w:t>(In</w:t>
            </w:r>
          </w:p>
        </w:tc>
        <w:tc>
          <w:tcPr>
            <w:tcW w:w="1340" w:type="dxa"/>
            <w:vAlign w:val="bottom"/>
            <w:gridSpan w:val="4"/>
          </w:tcPr>
          <w:p>
            <w:pPr>
              <w:jc w:val="center"/>
              <w:ind w:right="800"/>
              <w:spacing w:after="0"/>
              <w:rPr>
                <w:sz w:val="20"/>
                <w:szCs w:val="20"/>
                <w:color w:val="auto"/>
              </w:rPr>
            </w:pPr>
            <w:r>
              <w:rPr>
                <w:rFonts w:ascii="Arial" w:cs="Arial" w:eastAsia="Arial" w:hAnsi="Arial"/>
                <w:sz w:val="12"/>
                <w:szCs w:val="12"/>
                <w:b w:val="1"/>
                <w:bCs w:val="1"/>
                <w:color w:val="auto"/>
                <w:w w:val="74"/>
              </w:rPr>
              <w:t>thousands)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4"/>
        </w:trPr>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Lease right of use asset (1)</w:t>
            </w:r>
          </w:p>
        </w:tc>
        <w:tc>
          <w:tcPr>
            <w:tcW w:w="44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668"/>
              <w:spacing w:after="0"/>
              <w:rPr>
                <w:sz w:val="20"/>
                <w:szCs w:val="20"/>
                <w:color w:val="auto"/>
              </w:rPr>
            </w:pPr>
            <w:r>
              <w:rPr>
                <w:rFonts w:ascii="Arial" w:cs="Arial" w:eastAsia="Arial" w:hAnsi="Arial"/>
                <w:sz w:val="10"/>
                <w:szCs w:val="10"/>
                <w:color w:val="auto"/>
                <w:w w:val="7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6,481</w:t>
            </w: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7,646</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r>
        <w:trPr>
          <w:trHeight w:val="120"/>
        </w:trPr>
        <w:tc>
          <w:tcPr>
            <w:tcW w:w="4300" w:type="dxa"/>
            <w:vAlign w:val="bottom"/>
          </w:tcPr>
          <w:p>
            <w:pPr>
              <w:spacing w:after="0" w:line="120" w:lineRule="exact"/>
              <w:rPr>
                <w:sz w:val="20"/>
                <w:szCs w:val="20"/>
                <w:color w:val="auto"/>
              </w:rPr>
            </w:pPr>
            <w:r>
              <w:rPr>
                <w:rFonts w:ascii="Arial" w:cs="Arial" w:eastAsia="Arial" w:hAnsi="Arial"/>
                <w:sz w:val="12"/>
                <w:szCs w:val="12"/>
                <w:color w:val="auto"/>
              </w:rPr>
              <w:t>Lease liabilities (2)</w:t>
            </w:r>
          </w:p>
        </w:tc>
        <w:tc>
          <w:tcPr>
            <w:tcW w:w="4400" w:type="dxa"/>
            <w:vAlign w:val="bottom"/>
          </w:tcPr>
          <w:p>
            <w:pPr>
              <w:spacing w:after="0"/>
              <w:rPr>
                <w:sz w:val="10"/>
                <w:szCs w:val="10"/>
                <w:color w:val="auto"/>
              </w:rPr>
            </w:pPr>
          </w:p>
        </w:tc>
        <w:tc>
          <w:tcPr>
            <w:tcW w:w="780" w:type="dxa"/>
            <w:vAlign w:val="bottom"/>
            <w:tcBorders>
              <w:bottom w:val="single" w:sz="8" w:color="auto"/>
            </w:tcBorders>
          </w:tcPr>
          <w:p>
            <w:pPr>
              <w:jc w:val="right"/>
              <w:ind w:right="668"/>
              <w:spacing w:after="0"/>
              <w:rPr>
                <w:sz w:val="20"/>
                <w:szCs w:val="20"/>
                <w:color w:val="auto"/>
              </w:rPr>
            </w:pPr>
            <w:r>
              <w:rPr>
                <w:rFonts w:ascii="Arial" w:cs="Arial" w:eastAsia="Arial" w:hAnsi="Arial"/>
                <w:sz w:val="10"/>
                <w:szCs w:val="10"/>
                <w:color w:val="auto"/>
                <w:w w:val="71"/>
              </w:rPr>
              <w:t>$</w:t>
            </w:r>
          </w:p>
        </w:tc>
        <w:tc>
          <w:tcPr>
            <w:tcW w:w="360" w:type="dxa"/>
            <w:vAlign w:val="bottom"/>
            <w:tcBorders>
              <w:bottom w:val="single" w:sz="8" w:color="auto"/>
            </w:tcBorders>
          </w:tcPr>
          <w:p>
            <w:pPr>
              <w:jc w:val="right"/>
              <w:spacing w:after="0" w:line="120" w:lineRule="exact"/>
              <w:rPr>
                <w:sz w:val="20"/>
                <w:szCs w:val="20"/>
                <w:color w:val="auto"/>
              </w:rPr>
            </w:pPr>
            <w:r>
              <w:rPr>
                <w:rFonts w:ascii="Arial" w:cs="Arial" w:eastAsia="Arial" w:hAnsi="Arial"/>
                <w:sz w:val="12"/>
                <w:szCs w:val="12"/>
                <w:color w:val="auto"/>
              </w:rPr>
              <w:t>6,602</w:t>
            </w:r>
          </w:p>
        </w:tc>
        <w:tc>
          <w:tcPr>
            <w:tcW w:w="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bottom w:val="single" w:sz="8" w:color="auto"/>
            </w:tcBorders>
          </w:tcPr>
          <w:p>
            <w:pPr>
              <w:jc w:val="center"/>
              <w:spacing w:after="0" w:line="120" w:lineRule="exact"/>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tcPr>
          <w:p>
            <w:pPr>
              <w:jc w:val="right"/>
              <w:spacing w:after="0" w:line="120" w:lineRule="exact"/>
              <w:rPr>
                <w:sz w:val="20"/>
                <w:szCs w:val="20"/>
                <w:color w:val="auto"/>
              </w:rPr>
            </w:pPr>
            <w:r>
              <w:rPr>
                <w:rFonts w:ascii="Arial" w:cs="Arial" w:eastAsia="Arial" w:hAnsi="Arial"/>
                <w:sz w:val="12"/>
                <w:szCs w:val="12"/>
                <w:color w:val="auto"/>
              </w:rPr>
              <w:t>7,868</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0"/>
        </w:trPr>
        <w:tc>
          <w:tcPr>
            <w:tcW w:w="43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0"/>
        </w:trPr>
        <w:tc>
          <w:tcPr>
            <w:tcW w:w="4300" w:type="dxa"/>
            <w:vAlign w:val="bottom"/>
            <w:shd w:val="clear" w:color="auto" w:fill="CCEEFF"/>
          </w:tcPr>
          <w:p>
            <w:pPr>
              <w:spacing w:after="0"/>
              <w:rPr>
                <w:sz w:val="10"/>
                <w:szCs w:val="10"/>
                <w:color w:val="auto"/>
              </w:rPr>
            </w:pPr>
          </w:p>
        </w:tc>
        <w:tc>
          <w:tcPr>
            <w:tcW w:w="44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380" w:type="dxa"/>
            <w:vAlign w:val="bottom"/>
            <w:gridSpan w:val="2"/>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44"/>
        </w:trPr>
        <w:tc>
          <w:tcPr>
            <w:tcW w:w="4300" w:type="dxa"/>
            <w:vAlign w:val="bottom"/>
          </w:tcPr>
          <w:p>
            <w:pPr>
              <w:spacing w:after="0"/>
              <w:rPr>
                <w:sz w:val="20"/>
                <w:szCs w:val="20"/>
                <w:color w:val="auto"/>
              </w:rPr>
            </w:pPr>
            <w:r>
              <w:rPr>
                <w:rFonts w:ascii="Arial" w:cs="Arial" w:eastAsia="Arial" w:hAnsi="Arial"/>
                <w:sz w:val="12"/>
                <w:szCs w:val="12"/>
                <w:color w:val="auto"/>
              </w:rPr>
              <w:t>Weighted average remaining lease term (years)</w:t>
            </w:r>
          </w:p>
        </w:tc>
        <w:tc>
          <w:tcPr>
            <w:tcW w:w="4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gridSpan w:val="2"/>
          </w:tcPr>
          <w:p>
            <w:pPr>
              <w:jc w:val="right"/>
              <w:spacing w:after="0"/>
              <w:rPr>
                <w:sz w:val="20"/>
                <w:szCs w:val="20"/>
                <w:color w:val="auto"/>
              </w:rPr>
            </w:pPr>
            <w:r>
              <w:rPr>
                <w:rFonts w:ascii="Arial" w:cs="Arial" w:eastAsia="Arial" w:hAnsi="Arial"/>
                <w:sz w:val="12"/>
                <w:szCs w:val="12"/>
                <w:color w:val="auto"/>
              </w:rPr>
              <w:t>6.50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2"/>
                <w:szCs w:val="12"/>
                <w:color w:val="auto"/>
              </w:rPr>
              <w:t>7.12</w:t>
            </w:r>
          </w:p>
        </w:tc>
      </w:tr>
      <w:tr>
        <w:trPr>
          <w:trHeight w:val="20"/>
        </w:trPr>
        <w:tc>
          <w:tcPr>
            <w:tcW w:w="43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0"/>
        </w:trPr>
        <w:tc>
          <w:tcPr>
            <w:tcW w:w="4300" w:type="dxa"/>
            <w:vAlign w:val="bottom"/>
            <w:shd w:val="clear" w:color="auto" w:fill="CCEEFF"/>
          </w:tcPr>
          <w:p>
            <w:pPr>
              <w:spacing w:after="0" w:line="120" w:lineRule="exact"/>
              <w:rPr>
                <w:sz w:val="20"/>
                <w:szCs w:val="20"/>
                <w:color w:val="auto"/>
              </w:rPr>
            </w:pPr>
            <w:r>
              <w:rPr>
                <w:rFonts w:ascii="Arial" w:cs="Arial" w:eastAsia="Arial" w:hAnsi="Arial"/>
                <w:sz w:val="12"/>
                <w:szCs w:val="12"/>
                <w:color w:val="auto"/>
              </w:rPr>
              <w:t>Weighted average discount rate</w:t>
            </w:r>
          </w:p>
        </w:tc>
        <w:tc>
          <w:tcPr>
            <w:tcW w:w="44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120"/>
              <w:spacing w:after="0" w:line="120" w:lineRule="exact"/>
              <w:rPr>
                <w:sz w:val="20"/>
                <w:szCs w:val="20"/>
                <w:color w:val="auto"/>
              </w:rPr>
            </w:pPr>
            <w:r>
              <w:rPr>
                <w:rFonts w:ascii="Arial" w:cs="Arial" w:eastAsia="Arial" w:hAnsi="Arial"/>
                <w:sz w:val="12"/>
                <w:szCs w:val="12"/>
                <w:color w:val="auto"/>
              </w:rPr>
              <w:t>2.3%</w:t>
            </w:r>
          </w:p>
        </w:tc>
        <w:tc>
          <w:tcPr>
            <w:tcW w:w="120" w:type="dxa"/>
            <w:vAlign w:val="bottom"/>
            <w:shd w:val="clear" w:color="auto" w:fill="CCEEFF"/>
          </w:tcPr>
          <w:p>
            <w:pPr>
              <w:spacing w:after="0"/>
              <w:rPr>
                <w:sz w:val="13"/>
                <w:szCs w:val="13"/>
                <w:color w:val="auto"/>
              </w:rPr>
            </w:pPr>
          </w:p>
        </w:tc>
        <w:tc>
          <w:tcPr>
            <w:tcW w:w="1120" w:type="dxa"/>
            <w:vAlign w:val="bottom"/>
            <w:gridSpan w:val="3"/>
            <w:shd w:val="clear" w:color="auto" w:fill="CCEEFF"/>
          </w:tcPr>
          <w:p>
            <w:pPr>
              <w:jc w:val="right"/>
              <w:ind w:right="20"/>
              <w:spacing w:after="0" w:line="120" w:lineRule="exact"/>
              <w:rPr>
                <w:sz w:val="20"/>
                <w:szCs w:val="20"/>
                <w:color w:val="auto"/>
              </w:rPr>
            </w:pPr>
            <w:r>
              <w:rPr>
                <w:rFonts w:ascii="Arial" w:cs="Arial" w:eastAsia="Arial" w:hAnsi="Arial"/>
                <w:sz w:val="12"/>
                <w:szCs w:val="12"/>
                <w:color w:val="auto"/>
              </w:rPr>
              <w:t>2.4%</w:t>
            </w:r>
          </w:p>
        </w:tc>
      </w:tr>
      <w:tr>
        <w:trPr>
          <w:trHeight w:val="255"/>
        </w:trPr>
        <w:tc>
          <w:tcPr>
            <w:tcW w:w="8700" w:type="dxa"/>
            <w:vAlign w:val="bottom"/>
            <w:tcBorders>
              <w:top w:val="single" w:sz="8" w:color="CCEEFF"/>
            </w:tcBorders>
            <w:gridSpan w:val="2"/>
          </w:tcPr>
          <w:p>
            <w:pPr>
              <w:spacing w:after="0"/>
              <w:rPr>
                <w:sz w:val="20"/>
                <w:szCs w:val="20"/>
                <w:color w:val="auto"/>
              </w:rPr>
            </w:pPr>
            <w:r>
              <w:rPr>
                <w:rFonts w:ascii="Arial" w:cs="Arial" w:eastAsia="Arial" w:hAnsi="Arial"/>
                <w:sz w:val="12"/>
                <w:szCs w:val="12"/>
                <w:color w:val="auto"/>
              </w:rPr>
              <w:t>(1) Included in Accrued income and other assets in our Consolidated Statements of Financial Condition.</w:t>
            </w:r>
          </w:p>
        </w:tc>
        <w:tc>
          <w:tcPr>
            <w:tcW w:w="78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r>
      <w:tr>
        <w:trPr>
          <w:trHeight w:val="153"/>
        </w:trPr>
        <w:tc>
          <w:tcPr>
            <w:tcW w:w="4300" w:type="dxa"/>
            <w:vAlign w:val="bottom"/>
          </w:tcPr>
          <w:p>
            <w:pPr>
              <w:spacing w:after="0"/>
              <w:rPr>
                <w:sz w:val="20"/>
                <w:szCs w:val="20"/>
                <w:color w:val="auto"/>
              </w:rPr>
            </w:pPr>
            <w:r>
              <w:rPr>
                <w:rFonts w:ascii="Arial" w:cs="Arial" w:eastAsia="Arial" w:hAnsi="Arial"/>
                <w:sz w:val="12"/>
                <w:szCs w:val="12"/>
                <w:color w:val="auto"/>
                <w:w w:val="92"/>
              </w:rPr>
              <w:t>(2) Included in Accrued expenses and other liabilities in our Consolidated Statements of</w:t>
            </w:r>
          </w:p>
        </w:tc>
        <w:tc>
          <w:tcPr>
            <w:tcW w:w="5180" w:type="dxa"/>
            <w:vAlign w:val="bottom"/>
            <w:gridSpan w:val="2"/>
          </w:tcPr>
          <w:p>
            <w:pPr>
              <w:jc w:val="right"/>
              <w:ind w:right="4108"/>
              <w:spacing w:after="0"/>
              <w:rPr>
                <w:sz w:val="20"/>
                <w:szCs w:val="20"/>
                <w:color w:val="auto"/>
              </w:rPr>
            </w:pPr>
            <w:r>
              <w:rPr>
                <w:rFonts w:ascii="Arial" w:cs="Arial" w:eastAsia="Arial" w:hAnsi="Arial"/>
                <w:sz w:val="12"/>
                <w:szCs w:val="12"/>
                <w:color w:val="auto"/>
                <w:w w:val="94"/>
              </w:rPr>
              <w:t>Financial Condition.</w:t>
            </w: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88"/>
        </w:trPr>
        <w:tc>
          <w:tcPr>
            <w:tcW w:w="9480" w:type="dxa"/>
            <w:vAlign w:val="bottom"/>
            <w:gridSpan w:val="3"/>
          </w:tcPr>
          <w:p>
            <w:pPr>
              <w:ind w:left="200"/>
              <w:spacing w:after="0"/>
              <w:rPr>
                <w:sz w:val="20"/>
                <w:szCs w:val="20"/>
                <w:color w:val="auto"/>
              </w:rPr>
            </w:pPr>
            <w:r>
              <w:rPr>
                <w:rFonts w:ascii="Arial" w:cs="Arial" w:eastAsia="Arial" w:hAnsi="Arial"/>
                <w:sz w:val="12"/>
                <w:szCs w:val="12"/>
                <w:color w:val="auto"/>
              </w:rPr>
              <w:t>Maturity analysis of our lease liabilities at December 31, 2021 based on required contractual payments follows:</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88"/>
        </w:trPr>
        <w:tc>
          <w:tcPr>
            <w:tcW w:w="43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tcPr>
          <w:p>
            <w:pPr>
              <w:jc w:val="right"/>
              <w:ind w:right="300"/>
              <w:spacing w:after="0"/>
              <w:rPr>
                <w:sz w:val="20"/>
                <w:szCs w:val="20"/>
                <w:color w:val="auto"/>
              </w:rPr>
            </w:pPr>
            <w:r>
              <w:rPr>
                <w:rFonts w:ascii="Arial" w:cs="Arial" w:eastAsia="Arial" w:hAnsi="Arial"/>
                <w:sz w:val="12"/>
                <w:szCs w:val="12"/>
                <w:b w:val="1"/>
                <w:bCs w:val="1"/>
                <w:color w:val="auto"/>
                <w:w w:val="96"/>
              </w:rPr>
              <w:t>(In thousands)</w:t>
            </w:r>
          </w:p>
        </w:tc>
      </w:tr>
      <w:tr>
        <w:trPr>
          <w:trHeight w:val="144"/>
        </w:trPr>
        <w:tc>
          <w:tcPr>
            <w:tcW w:w="430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4300" w:type="dxa"/>
            <w:vAlign w:val="bottom"/>
            <w:shd w:val="clear" w:color="auto" w:fill="CCEEFF"/>
          </w:tcPr>
          <w:p>
            <w:pPr>
              <w:spacing w:after="0"/>
              <w:rPr>
                <w:sz w:val="20"/>
                <w:szCs w:val="20"/>
                <w:color w:val="auto"/>
              </w:rPr>
            </w:pPr>
            <w:r>
              <w:rPr>
                <w:rFonts w:ascii="Arial" w:cs="Arial" w:eastAsia="Arial" w:hAnsi="Arial"/>
                <w:sz w:val="12"/>
                <w:szCs w:val="12"/>
                <w:color w:val="auto"/>
              </w:rPr>
              <w:t>2022</w:t>
            </w:r>
          </w:p>
        </w:tc>
        <w:tc>
          <w:tcPr>
            <w:tcW w:w="44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1,619</w:t>
            </w:r>
          </w:p>
        </w:tc>
        <w:tc>
          <w:tcPr>
            <w:tcW w:w="100" w:type="dxa"/>
            <w:vAlign w:val="bottom"/>
            <w:shd w:val="clear" w:color="auto" w:fill="CCEEFF"/>
          </w:tcPr>
          <w:p>
            <w:pPr>
              <w:spacing w:after="0"/>
              <w:rPr>
                <w:sz w:val="12"/>
                <w:szCs w:val="12"/>
                <w:color w:val="auto"/>
              </w:rPr>
            </w:pPr>
          </w:p>
        </w:tc>
      </w:tr>
      <w:tr>
        <w:trPr>
          <w:trHeight w:val="144"/>
        </w:trPr>
        <w:tc>
          <w:tcPr>
            <w:tcW w:w="4300" w:type="dxa"/>
            <w:vAlign w:val="bottom"/>
          </w:tcPr>
          <w:p>
            <w:pPr>
              <w:spacing w:after="0"/>
              <w:rPr>
                <w:sz w:val="20"/>
                <w:szCs w:val="20"/>
                <w:color w:val="auto"/>
              </w:rPr>
            </w:pPr>
            <w:r>
              <w:rPr>
                <w:rFonts w:ascii="Arial" w:cs="Arial" w:eastAsia="Arial" w:hAnsi="Arial"/>
                <w:sz w:val="12"/>
                <w:szCs w:val="12"/>
                <w:color w:val="auto"/>
              </w:rPr>
              <w:t>2023</w:t>
            </w:r>
          </w:p>
        </w:tc>
        <w:tc>
          <w:tcPr>
            <w:tcW w:w="4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2"/>
                <w:szCs w:val="12"/>
                <w:color w:val="auto"/>
              </w:rPr>
              <w:t>1,311</w:t>
            </w:r>
          </w:p>
        </w:tc>
        <w:tc>
          <w:tcPr>
            <w:tcW w:w="100" w:type="dxa"/>
            <w:vAlign w:val="bottom"/>
          </w:tcPr>
          <w:p>
            <w:pPr>
              <w:spacing w:after="0"/>
              <w:rPr>
                <w:sz w:val="12"/>
                <w:szCs w:val="12"/>
                <w:color w:val="auto"/>
              </w:rPr>
            </w:pPr>
          </w:p>
        </w:tc>
      </w:tr>
      <w:tr>
        <w:trPr>
          <w:trHeight w:val="144"/>
        </w:trPr>
        <w:tc>
          <w:tcPr>
            <w:tcW w:w="4300" w:type="dxa"/>
            <w:vAlign w:val="bottom"/>
            <w:shd w:val="clear" w:color="auto" w:fill="CCEEFF"/>
          </w:tcPr>
          <w:p>
            <w:pPr>
              <w:spacing w:after="0"/>
              <w:rPr>
                <w:sz w:val="20"/>
                <w:szCs w:val="20"/>
                <w:color w:val="auto"/>
              </w:rPr>
            </w:pPr>
            <w:r>
              <w:rPr>
                <w:rFonts w:ascii="Arial" w:cs="Arial" w:eastAsia="Arial" w:hAnsi="Arial"/>
                <w:sz w:val="12"/>
                <w:szCs w:val="12"/>
                <w:color w:val="auto"/>
              </w:rPr>
              <w:t>2024</w:t>
            </w:r>
          </w:p>
        </w:tc>
        <w:tc>
          <w:tcPr>
            <w:tcW w:w="44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816</w:t>
            </w:r>
          </w:p>
        </w:tc>
        <w:tc>
          <w:tcPr>
            <w:tcW w:w="100" w:type="dxa"/>
            <w:vAlign w:val="bottom"/>
            <w:shd w:val="clear" w:color="auto" w:fill="CCEEFF"/>
          </w:tcPr>
          <w:p>
            <w:pPr>
              <w:spacing w:after="0"/>
              <w:rPr>
                <w:sz w:val="12"/>
                <w:szCs w:val="12"/>
                <w:color w:val="auto"/>
              </w:rPr>
            </w:pPr>
          </w:p>
        </w:tc>
      </w:tr>
      <w:tr>
        <w:trPr>
          <w:trHeight w:val="144"/>
        </w:trPr>
        <w:tc>
          <w:tcPr>
            <w:tcW w:w="4300" w:type="dxa"/>
            <w:vAlign w:val="bottom"/>
          </w:tcPr>
          <w:p>
            <w:pPr>
              <w:spacing w:after="0"/>
              <w:rPr>
                <w:sz w:val="20"/>
                <w:szCs w:val="20"/>
                <w:color w:val="auto"/>
              </w:rPr>
            </w:pPr>
            <w:r>
              <w:rPr>
                <w:rFonts w:ascii="Arial" w:cs="Arial" w:eastAsia="Arial" w:hAnsi="Arial"/>
                <w:sz w:val="12"/>
                <w:szCs w:val="12"/>
                <w:color w:val="auto"/>
              </w:rPr>
              <w:t>2025</w:t>
            </w:r>
          </w:p>
        </w:tc>
        <w:tc>
          <w:tcPr>
            <w:tcW w:w="4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2"/>
                <w:szCs w:val="12"/>
                <w:color w:val="auto"/>
              </w:rPr>
              <w:t>809</w:t>
            </w:r>
          </w:p>
        </w:tc>
        <w:tc>
          <w:tcPr>
            <w:tcW w:w="100" w:type="dxa"/>
            <w:vAlign w:val="bottom"/>
          </w:tcPr>
          <w:p>
            <w:pPr>
              <w:spacing w:after="0"/>
              <w:rPr>
                <w:sz w:val="12"/>
                <w:szCs w:val="12"/>
                <w:color w:val="auto"/>
              </w:rPr>
            </w:pPr>
          </w:p>
        </w:tc>
      </w:tr>
      <w:tr>
        <w:trPr>
          <w:trHeight w:val="144"/>
        </w:trPr>
        <w:tc>
          <w:tcPr>
            <w:tcW w:w="4300" w:type="dxa"/>
            <w:vAlign w:val="bottom"/>
            <w:shd w:val="clear" w:color="auto" w:fill="CCEEFF"/>
          </w:tcPr>
          <w:p>
            <w:pPr>
              <w:spacing w:after="0"/>
              <w:rPr>
                <w:sz w:val="20"/>
                <w:szCs w:val="20"/>
                <w:color w:val="auto"/>
              </w:rPr>
            </w:pPr>
            <w:r>
              <w:rPr>
                <w:rFonts w:ascii="Arial" w:cs="Arial" w:eastAsia="Arial" w:hAnsi="Arial"/>
                <w:sz w:val="12"/>
                <w:szCs w:val="12"/>
                <w:color w:val="auto"/>
              </w:rPr>
              <w:t>2026</w:t>
            </w:r>
          </w:p>
        </w:tc>
        <w:tc>
          <w:tcPr>
            <w:tcW w:w="44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744</w:t>
            </w:r>
          </w:p>
        </w:tc>
        <w:tc>
          <w:tcPr>
            <w:tcW w:w="100" w:type="dxa"/>
            <w:vAlign w:val="bottom"/>
            <w:shd w:val="clear" w:color="auto" w:fill="CCEEFF"/>
          </w:tcPr>
          <w:p>
            <w:pPr>
              <w:spacing w:after="0"/>
              <w:rPr>
                <w:sz w:val="12"/>
                <w:szCs w:val="12"/>
                <w:color w:val="auto"/>
              </w:rPr>
            </w:pPr>
          </w:p>
        </w:tc>
      </w:tr>
      <w:tr>
        <w:trPr>
          <w:trHeight w:val="144"/>
        </w:trPr>
        <w:tc>
          <w:tcPr>
            <w:tcW w:w="4300" w:type="dxa"/>
            <w:vAlign w:val="bottom"/>
          </w:tcPr>
          <w:p>
            <w:pPr>
              <w:spacing w:after="0"/>
              <w:rPr>
                <w:sz w:val="20"/>
                <w:szCs w:val="20"/>
                <w:color w:val="auto"/>
              </w:rPr>
            </w:pPr>
            <w:r>
              <w:rPr>
                <w:rFonts w:ascii="Arial" w:cs="Arial" w:eastAsia="Arial" w:hAnsi="Arial"/>
                <w:sz w:val="12"/>
                <w:szCs w:val="12"/>
                <w:color w:val="auto"/>
              </w:rPr>
              <w:t>2027 and thereafter</w:t>
            </w:r>
          </w:p>
        </w:tc>
        <w:tc>
          <w:tcPr>
            <w:tcW w:w="4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1,795</w:t>
            </w:r>
          </w:p>
        </w:tc>
        <w:tc>
          <w:tcPr>
            <w:tcW w:w="100" w:type="dxa"/>
            <w:vAlign w:val="bottom"/>
          </w:tcPr>
          <w:p>
            <w:pPr>
              <w:spacing w:after="0"/>
              <w:rPr>
                <w:sz w:val="12"/>
                <w:szCs w:val="12"/>
                <w:color w:val="auto"/>
              </w:rPr>
            </w:pPr>
          </w:p>
        </w:tc>
      </w:tr>
      <w:tr>
        <w:trPr>
          <w:trHeight w:val="142"/>
        </w:trPr>
        <w:tc>
          <w:tcPr>
            <w:tcW w:w="4300" w:type="dxa"/>
            <w:vAlign w:val="bottom"/>
            <w:shd w:val="clear" w:color="auto" w:fill="CCEEFF"/>
          </w:tcPr>
          <w:p>
            <w:pPr>
              <w:ind w:left="80"/>
              <w:spacing w:after="0"/>
              <w:rPr>
                <w:sz w:val="20"/>
                <w:szCs w:val="20"/>
                <w:color w:val="auto"/>
              </w:rPr>
            </w:pPr>
            <w:r>
              <w:rPr>
                <w:rFonts w:ascii="Arial" w:cs="Arial" w:eastAsia="Arial" w:hAnsi="Arial"/>
                <w:sz w:val="12"/>
                <w:szCs w:val="12"/>
                <w:color w:val="auto"/>
              </w:rPr>
              <w:t>Total lease payments</w:t>
            </w:r>
          </w:p>
        </w:tc>
        <w:tc>
          <w:tcPr>
            <w:tcW w:w="44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7,094</w:t>
            </w:r>
          </w:p>
        </w:tc>
        <w:tc>
          <w:tcPr>
            <w:tcW w:w="100" w:type="dxa"/>
            <w:vAlign w:val="bottom"/>
            <w:shd w:val="clear" w:color="auto" w:fill="CCEEFF"/>
          </w:tcPr>
          <w:p>
            <w:pPr>
              <w:spacing w:after="0"/>
              <w:rPr>
                <w:sz w:val="12"/>
                <w:szCs w:val="12"/>
                <w:color w:val="auto"/>
              </w:rPr>
            </w:pPr>
          </w:p>
        </w:tc>
      </w:tr>
      <w:tr>
        <w:trPr>
          <w:trHeight w:val="144"/>
        </w:trPr>
        <w:tc>
          <w:tcPr>
            <w:tcW w:w="4300" w:type="dxa"/>
            <w:vAlign w:val="bottom"/>
          </w:tcPr>
          <w:p>
            <w:pPr>
              <w:spacing w:after="0"/>
              <w:rPr>
                <w:sz w:val="20"/>
                <w:szCs w:val="20"/>
                <w:color w:val="auto"/>
              </w:rPr>
            </w:pPr>
            <w:r>
              <w:rPr>
                <w:rFonts w:ascii="Arial" w:cs="Arial" w:eastAsia="Arial" w:hAnsi="Arial"/>
                <w:sz w:val="12"/>
                <w:szCs w:val="12"/>
                <w:color w:val="auto"/>
              </w:rPr>
              <w:t>Less imputed interest</w:t>
            </w:r>
          </w:p>
        </w:tc>
        <w:tc>
          <w:tcPr>
            <w:tcW w:w="4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2"/>
                <w:szCs w:val="12"/>
                <w:color w:val="auto"/>
              </w:rPr>
              <w:t>(492)</w:t>
            </w:r>
          </w:p>
        </w:tc>
      </w:tr>
      <w:tr>
        <w:trPr>
          <w:trHeight w:val="182"/>
        </w:trPr>
        <w:tc>
          <w:tcPr>
            <w:tcW w:w="43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Total</w:t>
            </w:r>
          </w:p>
        </w:tc>
        <w:tc>
          <w:tcPr>
            <w:tcW w:w="44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6,602</w:t>
            </w: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19 – CONCENTRATIONS OF CREDIT RISK</w:t>
      </w:r>
    </w:p>
    <w:p>
      <w:pPr>
        <w:spacing w:after="0" w:line="154"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2"/>
          <w:szCs w:val="12"/>
          <w:color w:val="auto"/>
        </w:rPr>
        <w:t>Credit risk is the risk to earnings and capital arising from an obligor’s failure to meet the terms of any contract with our organization or otherwise failing to perform as agreed. Credit risk can occur outside of our traditional lending activities and can exist in any activity where success depends on counterparty, issuer or borrower performance. Concentrations of credit risk (whether on- or off-balance sheet) arising from financial instruments can exist in relation to individual borrowers or groups of borrowers, certain types of collateral, certain types of industries or certain geographic regions. Credit risk associated with these concentrations could arise when a significant amount of loans or other financial instruments, related by similar characteristics, are simultaneously impacted by changes in economic or other conditions that cause their probability of repayment or other type of settlement to be adversely affected. Our major concentrations of credit risk arise by collateral type and by industry. The significant concentrations by collateral type at December 31, 2021, include $999.0 million of loans secured by residential real estate and $279.0 million of construction and land development loans.</w:t>
      </w:r>
    </w:p>
    <w:p>
      <w:pPr>
        <w:spacing w:after="0" w:line="128"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Additionally, within our commercial real estate and commercial loan portfolio, we had significant standard industry classification concentrations in the following categories as of December 31, 2021: Lessors of Nonresidential Real Estate ($358.6 million); Construction ($126.8 million); Lessors of Residential Real Estate ($100.2 million); Health Care and Social Assistance ($92.0 million); Accommodation and Food Services ($90.1 million) and Manufacturing ($73.4 million). A geographic concentration arises because we primarily conduct our lending activities in the State of Michigan.</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20 – REGULATORY MATTERS</w:t>
      </w:r>
    </w:p>
    <w:p>
      <w:pPr>
        <w:spacing w:after="0" w:line="154"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Capital guidelines adopted by federal and state regulatory agencies and restrictions imposed by law limit the amount of cash dividends our Bank can pay to us. Under these guidelines, the amount of dividends that may be paid in any calendar year is limited to the Bank’s current year net profits, combined with the retained net profits of the preceding two years. Further, the Bank cannot pay a dividend at any time that it has negative undivided profits. As of December 31, 2021, the Bank had positive undivided profits of $100.1 million. It is not our intent to have dividends paid in amounts that would reduce the capital of our Bank to levels below those which we consider prudent or that would not be in accordance with guidelines of regulatory authorities.</w:t>
      </w:r>
    </w:p>
    <w:p>
      <w:pPr>
        <w:spacing w:after="0" w:line="124" w:lineRule="exact"/>
        <w:rPr>
          <w:sz w:val="20"/>
          <w:szCs w:val="20"/>
          <w:color w:val="auto"/>
        </w:rPr>
      </w:pPr>
    </w:p>
    <w:p>
      <w:pPr>
        <w:jc w:val="both"/>
        <w:ind w:firstLine="216"/>
        <w:spacing w:after="0" w:line="283" w:lineRule="auto"/>
        <w:rPr>
          <w:sz w:val="20"/>
          <w:szCs w:val="20"/>
          <w:color w:val="auto"/>
        </w:rPr>
      </w:pPr>
      <w:r>
        <w:rPr>
          <w:rFonts w:ascii="Arial" w:cs="Arial" w:eastAsia="Arial" w:hAnsi="Arial"/>
          <w:sz w:val="11"/>
          <w:szCs w:val="11"/>
          <w:color w:val="auto"/>
        </w:rPr>
        <w:t>We are also subject to various regulatory capital requirements. The prompt corrective action regulations establish quantitative measures to ensure capital adequacy and require minimum amounts and ratios of total, Tier 1, and common equity Tier 1 capital to risk-weighted assets and Tier 1 capital to average assets. Failure to meet minimum capital requirements can result in certain mandatory, and possibly discretionary, actions by regulators that could have a material effect on our consolidated financial statements. In addition, capital adequacy rules include a common equity Tier 1 capital conservation buffer of 2.5% of risk-weighted assets that applies to all supervised financial institutions. To avoid limits on capital distributions and certain discretionary bonus payments we must meet the minimum ratio for adequately capitalized institutions plus the buffer. Under capital adequacy guidelines, we must meet specific capital requirements that involve quantitative measures as well as qualitative judgments by the regulators. The most recent regulatory filings as of December 31, 2021 and 2020, categorized our Bank as well capitalized. Management is not aware of any conditions or events that would have changed the most recent Federal Deposit Insurance Corporation (‘‘FDIC’’) categorization.</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157"/>
        </w:trPr>
        <w:tc>
          <w:tcPr>
            <w:tcW w:w="3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320" w:type="dxa"/>
            <w:vAlign w:val="bottom"/>
            <w:gridSpan w:val="9"/>
          </w:tcPr>
          <w:p>
            <w:pPr>
              <w:ind w:left="220"/>
              <w:spacing w:after="0"/>
              <w:rPr>
                <w:sz w:val="20"/>
                <w:szCs w:val="20"/>
                <w:color w:val="auto"/>
              </w:rPr>
            </w:pPr>
            <w:r>
              <w:rPr>
                <w:rFonts w:ascii="Arial" w:cs="Arial" w:eastAsia="Arial" w:hAnsi="Arial"/>
                <w:sz w:val="12"/>
                <w:szCs w:val="12"/>
                <w:b w:val="1"/>
                <w:bCs w:val="1"/>
                <w:color w:val="auto"/>
              </w:rPr>
              <w:t>NOTES TO CONSOLIDATED FINANCIAL STATEMENTS − (Continued)</w:t>
            </w: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5"/>
        </w:trPr>
        <w:tc>
          <w:tcPr>
            <w:tcW w:w="3280" w:type="dxa"/>
            <w:vAlign w:val="bottom"/>
          </w:tcPr>
          <w:p>
            <w:pPr>
              <w:ind w:left="200"/>
              <w:spacing w:after="0"/>
              <w:rPr>
                <w:sz w:val="20"/>
                <w:szCs w:val="20"/>
                <w:color w:val="auto"/>
              </w:rPr>
            </w:pPr>
            <w:r>
              <w:rPr>
                <w:rFonts w:ascii="Arial" w:cs="Arial" w:eastAsia="Arial" w:hAnsi="Arial"/>
                <w:sz w:val="12"/>
                <w:szCs w:val="12"/>
                <w:color w:val="auto"/>
                <w:w w:val="89"/>
              </w:rPr>
              <w:t>Our actual capital amounts and ratios at December 31 follow</w:t>
            </w:r>
            <w:r>
              <w:rPr>
                <w:rFonts w:ascii="Arial" w:cs="Arial" w:eastAsia="Arial" w:hAnsi="Arial"/>
                <w:sz w:val="19"/>
                <w:szCs w:val="19"/>
                <w:color w:val="auto"/>
                <w:w w:val="89"/>
                <w:vertAlign w:val="superscript"/>
              </w:rPr>
              <w:t>(1)</w:t>
            </w:r>
            <w:r>
              <w:rPr>
                <w:rFonts w:ascii="Arial" w:cs="Arial" w:eastAsia="Arial" w:hAnsi="Arial"/>
                <w:sz w:val="12"/>
                <w:szCs w:val="12"/>
                <w:color w:val="auto"/>
                <w:w w:val="89"/>
              </w:rPr>
              <w:t>:</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3"/>
          </w:tcPr>
          <w:p>
            <w:pPr>
              <w:jc w:val="center"/>
              <w:ind w:left="440"/>
              <w:spacing w:after="0"/>
              <w:rPr>
                <w:sz w:val="20"/>
                <w:szCs w:val="20"/>
                <w:color w:val="auto"/>
              </w:rPr>
            </w:pPr>
            <w:r>
              <w:rPr>
                <w:rFonts w:ascii="Arial" w:cs="Arial" w:eastAsia="Arial" w:hAnsi="Arial"/>
                <w:sz w:val="12"/>
                <w:szCs w:val="12"/>
                <w:b w:val="1"/>
                <w:bCs w:val="1"/>
                <w:color w:val="auto"/>
                <w:w w:val="97"/>
              </w:rPr>
              <w:t>Minimum for</w:t>
            </w: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3"/>
          </w:tcPr>
          <w:p>
            <w:pPr>
              <w:jc w:val="center"/>
              <w:ind w:left="480"/>
              <w:spacing w:after="0"/>
              <w:rPr>
                <w:sz w:val="20"/>
                <w:szCs w:val="20"/>
                <w:color w:val="auto"/>
              </w:rPr>
            </w:pPr>
            <w:r>
              <w:rPr>
                <w:rFonts w:ascii="Arial" w:cs="Arial" w:eastAsia="Arial" w:hAnsi="Arial"/>
                <w:sz w:val="12"/>
                <w:szCs w:val="12"/>
                <w:b w:val="1"/>
                <w:bCs w:val="1"/>
                <w:color w:val="auto"/>
                <w:w w:val="97"/>
              </w:rPr>
              <w:t>Minimum for</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40" w:type="dxa"/>
            <w:vAlign w:val="bottom"/>
            <w:gridSpan w:val="4"/>
          </w:tcPr>
          <w:p>
            <w:pPr>
              <w:jc w:val="center"/>
              <w:ind w:left="60"/>
              <w:spacing w:after="0"/>
              <w:rPr>
                <w:sz w:val="20"/>
                <w:szCs w:val="20"/>
                <w:color w:val="auto"/>
              </w:rPr>
            </w:pPr>
            <w:r>
              <w:rPr>
                <w:rFonts w:ascii="Arial" w:cs="Arial" w:eastAsia="Arial" w:hAnsi="Arial"/>
                <w:sz w:val="12"/>
                <w:szCs w:val="12"/>
                <w:b w:val="1"/>
                <w:bCs w:val="1"/>
                <w:color w:val="auto"/>
                <w:w w:val="92"/>
              </w:rPr>
              <w:t>Adequately Capitalized</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3"/>
          </w:tcPr>
          <w:p>
            <w:pPr>
              <w:jc w:val="center"/>
              <w:ind w:left="480"/>
              <w:spacing w:after="0"/>
              <w:rPr>
                <w:sz w:val="20"/>
                <w:szCs w:val="20"/>
                <w:color w:val="auto"/>
              </w:rPr>
            </w:pPr>
            <w:r>
              <w:rPr>
                <w:rFonts w:ascii="Arial" w:cs="Arial" w:eastAsia="Arial" w:hAnsi="Arial"/>
                <w:sz w:val="12"/>
                <w:szCs w:val="12"/>
                <w:b w:val="1"/>
                <w:bCs w:val="1"/>
                <w:color w:val="auto"/>
                <w:w w:val="93"/>
              </w:rPr>
              <w:t>Well-Capitalized</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2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tcPr>
          <w:p>
            <w:pPr>
              <w:ind w:left="880"/>
              <w:spacing w:after="0"/>
              <w:rPr>
                <w:sz w:val="20"/>
                <w:szCs w:val="20"/>
                <w:color w:val="auto"/>
              </w:rPr>
            </w:pPr>
            <w:r>
              <w:rPr>
                <w:rFonts w:ascii="Arial" w:cs="Arial" w:eastAsia="Arial" w:hAnsi="Arial"/>
                <w:sz w:val="12"/>
                <w:szCs w:val="12"/>
                <w:b w:val="1"/>
                <w:bCs w:val="1"/>
                <w:color w:val="auto"/>
              </w:rPr>
              <w:t>Actual</w:t>
            </w:r>
          </w:p>
        </w:tc>
        <w:tc>
          <w:tcPr>
            <w:tcW w:w="9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3"/>
          </w:tcPr>
          <w:p>
            <w:pPr>
              <w:jc w:val="center"/>
              <w:ind w:left="440"/>
              <w:spacing w:after="0"/>
              <w:rPr>
                <w:sz w:val="20"/>
                <w:szCs w:val="20"/>
                <w:color w:val="auto"/>
              </w:rPr>
            </w:pPr>
            <w:r>
              <w:rPr>
                <w:rFonts w:ascii="Arial" w:cs="Arial" w:eastAsia="Arial" w:hAnsi="Arial"/>
                <w:sz w:val="12"/>
                <w:szCs w:val="12"/>
                <w:b w:val="1"/>
                <w:bCs w:val="1"/>
                <w:color w:val="auto"/>
                <w:w w:val="89"/>
              </w:rPr>
              <w:t>Institutions</w:t>
            </w:r>
          </w:p>
        </w:tc>
        <w:tc>
          <w:tcPr>
            <w:tcW w:w="3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jc w:val="center"/>
              <w:ind w:left="480"/>
              <w:spacing w:after="0"/>
              <w:rPr>
                <w:sz w:val="20"/>
                <w:szCs w:val="20"/>
                <w:color w:val="auto"/>
              </w:rPr>
            </w:pPr>
            <w:r>
              <w:rPr>
                <w:rFonts w:ascii="Arial" w:cs="Arial" w:eastAsia="Arial" w:hAnsi="Arial"/>
                <w:sz w:val="12"/>
                <w:szCs w:val="12"/>
                <w:b w:val="1"/>
                <w:bCs w:val="1"/>
                <w:color w:val="auto"/>
                <w:w w:val="89"/>
              </w:rPr>
              <w:t>Institutions</w:t>
            </w:r>
          </w:p>
        </w:tc>
        <w:tc>
          <w:tcPr>
            <w:tcW w:w="7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Ratio</w:t>
            </w:r>
          </w:p>
        </w:tc>
        <w:tc>
          <w:tcPr>
            <w:tcW w:w="2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Ratio</w:t>
            </w:r>
          </w:p>
        </w:tc>
        <w:tc>
          <w:tcPr>
            <w:tcW w:w="3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120"/>
              <w:spacing w:after="0"/>
              <w:rPr>
                <w:sz w:val="20"/>
                <w:szCs w:val="20"/>
                <w:color w:val="auto"/>
              </w:rPr>
            </w:pPr>
            <w:r>
              <w:rPr>
                <w:rFonts w:ascii="Arial" w:cs="Arial" w:eastAsia="Arial" w:hAnsi="Arial"/>
                <w:sz w:val="12"/>
                <w:szCs w:val="12"/>
                <w:b w:val="1"/>
                <w:bCs w:val="1"/>
                <w:color w:val="auto"/>
                <w:w w:val="92"/>
              </w:rPr>
              <w:t>Amount</w:t>
            </w:r>
          </w:p>
        </w:tc>
        <w:tc>
          <w:tcPr>
            <w:tcW w:w="2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w w:val="99"/>
              </w:rPr>
              <w:t>Ratio</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280" w:type="dxa"/>
            <w:vAlign w:val="bottom"/>
            <w:vMerge w:val="restart"/>
          </w:tcPr>
          <w:p>
            <w:pPr>
              <w:spacing w:after="0"/>
              <w:rPr>
                <w:sz w:val="20"/>
                <w:szCs w:val="20"/>
                <w:color w:val="auto"/>
              </w:rPr>
            </w:pPr>
            <w:r>
              <w:rPr>
                <w:rFonts w:ascii="Arial" w:cs="Arial" w:eastAsia="Arial" w:hAnsi="Arial"/>
                <w:sz w:val="12"/>
                <w:szCs w:val="12"/>
                <w:color w:val="auto"/>
              </w:rPr>
              <w:t>2021</w:t>
            </w: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gridSpan w:val="3"/>
          </w:tcPr>
          <w:p>
            <w:pPr>
              <w:ind w:left="420"/>
              <w:spacing w:after="0"/>
              <w:rPr>
                <w:sz w:val="20"/>
                <w:szCs w:val="20"/>
                <w:color w:val="auto"/>
              </w:rPr>
            </w:pPr>
            <w:r>
              <w:rPr>
                <w:rFonts w:ascii="Arial" w:cs="Arial" w:eastAsia="Arial" w:hAnsi="Arial"/>
                <w:sz w:val="12"/>
                <w:szCs w:val="12"/>
                <w:b w:val="1"/>
                <w:bCs w:val="1"/>
                <w:color w:val="auto"/>
                <w:w w:val="88"/>
              </w:rPr>
              <w:t>(Dollars in thousands)</w:t>
            </w: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280" w:type="dxa"/>
            <w:vAlign w:val="bottom"/>
          </w:tcPr>
          <w:p>
            <w:pPr>
              <w:spacing w:after="0"/>
              <w:rPr>
                <w:sz w:val="20"/>
                <w:szCs w:val="20"/>
                <w:color w:val="auto"/>
              </w:rPr>
            </w:pPr>
            <w:r>
              <w:rPr>
                <w:rFonts w:ascii="Arial" w:cs="Arial" w:eastAsia="Arial" w:hAnsi="Arial"/>
                <w:sz w:val="12"/>
                <w:szCs w:val="12"/>
                <w:color w:val="auto"/>
              </w:rPr>
              <w:t>Total capital to risk-weighted assets</w:t>
            </w: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80" w:type="dxa"/>
            <w:vAlign w:val="bottom"/>
            <w:shd w:val="clear" w:color="auto" w:fill="CCEEFF"/>
          </w:tcPr>
          <w:p>
            <w:pPr>
              <w:ind w:left="80"/>
              <w:spacing w:after="0"/>
              <w:rPr>
                <w:sz w:val="20"/>
                <w:szCs w:val="20"/>
                <w:color w:val="auto"/>
              </w:rPr>
            </w:pPr>
            <w:r>
              <w:rPr>
                <w:rFonts w:ascii="Arial" w:cs="Arial" w:eastAsia="Arial" w:hAnsi="Arial"/>
                <w:sz w:val="12"/>
                <w:szCs w:val="12"/>
                <w:color w:val="auto"/>
              </w:rPr>
              <w:t>Consolidated</w:t>
            </w: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488,495</w:t>
            </w:r>
          </w:p>
        </w:tc>
        <w:tc>
          <w:tcPr>
            <w:tcW w:w="2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14.53%</w:t>
            </w: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268,991</w:t>
            </w: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8.00%</w:t>
            </w:r>
          </w:p>
        </w:tc>
        <w:tc>
          <w:tcPr>
            <w:tcW w:w="200" w:type="dxa"/>
            <w:vAlign w:val="bottom"/>
            <w:shd w:val="clear" w:color="auto" w:fill="CCEEFF"/>
          </w:tcPr>
          <w:p>
            <w:pPr>
              <w:spacing w:after="0"/>
              <w:rPr>
                <w:sz w:val="12"/>
                <w:szCs w:val="12"/>
                <w:color w:val="auto"/>
              </w:rPr>
            </w:pPr>
          </w:p>
        </w:tc>
        <w:tc>
          <w:tcPr>
            <w:tcW w:w="1520" w:type="dxa"/>
            <w:vAlign w:val="bottom"/>
            <w:gridSpan w:val="3"/>
            <w:shd w:val="clear" w:color="auto" w:fill="CCEEFF"/>
          </w:tcPr>
          <w:p>
            <w:pPr>
              <w:jc w:val="center"/>
              <w:ind w:right="780"/>
              <w:spacing w:after="0"/>
              <w:rPr>
                <w:sz w:val="20"/>
                <w:szCs w:val="20"/>
                <w:color w:val="auto"/>
              </w:rPr>
            </w:pPr>
            <w:r>
              <w:rPr>
                <w:rFonts w:ascii="Arial" w:cs="Arial" w:eastAsia="Arial" w:hAnsi="Arial"/>
                <w:sz w:val="12"/>
                <w:szCs w:val="12"/>
                <w:color w:val="auto"/>
              </w:rPr>
              <w:t>NA</w:t>
            </w:r>
          </w:p>
        </w:tc>
        <w:tc>
          <w:tcPr>
            <w:tcW w:w="860" w:type="dxa"/>
            <w:vAlign w:val="bottom"/>
            <w:gridSpan w:val="2"/>
            <w:shd w:val="clear" w:color="auto" w:fill="CCEEFF"/>
          </w:tcPr>
          <w:p>
            <w:pPr>
              <w:jc w:val="right"/>
              <w:ind w:right="580"/>
              <w:spacing w:after="0"/>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144"/>
        </w:trPr>
        <w:tc>
          <w:tcPr>
            <w:tcW w:w="3280" w:type="dxa"/>
            <w:vAlign w:val="bottom"/>
          </w:tcPr>
          <w:p>
            <w:pPr>
              <w:ind w:left="80"/>
              <w:spacing w:after="0"/>
              <w:rPr>
                <w:sz w:val="20"/>
                <w:szCs w:val="20"/>
                <w:color w:val="auto"/>
              </w:rPr>
            </w:pPr>
            <w:r>
              <w:rPr>
                <w:rFonts w:ascii="Arial" w:cs="Arial" w:eastAsia="Arial" w:hAnsi="Arial"/>
                <w:sz w:val="12"/>
                <w:szCs w:val="12"/>
                <w:color w:val="auto"/>
              </w:rPr>
              <w:t>Independent Bank</w:t>
            </w: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438,352</w:t>
            </w:r>
          </w:p>
        </w:tc>
        <w:tc>
          <w:tcPr>
            <w:tcW w:w="24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13.05</w:t>
            </w:r>
          </w:p>
        </w:tc>
        <w:tc>
          <w:tcPr>
            <w:tcW w:w="20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268,808</w:t>
            </w: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gridSpan w:val="2"/>
          </w:tcPr>
          <w:p>
            <w:pPr>
              <w:ind w:left="120"/>
              <w:spacing w:after="0"/>
              <w:rPr>
                <w:sz w:val="20"/>
                <w:szCs w:val="20"/>
                <w:color w:val="auto"/>
              </w:rPr>
            </w:pPr>
            <w:r>
              <w:rPr>
                <w:rFonts w:ascii="Arial" w:cs="Arial" w:eastAsia="Arial" w:hAnsi="Arial"/>
                <w:sz w:val="12"/>
                <w:szCs w:val="12"/>
                <w:color w:val="auto"/>
              </w:rPr>
              <w:t>8.00</w:t>
            </w: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336,011</w:t>
            </w:r>
          </w:p>
        </w:tc>
        <w:tc>
          <w:tcPr>
            <w:tcW w:w="380" w:type="dxa"/>
            <w:vAlign w:val="bottom"/>
          </w:tcPr>
          <w:p>
            <w:pPr>
              <w:spacing w:after="0"/>
              <w:rPr>
                <w:sz w:val="12"/>
                <w:szCs w:val="1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2"/>
                <w:szCs w:val="12"/>
                <w:color w:val="auto"/>
              </w:rPr>
              <w:t>10.00%</w:t>
            </w:r>
          </w:p>
        </w:tc>
        <w:tc>
          <w:tcPr>
            <w:tcW w:w="0" w:type="dxa"/>
            <w:vAlign w:val="bottom"/>
          </w:tcPr>
          <w:p>
            <w:pPr>
              <w:spacing w:after="0"/>
              <w:rPr>
                <w:sz w:val="1"/>
                <w:szCs w:val="1"/>
                <w:color w:val="auto"/>
              </w:rPr>
            </w:pPr>
          </w:p>
        </w:tc>
      </w:tr>
      <w:tr>
        <w:trPr>
          <w:trHeight w:val="144"/>
        </w:trPr>
        <w:tc>
          <w:tcPr>
            <w:tcW w:w="3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80" w:type="dxa"/>
            <w:vAlign w:val="bottom"/>
          </w:tcPr>
          <w:p>
            <w:pPr>
              <w:spacing w:after="0"/>
              <w:rPr>
                <w:sz w:val="20"/>
                <w:szCs w:val="20"/>
                <w:color w:val="auto"/>
              </w:rPr>
            </w:pPr>
            <w:r>
              <w:rPr>
                <w:rFonts w:ascii="Arial" w:cs="Arial" w:eastAsia="Arial" w:hAnsi="Arial"/>
                <w:sz w:val="12"/>
                <w:szCs w:val="12"/>
                <w:color w:val="auto"/>
              </w:rPr>
              <w:t>Tier 1 capital to risk-weighted assets</w:t>
            </w: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80" w:type="dxa"/>
            <w:vAlign w:val="bottom"/>
            <w:shd w:val="clear" w:color="auto" w:fill="CCEEFF"/>
          </w:tcPr>
          <w:p>
            <w:pPr>
              <w:ind w:left="80"/>
              <w:spacing w:after="0"/>
              <w:rPr>
                <w:sz w:val="20"/>
                <w:szCs w:val="20"/>
                <w:color w:val="auto"/>
              </w:rPr>
            </w:pPr>
            <w:r>
              <w:rPr>
                <w:rFonts w:ascii="Arial" w:cs="Arial" w:eastAsia="Arial" w:hAnsi="Arial"/>
                <w:sz w:val="12"/>
                <w:szCs w:val="12"/>
                <w:color w:val="auto"/>
              </w:rPr>
              <w:t>Consolidated</w:t>
            </w: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406,645</w:t>
            </w:r>
          </w:p>
        </w:tc>
        <w:tc>
          <w:tcPr>
            <w:tcW w:w="2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12.09%</w:t>
            </w: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201,743</w:t>
            </w: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6.00%</w:t>
            </w:r>
          </w:p>
        </w:tc>
        <w:tc>
          <w:tcPr>
            <w:tcW w:w="200" w:type="dxa"/>
            <w:vAlign w:val="bottom"/>
            <w:shd w:val="clear" w:color="auto" w:fill="CCEEFF"/>
          </w:tcPr>
          <w:p>
            <w:pPr>
              <w:spacing w:after="0"/>
              <w:rPr>
                <w:sz w:val="12"/>
                <w:szCs w:val="12"/>
                <w:color w:val="auto"/>
              </w:rPr>
            </w:pPr>
          </w:p>
        </w:tc>
        <w:tc>
          <w:tcPr>
            <w:tcW w:w="1520" w:type="dxa"/>
            <w:vAlign w:val="bottom"/>
            <w:gridSpan w:val="3"/>
            <w:shd w:val="clear" w:color="auto" w:fill="CCEEFF"/>
          </w:tcPr>
          <w:p>
            <w:pPr>
              <w:jc w:val="center"/>
              <w:ind w:right="780"/>
              <w:spacing w:after="0"/>
              <w:rPr>
                <w:sz w:val="20"/>
                <w:szCs w:val="20"/>
                <w:color w:val="auto"/>
              </w:rPr>
            </w:pPr>
            <w:r>
              <w:rPr>
                <w:rFonts w:ascii="Arial" w:cs="Arial" w:eastAsia="Arial" w:hAnsi="Arial"/>
                <w:sz w:val="12"/>
                <w:szCs w:val="12"/>
                <w:color w:val="auto"/>
              </w:rPr>
              <w:t>NA</w:t>
            </w:r>
          </w:p>
        </w:tc>
        <w:tc>
          <w:tcPr>
            <w:tcW w:w="860" w:type="dxa"/>
            <w:vAlign w:val="bottom"/>
            <w:gridSpan w:val="2"/>
            <w:shd w:val="clear" w:color="auto" w:fill="CCEEFF"/>
          </w:tcPr>
          <w:p>
            <w:pPr>
              <w:jc w:val="right"/>
              <w:ind w:right="580"/>
              <w:spacing w:after="0"/>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144"/>
        </w:trPr>
        <w:tc>
          <w:tcPr>
            <w:tcW w:w="3280" w:type="dxa"/>
            <w:vAlign w:val="bottom"/>
          </w:tcPr>
          <w:p>
            <w:pPr>
              <w:ind w:left="80"/>
              <w:spacing w:after="0"/>
              <w:rPr>
                <w:sz w:val="20"/>
                <w:szCs w:val="20"/>
                <w:color w:val="auto"/>
              </w:rPr>
            </w:pPr>
            <w:r>
              <w:rPr>
                <w:rFonts w:ascii="Arial" w:cs="Arial" w:eastAsia="Arial" w:hAnsi="Arial"/>
                <w:sz w:val="12"/>
                <w:szCs w:val="12"/>
                <w:color w:val="auto"/>
              </w:rPr>
              <w:t>Independent Bank</w:t>
            </w: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396,351</w:t>
            </w:r>
          </w:p>
        </w:tc>
        <w:tc>
          <w:tcPr>
            <w:tcW w:w="24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11.80</w:t>
            </w:r>
          </w:p>
        </w:tc>
        <w:tc>
          <w:tcPr>
            <w:tcW w:w="20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201,606</w:t>
            </w: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gridSpan w:val="2"/>
          </w:tcPr>
          <w:p>
            <w:pPr>
              <w:ind w:left="120"/>
              <w:spacing w:after="0"/>
              <w:rPr>
                <w:sz w:val="20"/>
                <w:szCs w:val="20"/>
                <w:color w:val="auto"/>
              </w:rPr>
            </w:pPr>
            <w:r>
              <w:rPr>
                <w:rFonts w:ascii="Arial" w:cs="Arial" w:eastAsia="Arial" w:hAnsi="Arial"/>
                <w:sz w:val="12"/>
                <w:szCs w:val="12"/>
                <w:color w:val="auto"/>
              </w:rPr>
              <w:t>6.00</w:t>
            </w: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268,808</w:t>
            </w:r>
          </w:p>
        </w:tc>
        <w:tc>
          <w:tcPr>
            <w:tcW w:w="380" w:type="dxa"/>
            <w:vAlign w:val="bottom"/>
          </w:tcPr>
          <w:p>
            <w:pPr>
              <w:spacing w:after="0"/>
              <w:rPr>
                <w:sz w:val="12"/>
                <w:szCs w:val="1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2"/>
                <w:szCs w:val="12"/>
                <w:color w:val="auto"/>
              </w:rPr>
              <w:t>8.00%</w:t>
            </w:r>
          </w:p>
        </w:tc>
        <w:tc>
          <w:tcPr>
            <w:tcW w:w="0" w:type="dxa"/>
            <w:vAlign w:val="bottom"/>
          </w:tcPr>
          <w:p>
            <w:pPr>
              <w:spacing w:after="0"/>
              <w:rPr>
                <w:sz w:val="1"/>
                <w:szCs w:val="1"/>
                <w:color w:val="auto"/>
              </w:rPr>
            </w:pPr>
          </w:p>
        </w:tc>
      </w:tr>
      <w:tr>
        <w:trPr>
          <w:trHeight w:val="144"/>
        </w:trPr>
        <w:tc>
          <w:tcPr>
            <w:tcW w:w="3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80" w:type="dxa"/>
            <w:vAlign w:val="bottom"/>
          </w:tcPr>
          <w:p>
            <w:pPr>
              <w:spacing w:after="0"/>
              <w:rPr>
                <w:sz w:val="20"/>
                <w:szCs w:val="20"/>
                <w:color w:val="auto"/>
              </w:rPr>
            </w:pPr>
            <w:r>
              <w:rPr>
                <w:rFonts w:ascii="Arial" w:cs="Arial" w:eastAsia="Arial" w:hAnsi="Arial"/>
                <w:sz w:val="12"/>
                <w:szCs w:val="12"/>
                <w:color w:val="auto"/>
              </w:rPr>
              <w:t>Common equity tier 1 capital to risk-weighted assets</w:t>
            </w: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80" w:type="dxa"/>
            <w:vAlign w:val="bottom"/>
            <w:shd w:val="clear" w:color="auto" w:fill="CCEEFF"/>
          </w:tcPr>
          <w:p>
            <w:pPr>
              <w:ind w:left="80"/>
              <w:spacing w:after="0"/>
              <w:rPr>
                <w:sz w:val="20"/>
                <w:szCs w:val="20"/>
                <w:color w:val="auto"/>
              </w:rPr>
            </w:pPr>
            <w:r>
              <w:rPr>
                <w:rFonts w:ascii="Arial" w:cs="Arial" w:eastAsia="Arial" w:hAnsi="Arial"/>
                <w:sz w:val="12"/>
                <w:szCs w:val="12"/>
                <w:color w:val="auto"/>
              </w:rPr>
              <w:t>Consolidated</w:t>
            </w: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368,277</w:t>
            </w:r>
          </w:p>
        </w:tc>
        <w:tc>
          <w:tcPr>
            <w:tcW w:w="2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10.95%</w:t>
            </w: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151,307</w:t>
            </w: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4.50%</w:t>
            </w:r>
          </w:p>
        </w:tc>
        <w:tc>
          <w:tcPr>
            <w:tcW w:w="200" w:type="dxa"/>
            <w:vAlign w:val="bottom"/>
            <w:shd w:val="clear" w:color="auto" w:fill="CCEEFF"/>
          </w:tcPr>
          <w:p>
            <w:pPr>
              <w:spacing w:after="0"/>
              <w:rPr>
                <w:sz w:val="12"/>
                <w:szCs w:val="12"/>
                <w:color w:val="auto"/>
              </w:rPr>
            </w:pPr>
          </w:p>
        </w:tc>
        <w:tc>
          <w:tcPr>
            <w:tcW w:w="1520" w:type="dxa"/>
            <w:vAlign w:val="bottom"/>
            <w:gridSpan w:val="3"/>
            <w:shd w:val="clear" w:color="auto" w:fill="CCEEFF"/>
          </w:tcPr>
          <w:p>
            <w:pPr>
              <w:jc w:val="center"/>
              <w:ind w:right="780"/>
              <w:spacing w:after="0"/>
              <w:rPr>
                <w:sz w:val="20"/>
                <w:szCs w:val="20"/>
                <w:color w:val="auto"/>
              </w:rPr>
            </w:pPr>
            <w:r>
              <w:rPr>
                <w:rFonts w:ascii="Arial" w:cs="Arial" w:eastAsia="Arial" w:hAnsi="Arial"/>
                <w:sz w:val="12"/>
                <w:szCs w:val="12"/>
                <w:color w:val="auto"/>
              </w:rPr>
              <w:t>NA</w:t>
            </w:r>
          </w:p>
        </w:tc>
        <w:tc>
          <w:tcPr>
            <w:tcW w:w="860" w:type="dxa"/>
            <w:vAlign w:val="bottom"/>
            <w:gridSpan w:val="2"/>
            <w:shd w:val="clear" w:color="auto" w:fill="CCEEFF"/>
          </w:tcPr>
          <w:p>
            <w:pPr>
              <w:jc w:val="right"/>
              <w:ind w:right="580"/>
              <w:spacing w:after="0"/>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144"/>
        </w:trPr>
        <w:tc>
          <w:tcPr>
            <w:tcW w:w="3280" w:type="dxa"/>
            <w:vAlign w:val="bottom"/>
          </w:tcPr>
          <w:p>
            <w:pPr>
              <w:ind w:left="80"/>
              <w:spacing w:after="0"/>
              <w:rPr>
                <w:sz w:val="20"/>
                <w:szCs w:val="20"/>
                <w:color w:val="auto"/>
              </w:rPr>
            </w:pPr>
            <w:r>
              <w:rPr>
                <w:rFonts w:ascii="Arial" w:cs="Arial" w:eastAsia="Arial" w:hAnsi="Arial"/>
                <w:sz w:val="12"/>
                <w:szCs w:val="12"/>
                <w:color w:val="auto"/>
              </w:rPr>
              <w:t>Independent Bank</w:t>
            </w: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396,351</w:t>
            </w:r>
          </w:p>
        </w:tc>
        <w:tc>
          <w:tcPr>
            <w:tcW w:w="24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11.80</w:t>
            </w:r>
          </w:p>
        </w:tc>
        <w:tc>
          <w:tcPr>
            <w:tcW w:w="20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151,205</w:t>
            </w: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gridSpan w:val="2"/>
          </w:tcPr>
          <w:p>
            <w:pPr>
              <w:ind w:left="120"/>
              <w:spacing w:after="0"/>
              <w:rPr>
                <w:sz w:val="20"/>
                <w:szCs w:val="20"/>
                <w:color w:val="auto"/>
              </w:rPr>
            </w:pPr>
            <w:r>
              <w:rPr>
                <w:rFonts w:ascii="Arial" w:cs="Arial" w:eastAsia="Arial" w:hAnsi="Arial"/>
                <w:sz w:val="12"/>
                <w:szCs w:val="12"/>
                <w:color w:val="auto"/>
              </w:rPr>
              <w:t>4.50</w:t>
            </w: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218,407</w:t>
            </w:r>
          </w:p>
        </w:tc>
        <w:tc>
          <w:tcPr>
            <w:tcW w:w="380" w:type="dxa"/>
            <w:vAlign w:val="bottom"/>
          </w:tcPr>
          <w:p>
            <w:pPr>
              <w:spacing w:after="0"/>
              <w:rPr>
                <w:sz w:val="12"/>
                <w:szCs w:val="1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2"/>
                <w:szCs w:val="12"/>
                <w:color w:val="auto"/>
              </w:rPr>
              <w:t>6.50%</w:t>
            </w:r>
          </w:p>
        </w:tc>
        <w:tc>
          <w:tcPr>
            <w:tcW w:w="0" w:type="dxa"/>
            <w:vAlign w:val="bottom"/>
          </w:tcPr>
          <w:p>
            <w:pPr>
              <w:spacing w:after="0"/>
              <w:rPr>
                <w:sz w:val="1"/>
                <w:szCs w:val="1"/>
                <w:color w:val="auto"/>
              </w:rPr>
            </w:pPr>
          </w:p>
        </w:tc>
      </w:tr>
      <w:tr>
        <w:trPr>
          <w:trHeight w:val="144"/>
        </w:trPr>
        <w:tc>
          <w:tcPr>
            <w:tcW w:w="3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80" w:type="dxa"/>
            <w:vAlign w:val="bottom"/>
          </w:tcPr>
          <w:p>
            <w:pPr>
              <w:spacing w:after="0"/>
              <w:rPr>
                <w:sz w:val="20"/>
                <w:szCs w:val="20"/>
                <w:color w:val="auto"/>
              </w:rPr>
            </w:pPr>
            <w:r>
              <w:rPr>
                <w:rFonts w:ascii="Arial" w:cs="Arial" w:eastAsia="Arial" w:hAnsi="Arial"/>
                <w:sz w:val="12"/>
                <w:szCs w:val="12"/>
                <w:color w:val="auto"/>
              </w:rPr>
              <w:t>Tier 1 capital to average assets</w:t>
            </w: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80" w:type="dxa"/>
            <w:vAlign w:val="bottom"/>
            <w:shd w:val="clear" w:color="auto" w:fill="CCEEFF"/>
          </w:tcPr>
          <w:p>
            <w:pPr>
              <w:ind w:left="80"/>
              <w:spacing w:after="0"/>
              <w:rPr>
                <w:sz w:val="20"/>
                <w:szCs w:val="20"/>
                <w:color w:val="auto"/>
              </w:rPr>
            </w:pPr>
            <w:r>
              <w:rPr>
                <w:rFonts w:ascii="Arial" w:cs="Arial" w:eastAsia="Arial" w:hAnsi="Arial"/>
                <w:sz w:val="12"/>
                <w:szCs w:val="12"/>
                <w:color w:val="auto"/>
              </w:rPr>
              <w:t>Consolidated</w:t>
            </w: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406,645</w:t>
            </w:r>
          </w:p>
        </w:tc>
        <w:tc>
          <w:tcPr>
            <w:tcW w:w="2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8.79%</w:t>
            </w: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185,034</w:t>
            </w: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4.00%</w:t>
            </w:r>
          </w:p>
        </w:tc>
        <w:tc>
          <w:tcPr>
            <w:tcW w:w="200" w:type="dxa"/>
            <w:vAlign w:val="bottom"/>
            <w:shd w:val="clear" w:color="auto" w:fill="CCEEFF"/>
          </w:tcPr>
          <w:p>
            <w:pPr>
              <w:spacing w:after="0"/>
              <w:rPr>
                <w:sz w:val="12"/>
                <w:szCs w:val="12"/>
                <w:color w:val="auto"/>
              </w:rPr>
            </w:pPr>
          </w:p>
        </w:tc>
        <w:tc>
          <w:tcPr>
            <w:tcW w:w="1520" w:type="dxa"/>
            <w:vAlign w:val="bottom"/>
            <w:gridSpan w:val="3"/>
            <w:shd w:val="clear" w:color="auto" w:fill="CCEEFF"/>
          </w:tcPr>
          <w:p>
            <w:pPr>
              <w:jc w:val="center"/>
              <w:ind w:right="780"/>
              <w:spacing w:after="0"/>
              <w:rPr>
                <w:sz w:val="20"/>
                <w:szCs w:val="20"/>
                <w:color w:val="auto"/>
              </w:rPr>
            </w:pPr>
            <w:r>
              <w:rPr>
                <w:rFonts w:ascii="Arial" w:cs="Arial" w:eastAsia="Arial" w:hAnsi="Arial"/>
                <w:sz w:val="12"/>
                <w:szCs w:val="12"/>
                <w:color w:val="auto"/>
              </w:rPr>
              <w:t>NA</w:t>
            </w:r>
          </w:p>
        </w:tc>
        <w:tc>
          <w:tcPr>
            <w:tcW w:w="860" w:type="dxa"/>
            <w:vAlign w:val="bottom"/>
            <w:gridSpan w:val="2"/>
            <w:shd w:val="clear" w:color="auto" w:fill="CCEEFF"/>
          </w:tcPr>
          <w:p>
            <w:pPr>
              <w:jc w:val="right"/>
              <w:ind w:right="580"/>
              <w:spacing w:after="0"/>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144"/>
        </w:trPr>
        <w:tc>
          <w:tcPr>
            <w:tcW w:w="3280" w:type="dxa"/>
            <w:vAlign w:val="bottom"/>
          </w:tcPr>
          <w:p>
            <w:pPr>
              <w:ind w:left="80"/>
              <w:spacing w:after="0"/>
              <w:rPr>
                <w:sz w:val="20"/>
                <w:szCs w:val="20"/>
                <w:color w:val="auto"/>
              </w:rPr>
            </w:pPr>
            <w:r>
              <w:rPr>
                <w:rFonts w:ascii="Arial" w:cs="Arial" w:eastAsia="Arial" w:hAnsi="Arial"/>
                <w:sz w:val="12"/>
                <w:szCs w:val="12"/>
                <w:color w:val="auto"/>
              </w:rPr>
              <w:t>Independent Bank</w:t>
            </w: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396,351</w:t>
            </w:r>
          </w:p>
        </w:tc>
        <w:tc>
          <w:tcPr>
            <w:tcW w:w="24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8.57</w:t>
            </w:r>
          </w:p>
        </w:tc>
        <w:tc>
          <w:tcPr>
            <w:tcW w:w="20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185,077</w:t>
            </w: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gridSpan w:val="2"/>
          </w:tcPr>
          <w:p>
            <w:pPr>
              <w:ind w:left="120"/>
              <w:spacing w:after="0"/>
              <w:rPr>
                <w:sz w:val="20"/>
                <w:szCs w:val="20"/>
                <w:color w:val="auto"/>
              </w:rPr>
            </w:pPr>
            <w:r>
              <w:rPr>
                <w:rFonts w:ascii="Arial" w:cs="Arial" w:eastAsia="Arial" w:hAnsi="Arial"/>
                <w:sz w:val="12"/>
                <w:szCs w:val="12"/>
                <w:color w:val="auto"/>
              </w:rPr>
              <w:t>4.00</w:t>
            </w: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231,347</w:t>
            </w:r>
          </w:p>
        </w:tc>
        <w:tc>
          <w:tcPr>
            <w:tcW w:w="380" w:type="dxa"/>
            <w:vAlign w:val="bottom"/>
          </w:tcPr>
          <w:p>
            <w:pPr>
              <w:spacing w:after="0"/>
              <w:rPr>
                <w:sz w:val="12"/>
                <w:szCs w:val="1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2"/>
                <w:szCs w:val="12"/>
                <w:color w:val="auto"/>
              </w:rPr>
              <w:t>5.00%</w:t>
            </w:r>
          </w:p>
        </w:tc>
        <w:tc>
          <w:tcPr>
            <w:tcW w:w="0" w:type="dxa"/>
            <w:vAlign w:val="bottom"/>
          </w:tcPr>
          <w:p>
            <w:pPr>
              <w:spacing w:after="0"/>
              <w:rPr>
                <w:sz w:val="1"/>
                <w:szCs w:val="1"/>
                <w:color w:val="auto"/>
              </w:rPr>
            </w:pPr>
          </w:p>
        </w:tc>
      </w:tr>
      <w:tr>
        <w:trPr>
          <w:trHeight w:val="144"/>
        </w:trPr>
        <w:tc>
          <w:tcPr>
            <w:tcW w:w="3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80" w:type="dxa"/>
            <w:vAlign w:val="bottom"/>
          </w:tcPr>
          <w:p>
            <w:pPr>
              <w:spacing w:after="0"/>
              <w:rPr>
                <w:sz w:val="20"/>
                <w:szCs w:val="20"/>
                <w:color w:val="auto"/>
              </w:rPr>
            </w:pPr>
            <w:r>
              <w:rPr>
                <w:rFonts w:ascii="Arial" w:cs="Arial" w:eastAsia="Arial" w:hAnsi="Arial"/>
                <w:sz w:val="12"/>
                <w:szCs w:val="12"/>
                <w:color w:val="auto"/>
              </w:rPr>
              <w:t>2020</w:t>
            </w: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80" w:type="dxa"/>
            <w:vAlign w:val="bottom"/>
            <w:shd w:val="clear" w:color="auto" w:fill="CCEEFF"/>
          </w:tcPr>
          <w:p>
            <w:pPr>
              <w:spacing w:after="0"/>
              <w:rPr>
                <w:sz w:val="20"/>
                <w:szCs w:val="20"/>
                <w:color w:val="auto"/>
              </w:rPr>
            </w:pPr>
            <w:r>
              <w:rPr>
                <w:rFonts w:ascii="Arial" w:cs="Arial" w:eastAsia="Arial" w:hAnsi="Arial"/>
                <w:sz w:val="12"/>
                <w:szCs w:val="12"/>
                <w:color w:val="auto"/>
              </w:rPr>
              <w:t>Total capital to risk-weighted assets</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80" w:type="dxa"/>
            <w:vAlign w:val="bottom"/>
          </w:tcPr>
          <w:p>
            <w:pPr>
              <w:ind w:left="80"/>
              <w:spacing w:after="0"/>
              <w:rPr>
                <w:sz w:val="20"/>
                <w:szCs w:val="20"/>
                <w:color w:val="auto"/>
              </w:rPr>
            </w:pPr>
            <w:r>
              <w:rPr>
                <w:rFonts w:ascii="Arial" w:cs="Arial" w:eastAsia="Arial" w:hAnsi="Arial"/>
                <w:sz w:val="12"/>
                <w:szCs w:val="12"/>
                <w:color w:val="auto"/>
              </w:rPr>
              <w:t>Consolidated</w:t>
            </w: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455,072</w:t>
            </w:r>
          </w:p>
        </w:tc>
        <w:tc>
          <w:tcPr>
            <w:tcW w:w="24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2"/>
                <w:szCs w:val="12"/>
                <w:color w:val="auto"/>
              </w:rPr>
              <w:t>15.95%</w:t>
            </w: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228,214</w:t>
            </w: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gridSpan w:val="2"/>
          </w:tcPr>
          <w:p>
            <w:pPr>
              <w:ind w:left="120"/>
              <w:spacing w:after="0"/>
              <w:rPr>
                <w:sz w:val="20"/>
                <w:szCs w:val="20"/>
                <w:color w:val="auto"/>
              </w:rPr>
            </w:pPr>
            <w:r>
              <w:rPr>
                <w:rFonts w:ascii="Arial" w:cs="Arial" w:eastAsia="Arial" w:hAnsi="Arial"/>
                <w:sz w:val="12"/>
                <w:szCs w:val="12"/>
                <w:color w:val="auto"/>
              </w:rPr>
              <w:t>8.00%</w:t>
            </w:r>
          </w:p>
        </w:tc>
        <w:tc>
          <w:tcPr>
            <w:tcW w:w="200" w:type="dxa"/>
            <w:vAlign w:val="bottom"/>
          </w:tcPr>
          <w:p>
            <w:pPr>
              <w:spacing w:after="0"/>
              <w:rPr>
                <w:sz w:val="12"/>
                <w:szCs w:val="12"/>
                <w:color w:val="auto"/>
              </w:rPr>
            </w:pPr>
          </w:p>
        </w:tc>
        <w:tc>
          <w:tcPr>
            <w:tcW w:w="1520" w:type="dxa"/>
            <w:vAlign w:val="bottom"/>
            <w:gridSpan w:val="3"/>
          </w:tcPr>
          <w:p>
            <w:pPr>
              <w:jc w:val="center"/>
              <w:ind w:right="780"/>
              <w:spacing w:after="0"/>
              <w:rPr>
                <w:sz w:val="20"/>
                <w:szCs w:val="20"/>
                <w:color w:val="auto"/>
              </w:rPr>
            </w:pPr>
            <w:r>
              <w:rPr>
                <w:rFonts w:ascii="Arial" w:cs="Arial" w:eastAsia="Arial" w:hAnsi="Arial"/>
                <w:sz w:val="12"/>
                <w:szCs w:val="12"/>
                <w:color w:val="auto"/>
              </w:rPr>
              <w:t>NA</w:t>
            </w:r>
          </w:p>
        </w:tc>
        <w:tc>
          <w:tcPr>
            <w:tcW w:w="860" w:type="dxa"/>
            <w:vAlign w:val="bottom"/>
            <w:gridSpan w:val="2"/>
          </w:tcPr>
          <w:p>
            <w:pPr>
              <w:jc w:val="right"/>
              <w:ind w:right="580"/>
              <w:spacing w:after="0"/>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144"/>
        </w:trPr>
        <w:tc>
          <w:tcPr>
            <w:tcW w:w="3280" w:type="dxa"/>
            <w:vAlign w:val="bottom"/>
            <w:shd w:val="clear" w:color="auto" w:fill="CCEEFF"/>
          </w:tcPr>
          <w:p>
            <w:pPr>
              <w:ind w:left="80"/>
              <w:spacing w:after="0"/>
              <w:rPr>
                <w:sz w:val="20"/>
                <w:szCs w:val="20"/>
                <w:color w:val="auto"/>
              </w:rPr>
            </w:pPr>
            <w:r>
              <w:rPr>
                <w:rFonts w:ascii="Arial" w:cs="Arial" w:eastAsia="Arial" w:hAnsi="Arial"/>
                <w:sz w:val="12"/>
                <w:szCs w:val="12"/>
                <w:color w:val="auto"/>
              </w:rPr>
              <w:t>Independent Bank</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401,005</w:t>
            </w:r>
          </w:p>
        </w:tc>
        <w:tc>
          <w:tcPr>
            <w:tcW w:w="2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14.06</w:t>
            </w: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228,111</w:t>
            </w: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8.00</w:t>
            </w: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285,139</w:t>
            </w: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10.00%</w:t>
            </w:r>
          </w:p>
        </w:tc>
        <w:tc>
          <w:tcPr>
            <w:tcW w:w="0" w:type="dxa"/>
            <w:vAlign w:val="bottom"/>
          </w:tcPr>
          <w:p>
            <w:pPr>
              <w:spacing w:after="0"/>
              <w:rPr>
                <w:sz w:val="1"/>
                <w:szCs w:val="1"/>
                <w:color w:val="auto"/>
              </w:rPr>
            </w:pPr>
          </w:p>
        </w:tc>
      </w:tr>
      <w:tr>
        <w:trPr>
          <w:trHeight w:val="144"/>
        </w:trPr>
        <w:tc>
          <w:tcPr>
            <w:tcW w:w="3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80" w:type="dxa"/>
            <w:vAlign w:val="bottom"/>
            <w:shd w:val="clear" w:color="auto" w:fill="CCEEFF"/>
          </w:tcPr>
          <w:p>
            <w:pPr>
              <w:spacing w:after="0"/>
              <w:rPr>
                <w:sz w:val="20"/>
                <w:szCs w:val="20"/>
                <w:color w:val="auto"/>
              </w:rPr>
            </w:pPr>
            <w:r>
              <w:rPr>
                <w:rFonts w:ascii="Arial" w:cs="Arial" w:eastAsia="Arial" w:hAnsi="Arial"/>
                <w:sz w:val="12"/>
                <w:szCs w:val="12"/>
                <w:color w:val="auto"/>
              </w:rPr>
              <w:t>Tier 1 capital to risk-weighted assets</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80" w:type="dxa"/>
            <w:vAlign w:val="bottom"/>
          </w:tcPr>
          <w:p>
            <w:pPr>
              <w:ind w:left="80"/>
              <w:spacing w:after="0"/>
              <w:rPr>
                <w:sz w:val="20"/>
                <w:szCs w:val="20"/>
                <w:color w:val="auto"/>
              </w:rPr>
            </w:pPr>
            <w:r>
              <w:rPr>
                <w:rFonts w:ascii="Arial" w:cs="Arial" w:eastAsia="Arial" w:hAnsi="Arial"/>
                <w:sz w:val="12"/>
                <w:szCs w:val="12"/>
                <w:color w:val="auto"/>
              </w:rPr>
              <w:t>Consolidated</w:t>
            </w: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379,395</w:t>
            </w:r>
          </w:p>
        </w:tc>
        <w:tc>
          <w:tcPr>
            <w:tcW w:w="24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2"/>
                <w:szCs w:val="12"/>
                <w:color w:val="auto"/>
              </w:rPr>
              <w:t>13.30%</w:t>
            </w: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171,161</w:t>
            </w: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gridSpan w:val="2"/>
          </w:tcPr>
          <w:p>
            <w:pPr>
              <w:ind w:left="120"/>
              <w:spacing w:after="0"/>
              <w:rPr>
                <w:sz w:val="20"/>
                <w:szCs w:val="20"/>
                <w:color w:val="auto"/>
              </w:rPr>
            </w:pPr>
            <w:r>
              <w:rPr>
                <w:rFonts w:ascii="Arial" w:cs="Arial" w:eastAsia="Arial" w:hAnsi="Arial"/>
                <w:sz w:val="12"/>
                <w:szCs w:val="12"/>
                <w:color w:val="auto"/>
              </w:rPr>
              <w:t>6.00%</w:t>
            </w:r>
          </w:p>
        </w:tc>
        <w:tc>
          <w:tcPr>
            <w:tcW w:w="200" w:type="dxa"/>
            <w:vAlign w:val="bottom"/>
          </w:tcPr>
          <w:p>
            <w:pPr>
              <w:spacing w:after="0"/>
              <w:rPr>
                <w:sz w:val="12"/>
                <w:szCs w:val="12"/>
                <w:color w:val="auto"/>
              </w:rPr>
            </w:pPr>
          </w:p>
        </w:tc>
        <w:tc>
          <w:tcPr>
            <w:tcW w:w="1520" w:type="dxa"/>
            <w:vAlign w:val="bottom"/>
            <w:gridSpan w:val="3"/>
          </w:tcPr>
          <w:p>
            <w:pPr>
              <w:jc w:val="center"/>
              <w:ind w:right="780"/>
              <w:spacing w:after="0"/>
              <w:rPr>
                <w:sz w:val="20"/>
                <w:szCs w:val="20"/>
                <w:color w:val="auto"/>
              </w:rPr>
            </w:pPr>
            <w:r>
              <w:rPr>
                <w:rFonts w:ascii="Arial" w:cs="Arial" w:eastAsia="Arial" w:hAnsi="Arial"/>
                <w:sz w:val="12"/>
                <w:szCs w:val="12"/>
                <w:color w:val="auto"/>
              </w:rPr>
              <w:t>NA</w:t>
            </w:r>
          </w:p>
        </w:tc>
        <w:tc>
          <w:tcPr>
            <w:tcW w:w="860" w:type="dxa"/>
            <w:vAlign w:val="bottom"/>
            <w:gridSpan w:val="2"/>
          </w:tcPr>
          <w:p>
            <w:pPr>
              <w:jc w:val="right"/>
              <w:ind w:right="580"/>
              <w:spacing w:after="0"/>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144"/>
        </w:trPr>
        <w:tc>
          <w:tcPr>
            <w:tcW w:w="3280" w:type="dxa"/>
            <w:vAlign w:val="bottom"/>
            <w:shd w:val="clear" w:color="auto" w:fill="CCEEFF"/>
          </w:tcPr>
          <w:p>
            <w:pPr>
              <w:ind w:left="80"/>
              <w:spacing w:after="0"/>
              <w:rPr>
                <w:sz w:val="20"/>
                <w:szCs w:val="20"/>
                <w:color w:val="auto"/>
              </w:rPr>
            </w:pPr>
            <w:r>
              <w:rPr>
                <w:rFonts w:ascii="Arial" w:cs="Arial" w:eastAsia="Arial" w:hAnsi="Arial"/>
                <w:sz w:val="12"/>
                <w:szCs w:val="12"/>
                <w:color w:val="auto"/>
              </w:rPr>
              <w:t>Independent Bank</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365,343</w:t>
            </w:r>
          </w:p>
        </w:tc>
        <w:tc>
          <w:tcPr>
            <w:tcW w:w="2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12.81</w:t>
            </w: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171,083</w:t>
            </w: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6.00</w:t>
            </w: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228,111</w:t>
            </w: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8.00%</w:t>
            </w:r>
          </w:p>
        </w:tc>
        <w:tc>
          <w:tcPr>
            <w:tcW w:w="0" w:type="dxa"/>
            <w:vAlign w:val="bottom"/>
          </w:tcPr>
          <w:p>
            <w:pPr>
              <w:spacing w:after="0"/>
              <w:rPr>
                <w:sz w:val="1"/>
                <w:szCs w:val="1"/>
                <w:color w:val="auto"/>
              </w:rPr>
            </w:pPr>
          </w:p>
        </w:tc>
      </w:tr>
      <w:tr>
        <w:trPr>
          <w:trHeight w:val="144"/>
        </w:trPr>
        <w:tc>
          <w:tcPr>
            <w:tcW w:w="3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80" w:type="dxa"/>
            <w:vAlign w:val="bottom"/>
            <w:shd w:val="clear" w:color="auto" w:fill="CCEEFF"/>
          </w:tcPr>
          <w:p>
            <w:pPr>
              <w:spacing w:after="0"/>
              <w:rPr>
                <w:sz w:val="20"/>
                <w:szCs w:val="20"/>
                <w:color w:val="auto"/>
              </w:rPr>
            </w:pPr>
            <w:r>
              <w:rPr>
                <w:rFonts w:ascii="Arial" w:cs="Arial" w:eastAsia="Arial" w:hAnsi="Arial"/>
                <w:sz w:val="12"/>
                <w:szCs w:val="12"/>
                <w:color w:val="auto"/>
              </w:rPr>
              <w:t>Common equity tier 1 capital to risk-weighted assets</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80" w:type="dxa"/>
            <w:vAlign w:val="bottom"/>
          </w:tcPr>
          <w:p>
            <w:pPr>
              <w:ind w:left="80"/>
              <w:spacing w:after="0"/>
              <w:rPr>
                <w:sz w:val="20"/>
                <w:szCs w:val="20"/>
                <w:color w:val="auto"/>
              </w:rPr>
            </w:pPr>
            <w:r>
              <w:rPr>
                <w:rFonts w:ascii="Arial" w:cs="Arial" w:eastAsia="Arial" w:hAnsi="Arial"/>
                <w:sz w:val="12"/>
                <w:szCs w:val="12"/>
                <w:color w:val="auto"/>
              </w:rPr>
              <w:t>Consolidated</w:t>
            </w: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341,095</w:t>
            </w:r>
          </w:p>
        </w:tc>
        <w:tc>
          <w:tcPr>
            <w:tcW w:w="24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2"/>
                <w:szCs w:val="12"/>
                <w:color w:val="auto"/>
              </w:rPr>
              <w:t>11.96%</w:t>
            </w: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128,370</w:t>
            </w: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gridSpan w:val="2"/>
          </w:tcPr>
          <w:p>
            <w:pPr>
              <w:ind w:left="120"/>
              <w:spacing w:after="0"/>
              <w:rPr>
                <w:sz w:val="20"/>
                <w:szCs w:val="20"/>
                <w:color w:val="auto"/>
              </w:rPr>
            </w:pPr>
            <w:r>
              <w:rPr>
                <w:rFonts w:ascii="Arial" w:cs="Arial" w:eastAsia="Arial" w:hAnsi="Arial"/>
                <w:sz w:val="12"/>
                <w:szCs w:val="12"/>
                <w:color w:val="auto"/>
              </w:rPr>
              <w:t>4.50%</w:t>
            </w:r>
          </w:p>
        </w:tc>
        <w:tc>
          <w:tcPr>
            <w:tcW w:w="200" w:type="dxa"/>
            <w:vAlign w:val="bottom"/>
          </w:tcPr>
          <w:p>
            <w:pPr>
              <w:spacing w:after="0"/>
              <w:rPr>
                <w:sz w:val="12"/>
                <w:szCs w:val="12"/>
                <w:color w:val="auto"/>
              </w:rPr>
            </w:pPr>
          </w:p>
        </w:tc>
        <w:tc>
          <w:tcPr>
            <w:tcW w:w="1520" w:type="dxa"/>
            <w:vAlign w:val="bottom"/>
            <w:gridSpan w:val="3"/>
          </w:tcPr>
          <w:p>
            <w:pPr>
              <w:jc w:val="center"/>
              <w:ind w:right="780"/>
              <w:spacing w:after="0"/>
              <w:rPr>
                <w:sz w:val="20"/>
                <w:szCs w:val="20"/>
                <w:color w:val="auto"/>
              </w:rPr>
            </w:pPr>
            <w:r>
              <w:rPr>
                <w:rFonts w:ascii="Arial" w:cs="Arial" w:eastAsia="Arial" w:hAnsi="Arial"/>
                <w:sz w:val="12"/>
                <w:szCs w:val="12"/>
                <w:color w:val="auto"/>
              </w:rPr>
              <w:t>NA</w:t>
            </w:r>
          </w:p>
        </w:tc>
        <w:tc>
          <w:tcPr>
            <w:tcW w:w="860" w:type="dxa"/>
            <w:vAlign w:val="bottom"/>
            <w:gridSpan w:val="2"/>
          </w:tcPr>
          <w:p>
            <w:pPr>
              <w:jc w:val="right"/>
              <w:ind w:right="580"/>
              <w:spacing w:after="0"/>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144"/>
        </w:trPr>
        <w:tc>
          <w:tcPr>
            <w:tcW w:w="3280" w:type="dxa"/>
            <w:vAlign w:val="bottom"/>
            <w:shd w:val="clear" w:color="auto" w:fill="CCEEFF"/>
          </w:tcPr>
          <w:p>
            <w:pPr>
              <w:ind w:left="80"/>
              <w:spacing w:after="0"/>
              <w:rPr>
                <w:sz w:val="20"/>
                <w:szCs w:val="20"/>
                <w:color w:val="auto"/>
              </w:rPr>
            </w:pPr>
            <w:r>
              <w:rPr>
                <w:rFonts w:ascii="Arial" w:cs="Arial" w:eastAsia="Arial" w:hAnsi="Arial"/>
                <w:sz w:val="12"/>
                <w:szCs w:val="12"/>
                <w:color w:val="auto"/>
              </w:rPr>
              <w:t>Independent Bank</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365,343</w:t>
            </w:r>
          </w:p>
        </w:tc>
        <w:tc>
          <w:tcPr>
            <w:tcW w:w="2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12.81</w:t>
            </w: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128,312</w:t>
            </w: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4.50</w:t>
            </w: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185,340</w:t>
            </w: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6.50%</w:t>
            </w:r>
          </w:p>
        </w:tc>
        <w:tc>
          <w:tcPr>
            <w:tcW w:w="0" w:type="dxa"/>
            <w:vAlign w:val="bottom"/>
          </w:tcPr>
          <w:p>
            <w:pPr>
              <w:spacing w:after="0"/>
              <w:rPr>
                <w:sz w:val="1"/>
                <w:szCs w:val="1"/>
                <w:color w:val="auto"/>
              </w:rPr>
            </w:pPr>
          </w:p>
        </w:tc>
      </w:tr>
      <w:tr>
        <w:trPr>
          <w:trHeight w:val="144"/>
        </w:trPr>
        <w:tc>
          <w:tcPr>
            <w:tcW w:w="3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80" w:type="dxa"/>
            <w:vAlign w:val="bottom"/>
            <w:shd w:val="clear" w:color="auto" w:fill="CCEEFF"/>
          </w:tcPr>
          <w:p>
            <w:pPr>
              <w:spacing w:after="0"/>
              <w:rPr>
                <w:sz w:val="20"/>
                <w:szCs w:val="20"/>
                <w:color w:val="auto"/>
              </w:rPr>
            </w:pPr>
            <w:r>
              <w:rPr>
                <w:rFonts w:ascii="Arial" w:cs="Arial" w:eastAsia="Arial" w:hAnsi="Arial"/>
                <w:sz w:val="12"/>
                <w:szCs w:val="12"/>
                <w:color w:val="auto"/>
              </w:rPr>
              <w:t>Tier 1 capital to average assets</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80" w:type="dxa"/>
            <w:vAlign w:val="bottom"/>
          </w:tcPr>
          <w:p>
            <w:pPr>
              <w:ind w:left="80"/>
              <w:spacing w:after="0"/>
              <w:rPr>
                <w:sz w:val="20"/>
                <w:szCs w:val="20"/>
                <w:color w:val="auto"/>
              </w:rPr>
            </w:pPr>
            <w:r>
              <w:rPr>
                <w:rFonts w:ascii="Arial" w:cs="Arial" w:eastAsia="Arial" w:hAnsi="Arial"/>
                <w:sz w:val="12"/>
                <w:szCs w:val="12"/>
                <w:color w:val="auto"/>
              </w:rPr>
              <w:t>Consolidated</w:t>
            </w: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379,395</w:t>
            </w:r>
          </w:p>
        </w:tc>
        <w:tc>
          <w:tcPr>
            <w:tcW w:w="24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2"/>
                <w:szCs w:val="12"/>
                <w:color w:val="auto"/>
              </w:rPr>
              <w:t>9.15%</w:t>
            </w: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165,825</w:t>
            </w: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gridSpan w:val="2"/>
          </w:tcPr>
          <w:p>
            <w:pPr>
              <w:ind w:left="120"/>
              <w:spacing w:after="0"/>
              <w:rPr>
                <w:sz w:val="20"/>
                <w:szCs w:val="20"/>
                <w:color w:val="auto"/>
              </w:rPr>
            </w:pPr>
            <w:r>
              <w:rPr>
                <w:rFonts w:ascii="Arial" w:cs="Arial" w:eastAsia="Arial" w:hAnsi="Arial"/>
                <w:sz w:val="12"/>
                <w:szCs w:val="12"/>
                <w:color w:val="auto"/>
              </w:rPr>
              <w:t>4.00%</w:t>
            </w:r>
          </w:p>
        </w:tc>
        <w:tc>
          <w:tcPr>
            <w:tcW w:w="200" w:type="dxa"/>
            <w:vAlign w:val="bottom"/>
          </w:tcPr>
          <w:p>
            <w:pPr>
              <w:spacing w:after="0"/>
              <w:rPr>
                <w:sz w:val="12"/>
                <w:szCs w:val="12"/>
                <w:color w:val="auto"/>
              </w:rPr>
            </w:pPr>
          </w:p>
        </w:tc>
        <w:tc>
          <w:tcPr>
            <w:tcW w:w="1520" w:type="dxa"/>
            <w:vAlign w:val="bottom"/>
            <w:gridSpan w:val="3"/>
          </w:tcPr>
          <w:p>
            <w:pPr>
              <w:jc w:val="center"/>
              <w:ind w:right="780"/>
              <w:spacing w:after="0"/>
              <w:rPr>
                <w:sz w:val="20"/>
                <w:szCs w:val="20"/>
                <w:color w:val="auto"/>
              </w:rPr>
            </w:pPr>
            <w:r>
              <w:rPr>
                <w:rFonts w:ascii="Arial" w:cs="Arial" w:eastAsia="Arial" w:hAnsi="Arial"/>
                <w:sz w:val="12"/>
                <w:szCs w:val="12"/>
                <w:color w:val="auto"/>
              </w:rPr>
              <w:t>NA</w:t>
            </w:r>
          </w:p>
        </w:tc>
        <w:tc>
          <w:tcPr>
            <w:tcW w:w="860" w:type="dxa"/>
            <w:vAlign w:val="bottom"/>
            <w:gridSpan w:val="2"/>
          </w:tcPr>
          <w:p>
            <w:pPr>
              <w:jc w:val="right"/>
              <w:ind w:right="580"/>
              <w:spacing w:after="0"/>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144"/>
        </w:trPr>
        <w:tc>
          <w:tcPr>
            <w:tcW w:w="3280" w:type="dxa"/>
            <w:vAlign w:val="bottom"/>
            <w:shd w:val="clear" w:color="auto" w:fill="CCEEFF"/>
          </w:tcPr>
          <w:p>
            <w:pPr>
              <w:ind w:left="80"/>
              <w:spacing w:after="0"/>
              <w:rPr>
                <w:sz w:val="20"/>
                <w:szCs w:val="20"/>
                <w:color w:val="auto"/>
              </w:rPr>
            </w:pPr>
            <w:r>
              <w:rPr>
                <w:rFonts w:ascii="Arial" w:cs="Arial" w:eastAsia="Arial" w:hAnsi="Arial"/>
                <w:sz w:val="12"/>
                <w:szCs w:val="12"/>
                <w:color w:val="auto"/>
              </w:rPr>
              <w:t>Independent Bank</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365,343</w:t>
            </w:r>
          </w:p>
        </w:tc>
        <w:tc>
          <w:tcPr>
            <w:tcW w:w="2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8.81</w:t>
            </w: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165,828</w:t>
            </w: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4.00</w:t>
            </w: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207,285</w:t>
            </w: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131445</wp:posOffset>
            </wp:positionV>
            <wp:extent cx="1434465" cy="114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5">
                      <a:extLst>
                        <a:ext uri="{28A0092B-C50C-407E-A947-70E740481C1C}"/>
                      </a:extLst>
                    </a:blip>
                    <a:srcRect/>
                    <a:stretch>
                      <a:fillRect/>
                    </a:stretch>
                  </pic:blipFill>
                  <pic:spPr bwMode="auto">
                    <a:xfrm>
                      <a:off x="0" y="0"/>
                      <a:ext cx="1434465" cy="1143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2"/>
          <w:szCs w:val="12"/>
          <w:color w:val="auto"/>
        </w:rPr>
        <w:t>(1) These ratios do not reflect a capital conservation buffer of 2.50% at December 31, 2021 and 2020.</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NA - Not applicable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14" w:name="page115"/>
    <w:bookmarkEnd w:id="114"/>
    <w:tbl>
      <w:tblPr>
        <w:tblLayout w:type="fixed"/>
        <w:tblInd w:w="8" w:type="dxa"/>
        <w:tblCellMar>
          <w:top w:w="0" w:type="dxa"/>
          <w:left w:w="0" w:type="dxa"/>
          <w:bottom w:w="0" w:type="dxa"/>
          <w:right w:w="0" w:type="dxa"/>
        </w:tblCellMar>
      </w:tblPr>
      <w:tr>
        <w:trPr>
          <w:trHeight w:val="157"/>
        </w:trPr>
        <w:tc>
          <w:tcPr>
            <w:tcW w:w="3480" w:type="dxa"/>
            <w:vAlign w:val="bottom"/>
          </w:tcPr>
          <w:p>
            <w:pPr>
              <w:spacing w:after="0"/>
              <w:rPr>
                <w:sz w:val="13"/>
                <w:szCs w:val="13"/>
                <w:color w:val="auto"/>
              </w:rPr>
            </w:pPr>
          </w:p>
        </w:tc>
        <w:tc>
          <w:tcPr>
            <w:tcW w:w="4220" w:type="dxa"/>
            <w:vAlign w:val="bottom"/>
            <w:gridSpan w:val="5"/>
          </w:tcPr>
          <w:p>
            <w:pPr>
              <w:jc w:val="right"/>
              <w:ind w:right="52"/>
              <w:spacing w:after="0"/>
              <w:rPr>
                <w:sz w:val="20"/>
                <w:szCs w:val="20"/>
                <w:color w:val="auto"/>
              </w:rPr>
            </w:pPr>
            <w:r>
              <w:rPr>
                <w:rFonts w:ascii="Arial" w:cs="Arial" w:eastAsia="Arial" w:hAnsi="Arial"/>
                <w:sz w:val="12"/>
                <w:szCs w:val="12"/>
                <w:b w:val="1"/>
                <w:bCs w:val="1"/>
                <w:color w:val="auto"/>
              </w:rPr>
              <w:t>NOTES TO CONSOLIDATED FINANCIAL STATEMENTS − (Continued)</w:t>
            </w: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405"/>
        </w:trPr>
        <w:tc>
          <w:tcPr>
            <w:tcW w:w="3480" w:type="dxa"/>
            <w:vAlign w:val="bottom"/>
          </w:tcPr>
          <w:p>
            <w:pPr>
              <w:ind w:left="200"/>
              <w:spacing w:after="0"/>
              <w:rPr>
                <w:sz w:val="20"/>
                <w:szCs w:val="20"/>
                <w:color w:val="auto"/>
              </w:rPr>
            </w:pPr>
            <w:r>
              <w:rPr>
                <w:rFonts w:ascii="Arial" w:cs="Arial" w:eastAsia="Arial" w:hAnsi="Arial"/>
                <w:sz w:val="12"/>
                <w:szCs w:val="12"/>
                <w:color w:val="auto"/>
              </w:rPr>
              <w:t>The components of our regulatory capital are as follows:</w:t>
            </w:r>
          </w:p>
        </w:tc>
        <w:tc>
          <w:tcPr>
            <w:tcW w:w="2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8"/>
        </w:trPr>
        <w:tc>
          <w:tcPr>
            <w:tcW w:w="3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2"/>
                <w:szCs w:val="12"/>
                <w:b w:val="1"/>
                <w:bCs w:val="1"/>
                <w:color w:val="auto"/>
              </w:rPr>
              <w:t>Consolidated</w:t>
            </w:r>
          </w:p>
        </w:tc>
        <w:tc>
          <w:tcPr>
            <w:tcW w:w="8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Independent Bank</w:t>
            </w:r>
          </w:p>
        </w:tc>
        <w:tc>
          <w:tcPr>
            <w:tcW w:w="7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29"/>
        </w:trPr>
        <w:tc>
          <w:tcPr>
            <w:tcW w:w="348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40" w:type="dxa"/>
            <w:vAlign w:val="bottom"/>
            <w:gridSpan w:val="3"/>
          </w:tcPr>
          <w:p>
            <w:pPr>
              <w:jc w:val="right"/>
              <w:ind w:right="52"/>
              <w:spacing w:after="0" w:line="129" w:lineRule="exact"/>
              <w:rPr>
                <w:sz w:val="20"/>
                <w:szCs w:val="20"/>
                <w:color w:val="auto"/>
              </w:rPr>
            </w:pPr>
            <w:r>
              <w:rPr>
                <w:rFonts w:ascii="Arial" w:cs="Arial" w:eastAsia="Arial" w:hAnsi="Arial"/>
                <w:sz w:val="12"/>
                <w:szCs w:val="12"/>
                <w:b w:val="1"/>
                <w:bCs w:val="1"/>
                <w:color w:val="auto"/>
              </w:rPr>
              <w:t>December 31,</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0" w:type="dxa"/>
            <w:vAlign w:val="bottom"/>
            <w:gridSpan w:val="3"/>
          </w:tcPr>
          <w:p>
            <w:pPr>
              <w:jc w:val="right"/>
              <w:ind w:right="112"/>
              <w:spacing w:after="0" w:line="129" w:lineRule="exact"/>
              <w:rPr>
                <w:sz w:val="20"/>
                <w:szCs w:val="20"/>
                <w:color w:val="auto"/>
              </w:rPr>
            </w:pPr>
            <w:r>
              <w:rPr>
                <w:rFonts w:ascii="Arial" w:cs="Arial" w:eastAsia="Arial" w:hAnsi="Arial"/>
                <w:sz w:val="12"/>
                <w:szCs w:val="12"/>
                <w:b w:val="1"/>
                <w:bCs w:val="1"/>
                <w:color w:val="auto"/>
              </w:rPr>
              <w:t>December 31,</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7"/>
        </w:trPr>
        <w:tc>
          <w:tcPr>
            <w:tcW w:w="34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2021</w:t>
            </w:r>
          </w:p>
        </w:tc>
        <w:tc>
          <w:tcPr>
            <w:tcW w:w="2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2020</w:t>
            </w:r>
          </w:p>
        </w:tc>
        <w:tc>
          <w:tcPr>
            <w:tcW w:w="2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2021</w:t>
            </w:r>
          </w:p>
        </w:tc>
        <w:tc>
          <w:tcPr>
            <w:tcW w:w="22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w w:val="97"/>
              </w:rPr>
              <w:t>2020</w:t>
            </w:r>
          </w:p>
        </w:tc>
        <w:tc>
          <w:tcPr>
            <w:tcW w:w="120" w:type="dxa"/>
            <w:vAlign w:val="bottom"/>
          </w:tcPr>
          <w:p>
            <w:pPr>
              <w:spacing w:after="0"/>
              <w:rPr>
                <w:sz w:val="13"/>
                <w:szCs w:val="13"/>
                <w:color w:val="auto"/>
              </w:rPr>
            </w:pPr>
          </w:p>
        </w:tc>
      </w:tr>
      <w:tr>
        <w:trPr>
          <w:trHeight w:val="142"/>
        </w:trPr>
        <w:tc>
          <w:tcPr>
            <w:tcW w:w="34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b w:val="1"/>
                <w:bCs w:val="1"/>
                <w:color w:val="auto"/>
              </w:rPr>
              <w:t>(In</w:t>
            </w:r>
          </w:p>
        </w:tc>
        <w:tc>
          <w:tcPr>
            <w:tcW w:w="560" w:type="dxa"/>
            <w:vAlign w:val="bottom"/>
            <w:gridSpan w:val="2"/>
          </w:tcPr>
          <w:p>
            <w:pPr>
              <w:jc w:val="right"/>
              <w:ind w:right="52"/>
              <w:spacing w:after="0"/>
              <w:rPr>
                <w:sz w:val="20"/>
                <w:szCs w:val="20"/>
                <w:color w:val="auto"/>
              </w:rPr>
            </w:pPr>
            <w:r>
              <w:rPr>
                <w:rFonts w:ascii="Arial" w:cs="Arial" w:eastAsia="Arial" w:hAnsi="Arial"/>
                <w:sz w:val="11"/>
                <w:szCs w:val="11"/>
                <w:b w:val="1"/>
                <w:bCs w:val="1"/>
                <w:color w:val="auto"/>
                <w:w w:val="74"/>
              </w:rPr>
              <w:t>thousands)</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480" w:type="dxa"/>
            <w:vAlign w:val="bottom"/>
            <w:shd w:val="clear" w:color="auto" w:fill="CCEEFF"/>
          </w:tcPr>
          <w:p>
            <w:pPr>
              <w:spacing w:after="0"/>
              <w:rPr>
                <w:sz w:val="20"/>
                <w:szCs w:val="20"/>
                <w:color w:val="auto"/>
              </w:rPr>
            </w:pPr>
            <w:r>
              <w:rPr>
                <w:rFonts w:ascii="Arial" w:cs="Arial" w:eastAsia="Arial" w:hAnsi="Arial"/>
                <w:sz w:val="12"/>
                <w:szCs w:val="12"/>
                <w:color w:val="auto"/>
              </w:rPr>
              <w:t>Total shareholders’ equity</w:t>
            </w:r>
          </w:p>
        </w:tc>
        <w:tc>
          <w:tcPr>
            <w:tcW w:w="2780" w:type="dxa"/>
            <w:vAlign w:val="bottom"/>
            <w:gridSpan w:val="2"/>
            <w:shd w:val="clear" w:color="auto" w:fill="CCEEFF"/>
          </w:tcPr>
          <w:p>
            <w:pPr>
              <w:jc w:val="right"/>
              <w:ind w:right="152"/>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398,484</w:t>
            </w: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166"/>
              <w:spacing w:after="0"/>
              <w:rPr>
                <w:sz w:val="20"/>
                <w:szCs w:val="20"/>
                <w:color w:val="auto"/>
              </w:rPr>
            </w:pPr>
            <w:r>
              <w:rPr>
                <w:rFonts w:ascii="Arial" w:cs="Arial" w:eastAsia="Arial" w:hAnsi="Arial"/>
                <w:sz w:val="12"/>
                <w:szCs w:val="12"/>
                <w:color w:val="auto"/>
              </w:rPr>
              <w:t>389,522</w:t>
            </w: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426,558</w:t>
            </w:r>
          </w:p>
        </w:tc>
        <w:tc>
          <w:tcPr>
            <w:tcW w:w="400" w:type="dxa"/>
            <w:vAlign w:val="bottom"/>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413,770</w:t>
            </w:r>
          </w:p>
        </w:tc>
      </w:tr>
      <w:tr>
        <w:trPr>
          <w:trHeight w:val="144"/>
        </w:trPr>
        <w:tc>
          <w:tcPr>
            <w:tcW w:w="3480" w:type="dxa"/>
            <w:vAlign w:val="bottom"/>
          </w:tcPr>
          <w:p>
            <w:pPr>
              <w:ind w:left="80"/>
              <w:spacing w:after="0"/>
              <w:rPr>
                <w:sz w:val="20"/>
                <w:szCs w:val="20"/>
                <w:color w:val="auto"/>
              </w:rPr>
            </w:pPr>
            <w:r>
              <w:rPr>
                <w:rFonts w:ascii="Arial" w:cs="Arial" w:eastAsia="Arial" w:hAnsi="Arial"/>
                <w:sz w:val="12"/>
                <w:szCs w:val="12"/>
                <w:color w:val="auto"/>
              </w:rPr>
              <w:t>Add (deduct)</w:t>
            </w:r>
          </w:p>
        </w:tc>
        <w:tc>
          <w:tcPr>
            <w:tcW w:w="2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480" w:type="dxa"/>
            <w:vAlign w:val="bottom"/>
            <w:shd w:val="clear" w:color="auto" w:fill="CCEEFF"/>
          </w:tcPr>
          <w:p>
            <w:pPr>
              <w:ind w:left="200"/>
              <w:spacing w:after="0"/>
              <w:rPr>
                <w:sz w:val="20"/>
                <w:szCs w:val="20"/>
                <w:color w:val="auto"/>
              </w:rPr>
            </w:pPr>
            <w:r>
              <w:rPr>
                <w:rFonts w:ascii="Arial" w:cs="Arial" w:eastAsia="Arial" w:hAnsi="Arial"/>
                <w:sz w:val="12"/>
                <w:szCs w:val="12"/>
                <w:color w:val="auto"/>
                <w:w w:val="96"/>
              </w:rPr>
              <w:t>Accumulated other comprehensive loss for regulatory purposes</w:t>
            </w:r>
          </w:p>
        </w:tc>
        <w:tc>
          <w:tcPr>
            <w:tcW w:w="2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(6,298)</w:t>
            </w:r>
          </w:p>
        </w:tc>
        <w:tc>
          <w:tcPr>
            <w:tcW w:w="3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6"/>
              <w:spacing w:after="0"/>
              <w:rPr>
                <w:sz w:val="20"/>
                <w:szCs w:val="20"/>
                <w:color w:val="auto"/>
              </w:rPr>
            </w:pPr>
            <w:r>
              <w:rPr>
                <w:rFonts w:ascii="Arial" w:cs="Arial" w:eastAsia="Arial" w:hAnsi="Arial"/>
                <w:sz w:val="12"/>
                <w:szCs w:val="12"/>
                <w:color w:val="auto"/>
              </w:rPr>
              <w:t>(15,821)</w:t>
            </w:r>
          </w:p>
        </w:tc>
        <w:tc>
          <w:tcPr>
            <w:tcW w:w="3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(6,298)</w:t>
            </w: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(15,821)</w:t>
            </w:r>
          </w:p>
        </w:tc>
      </w:tr>
      <w:tr>
        <w:trPr>
          <w:trHeight w:val="144"/>
        </w:trPr>
        <w:tc>
          <w:tcPr>
            <w:tcW w:w="3480" w:type="dxa"/>
            <w:vAlign w:val="bottom"/>
          </w:tcPr>
          <w:p>
            <w:pPr>
              <w:ind w:left="200"/>
              <w:spacing w:after="0"/>
              <w:rPr>
                <w:sz w:val="20"/>
                <w:szCs w:val="20"/>
                <w:color w:val="auto"/>
              </w:rPr>
            </w:pPr>
            <w:r>
              <w:rPr>
                <w:rFonts w:ascii="Arial" w:cs="Arial" w:eastAsia="Arial" w:hAnsi="Arial"/>
                <w:sz w:val="12"/>
                <w:szCs w:val="12"/>
                <w:color w:val="auto"/>
              </w:rPr>
              <w:t>Goodwill and other intangibles</w:t>
            </w:r>
          </w:p>
        </w:tc>
        <w:tc>
          <w:tcPr>
            <w:tcW w:w="2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(31,636)</w:t>
            </w:r>
          </w:p>
        </w:tc>
        <w:tc>
          <w:tcPr>
            <w:tcW w:w="320" w:type="dxa"/>
            <w:vAlign w:val="bottom"/>
          </w:tcPr>
          <w:p>
            <w:pPr>
              <w:spacing w:after="0"/>
              <w:rPr>
                <w:sz w:val="12"/>
                <w:szCs w:val="12"/>
                <w:color w:val="auto"/>
              </w:rPr>
            </w:pPr>
          </w:p>
        </w:tc>
        <w:tc>
          <w:tcPr>
            <w:tcW w:w="1020" w:type="dxa"/>
            <w:vAlign w:val="bottom"/>
            <w:gridSpan w:val="2"/>
          </w:tcPr>
          <w:p>
            <w:pPr>
              <w:jc w:val="right"/>
              <w:ind w:right="126"/>
              <w:spacing w:after="0"/>
              <w:rPr>
                <w:sz w:val="20"/>
                <w:szCs w:val="20"/>
                <w:color w:val="auto"/>
              </w:rPr>
            </w:pPr>
            <w:r>
              <w:rPr>
                <w:rFonts w:ascii="Arial" w:cs="Arial" w:eastAsia="Arial" w:hAnsi="Arial"/>
                <w:sz w:val="12"/>
                <w:szCs w:val="12"/>
                <w:color w:val="auto"/>
              </w:rPr>
              <w:t>(32,606)</w:t>
            </w:r>
          </w:p>
        </w:tc>
        <w:tc>
          <w:tcPr>
            <w:tcW w:w="340" w:type="dxa"/>
            <w:vAlign w:val="bottom"/>
          </w:tcPr>
          <w:p>
            <w:pPr>
              <w:spacing w:after="0"/>
              <w:rPr>
                <w:sz w:val="12"/>
                <w:szCs w:val="12"/>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2"/>
                <w:szCs w:val="12"/>
                <w:color w:val="auto"/>
              </w:rPr>
              <w:t>(31,636)</w:t>
            </w:r>
          </w:p>
        </w:tc>
        <w:tc>
          <w:tcPr>
            <w:tcW w:w="40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(32,606)</w:t>
            </w:r>
          </w:p>
        </w:tc>
      </w:tr>
      <w:tr>
        <w:trPr>
          <w:trHeight w:val="144"/>
        </w:trPr>
        <w:tc>
          <w:tcPr>
            <w:tcW w:w="34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CECL (1)</w:t>
            </w:r>
          </w:p>
        </w:tc>
        <w:tc>
          <w:tcPr>
            <w:tcW w:w="2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7,727</w:t>
            </w: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6"/>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7,727</w:t>
            </w: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20"/>
        </w:trPr>
        <w:tc>
          <w:tcPr>
            <w:tcW w:w="3480" w:type="dxa"/>
            <w:vAlign w:val="bottom"/>
            <w:shd w:val="clear" w:color="auto" w:fill="CCEEFF"/>
          </w:tcPr>
          <w:p>
            <w:pPr>
              <w:spacing w:after="0" w:line="20" w:lineRule="exact"/>
              <w:rPr>
                <w:sz w:val="1"/>
                <w:szCs w:val="1"/>
                <w:color w:val="auto"/>
              </w:rPr>
            </w:pPr>
          </w:p>
        </w:tc>
        <w:tc>
          <w:tcPr>
            <w:tcW w:w="25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3480" w:type="dxa"/>
            <w:vAlign w:val="bottom"/>
          </w:tcPr>
          <w:p>
            <w:pPr>
              <w:ind w:left="320"/>
              <w:spacing w:after="0"/>
              <w:rPr>
                <w:sz w:val="20"/>
                <w:szCs w:val="20"/>
                <w:color w:val="auto"/>
              </w:rPr>
            </w:pPr>
            <w:r>
              <w:rPr>
                <w:rFonts w:ascii="Arial" w:cs="Arial" w:eastAsia="Arial" w:hAnsi="Arial"/>
                <w:sz w:val="12"/>
                <w:szCs w:val="12"/>
                <w:color w:val="auto"/>
              </w:rPr>
              <w:t>Common equity tier 1 capital</w:t>
            </w:r>
          </w:p>
        </w:tc>
        <w:tc>
          <w:tcPr>
            <w:tcW w:w="2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368,277</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gridSpan w:val="2"/>
          </w:tcPr>
          <w:p>
            <w:pPr>
              <w:jc w:val="right"/>
              <w:ind w:right="166"/>
              <w:spacing w:after="0"/>
              <w:rPr>
                <w:sz w:val="20"/>
                <w:szCs w:val="20"/>
                <w:color w:val="auto"/>
              </w:rPr>
            </w:pPr>
            <w:r>
              <w:rPr>
                <w:rFonts w:ascii="Arial" w:cs="Arial" w:eastAsia="Arial" w:hAnsi="Arial"/>
                <w:sz w:val="12"/>
                <w:szCs w:val="12"/>
                <w:color w:val="auto"/>
              </w:rPr>
              <w:t>341,095</w:t>
            </w:r>
          </w:p>
        </w:tc>
        <w:tc>
          <w:tcPr>
            <w:tcW w:w="34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396,351</w:t>
            </w:r>
          </w:p>
        </w:tc>
        <w:tc>
          <w:tcPr>
            <w:tcW w:w="4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365,343</w:t>
            </w:r>
          </w:p>
        </w:tc>
      </w:tr>
      <w:tr>
        <w:trPr>
          <w:trHeight w:val="144"/>
        </w:trPr>
        <w:tc>
          <w:tcPr>
            <w:tcW w:w="34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Qualifying trust preferred securities</w:t>
            </w:r>
          </w:p>
        </w:tc>
        <w:tc>
          <w:tcPr>
            <w:tcW w:w="2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38,368</w:t>
            </w: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6"/>
              <w:spacing w:after="0"/>
              <w:rPr>
                <w:sz w:val="20"/>
                <w:szCs w:val="20"/>
                <w:color w:val="auto"/>
              </w:rPr>
            </w:pPr>
            <w:r>
              <w:rPr>
                <w:rFonts w:ascii="Arial" w:cs="Arial" w:eastAsia="Arial" w:hAnsi="Arial"/>
                <w:sz w:val="12"/>
                <w:szCs w:val="12"/>
                <w:color w:val="auto"/>
              </w:rPr>
              <w:t>38,300</w:t>
            </w:r>
          </w:p>
        </w:tc>
        <w:tc>
          <w:tcPr>
            <w:tcW w:w="3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20"/>
        </w:trPr>
        <w:tc>
          <w:tcPr>
            <w:tcW w:w="3480" w:type="dxa"/>
            <w:vAlign w:val="bottom"/>
            <w:shd w:val="clear" w:color="auto" w:fill="CCEEFF"/>
          </w:tcPr>
          <w:p>
            <w:pPr>
              <w:spacing w:after="0" w:line="20" w:lineRule="exact"/>
              <w:rPr>
                <w:sz w:val="1"/>
                <w:szCs w:val="1"/>
                <w:color w:val="auto"/>
              </w:rPr>
            </w:pPr>
          </w:p>
        </w:tc>
        <w:tc>
          <w:tcPr>
            <w:tcW w:w="25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3480" w:type="dxa"/>
            <w:vAlign w:val="bottom"/>
          </w:tcPr>
          <w:p>
            <w:pPr>
              <w:ind w:left="320"/>
              <w:spacing w:after="0"/>
              <w:rPr>
                <w:sz w:val="20"/>
                <w:szCs w:val="20"/>
                <w:color w:val="auto"/>
              </w:rPr>
            </w:pPr>
            <w:r>
              <w:rPr>
                <w:rFonts w:ascii="Arial" w:cs="Arial" w:eastAsia="Arial" w:hAnsi="Arial"/>
                <w:sz w:val="12"/>
                <w:szCs w:val="12"/>
                <w:color w:val="auto"/>
              </w:rPr>
              <w:t>Tier 1 capital</w:t>
            </w:r>
          </w:p>
        </w:tc>
        <w:tc>
          <w:tcPr>
            <w:tcW w:w="2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406,645</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gridSpan w:val="2"/>
          </w:tcPr>
          <w:p>
            <w:pPr>
              <w:jc w:val="right"/>
              <w:ind w:right="166"/>
              <w:spacing w:after="0"/>
              <w:rPr>
                <w:sz w:val="20"/>
                <w:szCs w:val="20"/>
                <w:color w:val="auto"/>
              </w:rPr>
            </w:pPr>
            <w:r>
              <w:rPr>
                <w:rFonts w:ascii="Arial" w:cs="Arial" w:eastAsia="Arial" w:hAnsi="Arial"/>
                <w:sz w:val="12"/>
                <w:szCs w:val="12"/>
                <w:color w:val="auto"/>
              </w:rPr>
              <w:t>379,395</w:t>
            </w:r>
          </w:p>
        </w:tc>
        <w:tc>
          <w:tcPr>
            <w:tcW w:w="34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396,351</w:t>
            </w:r>
          </w:p>
        </w:tc>
        <w:tc>
          <w:tcPr>
            <w:tcW w:w="4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365,343</w:t>
            </w:r>
          </w:p>
        </w:tc>
      </w:tr>
      <w:tr>
        <w:trPr>
          <w:trHeight w:val="144"/>
        </w:trPr>
        <w:tc>
          <w:tcPr>
            <w:tcW w:w="34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Subordinated debt</w:t>
            </w:r>
          </w:p>
        </w:tc>
        <w:tc>
          <w:tcPr>
            <w:tcW w:w="2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40,000</w:t>
            </w:r>
          </w:p>
        </w:tc>
        <w:tc>
          <w:tcPr>
            <w:tcW w:w="3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6"/>
              <w:spacing w:after="0"/>
              <w:rPr>
                <w:sz w:val="20"/>
                <w:szCs w:val="20"/>
                <w:color w:val="auto"/>
              </w:rPr>
            </w:pPr>
            <w:r>
              <w:rPr>
                <w:rFonts w:ascii="Arial" w:cs="Arial" w:eastAsia="Arial" w:hAnsi="Arial"/>
                <w:sz w:val="12"/>
                <w:szCs w:val="12"/>
                <w:color w:val="auto"/>
              </w:rPr>
              <w:t>40,000</w:t>
            </w:r>
          </w:p>
        </w:tc>
        <w:tc>
          <w:tcPr>
            <w:tcW w:w="3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135"/>
        </w:trPr>
        <w:tc>
          <w:tcPr>
            <w:tcW w:w="6260" w:type="dxa"/>
            <w:vAlign w:val="bottom"/>
            <w:gridSpan w:val="3"/>
          </w:tcPr>
          <w:p>
            <w:pPr>
              <w:ind w:left="200"/>
              <w:spacing w:after="0" w:line="135" w:lineRule="exact"/>
              <w:rPr>
                <w:sz w:val="20"/>
                <w:szCs w:val="20"/>
                <w:color w:val="auto"/>
              </w:rPr>
            </w:pPr>
            <w:r>
              <w:rPr>
                <w:rFonts w:ascii="Arial" w:cs="Arial" w:eastAsia="Arial" w:hAnsi="Arial"/>
                <w:sz w:val="12"/>
                <w:szCs w:val="12"/>
                <w:color w:val="auto"/>
                <w:w w:val="98"/>
              </w:rPr>
              <w:t>Allowance for credit losses and allowance for unfunded lending commitments limited to 1.25% of total risk-weighted</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3480" w:type="dxa"/>
            <w:vAlign w:val="bottom"/>
          </w:tcPr>
          <w:p>
            <w:pPr>
              <w:ind w:left="320"/>
              <w:spacing w:after="0"/>
              <w:rPr>
                <w:sz w:val="20"/>
                <w:szCs w:val="20"/>
                <w:color w:val="auto"/>
              </w:rPr>
            </w:pPr>
            <w:r>
              <w:rPr>
                <w:rFonts w:ascii="Arial" w:cs="Arial" w:eastAsia="Arial" w:hAnsi="Arial"/>
                <w:sz w:val="12"/>
                <w:szCs w:val="12"/>
                <w:color w:val="auto"/>
              </w:rPr>
              <w:t>assets (2)</w:t>
            </w:r>
          </w:p>
        </w:tc>
        <w:tc>
          <w:tcPr>
            <w:tcW w:w="2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41,850</w:t>
            </w:r>
          </w:p>
        </w:tc>
        <w:tc>
          <w:tcPr>
            <w:tcW w:w="320" w:type="dxa"/>
            <w:vAlign w:val="bottom"/>
          </w:tcPr>
          <w:p>
            <w:pPr>
              <w:spacing w:after="0"/>
              <w:rPr>
                <w:sz w:val="13"/>
                <w:szCs w:val="13"/>
                <w:color w:val="auto"/>
              </w:rPr>
            </w:pPr>
          </w:p>
        </w:tc>
        <w:tc>
          <w:tcPr>
            <w:tcW w:w="1020" w:type="dxa"/>
            <w:vAlign w:val="bottom"/>
            <w:gridSpan w:val="2"/>
          </w:tcPr>
          <w:p>
            <w:pPr>
              <w:jc w:val="right"/>
              <w:ind w:right="166"/>
              <w:spacing w:after="0"/>
              <w:rPr>
                <w:sz w:val="20"/>
                <w:szCs w:val="20"/>
                <w:color w:val="auto"/>
              </w:rPr>
            </w:pPr>
            <w:r>
              <w:rPr>
                <w:rFonts w:ascii="Arial" w:cs="Arial" w:eastAsia="Arial" w:hAnsi="Arial"/>
                <w:sz w:val="12"/>
                <w:szCs w:val="12"/>
                <w:color w:val="auto"/>
              </w:rPr>
              <w:t>35,677</w:t>
            </w:r>
          </w:p>
        </w:tc>
        <w:tc>
          <w:tcPr>
            <w:tcW w:w="34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42,001</w:t>
            </w:r>
          </w:p>
        </w:tc>
        <w:tc>
          <w:tcPr>
            <w:tcW w:w="40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35,662</w:t>
            </w:r>
          </w:p>
        </w:tc>
      </w:tr>
      <w:tr>
        <w:trPr>
          <w:trHeight w:val="182"/>
        </w:trPr>
        <w:tc>
          <w:tcPr>
            <w:tcW w:w="34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Total risk-based capital</w:t>
            </w:r>
          </w:p>
        </w:tc>
        <w:tc>
          <w:tcPr>
            <w:tcW w:w="25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488,495</w:t>
            </w:r>
          </w:p>
        </w:tc>
        <w:tc>
          <w:tcPr>
            <w:tcW w:w="2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455,072</w:t>
            </w:r>
          </w:p>
        </w:tc>
        <w:tc>
          <w:tcPr>
            <w:tcW w:w="2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438,352</w:t>
            </w:r>
          </w:p>
        </w:tc>
        <w:tc>
          <w:tcPr>
            <w:tcW w:w="2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401,005</w:t>
            </w:r>
          </w:p>
        </w:tc>
        <w:tc>
          <w:tcPr>
            <w:tcW w:w="120" w:type="dxa"/>
            <w:vAlign w:val="bottom"/>
            <w:tcBorders>
              <w:bottom w:val="single" w:sz="8" w:color="CCEEFF"/>
            </w:tcBorders>
            <w:shd w:val="clear" w:color="auto" w:fill="CCEEFF"/>
          </w:tcPr>
          <w:p>
            <w:pPr>
              <w:spacing w:after="0"/>
              <w:rPr>
                <w:sz w:val="15"/>
                <w:szCs w:val="15"/>
                <w:color w:val="auto"/>
              </w:rPr>
            </w:pPr>
          </w:p>
        </w:tc>
      </w:tr>
    </w:tbl>
    <w:p>
      <w:pPr>
        <w:spacing w:after="0" w:line="135" w:lineRule="exact"/>
        <w:rPr>
          <w:sz w:val="20"/>
          <w:szCs w:val="20"/>
          <w:color w:val="auto"/>
        </w:rPr>
      </w:pPr>
    </w:p>
    <w:p>
      <w:pPr>
        <w:ind w:left="208" w:hanging="208"/>
        <w:spacing w:after="0"/>
        <w:tabs>
          <w:tab w:leader="none" w:pos="208" w:val="left"/>
        </w:tabs>
        <w:numPr>
          <w:ilvl w:val="0"/>
          <w:numId w:val="35"/>
        </w:numPr>
        <w:rPr>
          <w:rFonts w:ascii="Arial" w:cs="Arial" w:eastAsia="Arial" w:hAnsi="Arial"/>
          <w:sz w:val="12"/>
          <w:szCs w:val="12"/>
          <w:color w:val="auto"/>
        </w:rPr>
      </w:pPr>
      <w:r>
        <w:rPr>
          <w:rFonts w:ascii="Arial" w:cs="Arial" w:eastAsia="Arial" w:hAnsi="Arial"/>
          <w:sz w:val="12"/>
          <w:szCs w:val="12"/>
          <w:color w:val="auto"/>
        </w:rPr>
        <w:t>We elected the three year CECL transition method for regulatory purposes.</w:t>
      </w:r>
    </w:p>
    <w:p>
      <w:pPr>
        <w:spacing w:after="0" w:line="14" w:lineRule="exact"/>
        <w:rPr>
          <w:rFonts w:ascii="Arial" w:cs="Arial" w:eastAsia="Arial" w:hAnsi="Arial"/>
          <w:sz w:val="12"/>
          <w:szCs w:val="12"/>
          <w:color w:val="auto"/>
        </w:rPr>
      </w:pPr>
    </w:p>
    <w:p>
      <w:pPr>
        <w:ind w:left="208" w:hanging="208"/>
        <w:spacing w:after="0"/>
        <w:tabs>
          <w:tab w:leader="none" w:pos="208" w:val="left"/>
        </w:tabs>
        <w:numPr>
          <w:ilvl w:val="0"/>
          <w:numId w:val="35"/>
        </w:numPr>
        <w:rPr>
          <w:rFonts w:ascii="Arial" w:cs="Arial" w:eastAsia="Arial" w:hAnsi="Arial"/>
          <w:sz w:val="12"/>
          <w:szCs w:val="12"/>
          <w:color w:val="auto"/>
        </w:rPr>
      </w:pPr>
      <w:r>
        <w:rPr>
          <w:rFonts w:ascii="Arial" w:cs="Arial" w:eastAsia="Arial" w:hAnsi="Arial"/>
          <w:sz w:val="12"/>
          <w:szCs w:val="12"/>
          <w:color w:val="auto"/>
        </w:rPr>
        <w:t>Beginning January 1, 2021, calculation of allowances are based on CECL methodology. Prior to January 1, 2021, calculation was based on the probable incurred loss methodology.</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 21 – FAIR VALUE DISCLOSURES</w:t>
      </w:r>
    </w:p>
    <w:p>
      <w:pPr>
        <w:spacing w:after="0" w:line="154" w:lineRule="exact"/>
        <w:rPr>
          <w:sz w:val="20"/>
          <w:szCs w:val="20"/>
          <w:color w:val="auto"/>
        </w:rPr>
      </w:pPr>
    </w:p>
    <w:p>
      <w:pPr>
        <w:jc w:val="both"/>
        <w:ind w:left="8" w:firstLine="216"/>
        <w:spacing w:after="0" w:line="263" w:lineRule="auto"/>
        <w:rPr>
          <w:sz w:val="20"/>
          <w:szCs w:val="20"/>
          <w:color w:val="auto"/>
        </w:rPr>
      </w:pPr>
      <w:r>
        <w:rPr>
          <w:rFonts w:ascii="Arial" w:cs="Arial" w:eastAsia="Arial" w:hAnsi="Arial"/>
          <w:sz w:val="12"/>
          <w:szCs w:val="12"/>
          <w:color w:val="auto"/>
        </w:rPr>
        <w:t>FASB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 FASB ASC topic 820 also establishes a fair value hierarchy which requires an entity to maximize the use of observable inputs and minimize the use of unobservable inputs when measuring fair value.</w:t>
      </w:r>
    </w:p>
    <w:p>
      <w:pPr>
        <w:spacing w:after="0" w:line="122" w:lineRule="exact"/>
        <w:rPr>
          <w:sz w:val="20"/>
          <w:szCs w:val="20"/>
          <w:color w:val="auto"/>
        </w:rPr>
      </w:pPr>
    </w:p>
    <w:p>
      <w:pPr>
        <w:ind w:left="208"/>
        <w:spacing w:after="0"/>
        <w:rPr>
          <w:sz w:val="20"/>
          <w:szCs w:val="20"/>
          <w:color w:val="auto"/>
        </w:rPr>
      </w:pPr>
      <w:r>
        <w:rPr>
          <w:rFonts w:ascii="Arial" w:cs="Arial" w:eastAsia="Arial" w:hAnsi="Arial"/>
          <w:sz w:val="12"/>
          <w:szCs w:val="12"/>
          <w:color w:val="auto"/>
        </w:rPr>
        <w:t>The standard describes three levels of inputs that may be used to measure fair value:</w:t>
      </w:r>
    </w:p>
    <w:p>
      <w:pPr>
        <w:spacing w:after="0" w:line="150" w:lineRule="exact"/>
        <w:rPr>
          <w:sz w:val="20"/>
          <w:szCs w:val="20"/>
          <w:color w:val="auto"/>
        </w:rPr>
      </w:pPr>
    </w:p>
    <w:p>
      <w:pPr>
        <w:ind w:left="428" w:right="20"/>
        <w:spacing w:after="0" w:line="276" w:lineRule="auto"/>
        <w:rPr>
          <w:sz w:val="20"/>
          <w:szCs w:val="20"/>
          <w:color w:val="auto"/>
        </w:rPr>
      </w:pPr>
      <w:r>
        <w:rPr>
          <w:rFonts w:ascii="Arial" w:cs="Arial" w:eastAsia="Arial" w:hAnsi="Arial"/>
          <w:sz w:val="12"/>
          <w:szCs w:val="12"/>
          <w:color w:val="auto"/>
        </w:rPr>
        <w:t>Level 1: Valuation is based upon quoted prices for identical instruments traded in active markets. Level 1 instruments include securities traded on active exchange markets, such as the New York Stock Exchange, as well as U.S. Treasury securities that are traded by dealers or brokers in active over-the-counter markets.</w:t>
      </w:r>
    </w:p>
    <w:p>
      <w:pPr>
        <w:spacing w:after="0" w:line="115" w:lineRule="exact"/>
        <w:rPr>
          <w:sz w:val="20"/>
          <w:szCs w:val="20"/>
          <w:color w:val="auto"/>
        </w:rPr>
      </w:pPr>
    </w:p>
    <w:p>
      <w:pPr>
        <w:ind w:left="428"/>
        <w:spacing w:after="0" w:line="276" w:lineRule="auto"/>
        <w:rPr>
          <w:sz w:val="20"/>
          <w:szCs w:val="20"/>
          <w:color w:val="auto"/>
        </w:rPr>
      </w:pPr>
      <w:r>
        <w:rPr>
          <w:rFonts w:ascii="Arial" w:cs="Arial" w:eastAsia="Arial" w:hAnsi="Arial"/>
          <w:sz w:val="12"/>
          <w:szCs w:val="12"/>
          <w:color w:val="auto"/>
        </w:rPr>
        <w:t>Level 2: Valuation is based upon quoted prices for similar instruments in active markets, quoted prices for identical or similar instruments in markets that are not active, and model-based valuation techniques for which all significant assumptions are observable in the market. Level 2 instruments include securities traded in less active dealer or broker markets.</w:t>
      </w:r>
    </w:p>
    <w:p>
      <w:pPr>
        <w:spacing w:after="0" w:line="115" w:lineRule="exact"/>
        <w:rPr>
          <w:sz w:val="20"/>
          <w:szCs w:val="20"/>
          <w:color w:val="auto"/>
        </w:rPr>
      </w:pPr>
    </w:p>
    <w:p>
      <w:pPr>
        <w:ind w:left="428"/>
        <w:spacing w:after="0" w:line="276" w:lineRule="auto"/>
        <w:rPr>
          <w:sz w:val="20"/>
          <w:szCs w:val="20"/>
          <w:color w:val="auto"/>
        </w:rPr>
      </w:pPr>
      <w:r>
        <w:rPr>
          <w:rFonts w:ascii="Arial" w:cs="Arial" w:eastAsia="Arial" w:hAnsi="Arial"/>
          <w:sz w:val="12"/>
          <w:szCs w:val="12"/>
          <w:color w:val="auto"/>
        </w:rPr>
        <w:t>Level 3: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use of option pricing models, discounted cash flow models and similar techniques.</w:t>
      </w:r>
    </w:p>
    <w:p>
      <w:pPr>
        <w:spacing w:after="0" w:line="115" w:lineRule="exact"/>
        <w:rPr>
          <w:sz w:val="20"/>
          <w:szCs w:val="20"/>
          <w:color w:val="auto"/>
        </w:rPr>
      </w:pPr>
    </w:p>
    <w:p>
      <w:pPr>
        <w:ind w:left="208"/>
        <w:spacing w:after="0"/>
        <w:rPr>
          <w:sz w:val="20"/>
          <w:szCs w:val="20"/>
          <w:color w:val="auto"/>
        </w:rPr>
      </w:pPr>
      <w:r>
        <w:rPr>
          <w:rFonts w:ascii="Arial" w:cs="Arial" w:eastAsia="Arial" w:hAnsi="Arial"/>
          <w:sz w:val="12"/>
          <w:szCs w:val="12"/>
          <w:color w:val="auto"/>
        </w:rPr>
        <w:t>We used the following methods and significant assumptions to estimate fair value:</w:t>
      </w:r>
    </w:p>
    <w:p>
      <w:pPr>
        <w:spacing w:after="0" w:line="150" w:lineRule="exact"/>
        <w:rPr>
          <w:sz w:val="20"/>
          <w:szCs w:val="20"/>
          <w:color w:val="auto"/>
        </w:rPr>
      </w:pPr>
    </w:p>
    <w:p>
      <w:pPr>
        <w:jc w:val="both"/>
        <w:ind w:left="8" w:firstLine="216"/>
        <w:spacing w:after="0" w:line="285" w:lineRule="auto"/>
        <w:rPr>
          <w:sz w:val="20"/>
          <w:szCs w:val="20"/>
          <w:color w:val="auto"/>
        </w:rPr>
      </w:pPr>
      <w:r>
        <w:rPr>
          <w:rFonts w:ascii="Arial" w:cs="Arial" w:eastAsia="Arial" w:hAnsi="Arial"/>
          <w:sz w:val="11"/>
          <w:szCs w:val="11"/>
          <w:i w:val="1"/>
          <w:iCs w:val="1"/>
          <w:color w:val="auto"/>
        </w:rPr>
        <w:t>Securities</w:t>
      </w:r>
      <w:r>
        <w:rPr>
          <w:rFonts w:ascii="Arial" w:cs="Arial" w:eastAsia="Arial" w:hAnsi="Arial"/>
          <w:sz w:val="11"/>
          <w:szCs w:val="11"/>
          <w:color w:val="auto"/>
        </w:rPr>
        <w:t>: Where quoted market prices are available in an active market, securities available for sale are classified as Level 1 of the valuation hierarchy. We currently do not have any Level 1 securities. If quoted market prices are</w:t>
      </w:r>
      <w:r>
        <w:rPr>
          <w:rFonts w:ascii="Arial" w:cs="Arial" w:eastAsia="Arial" w:hAnsi="Arial"/>
          <w:sz w:val="11"/>
          <w:szCs w:val="11"/>
          <w:i w:val="1"/>
          <w:iCs w:val="1"/>
          <w:color w:val="auto"/>
        </w:rPr>
        <w:t xml:space="preserve"> </w:t>
      </w:r>
      <w:r>
        <w:rPr>
          <w:rFonts w:ascii="Arial" w:cs="Arial" w:eastAsia="Arial" w:hAnsi="Arial"/>
          <w:sz w:val="11"/>
          <w:szCs w:val="11"/>
          <w:color w:val="auto"/>
        </w:rPr>
        <w:t>not available for the specific security, then fair values are estimated by (1) using quoted market prices of securities with similar characteristics, (2) matrix pricing, which is a mathematical technique used widely in the industry to value debt securities without relying exclusively on quoted prices for specific securities but rather by relying on the securities’ relationship to other benchmark quoted prices, or (3) a discounted cash flow analysis whose significant fair value inputs can generally be verified and do not typically involve judgment by management. These securities are classified as Level 2 of the valuation hierarchy and primarily include agency securities, private label mortgage-backed securities, other asset backed securities, obligations of states and political subdivisions, trust preferred securities, corporate securities and foreign government securities.</w:t>
      </w:r>
    </w:p>
    <w:p>
      <w:pPr>
        <w:spacing w:after="0" w:line="235" w:lineRule="exact"/>
        <w:rPr>
          <w:sz w:val="20"/>
          <w:szCs w:val="20"/>
          <w:color w:val="auto"/>
        </w:rPr>
      </w:pPr>
    </w:p>
    <w:p>
      <w:pPr>
        <w:jc w:val="center"/>
        <w:ind w:right="-7"/>
        <w:spacing w:after="0"/>
        <w:rPr>
          <w:sz w:val="20"/>
          <w:szCs w:val="20"/>
          <w:color w:val="auto"/>
        </w:rPr>
      </w:pPr>
      <w:r>
        <w:rPr>
          <w:rFonts w:ascii="Arial" w:cs="Arial" w:eastAsia="Arial" w:hAnsi="Arial"/>
          <w:sz w:val="10"/>
          <w:szCs w:val="10"/>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78040" cy="114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7" w:right="299" w:bottom="1440" w:gutter="0" w:footer="0" w:header="0"/>
        </w:sectPr>
      </w:pPr>
    </w:p>
    <w:bookmarkStart w:id="115" w:name="page116"/>
    <w:bookmarkEnd w:id="115"/>
    <w:p>
      <w:pPr>
        <w:ind w:left="3700"/>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Loans held for sale</w:t>
      </w:r>
      <w:r>
        <w:rPr>
          <w:rFonts w:ascii="Arial" w:cs="Arial" w:eastAsia="Arial" w:hAnsi="Arial"/>
          <w:sz w:val="12"/>
          <w:szCs w:val="12"/>
          <w:color w:val="auto"/>
        </w:rPr>
        <w:t>: The fair value of mortgage loans held for sale, carried at fair value is based on agency cash window loan pricing for comparable assets (recurring Level 2).</w:t>
      </w:r>
    </w:p>
    <w:p>
      <w:pPr>
        <w:spacing w:after="0" w:line="150"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i w:val="1"/>
          <w:iCs w:val="1"/>
          <w:color w:val="231F20"/>
        </w:rPr>
        <w:t xml:space="preserve">Collateral dependent </w:t>
      </w:r>
      <w:r>
        <w:rPr>
          <w:rFonts w:ascii="Arial" w:cs="Arial" w:eastAsia="Arial" w:hAnsi="Arial"/>
          <w:sz w:val="12"/>
          <w:szCs w:val="12"/>
          <w:i w:val="1"/>
          <w:iCs w:val="1"/>
          <w:color w:val="000000"/>
        </w:rPr>
        <w:t>loans with specific loss allocations based on collateral value</w:t>
      </w:r>
      <w:r>
        <w:rPr>
          <w:rFonts w:ascii="Arial" w:cs="Arial" w:eastAsia="Arial" w:hAnsi="Arial"/>
          <w:sz w:val="12"/>
          <w:szCs w:val="12"/>
          <w:color w:val="000000"/>
        </w:rPr>
        <w:t>: From time to time, certain collateral dependent loans will have an ACL established. When the fair value of the collateral is based on an appraised</w:t>
      </w:r>
      <w:r>
        <w:rPr>
          <w:rFonts w:ascii="Arial" w:cs="Arial" w:eastAsia="Arial" w:hAnsi="Arial"/>
          <w:sz w:val="12"/>
          <w:szCs w:val="12"/>
          <w:i w:val="1"/>
          <w:iCs w:val="1"/>
          <w:color w:val="231F20"/>
        </w:rPr>
        <w:t xml:space="preserve"> </w:t>
      </w:r>
      <w:r>
        <w:rPr>
          <w:rFonts w:ascii="Arial" w:cs="Arial" w:eastAsia="Arial" w:hAnsi="Arial"/>
          <w:sz w:val="12"/>
          <w:szCs w:val="12"/>
          <w:color w:val="000000"/>
        </w:rPr>
        <w:t>value or when an appraised value is not available we record the collateral dependent loan as nonrecurring Level 3.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thus will typically result in a Level 3 classification of the inputs for determining fair value.</w:t>
      </w:r>
    </w:p>
    <w:p>
      <w:pPr>
        <w:spacing w:after="0" w:line="124"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i w:val="1"/>
          <w:iCs w:val="1"/>
          <w:color w:val="auto"/>
        </w:rPr>
        <w:t>Other real estate</w:t>
      </w:r>
      <w:r>
        <w:rPr>
          <w:rFonts w:ascii="Arial" w:cs="Arial" w:eastAsia="Arial" w:hAnsi="Arial"/>
          <w:sz w:val="12"/>
          <w:szCs w:val="12"/>
          <w:color w:val="auto"/>
        </w:rPr>
        <w:t>: At the time of acquisition, other real estate is recorded at fair value, less estimated costs to sell, which becomes the property’s new basis. Subsequent write-downs to reflect declines in value since the time of</w:t>
      </w:r>
      <w:r>
        <w:rPr>
          <w:rFonts w:ascii="Arial" w:cs="Arial" w:eastAsia="Arial" w:hAnsi="Arial"/>
          <w:sz w:val="12"/>
          <w:szCs w:val="12"/>
          <w:i w:val="1"/>
          <w:iCs w:val="1"/>
          <w:color w:val="auto"/>
        </w:rPr>
        <w:t xml:space="preserve"> </w:t>
      </w:r>
      <w:r>
        <w:rPr>
          <w:rFonts w:ascii="Arial" w:cs="Arial" w:eastAsia="Arial" w:hAnsi="Arial"/>
          <w:sz w:val="12"/>
          <w:szCs w:val="12"/>
          <w:color w:val="auto"/>
        </w:rPr>
        <w:t>acquisition may occur from time to time and are recorded in net (gains) losses on other real estate and repossessed assets which is included other non-interest expense in the Consolidated Statements of Operations. The fair value of the property used at and subsequent to the time of acquisition is typically determined by a third party appraisal of the property.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typically result in a Level 3 classification of the inputs for determining fair value.</w:t>
      </w:r>
    </w:p>
    <w:p>
      <w:pPr>
        <w:spacing w:after="0" w:line="128"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2"/>
          <w:szCs w:val="12"/>
          <w:color w:val="auto"/>
        </w:rPr>
        <w:t>Appraisals for both collateral-dependent loans and other real estate are performed by certified general appraisers (for commercial properties) or certified residential appraisers (for residential properties) whose qualifications and licenses have been reviewed and verified by us. Once received, an independent third party, or a member of our Collateral Evaluation Department (for commercial properties), or a member of our Special Assets/ORE Group (for residential properties) reviews the assumptions and approaches utilized in the appraisal as well as the overall resulting fair value in comparison with independent data sources such as recent market data or industry-wide statistics. We compare the actual selling price of collateral that has been sold to the most recent appraised value of our properties to determine what additional adjustment, if any, should be made to the appraisal value to arrive at fair value. For commercial and residential properties we typically discount an appraisal to account for various factors that the appraisal excludes in its assumptions. These additional discounts generally do not result in material adjustments to the appraised value.</w:t>
      </w:r>
    </w:p>
    <w:p>
      <w:pPr>
        <w:spacing w:after="0" w:line="128"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i w:val="1"/>
          <w:iCs w:val="1"/>
          <w:color w:val="auto"/>
        </w:rPr>
        <w:t>Capitalized mortgage loan servicing rights</w:t>
      </w:r>
      <w:r>
        <w:rPr>
          <w:rFonts w:ascii="Arial" w:cs="Arial" w:eastAsia="Arial" w:hAnsi="Arial"/>
          <w:sz w:val="12"/>
          <w:szCs w:val="12"/>
          <w:color w:val="auto"/>
        </w:rPr>
        <w:t>: The fair value of capitalized mortgage loan servicing rights is based on a valuation model used by an independent third party that calculates the present value of estimated net servicing</w:t>
      </w:r>
      <w:r>
        <w:rPr>
          <w:rFonts w:ascii="Arial" w:cs="Arial" w:eastAsia="Arial" w:hAnsi="Arial"/>
          <w:sz w:val="12"/>
          <w:szCs w:val="12"/>
          <w:i w:val="1"/>
          <w:iCs w:val="1"/>
          <w:color w:val="auto"/>
        </w:rPr>
        <w:t xml:space="preserve"> </w:t>
      </w:r>
      <w:r>
        <w:rPr>
          <w:rFonts w:ascii="Arial" w:cs="Arial" w:eastAsia="Arial" w:hAnsi="Arial"/>
          <w:sz w:val="12"/>
          <w:szCs w:val="12"/>
          <w:color w:val="auto"/>
        </w:rPr>
        <w:t>income. The valuation model incorporates assumptions that market participants would use in estimating future net servicing income. Certain model assumptions are generally unobservable and are based upon the best information available including data relating to our own servicing portfolio, reviews of mortgage servicing assumption and valuation surveys and input from various mortgage servicers and, therefore, are recorded as Level 3. Management evaluates the third party valuation for reasonableness each quarter as part of our financial reporting control processes.</w:t>
      </w:r>
    </w:p>
    <w:p>
      <w:pPr>
        <w:spacing w:after="0" w:line="124"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i w:val="1"/>
          <w:iCs w:val="1"/>
          <w:color w:val="auto"/>
        </w:rPr>
        <w:t>Derivatives</w:t>
      </w:r>
      <w:r>
        <w:rPr>
          <w:rFonts w:ascii="Arial" w:cs="Arial" w:eastAsia="Arial" w:hAnsi="Arial"/>
          <w:sz w:val="12"/>
          <w:szCs w:val="12"/>
          <w:color w:val="auto"/>
        </w:rPr>
        <w:t>: The fair value of rate-lock mortgage loan commitments is based on agency cash window loan pricing for comparable assets and the fair value of mandatory commitments to sell mortgage loans is based on mortgage</w:t>
      </w:r>
      <w:r>
        <w:rPr>
          <w:rFonts w:ascii="Arial" w:cs="Arial" w:eastAsia="Arial" w:hAnsi="Arial"/>
          <w:sz w:val="12"/>
          <w:szCs w:val="12"/>
          <w:i w:val="1"/>
          <w:iCs w:val="1"/>
          <w:color w:val="auto"/>
        </w:rPr>
        <w:t xml:space="preserve"> </w:t>
      </w:r>
      <w:r>
        <w:rPr>
          <w:rFonts w:ascii="Arial" w:cs="Arial" w:eastAsia="Arial" w:hAnsi="Arial"/>
          <w:sz w:val="12"/>
          <w:szCs w:val="12"/>
          <w:color w:val="auto"/>
        </w:rPr>
        <w:t>backed security pricing for comparable assets (recurring Level 2). The fair value of interest rate swap, interest rate cap and swaption agreements are derived from proprietary models which utilize current market data. The significant fair value inputs can generally be observed in the market place and do not typically involve judgment by management (recurring Level 2). The fair value of purchased and written options is based on prices of financial instruments with similar characteristics and do not typically involve judgment by management (recurring Level 2).</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16" w:name="page117"/>
    <w:bookmarkEnd w:id="116"/>
    <w:tbl>
      <w:tblPr>
        <w:tblLayout w:type="fixed"/>
        <w:tblInd w:w="8" w:type="dxa"/>
        <w:tblCellMar>
          <w:top w:w="0" w:type="dxa"/>
          <w:left w:w="0" w:type="dxa"/>
          <w:bottom w:w="0" w:type="dxa"/>
          <w:right w:w="0" w:type="dxa"/>
        </w:tblCellMar>
      </w:tblPr>
      <w:tr>
        <w:trPr>
          <w:trHeight w:val="157"/>
        </w:trPr>
        <w:tc>
          <w:tcPr>
            <w:tcW w:w="3120" w:type="dxa"/>
            <w:vAlign w:val="bottom"/>
          </w:tcPr>
          <w:p>
            <w:pPr>
              <w:spacing w:after="0"/>
              <w:rPr>
                <w:sz w:val="13"/>
                <w:szCs w:val="13"/>
                <w:color w:val="auto"/>
              </w:rPr>
            </w:pPr>
          </w:p>
        </w:tc>
        <w:tc>
          <w:tcPr>
            <w:tcW w:w="5080" w:type="dxa"/>
            <w:vAlign w:val="bottom"/>
            <w:gridSpan w:val="5"/>
          </w:tcPr>
          <w:p>
            <w:pPr>
              <w:jc w:val="right"/>
              <w:ind w:right="540"/>
              <w:spacing w:after="0"/>
              <w:rPr>
                <w:sz w:val="20"/>
                <w:szCs w:val="20"/>
                <w:color w:val="auto"/>
              </w:rPr>
            </w:pPr>
            <w:r>
              <w:rPr>
                <w:rFonts w:ascii="Arial" w:cs="Arial" w:eastAsia="Arial" w:hAnsi="Arial"/>
                <w:sz w:val="12"/>
                <w:szCs w:val="12"/>
                <w:b w:val="1"/>
                <w:bCs w:val="1"/>
                <w:color w:val="auto"/>
              </w:rPr>
              <w:t>NOTES TO CONSOLIDATED FINANCIAL STATEMENTS − (Continued)</w:t>
            </w: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6740" w:type="dxa"/>
            <w:vAlign w:val="bottom"/>
            <w:gridSpan w:val="3"/>
          </w:tcPr>
          <w:p>
            <w:pPr>
              <w:ind w:left="200"/>
              <w:spacing w:after="0"/>
              <w:rPr>
                <w:sz w:val="20"/>
                <w:szCs w:val="20"/>
                <w:color w:val="auto"/>
              </w:rPr>
            </w:pPr>
            <w:r>
              <w:rPr>
                <w:rFonts w:ascii="Arial" w:cs="Arial" w:eastAsia="Arial" w:hAnsi="Arial"/>
                <w:sz w:val="12"/>
                <w:szCs w:val="12"/>
                <w:color w:val="auto"/>
                <w:w w:val="91"/>
              </w:rPr>
              <w:t>Assets and liabilities measured at fair value, including financial assets for which we have elected the fair value option, were as follows:</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31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4"/>
          </w:tcPr>
          <w:p>
            <w:pPr>
              <w:ind w:left="260"/>
              <w:spacing w:after="0"/>
              <w:rPr>
                <w:sz w:val="20"/>
                <w:szCs w:val="20"/>
                <w:color w:val="auto"/>
              </w:rPr>
            </w:pPr>
            <w:r>
              <w:rPr>
                <w:rFonts w:ascii="Arial" w:cs="Arial" w:eastAsia="Arial" w:hAnsi="Arial"/>
                <w:sz w:val="12"/>
                <w:szCs w:val="12"/>
                <w:b w:val="1"/>
                <w:bCs w:val="1"/>
                <w:color w:val="auto"/>
                <w:w w:val="96"/>
              </w:rPr>
              <w:t>Fair Value Measurements Using</w:t>
            </w: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1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88"/>
              </w:rPr>
              <w:t>Quoted Prices</w:t>
            </w:r>
          </w:p>
        </w:tc>
        <w:tc>
          <w:tcPr>
            <w:tcW w:w="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1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left="360"/>
              <w:spacing w:after="0"/>
              <w:rPr>
                <w:sz w:val="20"/>
                <w:szCs w:val="20"/>
                <w:color w:val="auto"/>
              </w:rPr>
            </w:pPr>
            <w:r>
              <w:rPr>
                <w:rFonts w:ascii="Arial" w:cs="Arial" w:eastAsia="Arial" w:hAnsi="Arial"/>
                <w:sz w:val="12"/>
                <w:szCs w:val="12"/>
                <w:b w:val="1"/>
                <w:bCs w:val="1"/>
                <w:color w:val="auto"/>
                <w:w w:val="87"/>
              </w:rPr>
              <w:t>in Active</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left="360"/>
              <w:spacing w:after="0"/>
              <w:rPr>
                <w:sz w:val="20"/>
                <w:szCs w:val="20"/>
                <w:color w:val="auto"/>
              </w:rPr>
            </w:pPr>
            <w:r>
              <w:rPr>
                <w:rFonts w:ascii="Arial" w:cs="Arial" w:eastAsia="Arial" w:hAnsi="Arial"/>
                <w:sz w:val="12"/>
                <w:szCs w:val="12"/>
                <w:b w:val="1"/>
                <w:bCs w:val="1"/>
                <w:color w:val="auto"/>
                <w:w w:val="96"/>
              </w:rPr>
              <w:t>Markets</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jc w:val="center"/>
              <w:ind w:right="320"/>
              <w:spacing w:after="0"/>
              <w:rPr>
                <w:sz w:val="20"/>
                <w:szCs w:val="20"/>
                <w:color w:val="auto"/>
              </w:rPr>
            </w:pPr>
            <w:r>
              <w:rPr>
                <w:rFonts w:ascii="Arial" w:cs="Arial" w:eastAsia="Arial" w:hAnsi="Arial"/>
                <w:sz w:val="12"/>
                <w:szCs w:val="12"/>
                <w:b w:val="1"/>
                <w:bCs w:val="1"/>
                <w:color w:val="auto"/>
                <w:w w:val="91"/>
              </w:rPr>
              <w:t>Significant</w:t>
            </w:r>
          </w:p>
        </w:tc>
        <w:tc>
          <w:tcPr>
            <w:tcW w:w="280" w:type="dxa"/>
            <w:vAlign w:val="bottom"/>
          </w:tcPr>
          <w:p>
            <w:pPr>
              <w:spacing w:after="0"/>
              <w:rPr>
                <w:sz w:val="12"/>
                <w:szCs w:val="12"/>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1"/>
              </w:rPr>
              <w:t>Significant</w:t>
            </w:r>
          </w:p>
        </w:tc>
        <w:tc>
          <w:tcPr>
            <w:tcW w:w="0" w:type="dxa"/>
            <w:vAlign w:val="bottom"/>
          </w:tcPr>
          <w:p>
            <w:pPr>
              <w:spacing w:after="0"/>
              <w:rPr>
                <w:sz w:val="1"/>
                <w:szCs w:val="1"/>
                <w:color w:val="auto"/>
              </w:rPr>
            </w:pPr>
          </w:p>
        </w:tc>
      </w:tr>
      <w:tr>
        <w:trPr>
          <w:trHeight w:val="144"/>
        </w:trPr>
        <w:tc>
          <w:tcPr>
            <w:tcW w:w="31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left="360"/>
              <w:spacing w:after="0"/>
              <w:rPr>
                <w:sz w:val="20"/>
                <w:szCs w:val="20"/>
                <w:color w:val="auto"/>
              </w:rPr>
            </w:pPr>
            <w:r>
              <w:rPr>
                <w:rFonts w:ascii="Arial" w:cs="Arial" w:eastAsia="Arial" w:hAnsi="Arial"/>
                <w:sz w:val="12"/>
                <w:szCs w:val="12"/>
                <w:b w:val="1"/>
                <w:bCs w:val="1"/>
                <w:color w:val="auto"/>
                <w:w w:val="99"/>
              </w:rPr>
              <w:t>for</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jc w:val="center"/>
              <w:ind w:right="300"/>
              <w:spacing w:after="0"/>
              <w:rPr>
                <w:sz w:val="20"/>
                <w:szCs w:val="20"/>
                <w:color w:val="auto"/>
              </w:rPr>
            </w:pPr>
            <w:r>
              <w:rPr>
                <w:rFonts w:ascii="Arial" w:cs="Arial" w:eastAsia="Arial" w:hAnsi="Arial"/>
                <w:sz w:val="12"/>
                <w:szCs w:val="12"/>
                <w:b w:val="1"/>
                <w:bCs w:val="1"/>
                <w:color w:val="auto"/>
                <w:w w:val="93"/>
              </w:rPr>
              <w:t>Other</w:t>
            </w:r>
          </w:p>
        </w:tc>
        <w:tc>
          <w:tcPr>
            <w:tcW w:w="280" w:type="dxa"/>
            <w:vAlign w:val="bottom"/>
          </w:tcPr>
          <w:p>
            <w:pPr>
              <w:spacing w:after="0"/>
              <w:rPr>
                <w:sz w:val="12"/>
                <w:szCs w:val="12"/>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9"/>
              </w:rPr>
              <w:t>Un-</w:t>
            </w:r>
          </w:p>
        </w:tc>
        <w:tc>
          <w:tcPr>
            <w:tcW w:w="0" w:type="dxa"/>
            <w:vAlign w:val="bottom"/>
          </w:tcPr>
          <w:p>
            <w:pPr>
              <w:spacing w:after="0"/>
              <w:rPr>
                <w:sz w:val="1"/>
                <w:szCs w:val="1"/>
                <w:color w:val="auto"/>
              </w:rPr>
            </w:pPr>
          </w:p>
        </w:tc>
      </w:tr>
      <w:tr>
        <w:trPr>
          <w:trHeight w:val="144"/>
        </w:trPr>
        <w:tc>
          <w:tcPr>
            <w:tcW w:w="31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94"/>
              </w:rPr>
              <w:t>Fair Value</w:t>
            </w:r>
          </w:p>
        </w:tc>
        <w:tc>
          <w:tcPr>
            <w:tcW w:w="940" w:type="dxa"/>
            <w:vAlign w:val="bottom"/>
          </w:tcPr>
          <w:p>
            <w:pPr>
              <w:jc w:val="center"/>
              <w:ind w:left="360"/>
              <w:spacing w:after="0"/>
              <w:rPr>
                <w:sz w:val="20"/>
                <w:szCs w:val="20"/>
                <w:color w:val="auto"/>
              </w:rPr>
            </w:pPr>
            <w:r>
              <w:rPr>
                <w:rFonts w:ascii="Arial" w:cs="Arial" w:eastAsia="Arial" w:hAnsi="Arial"/>
                <w:sz w:val="12"/>
                <w:szCs w:val="12"/>
                <w:b w:val="1"/>
                <w:bCs w:val="1"/>
                <w:color w:val="auto"/>
                <w:w w:val="90"/>
              </w:rPr>
              <w:t>Identical</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jc w:val="center"/>
              <w:ind w:right="300"/>
              <w:spacing w:after="0"/>
              <w:rPr>
                <w:sz w:val="20"/>
                <w:szCs w:val="20"/>
                <w:color w:val="auto"/>
              </w:rPr>
            </w:pPr>
            <w:r>
              <w:rPr>
                <w:rFonts w:ascii="Arial" w:cs="Arial" w:eastAsia="Arial" w:hAnsi="Arial"/>
                <w:sz w:val="12"/>
                <w:szCs w:val="12"/>
                <w:b w:val="1"/>
                <w:bCs w:val="1"/>
                <w:color w:val="auto"/>
                <w:w w:val="88"/>
              </w:rPr>
              <w:t>Observable</w:t>
            </w:r>
          </w:p>
        </w:tc>
        <w:tc>
          <w:tcPr>
            <w:tcW w:w="280" w:type="dxa"/>
            <w:vAlign w:val="bottom"/>
          </w:tcPr>
          <w:p>
            <w:pPr>
              <w:spacing w:after="0"/>
              <w:rPr>
                <w:sz w:val="12"/>
                <w:szCs w:val="12"/>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8"/>
              </w:rPr>
              <w:t>observable</w:t>
            </w:r>
          </w:p>
        </w:tc>
        <w:tc>
          <w:tcPr>
            <w:tcW w:w="0" w:type="dxa"/>
            <w:vAlign w:val="bottom"/>
          </w:tcPr>
          <w:p>
            <w:pPr>
              <w:spacing w:after="0"/>
              <w:rPr>
                <w:sz w:val="1"/>
                <w:szCs w:val="1"/>
                <w:color w:val="auto"/>
              </w:rPr>
            </w:pPr>
          </w:p>
        </w:tc>
      </w:tr>
      <w:tr>
        <w:trPr>
          <w:trHeight w:val="144"/>
        </w:trPr>
        <w:tc>
          <w:tcPr>
            <w:tcW w:w="31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6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w w:val="91"/>
              </w:rPr>
              <w:t>Measure-</w:t>
            </w:r>
          </w:p>
        </w:tc>
        <w:tc>
          <w:tcPr>
            <w:tcW w:w="940" w:type="dxa"/>
            <w:vAlign w:val="bottom"/>
          </w:tcPr>
          <w:p>
            <w:pPr>
              <w:jc w:val="center"/>
              <w:ind w:left="360"/>
              <w:spacing w:after="0"/>
              <w:rPr>
                <w:sz w:val="20"/>
                <w:szCs w:val="20"/>
                <w:color w:val="auto"/>
              </w:rPr>
            </w:pPr>
            <w:r>
              <w:rPr>
                <w:rFonts w:ascii="Arial" w:cs="Arial" w:eastAsia="Arial" w:hAnsi="Arial"/>
                <w:sz w:val="12"/>
                <w:szCs w:val="12"/>
                <w:b w:val="1"/>
                <w:bCs w:val="1"/>
                <w:color w:val="auto"/>
                <w:w w:val="81"/>
              </w:rPr>
              <w:t>Assets</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jc w:val="center"/>
              <w:ind w:right="300"/>
              <w:spacing w:after="0"/>
              <w:rPr>
                <w:sz w:val="20"/>
                <w:szCs w:val="20"/>
                <w:color w:val="auto"/>
              </w:rPr>
            </w:pPr>
            <w:r>
              <w:rPr>
                <w:rFonts w:ascii="Arial" w:cs="Arial" w:eastAsia="Arial" w:hAnsi="Arial"/>
                <w:sz w:val="12"/>
                <w:szCs w:val="12"/>
                <w:b w:val="1"/>
                <w:bCs w:val="1"/>
                <w:color w:val="auto"/>
                <w:w w:val="94"/>
              </w:rPr>
              <w:t>Inputs</w:t>
            </w:r>
          </w:p>
        </w:tc>
        <w:tc>
          <w:tcPr>
            <w:tcW w:w="280" w:type="dxa"/>
            <w:vAlign w:val="bottom"/>
          </w:tcPr>
          <w:p>
            <w:pPr>
              <w:spacing w:after="0"/>
              <w:rPr>
                <w:sz w:val="12"/>
                <w:szCs w:val="1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4"/>
              </w:rPr>
              <w:t>Inputs</w:t>
            </w:r>
          </w:p>
        </w:tc>
        <w:tc>
          <w:tcPr>
            <w:tcW w:w="0" w:type="dxa"/>
            <w:vAlign w:val="bottom"/>
          </w:tcPr>
          <w:p>
            <w:pPr>
              <w:spacing w:after="0"/>
              <w:rPr>
                <w:sz w:val="1"/>
                <w:szCs w:val="1"/>
                <w:color w:val="auto"/>
              </w:rPr>
            </w:pPr>
          </w:p>
        </w:tc>
      </w:tr>
      <w:tr>
        <w:trPr>
          <w:trHeight w:val="157"/>
        </w:trPr>
        <w:tc>
          <w:tcPr>
            <w:tcW w:w="31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740" w:type="dxa"/>
            <w:vAlign w:val="bottom"/>
          </w:tcPr>
          <w:p>
            <w:pPr>
              <w:jc w:val="center"/>
              <w:ind w:left="340"/>
              <w:spacing w:after="0"/>
              <w:rPr>
                <w:sz w:val="20"/>
                <w:szCs w:val="20"/>
                <w:color w:val="auto"/>
              </w:rPr>
            </w:pPr>
            <w:r>
              <w:rPr>
                <w:rFonts w:ascii="Arial" w:cs="Arial" w:eastAsia="Arial" w:hAnsi="Arial"/>
                <w:sz w:val="12"/>
                <w:szCs w:val="12"/>
                <w:b w:val="1"/>
                <w:bCs w:val="1"/>
                <w:color w:val="auto"/>
                <w:w w:val="84"/>
              </w:rPr>
              <w:t>ments</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left="360"/>
              <w:spacing w:after="0"/>
              <w:rPr>
                <w:sz w:val="20"/>
                <w:szCs w:val="20"/>
                <w:color w:val="auto"/>
              </w:rPr>
            </w:pPr>
            <w:r>
              <w:rPr>
                <w:rFonts w:ascii="Arial" w:cs="Arial" w:eastAsia="Arial" w:hAnsi="Arial"/>
                <w:sz w:val="12"/>
                <w:szCs w:val="12"/>
                <w:b w:val="1"/>
                <w:bCs w:val="1"/>
                <w:color w:val="auto"/>
                <w:w w:val="90"/>
              </w:rPr>
              <w:t>(Level 1)</w:t>
            </w: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jc w:val="center"/>
              <w:ind w:right="320"/>
              <w:spacing w:after="0"/>
              <w:rPr>
                <w:sz w:val="20"/>
                <w:szCs w:val="20"/>
                <w:color w:val="auto"/>
              </w:rPr>
            </w:pPr>
            <w:r>
              <w:rPr>
                <w:rFonts w:ascii="Arial" w:cs="Arial" w:eastAsia="Arial" w:hAnsi="Arial"/>
                <w:sz w:val="12"/>
                <w:szCs w:val="12"/>
                <w:b w:val="1"/>
                <w:bCs w:val="1"/>
                <w:color w:val="auto"/>
                <w:w w:val="90"/>
              </w:rPr>
              <w:t>(Level 2)</w:t>
            </w:r>
          </w:p>
        </w:tc>
        <w:tc>
          <w:tcPr>
            <w:tcW w:w="280" w:type="dxa"/>
            <w:vAlign w:val="bottom"/>
          </w:tcPr>
          <w:p>
            <w:pPr>
              <w:spacing w:after="0"/>
              <w:rPr>
                <w:sz w:val="13"/>
                <w:szCs w:val="13"/>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4"/>
              </w:rPr>
              <w:t>(Level 3)</w:t>
            </w:r>
          </w:p>
        </w:tc>
        <w:tc>
          <w:tcPr>
            <w:tcW w:w="0" w:type="dxa"/>
            <w:vAlign w:val="bottom"/>
          </w:tcPr>
          <w:p>
            <w:pPr>
              <w:spacing w:after="0"/>
              <w:rPr>
                <w:sz w:val="1"/>
                <w:szCs w:val="1"/>
                <w:color w:val="auto"/>
              </w:rPr>
            </w:pPr>
          </w:p>
        </w:tc>
      </w:tr>
      <w:tr>
        <w:trPr>
          <w:trHeight w:val="155"/>
        </w:trPr>
        <w:tc>
          <w:tcPr>
            <w:tcW w:w="3120" w:type="dxa"/>
            <w:vAlign w:val="bottom"/>
            <w:vMerge w:val="restart"/>
          </w:tcPr>
          <w:p>
            <w:pPr>
              <w:spacing w:after="0"/>
              <w:rPr>
                <w:sz w:val="20"/>
                <w:szCs w:val="20"/>
                <w:color w:val="auto"/>
              </w:rPr>
            </w:pPr>
            <w:r>
              <w:rPr>
                <w:rFonts w:ascii="Arial" w:cs="Arial" w:eastAsia="Arial" w:hAnsi="Arial"/>
                <w:sz w:val="12"/>
                <w:szCs w:val="12"/>
                <w:color w:val="auto"/>
              </w:rPr>
              <w:t>December 31, 2021:</w:t>
            </w:r>
          </w:p>
        </w:tc>
        <w:tc>
          <w:tcPr>
            <w:tcW w:w="288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gridSpan w:val="2"/>
          </w:tcPr>
          <w:p>
            <w:pPr>
              <w:ind w:left="20"/>
              <w:spacing w:after="0"/>
              <w:rPr>
                <w:sz w:val="20"/>
                <w:szCs w:val="20"/>
                <w:color w:val="auto"/>
              </w:rPr>
            </w:pPr>
            <w:r>
              <w:rPr>
                <w:rFonts w:ascii="Arial" w:cs="Arial" w:eastAsia="Arial" w:hAnsi="Arial"/>
                <w:sz w:val="12"/>
                <w:szCs w:val="12"/>
                <w:b w:val="1"/>
                <w:bCs w:val="1"/>
                <w:color w:val="auto"/>
                <w:w w:val="89"/>
              </w:rPr>
              <w:t>(In thousands)</w:t>
            </w:r>
          </w:p>
        </w:tc>
        <w:tc>
          <w:tcPr>
            <w:tcW w:w="9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120" w:type="dxa"/>
            <w:vAlign w:val="bottom"/>
            <w:tcBorders>
              <w:bottom w:val="single" w:sz="8" w:color="auto"/>
            </w:tcBorders>
            <w:vMerge w:val="continue"/>
          </w:tcPr>
          <w:p>
            <w:pPr>
              <w:spacing w:after="0"/>
              <w:rPr>
                <w:sz w:val="11"/>
                <w:szCs w:val="11"/>
                <w:color w:val="auto"/>
              </w:rPr>
            </w:pPr>
          </w:p>
        </w:tc>
        <w:tc>
          <w:tcPr>
            <w:tcW w:w="28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120" w:type="dxa"/>
            <w:vAlign w:val="bottom"/>
          </w:tcPr>
          <w:p>
            <w:pPr>
              <w:spacing w:after="0" w:line="133" w:lineRule="exact"/>
              <w:rPr>
                <w:sz w:val="20"/>
                <w:szCs w:val="20"/>
                <w:color w:val="auto"/>
              </w:rPr>
            </w:pPr>
            <w:r>
              <w:rPr>
                <w:rFonts w:ascii="Arial" w:cs="Arial" w:eastAsia="Arial" w:hAnsi="Arial"/>
                <w:sz w:val="12"/>
                <w:szCs w:val="12"/>
                <w:color w:val="auto"/>
              </w:rPr>
              <w:t>Measured at Fair Value on a Recurring Basis</w:t>
            </w:r>
          </w:p>
        </w:tc>
        <w:tc>
          <w:tcPr>
            <w:tcW w:w="2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120" w:type="dxa"/>
            <w:vAlign w:val="bottom"/>
          </w:tcPr>
          <w:p>
            <w:pPr>
              <w:ind w:left="80"/>
              <w:spacing w:after="0"/>
              <w:rPr>
                <w:sz w:val="20"/>
                <w:szCs w:val="20"/>
                <w:color w:val="auto"/>
              </w:rPr>
            </w:pPr>
            <w:r>
              <w:rPr>
                <w:rFonts w:ascii="Arial" w:cs="Arial" w:eastAsia="Arial" w:hAnsi="Arial"/>
                <w:sz w:val="12"/>
                <w:szCs w:val="12"/>
                <w:color w:val="auto"/>
              </w:rPr>
              <w:t>Assets</w:t>
            </w:r>
          </w:p>
        </w:tc>
        <w:tc>
          <w:tcPr>
            <w:tcW w:w="2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20" w:type="dxa"/>
            <w:vAlign w:val="bottom"/>
          </w:tcPr>
          <w:p>
            <w:pPr>
              <w:ind w:left="200"/>
              <w:spacing w:after="0"/>
              <w:rPr>
                <w:sz w:val="20"/>
                <w:szCs w:val="20"/>
                <w:color w:val="auto"/>
              </w:rPr>
            </w:pPr>
            <w:r>
              <w:rPr>
                <w:rFonts w:ascii="Arial" w:cs="Arial" w:eastAsia="Arial" w:hAnsi="Arial"/>
                <w:sz w:val="12"/>
                <w:szCs w:val="12"/>
                <w:color w:val="auto"/>
              </w:rPr>
              <w:t>Securities available for sale</w:t>
            </w:r>
          </w:p>
        </w:tc>
        <w:tc>
          <w:tcPr>
            <w:tcW w:w="2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120" w:type="dxa"/>
            <w:vAlign w:val="bottom"/>
            <w:shd w:val="clear" w:color="auto" w:fill="CCEEFF"/>
          </w:tcPr>
          <w:p>
            <w:pPr>
              <w:ind w:left="320"/>
              <w:spacing w:after="0"/>
              <w:rPr>
                <w:sz w:val="20"/>
                <w:szCs w:val="20"/>
                <w:color w:val="auto"/>
              </w:rPr>
            </w:pPr>
            <w:r>
              <w:rPr>
                <w:rFonts w:ascii="Arial" w:cs="Arial" w:eastAsia="Arial" w:hAnsi="Arial"/>
                <w:sz w:val="12"/>
                <w:szCs w:val="12"/>
                <w:color w:val="auto"/>
              </w:rPr>
              <w:t>U.S. agency</w:t>
            </w:r>
          </w:p>
        </w:tc>
        <w:tc>
          <w:tcPr>
            <w:tcW w:w="3620" w:type="dxa"/>
            <w:vAlign w:val="bottom"/>
            <w:gridSpan w:val="2"/>
            <w:shd w:val="clear" w:color="auto" w:fill="CCEEFF"/>
          </w:tcPr>
          <w:p>
            <w:pPr>
              <w:jc w:val="right"/>
              <w:ind w:right="62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34,674</w:t>
            </w:r>
          </w:p>
        </w:tc>
        <w:tc>
          <w:tcPr>
            <w:tcW w:w="940" w:type="dxa"/>
            <w:vAlign w:val="bottom"/>
            <w:shd w:val="clear" w:color="auto" w:fill="CCEEFF"/>
          </w:tcPr>
          <w:p>
            <w:pPr>
              <w:jc w:val="right"/>
              <w:ind w:right="70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34,674</w:t>
            </w:r>
          </w:p>
        </w:tc>
        <w:tc>
          <w:tcPr>
            <w:tcW w:w="2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120" w:type="dxa"/>
            <w:vAlign w:val="bottom"/>
          </w:tcPr>
          <w:p>
            <w:pPr>
              <w:ind w:left="320"/>
              <w:spacing w:after="0"/>
              <w:rPr>
                <w:sz w:val="20"/>
                <w:szCs w:val="20"/>
                <w:color w:val="auto"/>
              </w:rPr>
            </w:pPr>
            <w:r>
              <w:rPr>
                <w:rFonts w:ascii="Arial" w:cs="Arial" w:eastAsia="Arial" w:hAnsi="Arial"/>
                <w:sz w:val="12"/>
                <w:szCs w:val="12"/>
                <w:color w:val="auto"/>
              </w:rPr>
              <w:t>U.S. agency residential mortgage-backed</w:t>
            </w:r>
          </w:p>
        </w:tc>
        <w:tc>
          <w:tcPr>
            <w:tcW w:w="2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w w:val="87"/>
              </w:rPr>
              <w:t>307,985</w:t>
            </w:r>
          </w:p>
        </w:tc>
        <w:tc>
          <w:tcPr>
            <w:tcW w:w="940" w:type="dxa"/>
            <w:vAlign w:val="bottom"/>
          </w:tcPr>
          <w:p>
            <w:pPr>
              <w:spacing w:after="0"/>
              <w:rPr>
                <w:sz w:val="12"/>
                <w:szCs w:val="12"/>
                <w:color w:val="auto"/>
              </w:rPr>
            </w:pPr>
          </w:p>
        </w:tc>
        <w:tc>
          <w:tcPr>
            <w:tcW w:w="420" w:type="dxa"/>
            <w:vAlign w:val="bottom"/>
          </w:tcPr>
          <w:p>
            <w:pPr>
              <w:ind w:left="26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2"/>
                <w:szCs w:val="12"/>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307,985</w:t>
            </w:r>
          </w:p>
        </w:tc>
        <w:tc>
          <w:tcPr>
            <w:tcW w:w="2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120" w:type="dxa"/>
            <w:vAlign w:val="bottom"/>
            <w:shd w:val="clear" w:color="auto" w:fill="CCEEFF"/>
          </w:tcPr>
          <w:p>
            <w:pPr>
              <w:ind w:left="320"/>
              <w:spacing w:after="0"/>
              <w:rPr>
                <w:sz w:val="20"/>
                <w:szCs w:val="20"/>
                <w:color w:val="auto"/>
              </w:rPr>
            </w:pPr>
            <w:r>
              <w:rPr>
                <w:rFonts w:ascii="Arial" w:cs="Arial" w:eastAsia="Arial" w:hAnsi="Arial"/>
                <w:sz w:val="12"/>
                <w:szCs w:val="12"/>
                <w:color w:val="auto"/>
              </w:rPr>
              <w:t>U.S. agency commercial mortgage-backed</w:t>
            </w:r>
          </w:p>
        </w:tc>
        <w:tc>
          <w:tcPr>
            <w:tcW w:w="28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22,926</w:t>
            </w:r>
          </w:p>
        </w:tc>
        <w:tc>
          <w:tcPr>
            <w:tcW w:w="940" w:type="dxa"/>
            <w:vAlign w:val="bottom"/>
            <w:shd w:val="clear" w:color="auto" w:fill="CCEEFF"/>
          </w:tcPr>
          <w:p>
            <w:pPr>
              <w:spacing w:after="0"/>
              <w:rPr>
                <w:sz w:val="12"/>
                <w:szCs w:val="12"/>
                <w:color w:val="auto"/>
              </w:rPr>
            </w:pPr>
          </w:p>
        </w:tc>
        <w:tc>
          <w:tcPr>
            <w:tcW w:w="4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22,926</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120" w:type="dxa"/>
            <w:vAlign w:val="bottom"/>
          </w:tcPr>
          <w:p>
            <w:pPr>
              <w:ind w:left="320"/>
              <w:spacing w:after="0"/>
              <w:rPr>
                <w:sz w:val="20"/>
                <w:szCs w:val="20"/>
                <w:color w:val="auto"/>
              </w:rPr>
            </w:pPr>
            <w:r>
              <w:rPr>
                <w:rFonts w:ascii="Arial" w:cs="Arial" w:eastAsia="Arial" w:hAnsi="Arial"/>
                <w:sz w:val="12"/>
                <w:szCs w:val="12"/>
                <w:color w:val="auto"/>
              </w:rPr>
              <w:t>Private label mortgage-backed</w:t>
            </w:r>
          </w:p>
        </w:tc>
        <w:tc>
          <w:tcPr>
            <w:tcW w:w="2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w w:val="87"/>
              </w:rPr>
              <w:t>102,615</w:t>
            </w:r>
          </w:p>
        </w:tc>
        <w:tc>
          <w:tcPr>
            <w:tcW w:w="940" w:type="dxa"/>
            <w:vAlign w:val="bottom"/>
          </w:tcPr>
          <w:p>
            <w:pPr>
              <w:spacing w:after="0"/>
              <w:rPr>
                <w:sz w:val="12"/>
                <w:szCs w:val="12"/>
                <w:color w:val="auto"/>
              </w:rPr>
            </w:pPr>
          </w:p>
        </w:tc>
        <w:tc>
          <w:tcPr>
            <w:tcW w:w="420" w:type="dxa"/>
            <w:vAlign w:val="bottom"/>
          </w:tcPr>
          <w:p>
            <w:pPr>
              <w:ind w:left="26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2"/>
                <w:szCs w:val="12"/>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102,615</w:t>
            </w:r>
          </w:p>
        </w:tc>
        <w:tc>
          <w:tcPr>
            <w:tcW w:w="2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120" w:type="dxa"/>
            <w:vAlign w:val="bottom"/>
            <w:shd w:val="clear" w:color="auto" w:fill="CCEEFF"/>
          </w:tcPr>
          <w:p>
            <w:pPr>
              <w:ind w:left="320"/>
              <w:spacing w:after="0"/>
              <w:rPr>
                <w:sz w:val="20"/>
                <w:szCs w:val="20"/>
                <w:color w:val="auto"/>
              </w:rPr>
            </w:pPr>
            <w:r>
              <w:rPr>
                <w:rFonts w:ascii="Arial" w:cs="Arial" w:eastAsia="Arial" w:hAnsi="Arial"/>
                <w:sz w:val="12"/>
                <w:szCs w:val="12"/>
                <w:color w:val="auto"/>
              </w:rPr>
              <w:t>Other asset backed</w:t>
            </w:r>
          </w:p>
        </w:tc>
        <w:tc>
          <w:tcPr>
            <w:tcW w:w="28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87"/>
              </w:rPr>
              <w:t>216,170</w:t>
            </w:r>
          </w:p>
        </w:tc>
        <w:tc>
          <w:tcPr>
            <w:tcW w:w="940" w:type="dxa"/>
            <w:vAlign w:val="bottom"/>
            <w:shd w:val="clear" w:color="auto" w:fill="CCEEFF"/>
          </w:tcPr>
          <w:p>
            <w:pPr>
              <w:spacing w:after="0"/>
              <w:rPr>
                <w:sz w:val="12"/>
                <w:szCs w:val="12"/>
                <w:color w:val="auto"/>
              </w:rPr>
            </w:pPr>
          </w:p>
        </w:tc>
        <w:tc>
          <w:tcPr>
            <w:tcW w:w="4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216,170</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120" w:type="dxa"/>
            <w:vAlign w:val="bottom"/>
          </w:tcPr>
          <w:p>
            <w:pPr>
              <w:ind w:left="320"/>
              <w:spacing w:after="0"/>
              <w:rPr>
                <w:sz w:val="20"/>
                <w:szCs w:val="20"/>
                <w:color w:val="auto"/>
              </w:rPr>
            </w:pPr>
            <w:r>
              <w:rPr>
                <w:rFonts w:ascii="Arial" w:cs="Arial" w:eastAsia="Arial" w:hAnsi="Arial"/>
                <w:sz w:val="12"/>
                <w:szCs w:val="12"/>
                <w:color w:val="auto"/>
              </w:rPr>
              <w:t>Obligations of states and political subdivisions</w:t>
            </w:r>
          </w:p>
        </w:tc>
        <w:tc>
          <w:tcPr>
            <w:tcW w:w="2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w w:val="87"/>
              </w:rPr>
              <w:t>576,076</w:t>
            </w:r>
          </w:p>
        </w:tc>
        <w:tc>
          <w:tcPr>
            <w:tcW w:w="940" w:type="dxa"/>
            <w:vAlign w:val="bottom"/>
          </w:tcPr>
          <w:p>
            <w:pPr>
              <w:spacing w:after="0"/>
              <w:rPr>
                <w:sz w:val="12"/>
                <w:szCs w:val="12"/>
                <w:color w:val="auto"/>
              </w:rPr>
            </w:pPr>
          </w:p>
        </w:tc>
        <w:tc>
          <w:tcPr>
            <w:tcW w:w="420" w:type="dxa"/>
            <w:vAlign w:val="bottom"/>
          </w:tcPr>
          <w:p>
            <w:pPr>
              <w:ind w:left="26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2"/>
                <w:szCs w:val="12"/>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576,076</w:t>
            </w:r>
          </w:p>
        </w:tc>
        <w:tc>
          <w:tcPr>
            <w:tcW w:w="2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120" w:type="dxa"/>
            <w:vAlign w:val="bottom"/>
            <w:shd w:val="clear" w:color="auto" w:fill="CCEEFF"/>
          </w:tcPr>
          <w:p>
            <w:pPr>
              <w:ind w:left="320"/>
              <w:spacing w:after="0"/>
              <w:rPr>
                <w:sz w:val="20"/>
                <w:szCs w:val="20"/>
                <w:color w:val="auto"/>
              </w:rPr>
            </w:pPr>
            <w:r>
              <w:rPr>
                <w:rFonts w:ascii="Arial" w:cs="Arial" w:eastAsia="Arial" w:hAnsi="Arial"/>
                <w:sz w:val="12"/>
                <w:szCs w:val="12"/>
                <w:color w:val="auto"/>
              </w:rPr>
              <w:t>Corporate</w:t>
            </w:r>
          </w:p>
        </w:tc>
        <w:tc>
          <w:tcPr>
            <w:tcW w:w="28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87"/>
              </w:rPr>
              <w:t>149,959</w:t>
            </w:r>
          </w:p>
        </w:tc>
        <w:tc>
          <w:tcPr>
            <w:tcW w:w="940" w:type="dxa"/>
            <w:vAlign w:val="bottom"/>
            <w:shd w:val="clear" w:color="auto" w:fill="CCEEFF"/>
          </w:tcPr>
          <w:p>
            <w:pPr>
              <w:spacing w:after="0"/>
              <w:rPr>
                <w:sz w:val="12"/>
                <w:szCs w:val="12"/>
                <w:color w:val="auto"/>
              </w:rPr>
            </w:pPr>
          </w:p>
        </w:tc>
        <w:tc>
          <w:tcPr>
            <w:tcW w:w="4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149,959</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120" w:type="dxa"/>
            <w:vAlign w:val="bottom"/>
          </w:tcPr>
          <w:p>
            <w:pPr>
              <w:ind w:left="320"/>
              <w:spacing w:after="0"/>
              <w:rPr>
                <w:sz w:val="20"/>
                <w:szCs w:val="20"/>
                <w:color w:val="auto"/>
              </w:rPr>
            </w:pPr>
            <w:r>
              <w:rPr>
                <w:rFonts w:ascii="Arial" w:cs="Arial" w:eastAsia="Arial" w:hAnsi="Arial"/>
                <w:sz w:val="12"/>
                <w:szCs w:val="12"/>
                <w:color w:val="auto"/>
              </w:rPr>
              <w:t>Trust preferred</w:t>
            </w:r>
          </w:p>
        </w:tc>
        <w:tc>
          <w:tcPr>
            <w:tcW w:w="2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1,919</w:t>
            </w:r>
          </w:p>
        </w:tc>
        <w:tc>
          <w:tcPr>
            <w:tcW w:w="940" w:type="dxa"/>
            <w:vAlign w:val="bottom"/>
          </w:tcPr>
          <w:p>
            <w:pPr>
              <w:spacing w:after="0"/>
              <w:rPr>
                <w:sz w:val="12"/>
                <w:szCs w:val="12"/>
                <w:color w:val="auto"/>
              </w:rPr>
            </w:pPr>
          </w:p>
        </w:tc>
        <w:tc>
          <w:tcPr>
            <w:tcW w:w="420" w:type="dxa"/>
            <w:vAlign w:val="bottom"/>
          </w:tcPr>
          <w:p>
            <w:pPr>
              <w:ind w:left="26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2"/>
                <w:szCs w:val="12"/>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1,919</w:t>
            </w:r>
          </w:p>
        </w:tc>
        <w:tc>
          <w:tcPr>
            <w:tcW w:w="2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120" w:type="dxa"/>
            <w:vAlign w:val="bottom"/>
            <w:shd w:val="clear" w:color="auto" w:fill="CCEEFF"/>
          </w:tcPr>
          <w:p>
            <w:pPr>
              <w:ind w:left="320"/>
              <w:spacing w:after="0"/>
              <w:rPr>
                <w:sz w:val="20"/>
                <w:szCs w:val="20"/>
                <w:color w:val="auto"/>
              </w:rPr>
            </w:pPr>
            <w:r>
              <w:rPr>
                <w:rFonts w:ascii="Arial" w:cs="Arial" w:eastAsia="Arial" w:hAnsi="Arial"/>
                <w:sz w:val="12"/>
                <w:szCs w:val="12"/>
                <w:color w:val="auto"/>
              </w:rPr>
              <w:t>Foreign government</w:t>
            </w:r>
          </w:p>
        </w:tc>
        <w:tc>
          <w:tcPr>
            <w:tcW w:w="28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506</w:t>
            </w:r>
          </w:p>
        </w:tc>
        <w:tc>
          <w:tcPr>
            <w:tcW w:w="940" w:type="dxa"/>
            <w:vAlign w:val="bottom"/>
            <w:shd w:val="clear" w:color="auto" w:fill="CCEEFF"/>
          </w:tcPr>
          <w:p>
            <w:pPr>
              <w:spacing w:after="0"/>
              <w:rPr>
                <w:sz w:val="12"/>
                <w:szCs w:val="12"/>
                <w:color w:val="auto"/>
              </w:rPr>
            </w:pPr>
          </w:p>
        </w:tc>
        <w:tc>
          <w:tcPr>
            <w:tcW w:w="4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506</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120" w:type="dxa"/>
            <w:vAlign w:val="bottom"/>
          </w:tcPr>
          <w:p>
            <w:pPr>
              <w:ind w:left="200"/>
              <w:spacing w:after="0"/>
              <w:rPr>
                <w:sz w:val="20"/>
                <w:szCs w:val="20"/>
                <w:color w:val="auto"/>
              </w:rPr>
            </w:pPr>
            <w:r>
              <w:rPr>
                <w:rFonts w:ascii="Arial" w:cs="Arial" w:eastAsia="Arial" w:hAnsi="Arial"/>
                <w:sz w:val="12"/>
                <w:szCs w:val="12"/>
                <w:color w:val="auto"/>
              </w:rPr>
              <w:t>Loans held for sale, carried at fair value</w:t>
            </w:r>
          </w:p>
        </w:tc>
        <w:tc>
          <w:tcPr>
            <w:tcW w:w="2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55,470</w:t>
            </w:r>
          </w:p>
        </w:tc>
        <w:tc>
          <w:tcPr>
            <w:tcW w:w="940" w:type="dxa"/>
            <w:vAlign w:val="bottom"/>
          </w:tcPr>
          <w:p>
            <w:pPr>
              <w:spacing w:after="0"/>
              <w:rPr>
                <w:sz w:val="12"/>
                <w:szCs w:val="12"/>
                <w:color w:val="auto"/>
              </w:rPr>
            </w:pPr>
          </w:p>
        </w:tc>
        <w:tc>
          <w:tcPr>
            <w:tcW w:w="420" w:type="dxa"/>
            <w:vAlign w:val="bottom"/>
          </w:tcPr>
          <w:p>
            <w:pPr>
              <w:ind w:left="26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2"/>
                <w:szCs w:val="12"/>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55,470</w:t>
            </w:r>
          </w:p>
        </w:tc>
        <w:tc>
          <w:tcPr>
            <w:tcW w:w="2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120" w:type="dxa"/>
            <w:vAlign w:val="bottom"/>
            <w:shd w:val="clear" w:color="auto" w:fill="CCEEFF"/>
          </w:tcPr>
          <w:p>
            <w:pPr>
              <w:ind w:left="200"/>
              <w:spacing w:after="0"/>
              <w:rPr>
                <w:sz w:val="20"/>
                <w:szCs w:val="20"/>
                <w:color w:val="auto"/>
              </w:rPr>
            </w:pPr>
            <w:r>
              <w:rPr>
                <w:rFonts w:ascii="Arial" w:cs="Arial" w:eastAsia="Arial" w:hAnsi="Arial"/>
                <w:sz w:val="12"/>
                <w:szCs w:val="12"/>
                <w:color w:val="auto"/>
              </w:rPr>
              <w:t>Capitalized mortgage loan servicing rights</w:t>
            </w:r>
          </w:p>
        </w:tc>
        <w:tc>
          <w:tcPr>
            <w:tcW w:w="28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26,232</w:t>
            </w:r>
          </w:p>
        </w:tc>
        <w:tc>
          <w:tcPr>
            <w:tcW w:w="940" w:type="dxa"/>
            <w:vAlign w:val="bottom"/>
            <w:shd w:val="clear" w:color="auto" w:fill="CCEEFF"/>
          </w:tcPr>
          <w:p>
            <w:pPr>
              <w:spacing w:after="0"/>
              <w:rPr>
                <w:sz w:val="12"/>
                <w:szCs w:val="12"/>
                <w:color w:val="auto"/>
              </w:rPr>
            </w:pPr>
          </w:p>
        </w:tc>
        <w:tc>
          <w:tcPr>
            <w:tcW w:w="4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26,232</w:t>
            </w:r>
          </w:p>
        </w:tc>
        <w:tc>
          <w:tcPr>
            <w:tcW w:w="0" w:type="dxa"/>
            <w:vAlign w:val="bottom"/>
          </w:tcPr>
          <w:p>
            <w:pPr>
              <w:spacing w:after="0"/>
              <w:rPr>
                <w:sz w:val="1"/>
                <w:szCs w:val="1"/>
                <w:color w:val="auto"/>
              </w:rPr>
            </w:pPr>
          </w:p>
        </w:tc>
      </w:tr>
      <w:tr>
        <w:trPr>
          <w:trHeight w:val="144"/>
        </w:trPr>
        <w:tc>
          <w:tcPr>
            <w:tcW w:w="3120" w:type="dxa"/>
            <w:vAlign w:val="bottom"/>
          </w:tcPr>
          <w:p>
            <w:pPr>
              <w:ind w:left="200"/>
              <w:spacing w:after="0"/>
              <w:rPr>
                <w:sz w:val="20"/>
                <w:szCs w:val="20"/>
                <w:color w:val="auto"/>
              </w:rPr>
            </w:pPr>
            <w:r>
              <w:rPr>
                <w:rFonts w:ascii="Arial" w:cs="Arial" w:eastAsia="Arial" w:hAnsi="Arial"/>
                <w:sz w:val="12"/>
                <w:szCs w:val="12"/>
                <w:color w:val="auto"/>
              </w:rPr>
              <w:t>Derivatives (1)</w:t>
            </w:r>
          </w:p>
        </w:tc>
        <w:tc>
          <w:tcPr>
            <w:tcW w:w="2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12,283</w:t>
            </w:r>
          </w:p>
        </w:tc>
        <w:tc>
          <w:tcPr>
            <w:tcW w:w="940" w:type="dxa"/>
            <w:vAlign w:val="bottom"/>
          </w:tcPr>
          <w:p>
            <w:pPr>
              <w:spacing w:after="0"/>
              <w:rPr>
                <w:sz w:val="12"/>
                <w:szCs w:val="12"/>
                <w:color w:val="auto"/>
              </w:rPr>
            </w:pPr>
          </w:p>
        </w:tc>
        <w:tc>
          <w:tcPr>
            <w:tcW w:w="420" w:type="dxa"/>
            <w:vAlign w:val="bottom"/>
          </w:tcPr>
          <w:p>
            <w:pPr>
              <w:ind w:left="26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2"/>
                <w:szCs w:val="12"/>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12,283</w:t>
            </w:r>
          </w:p>
        </w:tc>
        <w:tc>
          <w:tcPr>
            <w:tcW w:w="2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120" w:type="dxa"/>
            <w:vAlign w:val="bottom"/>
            <w:shd w:val="clear" w:color="auto" w:fill="CCEEFF"/>
          </w:tcPr>
          <w:p>
            <w:pPr>
              <w:ind w:left="80"/>
              <w:spacing w:after="0"/>
              <w:rPr>
                <w:sz w:val="20"/>
                <w:szCs w:val="20"/>
                <w:color w:val="auto"/>
              </w:rPr>
            </w:pPr>
            <w:r>
              <w:rPr>
                <w:rFonts w:ascii="Arial" w:cs="Arial" w:eastAsia="Arial" w:hAnsi="Arial"/>
                <w:sz w:val="12"/>
                <w:szCs w:val="12"/>
                <w:color w:val="auto"/>
              </w:rPr>
              <w:t>Liabilities</w:t>
            </w:r>
          </w:p>
        </w:tc>
        <w:tc>
          <w:tcPr>
            <w:tcW w:w="28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20" w:type="dxa"/>
            <w:vAlign w:val="bottom"/>
          </w:tcPr>
          <w:p>
            <w:pPr>
              <w:ind w:left="200"/>
              <w:spacing w:after="0"/>
              <w:rPr>
                <w:sz w:val="20"/>
                <w:szCs w:val="20"/>
                <w:color w:val="auto"/>
              </w:rPr>
            </w:pPr>
            <w:r>
              <w:rPr>
                <w:rFonts w:ascii="Arial" w:cs="Arial" w:eastAsia="Arial" w:hAnsi="Arial"/>
                <w:sz w:val="12"/>
                <w:szCs w:val="12"/>
                <w:color w:val="auto"/>
              </w:rPr>
              <w:t>Derivatives (2)</w:t>
            </w:r>
          </w:p>
        </w:tc>
        <w:tc>
          <w:tcPr>
            <w:tcW w:w="2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5,961</w:t>
            </w:r>
          </w:p>
        </w:tc>
        <w:tc>
          <w:tcPr>
            <w:tcW w:w="940" w:type="dxa"/>
            <w:vAlign w:val="bottom"/>
          </w:tcPr>
          <w:p>
            <w:pPr>
              <w:spacing w:after="0"/>
              <w:rPr>
                <w:sz w:val="12"/>
                <w:szCs w:val="12"/>
                <w:color w:val="auto"/>
              </w:rPr>
            </w:pPr>
          </w:p>
        </w:tc>
        <w:tc>
          <w:tcPr>
            <w:tcW w:w="420" w:type="dxa"/>
            <w:vAlign w:val="bottom"/>
          </w:tcPr>
          <w:p>
            <w:pPr>
              <w:ind w:left="26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2"/>
                <w:szCs w:val="12"/>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5,961</w:t>
            </w:r>
          </w:p>
        </w:tc>
        <w:tc>
          <w:tcPr>
            <w:tcW w:w="2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120" w:type="dxa"/>
            <w:vAlign w:val="bottom"/>
            <w:shd w:val="clear" w:color="auto" w:fill="CCEEFF"/>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20" w:type="dxa"/>
            <w:vAlign w:val="bottom"/>
          </w:tcPr>
          <w:p>
            <w:pPr>
              <w:spacing w:after="0"/>
              <w:rPr>
                <w:sz w:val="20"/>
                <w:szCs w:val="20"/>
                <w:color w:val="auto"/>
              </w:rPr>
            </w:pPr>
            <w:r>
              <w:rPr>
                <w:rFonts w:ascii="Arial" w:cs="Arial" w:eastAsia="Arial" w:hAnsi="Arial"/>
                <w:sz w:val="12"/>
                <w:szCs w:val="12"/>
                <w:color w:val="auto"/>
              </w:rPr>
              <w:t>Measured at Fair Value on a Non-recurring Basis:</w:t>
            </w:r>
          </w:p>
        </w:tc>
        <w:tc>
          <w:tcPr>
            <w:tcW w:w="2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20" w:type="dxa"/>
            <w:vAlign w:val="bottom"/>
            <w:shd w:val="clear" w:color="auto" w:fill="CCEEFF"/>
          </w:tcPr>
          <w:p>
            <w:pPr>
              <w:ind w:left="80"/>
              <w:spacing w:after="0"/>
              <w:rPr>
                <w:sz w:val="20"/>
                <w:szCs w:val="20"/>
                <w:color w:val="auto"/>
              </w:rPr>
            </w:pPr>
            <w:r>
              <w:rPr>
                <w:rFonts w:ascii="Arial" w:cs="Arial" w:eastAsia="Arial" w:hAnsi="Arial"/>
                <w:sz w:val="12"/>
                <w:szCs w:val="12"/>
                <w:color w:val="auto"/>
              </w:rPr>
              <w:t>Assets</w:t>
            </w:r>
          </w:p>
        </w:tc>
        <w:tc>
          <w:tcPr>
            <w:tcW w:w="28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20" w:type="dxa"/>
            <w:vAlign w:val="bottom"/>
          </w:tcPr>
          <w:p>
            <w:pPr>
              <w:ind w:left="200"/>
              <w:spacing w:after="0"/>
              <w:rPr>
                <w:sz w:val="20"/>
                <w:szCs w:val="20"/>
                <w:color w:val="auto"/>
              </w:rPr>
            </w:pPr>
            <w:r>
              <w:rPr>
                <w:rFonts w:ascii="Arial" w:cs="Arial" w:eastAsia="Arial" w:hAnsi="Arial"/>
                <w:sz w:val="12"/>
                <w:szCs w:val="12"/>
                <w:color w:val="auto"/>
              </w:rPr>
              <w:t>Collateral dependent loans (3)</w:t>
            </w:r>
          </w:p>
        </w:tc>
        <w:tc>
          <w:tcPr>
            <w:tcW w:w="2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20" w:type="dxa"/>
            <w:vAlign w:val="bottom"/>
            <w:shd w:val="clear" w:color="auto" w:fill="CCEEFF"/>
          </w:tcPr>
          <w:p>
            <w:pPr>
              <w:ind w:left="320"/>
              <w:spacing w:after="0"/>
              <w:rPr>
                <w:sz w:val="20"/>
                <w:szCs w:val="20"/>
                <w:color w:val="auto"/>
              </w:rPr>
            </w:pPr>
            <w:r>
              <w:rPr>
                <w:rFonts w:ascii="Arial" w:cs="Arial" w:eastAsia="Arial" w:hAnsi="Arial"/>
                <w:sz w:val="12"/>
                <w:szCs w:val="12"/>
                <w:color w:val="auto"/>
              </w:rPr>
              <w:t>Commercial</w:t>
            </w:r>
          </w:p>
        </w:tc>
        <w:tc>
          <w:tcPr>
            <w:tcW w:w="28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20" w:type="dxa"/>
            <w:vAlign w:val="bottom"/>
          </w:tcPr>
          <w:p>
            <w:pPr>
              <w:ind w:left="420"/>
              <w:spacing w:after="0"/>
              <w:rPr>
                <w:sz w:val="20"/>
                <w:szCs w:val="20"/>
                <w:color w:val="auto"/>
              </w:rPr>
            </w:pPr>
            <w:r>
              <w:rPr>
                <w:rFonts w:ascii="Arial" w:cs="Arial" w:eastAsia="Arial" w:hAnsi="Arial"/>
                <w:sz w:val="12"/>
                <w:szCs w:val="12"/>
                <w:color w:val="auto"/>
              </w:rPr>
              <w:t>Commercial and industrial</w:t>
            </w:r>
          </w:p>
        </w:tc>
        <w:tc>
          <w:tcPr>
            <w:tcW w:w="2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274</w:t>
            </w:r>
          </w:p>
        </w:tc>
        <w:tc>
          <w:tcPr>
            <w:tcW w:w="940" w:type="dxa"/>
            <w:vAlign w:val="bottom"/>
          </w:tcPr>
          <w:p>
            <w:pPr>
              <w:spacing w:after="0"/>
              <w:rPr>
                <w:sz w:val="12"/>
                <w:szCs w:val="12"/>
                <w:color w:val="auto"/>
              </w:rPr>
            </w:pPr>
          </w:p>
        </w:tc>
        <w:tc>
          <w:tcPr>
            <w:tcW w:w="420" w:type="dxa"/>
            <w:vAlign w:val="bottom"/>
          </w:tcPr>
          <w:p>
            <w:pPr>
              <w:ind w:left="26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2"/>
                <w:szCs w:val="12"/>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274</w:t>
            </w:r>
          </w:p>
        </w:tc>
        <w:tc>
          <w:tcPr>
            <w:tcW w:w="0" w:type="dxa"/>
            <w:vAlign w:val="bottom"/>
          </w:tcPr>
          <w:p>
            <w:pPr>
              <w:spacing w:after="0"/>
              <w:rPr>
                <w:sz w:val="1"/>
                <w:szCs w:val="1"/>
                <w:color w:val="auto"/>
              </w:rPr>
            </w:pPr>
          </w:p>
        </w:tc>
      </w:tr>
      <w:tr>
        <w:trPr>
          <w:trHeight w:val="144"/>
        </w:trPr>
        <w:tc>
          <w:tcPr>
            <w:tcW w:w="3120" w:type="dxa"/>
            <w:vAlign w:val="bottom"/>
            <w:shd w:val="clear" w:color="auto" w:fill="CCEEFF"/>
          </w:tcPr>
          <w:p>
            <w:pPr>
              <w:ind w:left="420"/>
              <w:spacing w:after="0"/>
              <w:rPr>
                <w:sz w:val="20"/>
                <w:szCs w:val="20"/>
                <w:color w:val="auto"/>
              </w:rPr>
            </w:pPr>
            <w:r>
              <w:rPr>
                <w:rFonts w:ascii="Arial" w:cs="Arial" w:eastAsia="Arial" w:hAnsi="Arial"/>
                <w:sz w:val="12"/>
                <w:szCs w:val="12"/>
                <w:color w:val="auto"/>
              </w:rPr>
              <w:t>Commercial real estate</w:t>
            </w:r>
          </w:p>
        </w:tc>
        <w:tc>
          <w:tcPr>
            <w:tcW w:w="28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65</w:t>
            </w:r>
          </w:p>
        </w:tc>
        <w:tc>
          <w:tcPr>
            <w:tcW w:w="940" w:type="dxa"/>
            <w:vAlign w:val="bottom"/>
            <w:shd w:val="clear" w:color="auto" w:fill="CCEEFF"/>
          </w:tcPr>
          <w:p>
            <w:pPr>
              <w:spacing w:after="0"/>
              <w:rPr>
                <w:sz w:val="12"/>
                <w:szCs w:val="12"/>
                <w:color w:val="auto"/>
              </w:rPr>
            </w:pPr>
          </w:p>
        </w:tc>
        <w:tc>
          <w:tcPr>
            <w:tcW w:w="4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65</w:t>
            </w:r>
          </w:p>
        </w:tc>
        <w:tc>
          <w:tcPr>
            <w:tcW w:w="0" w:type="dxa"/>
            <w:vAlign w:val="bottom"/>
          </w:tcPr>
          <w:p>
            <w:pPr>
              <w:spacing w:after="0"/>
              <w:rPr>
                <w:sz w:val="1"/>
                <w:szCs w:val="1"/>
                <w:color w:val="auto"/>
              </w:rPr>
            </w:pPr>
          </w:p>
        </w:tc>
      </w:tr>
      <w:tr>
        <w:trPr>
          <w:trHeight w:val="144"/>
        </w:trPr>
        <w:tc>
          <w:tcPr>
            <w:tcW w:w="3120" w:type="dxa"/>
            <w:vAlign w:val="bottom"/>
          </w:tcPr>
          <w:p>
            <w:pPr>
              <w:ind w:left="300"/>
              <w:spacing w:after="0"/>
              <w:rPr>
                <w:sz w:val="20"/>
                <w:szCs w:val="20"/>
                <w:color w:val="auto"/>
              </w:rPr>
            </w:pPr>
            <w:r>
              <w:rPr>
                <w:rFonts w:ascii="Arial" w:cs="Arial" w:eastAsia="Arial" w:hAnsi="Arial"/>
                <w:sz w:val="12"/>
                <w:szCs w:val="12"/>
                <w:color w:val="auto"/>
              </w:rPr>
              <w:t>Mortgage</w:t>
            </w:r>
          </w:p>
        </w:tc>
        <w:tc>
          <w:tcPr>
            <w:tcW w:w="2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20" w:type="dxa"/>
            <w:vAlign w:val="bottom"/>
            <w:shd w:val="clear" w:color="auto" w:fill="CCEEFF"/>
          </w:tcPr>
          <w:p>
            <w:pPr>
              <w:ind w:left="420"/>
              <w:spacing w:after="0"/>
              <w:rPr>
                <w:sz w:val="20"/>
                <w:szCs w:val="20"/>
                <w:color w:val="auto"/>
              </w:rPr>
            </w:pPr>
            <w:r>
              <w:rPr>
                <w:rFonts w:ascii="Arial" w:cs="Arial" w:eastAsia="Arial" w:hAnsi="Arial"/>
                <w:sz w:val="12"/>
                <w:szCs w:val="12"/>
                <w:color w:val="auto"/>
              </w:rPr>
              <w:t>1-4 family owner occupied - non-jumbo</w:t>
            </w:r>
          </w:p>
        </w:tc>
        <w:tc>
          <w:tcPr>
            <w:tcW w:w="28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516</w:t>
            </w:r>
          </w:p>
        </w:tc>
        <w:tc>
          <w:tcPr>
            <w:tcW w:w="940" w:type="dxa"/>
            <w:vAlign w:val="bottom"/>
            <w:shd w:val="clear" w:color="auto" w:fill="CCEEFF"/>
          </w:tcPr>
          <w:p>
            <w:pPr>
              <w:spacing w:after="0"/>
              <w:rPr>
                <w:sz w:val="12"/>
                <w:szCs w:val="12"/>
                <w:color w:val="auto"/>
              </w:rPr>
            </w:pPr>
          </w:p>
        </w:tc>
        <w:tc>
          <w:tcPr>
            <w:tcW w:w="4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516</w:t>
            </w:r>
          </w:p>
        </w:tc>
        <w:tc>
          <w:tcPr>
            <w:tcW w:w="0" w:type="dxa"/>
            <w:vAlign w:val="bottom"/>
          </w:tcPr>
          <w:p>
            <w:pPr>
              <w:spacing w:after="0"/>
              <w:rPr>
                <w:sz w:val="1"/>
                <w:szCs w:val="1"/>
                <w:color w:val="auto"/>
              </w:rPr>
            </w:pPr>
          </w:p>
        </w:tc>
      </w:tr>
      <w:tr>
        <w:trPr>
          <w:trHeight w:val="144"/>
        </w:trPr>
        <w:tc>
          <w:tcPr>
            <w:tcW w:w="3120" w:type="dxa"/>
            <w:vAlign w:val="bottom"/>
          </w:tcPr>
          <w:p>
            <w:pPr>
              <w:ind w:left="420"/>
              <w:spacing w:after="0"/>
              <w:rPr>
                <w:sz w:val="20"/>
                <w:szCs w:val="20"/>
                <w:color w:val="auto"/>
              </w:rPr>
            </w:pPr>
            <w:r>
              <w:rPr>
                <w:rFonts w:ascii="Arial" w:cs="Arial" w:eastAsia="Arial" w:hAnsi="Arial"/>
                <w:sz w:val="12"/>
                <w:szCs w:val="12"/>
                <w:color w:val="auto"/>
              </w:rPr>
              <w:t>1-4 family non-owner occupied</w:t>
            </w:r>
          </w:p>
        </w:tc>
        <w:tc>
          <w:tcPr>
            <w:tcW w:w="2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130</w:t>
            </w:r>
          </w:p>
        </w:tc>
        <w:tc>
          <w:tcPr>
            <w:tcW w:w="940" w:type="dxa"/>
            <w:vAlign w:val="bottom"/>
          </w:tcPr>
          <w:p>
            <w:pPr>
              <w:spacing w:after="0"/>
              <w:rPr>
                <w:sz w:val="12"/>
                <w:szCs w:val="12"/>
                <w:color w:val="auto"/>
              </w:rPr>
            </w:pPr>
          </w:p>
        </w:tc>
        <w:tc>
          <w:tcPr>
            <w:tcW w:w="420" w:type="dxa"/>
            <w:vAlign w:val="bottom"/>
          </w:tcPr>
          <w:p>
            <w:pPr>
              <w:ind w:left="26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2"/>
                <w:szCs w:val="12"/>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130</w:t>
            </w:r>
          </w:p>
        </w:tc>
        <w:tc>
          <w:tcPr>
            <w:tcW w:w="0" w:type="dxa"/>
            <w:vAlign w:val="bottom"/>
          </w:tcPr>
          <w:p>
            <w:pPr>
              <w:spacing w:after="0"/>
              <w:rPr>
                <w:sz w:val="1"/>
                <w:szCs w:val="1"/>
                <w:color w:val="auto"/>
              </w:rPr>
            </w:pPr>
          </w:p>
        </w:tc>
      </w:tr>
      <w:tr>
        <w:trPr>
          <w:trHeight w:val="144"/>
        </w:trPr>
        <w:tc>
          <w:tcPr>
            <w:tcW w:w="3120" w:type="dxa"/>
            <w:vAlign w:val="bottom"/>
            <w:shd w:val="clear" w:color="auto" w:fill="CCEEFF"/>
          </w:tcPr>
          <w:p>
            <w:pPr>
              <w:ind w:left="420"/>
              <w:spacing w:after="0"/>
              <w:rPr>
                <w:sz w:val="20"/>
                <w:szCs w:val="20"/>
                <w:color w:val="auto"/>
              </w:rPr>
            </w:pPr>
            <w:r>
              <w:rPr>
                <w:rFonts w:ascii="Arial" w:cs="Arial" w:eastAsia="Arial" w:hAnsi="Arial"/>
                <w:sz w:val="12"/>
                <w:szCs w:val="12"/>
                <w:color w:val="auto"/>
              </w:rPr>
              <w:t>1-4 family - 2nd lien</w:t>
            </w:r>
          </w:p>
        </w:tc>
        <w:tc>
          <w:tcPr>
            <w:tcW w:w="28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121</w:t>
            </w:r>
          </w:p>
        </w:tc>
        <w:tc>
          <w:tcPr>
            <w:tcW w:w="940" w:type="dxa"/>
            <w:vAlign w:val="bottom"/>
            <w:shd w:val="clear" w:color="auto" w:fill="CCEEFF"/>
          </w:tcPr>
          <w:p>
            <w:pPr>
              <w:spacing w:after="0"/>
              <w:rPr>
                <w:sz w:val="12"/>
                <w:szCs w:val="12"/>
                <w:color w:val="auto"/>
              </w:rPr>
            </w:pPr>
          </w:p>
        </w:tc>
        <w:tc>
          <w:tcPr>
            <w:tcW w:w="4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121</w:t>
            </w:r>
          </w:p>
        </w:tc>
        <w:tc>
          <w:tcPr>
            <w:tcW w:w="0" w:type="dxa"/>
            <w:vAlign w:val="bottom"/>
          </w:tcPr>
          <w:p>
            <w:pPr>
              <w:spacing w:after="0"/>
              <w:rPr>
                <w:sz w:val="1"/>
                <w:szCs w:val="1"/>
                <w:color w:val="auto"/>
              </w:rPr>
            </w:pPr>
          </w:p>
        </w:tc>
      </w:tr>
      <w:tr>
        <w:trPr>
          <w:trHeight w:val="144"/>
        </w:trPr>
        <w:tc>
          <w:tcPr>
            <w:tcW w:w="3120" w:type="dxa"/>
            <w:vAlign w:val="bottom"/>
          </w:tcPr>
          <w:p>
            <w:pPr>
              <w:ind w:left="420"/>
              <w:spacing w:after="0"/>
              <w:rPr>
                <w:sz w:val="20"/>
                <w:szCs w:val="20"/>
                <w:color w:val="auto"/>
              </w:rPr>
            </w:pPr>
            <w:r>
              <w:rPr>
                <w:rFonts w:ascii="Arial" w:cs="Arial" w:eastAsia="Arial" w:hAnsi="Arial"/>
                <w:sz w:val="12"/>
                <w:szCs w:val="12"/>
                <w:color w:val="auto"/>
              </w:rPr>
              <w:t>Resort lending</w:t>
            </w:r>
          </w:p>
        </w:tc>
        <w:tc>
          <w:tcPr>
            <w:tcW w:w="2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77</w:t>
            </w:r>
          </w:p>
        </w:tc>
        <w:tc>
          <w:tcPr>
            <w:tcW w:w="940" w:type="dxa"/>
            <w:vAlign w:val="bottom"/>
          </w:tcPr>
          <w:p>
            <w:pPr>
              <w:spacing w:after="0"/>
              <w:rPr>
                <w:sz w:val="12"/>
                <w:szCs w:val="12"/>
                <w:color w:val="auto"/>
              </w:rPr>
            </w:pPr>
          </w:p>
        </w:tc>
        <w:tc>
          <w:tcPr>
            <w:tcW w:w="420" w:type="dxa"/>
            <w:vAlign w:val="bottom"/>
          </w:tcPr>
          <w:p>
            <w:pPr>
              <w:ind w:left="26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2"/>
                <w:szCs w:val="12"/>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77</w:t>
            </w:r>
          </w:p>
        </w:tc>
        <w:tc>
          <w:tcPr>
            <w:tcW w:w="0" w:type="dxa"/>
            <w:vAlign w:val="bottom"/>
          </w:tcPr>
          <w:p>
            <w:pPr>
              <w:spacing w:after="0"/>
              <w:rPr>
                <w:sz w:val="1"/>
                <w:szCs w:val="1"/>
                <w:color w:val="auto"/>
              </w:rPr>
            </w:pPr>
          </w:p>
        </w:tc>
      </w:tr>
      <w:tr>
        <w:trPr>
          <w:trHeight w:val="144"/>
        </w:trPr>
        <w:tc>
          <w:tcPr>
            <w:tcW w:w="3120" w:type="dxa"/>
            <w:vAlign w:val="bottom"/>
            <w:shd w:val="clear" w:color="auto" w:fill="CCEEFF"/>
          </w:tcPr>
          <w:p>
            <w:pPr>
              <w:ind w:left="300"/>
              <w:spacing w:after="0"/>
              <w:rPr>
                <w:sz w:val="20"/>
                <w:szCs w:val="20"/>
                <w:color w:val="auto"/>
              </w:rPr>
            </w:pPr>
            <w:r>
              <w:rPr>
                <w:rFonts w:ascii="Arial" w:cs="Arial" w:eastAsia="Arial" w:hAnsi="Arial"/>
                <w:sz w:val="12"/>
                <w:szCs w:val="12"/>
                <w:color w:val="auto"/>
              </w:rPr>
              <w:t>Installment</w:t>
            </w:r>
          </w:p>
        </w:tc>
        <w:tc>
          <w:tcPr>
            <w:tcW w:w="28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20" w:type="dxa"/>
            <w:vAlign w:val="bottom"/>
          </w:tcPr>
          <w:p>
            <w:pPr>
              <w:ind w:left="420"/>
              <w:spacing w:after="0"/>
              <w:rPr>
                <w:sz w:val="20"/>
                <w:szCs w:val="20"/>
                <w:color w:val="auto"/>
              </w:rPr>
            </w:pPr>
            <w:r>
              <w:rPr>
                <w:rFonts w:ascii="Arial" w:cs="Arial" w:eastAsia="Arial" w:hAnsi="Arial"/>
                <w:sz w:val="12"/>
                <w:szCs w:val="12"/>
                <w:color w:val="auto"/>
              </w:rPr>
              <w:t>Boat lending</w:t>
            </w:r>
          </w:p>
        </w:tc>
        <w:tc>
          <w:tcPr>
            <w:tcW w:w="2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51</w:t>
            </w:r>
          </w:p>
        </w:tc>
        <w:tc>
          <w:tcPr>
            <w:tcW w:w="940" w:type="dxa"/>
            <w:vAlign w:val="bottom"/>
          </w:tcPr>
          <w:p>
            <w:pPr>
              <w:spacing w:after="0"/>
              <w:rPr>
                <w:sz w:val="12"/>
                <w:szCs w:val="12"/>
                <w:color w:val="auto"/>
              </w:rPr>
            </w:pPr>
          </w:p>
        </w:tc>
        <w:tc>
          <w:tcPr>
            <w:tcW w:w="420" w:type="dxa"/>
            <w:vAlign w:val="bottom"/>
          </w:tcPr>
          <w:p>
            <w:pPr>
              <w:ind w:left="26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2"/>
                <w:szCs w:val="12"/>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51</w:t>
            </w:r>
          </w:p>
        </w:tc>
        <w:tc>
          <w:tcPr>
            <w:tcW w:w="0" w:type="dxa"/>
            <w:vAlign w:val="bottom"/>
          </w:tcPr>
          <w:p>
            <w:pPr>
              <w:spacing w:after="0"/>
              <w:rPr>
                <w:sz w:val="1"/>
                <w:szCs w:val="1"/>
                <w:color w:val="auto"/>
              </w:rPr>
            </w:pPr>
          </w:p>
        </w:tc>
      </w:tr>
      <w:tr>
        <w:trPr>
          <w:trHeight w:val="144"/>
        </w:trPr>
        <w:tc>
          <w:tcPr>
            <w:tcW w:w="3120" w:type="dxa"/>
            <w:vAlign w:val="bottom"/>
            <w:shd w:val="clear" w:color="auto" w:fill="CCEEFF"/>
          </w:tcPr>
          <w:p>
            <w:pPr>
              <w:ind w:left="420"/>
              <w:spacing w:after="0"/>
              <w:rPr>
                <w:sz w:val="20"/>
                <w:szCs w:val="20"/>
                <w:color w:val="auto"/>
              </w:rPr>
            </w:pPr>
            <w:r>
              <w:rPr>
                <w:rFonts w:ascii="Arial" w:cs="Arial" w:eastAsia="Arial" w:hAnsi="Arial"/>
                <w:sz w:val="12"/>
                <w:szCs w:val="12"/>
                <w:color w:val="auto"/>
              </w:rPr>
              <w:t>Recreational vehicle lending</w:t>
            </w:r>
          </w:p>
        </w:tc>
        <w:tc>
          <w:tcPr>
            <w:tcW w:w="28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77</w:t>
            </w:r>
          </w:p>
        </w:tc>
        <w:tc>
          <w:tcPr>
            <w:tcW w:w="940" w:type="dxa"/>
            <w:vAlign w:val="bottom"/>
            <w:shd w:val="clear" w:color="auto" w:fill="CCEEFF"/>
          </w:tcPr>
          <w:p>
            <w:pPr>
              <w:spacing w:after="0"/>
              <w:rPr>
                <w:sz w:val="12"/>
                <w:szCs w:val="12"/>
                <w:color w:val="auto"/>
              </w:rPr>
            </w:pPr>
          </w:p>
        </w:tc>
        <w:tc>
          <w:tcPr>
            <w:tcW w:w="4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77</w:t>
            </w:r>
          </w:p>
        </w:tc>
        <w:tc>
          <w:tcPr>
            <w:tcW w:w="0" w:type="dxa"/>
            <w:vAlign w:val="bottom"/>
          </w:tcPr>
          <w:p>
            <w:pPr>
              <w:spacing w:after="0"/>
              <w:rPr>
                <w:sz w:val="1"/>
                <w:szCs w:val="1"/>
                <w:color w:val="auto"/>
              </w:rPr>
            </w:pPr>
          </w:p>
        </w:tc>
      </w:tr>
      <w:tr>
        <w:trPr>
          <w:trHeight w:val="153"/>
        </w:trPr>
        <w:tc>
          <w:tcPr>
            <w:tcW w:w="3120" w:type="dxa"/>
            <w:vAlign w:val="bottom"/>
          </w:tcPr>
          <w:p>
            <w:pPr>
              <w:ind w:left="420"/>
              <w:spacing w:after="0"/>
              <w:rPr>
                <w:sz w:val="20"/>
                <w:szCs w:val="20"/>
                <w:color w:val="auto"/>
              </w:rPr>
            </w:pPr>
            <w:r>
              <w:rPr>
                <w:rFonts w:ascii="Arial" w:cs="Arial" w:eastAsia="Arial" w:hAnsi="Arial"/>
                <w:sz w:val="12"/>
                <w:szCs w:val="12"/>
                <w:color w:val="auto"/>
              </w:rPr>
              <w:t>Other</w:t>
            </w:r>
          </w:p>
        </w:tc>
        <w:tc>
          <w:tcPr>
            <w:tcW w:w="2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45</w:t>
            </w:r>
          </w:p>
        </w:tc>
        <w:tc>
          <w:tcPr>
            <w:tcW w:w="940" w:type="dxa"/>
            <w:vAlign w:val="bottom"/>
          </w:tcPr>
          <w:p>
            <w:pPr>
              <w:spacing w:after="0"/>
              <w:rPr>
                <w:sz w:val="13"/>
                <w:szCs w:val="13"/>
                <w:color w:val="auto"/>
              </w:rPr>
            </w:pPr>
          </w:p>
        </w:tc>
        <w:tc>
          <w:tcPr>
            <w:tcW w:w="420" w:type="dxa"/>
            <w:vAlign w:val="bottom"/>
          </w:tcPr>
          <w:p>
            <w:pPr>
              <w:ind w:left="26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2868930" cy="114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9">
                      <a:extLst>
                        <a:ext uri="{28A0092B-C50C-407E-A947-70E740481C1C}"/>
                      </a:extLst>
                    </a:blip>
                    <a:srcRect/>
                    <a:stretch>
                      <a:fillRect/>
                    </a:stretch>
                  </pic:blipFill>
                  <pic:spPr bwMode="auto">
                    <a:xfrm>
                      <a:off x="0" y="0"/>
                      <a:ext cx="2868930" cy="11430"/>
                    </a:xfrm>
                    <a:prstGeom prst="rect">
                      <a:avLst/>
                    </a:prstGeom>
                    <a:noFill/>
                  </pic:spPr>
                </pic:pic>
              </a:graphicData>
            </a:graphic>
          </wp:anchor>
        </w:drawing>
      </w:r>
    </w:p>
    <w:p>
      <w:pPr>
        <w:spacing w:after="0" w:line="250" w:lineRule="exact"/>
        <w:rPr>
          <w:sz w:val="20"/>
          <w:szCs w:val="20"/>
          <w:color w:val="auto"/>
        </w:rPr>
      </w:pPr>
    </w:p>
    <w:p>
      <w:pPr>
        <w:ind w:left="208" w:hanging="208"/>
        <w:spacing w:after="0"/>
        <w:tabs>
          <w:tab w:leader="none" w:pos="208" w:val="left"/>
        </w:tabs>
        <w:numPr>
          <w:ilvl w:val="0"/>
          <w:numId w:val="36"/>
        </w:numPr>
        <w:rPr>
          <w:rFonts w:ascii="Arial" w:cs="Arial" w:eastAsia="Arial" w:hAnsi="Arial"/>
          <w:sz w:val="12"/>
          <w:szCs w:val="12"/>
          <w:color w:val="auto"/>
        </w:rPr>
      </w:pPr>
      <w:r>
        <w:rPr>
          <w:rFonts w:ascii="Arial" w:cs="Arial" w:eastAsia="Arial" w:hAnsi="Arial"/>
          <w:sz w:val="12"/>
          <w:szCs w:val="12"/>
          <w:color w:val="auto"/>
        </w:rPr>
        <w:t>Included in accrued income and other assets in the Consolidated Statements of Financial Condition.</w:t>
      </w:r>
    </w:p>
    <w:p>
      <w:pPr>
        <w:spacing w:after="0" w:line="14" w:lineRule="exact"/>
        <w:rPr>
          <w:rFonts w:ascii="Arial" w:cs="Arial" w:eastAsia="Arial" w:hAnsi="Arial"/>
          <w:sz w:val="12"/>
          <w:szCs w:val="12"/>
          <w:color w:val="auto"/>
        </w:rPr>
      </w:pPr>
    </w:p>
    <w:p>
      <w:pPr>
        <w:ind w:left="208" w:hanging="208"/>
        <w:spacing w:after="0"/>
        <w:tabs>
          <w:tab w:leader="none" w:pos="208" w:val="left"/>
        </w:tabs>
        <w:numPr>
          <w:ilvl w:val="0"/>
          <w:numId w:val="36"/>
        </w:numPr>
        <w:rPr>
          <w:rFonts w:ascii="Arial" w:cs="Arial" w:eastAsia="Arial" w:hAnsi="Arial"/>
          <w:sz w:val="12"/>
          <w:szCs w:val="12"/>
          <w:color w:val="auto"/>
        </w:rPr>
      </w:pPr>
      <w:r>
        <w:rPr>
          <w:rFonts w:ascii="Arial" w:cs="Arial" w:eastAsia="Arial" w:hAnsi="Arial"/>
          <w:sz w:val="12"/>
          <w:szCs w:val="12"/>
          <w:color w:val="auto"/>
        </w:rPr>
        <w:t>Included in accrued expenses and other liabilities in the Consolidated Statements of Financial Condition.</w:t>
      </w:r>
    </w:p>
    <w:p>
      <w:pPr>
        <w:spacing w:after="0" w:line="6" w:lineRule="exact"/>
        <w:rPr>
          <w:rFonts w:ascii="Arial" w:cs="Arial" w:eastAsia="Arial" w:hAnsi="Arial"/>
          <w:sz w:val="12"/>
          <w:szCs w:val="12"/>
          <w:color w:val="auto"/>
        </w:rPr>
      </w:pPr>
    </w:p>
    <w:p>
      <w:pPr>
        <w:ind w:left="208" w:hanging="208"/>
        <w:spacing w:after="0"/>
        <w:tabs>
          <w:tab w:leader="none" w:pos="208" w:val="left"/>
        </w:tabs>
        <w:numPr>
          <w:ilvl w:val="0"/>
          <w:numId w:val="36"/>
        </w:numPr>
        <w:rPr>
          <w:rFonts w:ascii="Arial" w:cs="Arial" w:eastAsia="Arial" w:hAnsi="Arial"/>
          <w:sz w:val="12"/>
          <w:szCs w:val="12"/>
          <w:color w:val="auto"/>
        </w:rPr>
      </w:pPr>
      <w:r>
        <w:rPr>
          <w:rFonts w:ascii="Arial" w:cs="Arial" w:eastAsia="Arial" w:hAnsi="Arial"/>
          <w:sz w:val="12"/>
          <w:szCs w:val="12"/>
          <w:color w:val="auto"/>
        </w:rPr>
        <w:t>Only includes individually evaluated loans with specific loss allocations based on collateral value.</w:t>
      </w:r>
    </w:p>
    <w:p>
      <w:pPr>
        <w:spacing w:after="0" w:line="255" w:lineRule="exact"/>
        <w:rPr>
          <w:sz w:val="20"/>
          <w:szCs w:val="20"/>
          <w:color w:val="auto"/>
        </w:rPr>
      </w:pPr>
    </w:p>
    <w:p>
      <w:pPr>
        <w:jc w:val="center"/>
        <w:ind w:right="-7"/>
        <w:spacing w:after="0"/>
        <w:rPr>
          <w:sz w:val="20"/>
          <w:szCs w:val="20"/>
          <w:color w:val="auto"/>
        </w:rPr>
      </w:pPr>
      <w:r>
        <w:rPr>
          <w:rFonts w:ascii="Arial" w:cs="Arial" w:eastAsia="Arial" w:hAnsi="Arial"/>
          <w:sz w:val="10"/>
          <w:szCs w:val="10"/>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78040" cy="114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7" w:right="299" w:bottom="1440" w:gutter="0" w:footer="0" w:header="0"/>
        </w:sectPr>
      </w:pPr>
    </w:p>
    <w:bookmarkStart w:id="117" w:name="page118"/>
    <w:bookmarkEnd w:id="117"/>
    <w:tbl>
      <w:tblPr>
        <w:tblLayout w:type="fixed"/>
        <w:tblInd w:w="8" w:type="dxa"/>
        <w:tblCellMar>
          <w:top w:w="0" w:type="dxa"/>
          <w:left w:w="0" w:type="dxa"/>
          <w:bottom w:w="0" w:type="dxa"/>
          <w:right w:w="0" w:type="dxa"/>
        </w:tblCellMar>
      </w:tblPr>
      <w:tr>
        <w:trPr>
          <w:trHeight w:val="157"/>
        </w:trPr>
        <w:tc>
          <w:tcPr>
            <w:tcW w:w="3120" w:type="dxa"/>
            <w:vAlign w:val="bottom"/>
          </w:tcPr>
          <w:p>
            <w:pPr>
              <w:spacing w:after="0"/>
              <w:rPr>
                <w:sz w:val="13"/>
                <w:szCs w:val="13"/>
                <w:color w:val="auto"/>
              </w:rPr>
            </w:pPr>
          </w:p>
        </w:tc>
        <w:tc>
          <w:tcPr>
            <w:tcW w:w="5080" w:type="dxa"/>
            <w:vAlign w:val="bottom"/>
            <w:gridSpan w:val="5"/>
          </w:tcPr>
          <w:p>
            <w:pPr>
              <w:jc w:val="right"/>
              <w:ind w:right="540"/>
              <w:spacing w:after="0"/>
              <w:rPr>
                <w:sz w:val="20"/>
                <w:szCs w:val="20"/>
                <w:color w:val="auto"/>
              </w:rPr>
            </w:pPr>
            <w:r>
              <w:rPr>
                <w:rFonts w:ascii="Arial" w:cs="Arial" w:eastAsia="Arial" w:hAnsi="Arial"/>
                <w:sz w:val="12"/>
                <w:szCs w:val="12"/>
                <w:b w:val="1"/>
                <w:bCs w:val="1"/>
                <w:color w:val="auto"/>
              </w:rPr>
              <w:t>NOTES TO CONSOLIDATED FINANCIAL STATEMENTS − (Continued)</w:t>
            </w: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312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4"/>
          </w:tcPr>
          <w:p>
            <w:pPr>
              <w:ind w:left="260"/>
              <w:spacing w:after="0"/>
              <w:rPr>
                <w:sz w:val="20"/>
                <w:szCs w:val="20"/>
                <w:color w:val="auto"/>
              </w:rPr>
            </w:pPr>
            <w:r>
              <w:rPr>
                <w:rFonts w:ascii="Arial" w:cs="Arial" w:eastAsia="Arial" w:hAnsi="Arial"/>
                <w:sz w:val="12"/>
                <w:szCs w:val="12"/>
                <w:b w:val="1"/>
                <w:bCs w:val="1"/>
                <w:color w:val="auto"/>
                <w:w w:val="96"/>
              </w:rPr>
              <w:t>Fair Value Measurements Using</w:t>
            </w:r>
          </w:p>
        </w:tc>
        <w:tc>
          <w:tcPr>
            <w:tcW w:w="9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31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88"/>
              </w:rPr>
              <w:t>Quoted Prices</w:t>
            </w:r>
          </w:p>
        </w:tc>
        <w:tc>
          <w:tcPr>
            <w:tcW w:w="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1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left="360"/>
              <w:spacing w:after="0"/>
              <w:rPr>
                <w:sz w:val="20"/>
                <w:szCs w:val="20"/>
                <w:color w:val="auto"/>
              </w:rPr>
            </w:pPr>
            <w:r>
              <w:rPr>
                <w:rFonts w:ascii="Arial" w:cs="Arial" w:eastAsia="Arial" w:hAnsi="Arial"/>
                <w:sz w:val="12"/>
                <w:szCs w:val="12"/>
                <w:b w:val="1"/>
                <w:bCs w:val="1"/>
                <w:color w:val="auto"/>
                <w:w w:val="87"/>
              </w:rPr>
              <w:t>in Active</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left="360"/>
              <w:spacing w:after="0"/>
              <w:rPr>
                <w:sz w:val="20"/>
                <w:szCs w:val="20"/>
                <w:color w:val="auto"/>
              </w:rPr>
            </w:pPr>
            <w:r>
              <w:rPr>
                <w:rFonts w:ascii="Arial" w:cs="Arial" w:eastAsia="Arial" w:hAnsi="Arial"/>
                <w:sz w:val="12"/>
                <w:szCs w:val="12"/>
                <w:b w:val="1"/>
                <w:bCs w:val="1"/>
                <w:color w:val="auto"/>
                <w:w w:val="96"/>
              </w:rPr>
              <w:t>Markets</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jc w:val="center"/>
              <w:ind w:right="320"/>
              <w:spacing w:after="0"/>
              <w:rPr>
                <w:sz w:val="20"/>
                <w:szCs w:val="20"/>
                <w:color w:val="auto"/>
              </w:rPr>
            </w:pPr>
            <w:r>
              <w:rPr>
                <w:rFonts w:ascii="Arial" w:cs="Arial" w:eastAsia="Arial" w:hAnsi="Arial"/>
                <w:sz w:val="12"/>
                <w:szCs w:val="12"/>
                <w:b w:val="1"/>
                <w:bCs w:val="1"/>
                <w:color w:val="auto"/>
                <w:w w:val="91"/>
              </w:rPr>
              <w:t>Significant</w:t>
            </w:r>
          </w:p>
        </w:tc>
        <w:tc>
          <w:tcPr>
            <w:tcW w:w="280" w:type="dxa"/>
            <w:vAlign w:val="bottom"/>
          </w:tcPr>
          <w:p>
            <w:pPr>
              <w:spacing w:after="0"/>
              <w:rPr>
                <w:sz w:val="12"/>
                <w:szCs w:val="12"/>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1"/>
              </w:rPr>
              <w:t>Significant</w:t>
            </w:r>
          </w:p>
        </w:tc>
        <w:tc>
          <w:tcPr>
            <w:tcW w:w="0" w:type="dxa"/>
            <w:vAlign w:val="bottom"/>
          </w:tcPr>
          <w:p>
            <w:pPr>
              <w:spacing w:after="0"/>
              <w:rPr>
                <w:sz w:val="1"/>
                <w:szCs w:val="1"/>
                <w:color w:val="auto"/>
              </w:rPr>
            </w:pPr>
          </w:p>
        </w:tc>
      </w:tr>
      <w:tr>
        <w:trPr>
          <w:trHeight w:val="144"/>
        </w:trPr>
        <w:tc>
          <w:tcPr>
            <w:tcW w:w="31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left="360"/>
              <w:spacing w:after="0"/>
              <w:rPr>
                <w:sz w:val="20"/>
                <w:szCs w:val="20"/>
                <w:color w:val="auto"/>
              </w:rPr>
            </w:pPr>
            <w:r>
              <w:rPr>
                <w:rFonts w:ascii="Arial" w:cs="Arial" w:eastAsia="Arial" w:hAnsi="Arial"/>
                <w:sz w:val="12"/>
                <w:szCs w:val="12"/>
                <w:b w:val="1"/>
                <w:bCs w:val="1"/>
                <w:color w:val="auto"/>
                <w:w w:val="99"/>
              </w:rPr>
              <w:t>for</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jc w:val="center"/>
              <w:ind w:right="300"/>
              <w:spacing w:after="0"/>
              <w:rPr>
                <w:sz w:val="20"/>
                <w:szCs w:val="20"/>
                <w:color w:val="auto"/>
              </w:rPr>
            </w:pPr>
            <w:r>
              <w:rPr>
                <w:rFonts w:ascii="Arial" w:cs="Arial" w:eastAsia="Arial" w:hAnsi="Arial"/>
                <w:sz w:val="12"/>
                <w:szCs w:val="12"/>
                <w:b w:val="1"/>
                <w:bCs w:val="1"/>
                <w:color w:val="auto"/>
                <w:w w:val="93"/>
              </w:rPr>
              <w:t>Other</w:t>
            </w:r>
          </w:p>
        </w:tc>
        <w:tc>
          <w:tcPr>
            <w:tcW w:w="280" w:type="dxa"/>
            <w:vAlign w:val="bottom"/>
          </w:tcPr>
          <w:p>
            <w:pPr>
              <w:spacing w:after="0"/>
              <w:rPr>
                <w:sz w:val="12"/>
                <w:szCs w:val="12"/>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9"/>
              </w:rPr>
              <w:t>Un-</w:t>
            </w:r>
          </w:p>
        </w:tc>
        <w:tc>
          <w:tcPr>
            <w:tcW w:w="0" w:type="dxa"/>
            <w:vAlign w:val="bottom"/>
          </w:tcPr>
          <w:p>
            <w:pPr>
              <w:spacing w:after="0"/>
              <w:rPr>
                <w:sz w:val="1"/>
                <w:szCs w:val="1"/>
                <w:color w:val="auto"/>
              </w:rPr>
            </w:pPr>
          </w:p>
        </w:tc>
      </w:tr>
      <w:tr>
        <w:trPr>
          <w:trHeight w:val="144"/>
        </w:trPr>
        <w:tc>
          <w:tcPr>
            <w:tcW w:w="31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94"/>
              </w:rPr>
              <w:t>Fair Value</w:t>
            </w:r>
          </w:p>
        </w:tc>
        <w:tc>
          <w:tcPr>
            <w:tcW w:w="940" w:type="dxa"/>
            <w:vAlign w:val="bottom"/>
          </w:tcPr>
          <w:p>
            <w:pPr>
              <w:jc w:val="center"/>
              <w:ind w:left="360"/>
              <w:spacing w:after="0"/>
              <w:rPr>
                <w:sz w:val="20"/>
                <w:szCs w:val="20"/>
                <w:color w:val="auto"/>
              </w:rPr>
            </w:pPr>
            <w:r>
              <w:rPr>
                <w:rFonts w:ascii="Arial" w:cs="Arial" w:eastAsia="Arial" w:hAnsi="Arial"/>
                <w:sz w:val="12"/>
                <w:szCs w:val="12"/>
                <w:b w:val="1"/>
                <w:bCs w:val="1"/>
                <w:color w:val="auto"/>
                <w:w w:val="90"/>
              </w:rPr>
              <w:t>Identical</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jc w:val="center"/>
              <w:ind w:right="300"/>
              <w:spacing w:after="0"/>
              <w:rPr>
                <w:sz w:val="20"/>
                <w:szCs w:val="20"/>
                <w:color w:val="auto"/>
              </w:rPr>
            </w:pPr>
            <w:r>
              <w:rPr>
                <w:rFonts w:ascii="Arial" w:cs="Arial" w:eastAsia="Arial" w:hAnsi="Arial"/>
                <w:sz w:val="12"/>
                <w:szCs w:val="12"/>
                <w:b w:val="1"/>
                <w:bCs w:val="1"/>
                <w:color w:val="auto"/>
                <w:w w:val="88"/>
              </w:rPr>
              <w:t>Observable</w:t>
            </w:r>
          </w:p>
        </w:tc>
        <w:tc>
          <w:tcPr>
            <w:tcW w:w="280" w:type="dxa"/>
            <w:vAlign w:val="bottom"/>
          </w:tcPr>
          <w:p>
            <w:pPr>
              <w:spacing w:after="0"/>
              <w:rPr>
                <w:sz w:val="12"/>
                <w:szCs w:val="12"/>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8"/>
              </w:rPr>
              <w:t>observable</w:t>
            </w:r>
          </w:p>
        </w:tc>
        <w:tc>
          <w:tcPr>
            <w:tcW w:w="0" w:type="dxa"/>
            <w:vAlign w:val="bottom"/>
          </w:tcPr>
          <w:p>
            <w:pPr>
              <w:spacing w:after="0"/>
              <w:rPr>
                <w:sz w:val="1"/>
                <w:szCs w:val="1"/>
                <w:color w:val="auto"/>
              </w:rPr>
            </w:pPr>
          </w:p>
        </w:tc>
      </w:tr>
      <w:tr>
        <w:trPr>
          <w:trHeight w:val="144"/>
        </w:trPr>
        <w:tc>
          <w:tcPr>
            <w:tcW w:w="31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6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w w:val="91"/>
              </w:rPr>
              <w:t>Measure-</w:t>
            </w:r>
          </w:p>
        </w:tc>
        <w:tc>
          <w:tcPr>
            <w:tcW w:w="940" w:type="dxa"/>
            <w:vAlign w:val="bottom"/>
          </w:tcPr>
          <w:p>
            <w:pPr>
              <w:jc w:val="center"/>
              <w:ind w:left="360"/>
              <w:spacing w:after="0"/>
              <w:rPr>
                <w:sz w:val="20"/>
                <w:szCs w:val="20"/>
                <w:color w:val="auto"/>
              </w:rPr>
            </w:pPr>
            <w:r>
              <w:rPr>
                <w:rFonts w:ascii="Arial" w:cs="Arial" w:eastAsia="Arial" w:hAnsi="Arial"/>
                <w:sz w:val="12"/>
                <w:szCs w:val="12"/>
                <w:b w:val="1"/>
                <w:bCs w:val="1"/>
                <w:color w:val="auto"/>
                <w:w w:val="81"/>
              </w:rPr>
              <w:t>Assets</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jc w:val="center"/>
              <w:ind w:right="300"/>
              <w:spacing w:after="0"/>
              <w:rPr>
                <w:sz w:val="20"/>
                <w:szCs w:val="20"/>
                <w:color w:val="auto"/>
              </w:rPr>
            </w:pPr>
            <w:r>
              <w:rPr>
                <w:rFonts w:ascii="Arial" w:cs="Arial" w:eastAsia="Arial" w:hAnsi="Arial"/>
                <w:sz w:val="12"/>
                <w:szCs w:val="12"/>
                <w:b w:val="1"/>
                <w:bCs w:val="1"/>
                <w:color w:val="auto"/>
                <w:w w:val="94"/>
              </w:rPr>
              <w:t>Inputs</w:t>
            </w:r>
          </w:p>
        </w:tc>
        <w:tc>
          <w:tcPr>
            <w:tcW w:w="280" w:type="dxa"/>
            <w:vAlign w:val="bottom"/>
          </w:tcPr>
          <w:p>
            <w:pPr>
              <w:spacing w:after="0"/>
              <w:rPr>
                <w:sz w:val="12"/>
                <w:szCs w:val="1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4"/>
              </w:rPr>
              <w:t>Inputs</w:t>
            </w:r>
          </w:p>
        </w:tc>
        <w:tc>
          <w:tcPr>
            <w:tcW w:w="0" w:type="dxa"/>
            <w:vAlign w:val="bottom"/>
          </w:tcPr>
          <w:p>
            <w:pPr>
              <w:spacing w:after="0"/>
              <w:rPr>
                <w:sz w:val="1"/>
                <w:szCs w:val="1"/>
                <w:color w:val="auto"/>
              </w:rPr>
            </w:pPr>
          </w:p>
        </w:tc>
      </w:tr>
      <w:tr>
        <w:trPr>
          <w:trHeight w:val="157"/>
        </w:trPr>
        <w:tc>
          <w:tcPr>
            <w:tcW w:w="31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740" w:type="dxa"/>
            <w:vAlign w:val="bottom"/>
          </w:tcPr>
          <w:p>
            <w:pPr>
              <w:jc w:val="center"/>
              <w:ind w:left="340"/>
              <w:spacing w:after="0"/>
              <w:rPr>
                <w:sz w:val="20"/>
                <w:szCs w:val="20"/>
                <w:color w:val="auto"/>
              </w:rPr>
            </w:pPr>
            <w:r>
              <w:rPr>
                <w:rFonts w:ascii="Arial" w:cs="Arial" w:eastAsia="Arial" w:hAnsi="Arial"/>
                <w:sz w:val="12"/>
                <w:szCs w:val="12"/>
                <w:b w:val="1"/>
                <w:bCs w:val="1"/>
                <w:color w:val="auto"/>
                <w:w w:val="84"/>
              </w:rPr>
              <w:t>ments</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left="360"/>
              <w:spacing w:after="0"/>
              <w:rPr>
                <w:sz w:val="20"/>
                <w:szCs w:val="20"/>
                <w:color w:val="auto"/>
              </w:rPr>
            </w:pPr>
            <w:r>
              <w:rPr>
                <w:rFonts w:ascii="Arial" w:cs="Arial" w:eastAsia="Arial" w:hAnsi="Arial"/>
                <w:sz w:val="12"/>
                <w:szCs w:val="12"/>
                <w:b w:val="1"/>
                <w:bCs w:val="1"/>
                <w:color w:val="auto"/>
                <w:w w:val="90"/>
              </w:rPr>
              <w:t>(Level 1)</w:t>
            </w: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jc w:val="center"/>
              <w:ind w:right="320"/>
              <w:spacing w:after="0"/>
              <w:rPr>
                <w:sz w:val="20"/>
                <w:szCs w:val="20"/>
                <w:color w:val="auto"/>
              </w:rPr>
            </w:pPr>
            <w:r>
              <w:rPr>
                <w:rFonts w:ascii="Arial" w:cs="Arial" w:eastAsia="Arial" w:hAnsi="Arial"/>
                <w:sz w:val="12"/>
                <w:szCs w:val="12"/>
                <w:b w:val="1"/>
                <w:bCs w:val="1"/>
                <w:color w:val="auto"/>
                <w:w w:val="90"/>
              </w:rPr>
              <w:t>(Level 2)</w:t>
            </w:r>
          </w:p>
        </w:tc>
        <w:tc>
          <w:tcPr>
            <w:tcW w:w="280" w:type="dxa"/>
            <w:vAlign w:val="bottom"/>
          </w:tcPr>
          <w:p>
            <w:pPr>
              <w:spacing w:after="0"/>
              <w:rPr>
                <w:sz w:val="13"/>
                <w:szCs w:val="13"/>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4"/>
              </w:rPr>
              <w:t>(Level 3)</w:t>
            </w:r>
          </w:p>
        </w:tc>
        <w:tc>
          <w:tcPr>
            <w:tcW w:w="0" w:type="dxa"/>
            <w:vAlign w:val="bottom"/>
          </w:tcPr>
          <w:p>
            <w:pPr>
              <w:spacing w:after="0"/>
              <w:rPr>
                <w:sz w:val="1"/>
                <w:szCs w:val="1"/>
                <w:color w:val="auto"/>
              </w:rPr>
            </w:pPr>
          </w:p>
        </w:tc>
      </w:tr>
      <w:tr>
        <w:trPr>
          <w:trHeight w:val="155"/>
        </w:trPr>
        <w:tc>
          <w:tcPr>
            <w:tcW w:w="3120" w:type="dxa"/>
            <w:vAlign w:val="bottom"/>
            <w:vMerge w:val="restart"/>
          </w:tcPr>
          <w:p>
            <w:pPr>
              <w:spacing w:after="0"/>
              <w:rPr>
                <w:sz w:val="20"/>
                <w:szCs w:val="20"/>
                <w:color w:val="auto"/>
              </w:rPr>
            </w:pPr>
            <w:r>
              <w:rPr>
                <w:rFonts w:ascii="Arial" w:cs="Arial" w:eastAsia="Arial" w:hAnsi="Arial"/>
                <w:sz w:val="12"/>
                <w:szCs w:val="12"/>
                <w:color w:val="auto"/>
              </w:rPr>
              <w:t>December 31, 2020:</w:t>
            </w:r>
          </w:p>
        </w:tc>
        <w:tc>
          <w:tcPr>
            <w:tcW w:w="288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gridSpan w:val="2"/>
          </w:tcPr>
          <w:p>
            <w:pPr>
              <w:ind w:left="20"/>
              <w:spacing w:after="0"/>
              <w:rPr>
                <w:sz w:val="20"/>
                <w:szCs w:val="20"/>
                <w:color w:val="auto"/>
              </w:rPr>
            </w:pPr>
            <w:r>
              <w:rPr>
                <w:rFonts w:ascii="Arial" w:cs="Arial" w:eastAsia="Arial" w:hAnsi="Arial"/>
                <w:sz w:val="12"/>
                <w:szCs w:val="12"/>
                <w:b w:val="1"/>
                <w:bCs w:val="1"/>
                <w:color w:val="auto"/>
                <w:w w:val="89"/>
              </w:rPr>
              <w:t>(In thousands)</w:t>
            </w:r>
          </w:p>
        </w:tc>
        <w:tc>
          <w:tcPr>
            <w:tcW w:w="9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120" w:type="dxa"/>
            <w:vAlign w:val="bottom"/>
            <w:tcBorders>
              <w:bottom w:val="single" w:sz="8" w:color="auto"/>
            </w:tcBorders>
            <w:vMerge w:val="continue"/>
          </w:tcPr>
          <w:p>
            <w:pPr>
              <w:spacing w:after="0"/>
              <w:rPr>
                <w:sz w:val="11"/>
                <w:szCs w:val="11"/>
                <w:color w:val="auto"/>
              </w:rPr>
            </w:pPr>
          </w:p>
        </w:tc>
        <w:tc>
          <w:tcPr>
            <w:tcW w:w="28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120" w:type="dxa"/>
            <w:vAlign w:val="bottom"/>
          </w:tcPr>
          <w:p>
            <w:pPr>
              <w:spacing w:after="0" w:line="133" w:lineRule="exact"/>
              <w:rPr>
                <w:sz w:val="20"/>
                <w:szCs w:val="20"/>
                <w:color w:val="auto"/>
              </w:rPr>
            </w:pPr>
            <w:r>
              <w:rPr>
                <w:rFonts w:ascii="Arial" w:cs="Arial" w:eastAsia="Arial" w:hAnsi="Arial"/>
                <w:sz w:val="12"/>
                <w:szCs w:val="12"/>
                <w:color w:val="auto"/>
              </w:rPr>
              <w:t>Measured at Fair Value on a Recurring Basis</w:t>
            </w:r>
          </w:p>
        </w:tc>
        <w:tc>
          <w:tcPr>
            <w:tcW w:w="2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120" w:type="dxa"/>
            <w:vAlign w:val="bottom"/>
          </w:tcPr>
          <w:p>
            <w:pPr>
              <w:ind w:left="80"/>
              <w:spacing w:after="0"/>
              <w:rPr>
                <w:sz w:val="20"/>
                <w:szCs w:val="20"/>
                <w:color w:val="auto"/>
              </w:rPr>
            </w:pPr>
            <w:r>
              <w:rPr>
                <w:rFonts w:ascii="Arial" w:cs="Arial" w:eastAsia="Arial" w:hAnsi="Arial"/>
                <w:sz w:val="12"/>
                <w:szCs w:val="12"/>
                <w:color w:val="auto"/>
              </w:rPr>
              <w:t>Assets</w:t>
            </w:r>
          </w:p>
        </w:tc>
        <w:tc>
          <w:tcPr>
            <w:tcW w:w="2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20" w:type="dxa"/>
            <w:vAlign w:val="bottom"/>
          </w:tcPr>
          <w:p>
            <w:pPr>
              <w:ind w:left="200"/>
              <w:spacing w:after="0"/>
              <w:rPr>
                <w:sz w:val="20"/>
                <w:szCs w:val="20"/>
                <w:color w:val="auto"/>
              </w:rPr>
            </w:pPr>
            <w:r>
              <w:rPr>
                <w:rFonts w:ascii="Arial" w:cs="Arial" w:eastAsia="Arial" w:hAnsi="Arial"/>
                <w:sz w:val="12"/>
                <w:szCs w:val="12"/>
                <w:color w:val="auto"/>
              </w:rPr>
              <w:t>Securities available for sale</w:t>
            </w:r>
          </w:p>
        </w:tc>
        <w:tc>
          <w:tcPr>
            <w:tcW w:w="2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120" w:type="dxa"/>
            <w:vAlign w:val="bottom"/>
            <w:shd w:val="clear" w:color="auto" w:fill="CCEEFF"/>
          </w:tcPr>
          <w:p>
            <w:pPr>
              <w:ind w:left="320"/>
              <w:spacing w:after="0"/>
              <w:rPr>
                <w:sz w:val="20"/>
                <w:szCs w:val="20"/>
                <w:color w:val="auto"/>
              </w:rPr>
            </w:pPr>
            <w:r>
              <w:rPr>
                <w:rFonts w:ascii="Arial" w:cs="Arial" w:eastAsia="Arial" w:hAnsi="Arial"/>
                <w:sz w:val="12"/>
                <w:szCs w:val="12"/>
                <w:color w:val="auto"/>
              </w:rPr>
              <w:t>U.S. agency</w:t>
            </w:r>
          </w:p>
        </w:tc>
        <w:tc>
          <w:tcPr>
            <w:tcW w:w="3620" w:type="dxa"/>
            <w:vAlign w:val="bottom"/>
            <w:gridSpan w:val="2"/>
            <w:shd w:val="clear" w:color="auto" w:fill="CCEEFF"/>
          </w:tcPr>
          <w:p>
            <w:pPr>
              <w:jc w:val="right"/>
              <w:ind w:right="62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10,748</w:t>
            </w:r>
          </w:p>
        </w:tc>
        <w:tc>
          <w:tcPr>
            <w:tcW w:w="940" w:type="dxa"/>
            <w:vAlign w:val="bottom"/>
            <w:shd w:val="clear" w:color="auto" w:fill="CCEEFF"/>
          </w:tcPr>
          <w:p>
            <w:pPr>
              <w:jc w:val="right"/>
              <w:ind w:right="70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10,748</w:t>
            </w:r>
          </w:p>
        </w:tc>
        <w:tc>
          <w:tcPr>
            <w:tcW w:w="2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120" w:type="dxa"/>
            <w:vAlign w:val="bottom"/>
          </w:tcPr>
          <w:p>
            <w:pPr>
              <w:ind w:left="320"/>
              <w:spacing w:after="0"/>
              <w:rPr>
                <w:sz w:val="20"/>
                <w:szCs w:val="20"/>
                <w:color w:val="auto"/>
              </w:rPr>
            </w:pPr>
            <w:r>
              <w:rPr>
                <w:rFonts w:ascii="Arial" w:cs="Arial" w:eastAsia="Arial" w:hAnsi="Arial"/>
                <w:sz w:val="12"/>
                <w:szCs w:val="12"/>
                <w:color w:val="auto"/>
              </w:rPr>
              <w:t>U.S. agency residential mortgage-backed</w:t>
            </w:r>
          </w:p>
        </w:tc>
        <w:tc>
          <w:tcPr>
            <w:tcW w:w="2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w w:val="87"/>
              </w:rPr>
              <w:t>344,582</w:t>
            </w:r>
          </w:p>
        </w:tc>
        <w:tc>
          <w:tcPr>
            <w:tcW w:w="940" w:type="dxa"/>
            <w:vAlign w:val="bottom"/>
          </w:tcPr>
          <w:p>
            <w:pPr>
              <w:spacing w:after="0"/>
              <w:rPr>
                <w:sz w:val="12"/>
                <w:szCs w:val="12"/>
                <w:color w:val="auto"/>
              </w:rPr>
            </w:pPr>
          </w:p>
        </w:tc>
        <w:tc>
          <w:tcPr>
            <w:tcW w:w="420" w:type="dxa"/>
            <w:vAlign w:val="bottom"/>
          </w:tcPr>
          <w:p>
            <w:pPr>
              <w:ind w:left="26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2"/>
                <w:szCs w:val="12"/>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344,582</w:t>
            </w:r>
          </w:p>
        </w:tc>
        <w:tc>
          <w:tcPr>
            <w:tcW w:w="2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120" w:type="dxa"/>
            <w:vAlign w:val="bottom"/>
            <w:shd w:val="clear" w:color="auto" w:fill="CCEEFF"/>
          </w:tcPr>
          <w:p>
            <w:pPr>
              <w:ind w:left="320"/>
              <w:spacing w:after="0"/>
              <w:rPr>
                <w:sz w:val="20"/>
                <w:szCs w:val="20"/>
                <w:color w:val="auto"/>
              </w:rPr>
            </w:pPr>
            <w:r>
              <w:rPr>
                <w:rFonts w:ascii="Arial" w:cs="Arial" w:eastAsia="Arial" w:hAnsi="Arial"/>
                <w:sz w:val="12"/>
                <w:szCs w:val="12"/>
                <w:color w:val="auto"/>
              </w:rPr>
              <w:t>U.S. agency commercial mortgage-backed</w:t>
            </w:r>
          </w:p>
        </w:tc>
        <w:tc>
          <w:tcPr>
            <w:tcW w:w="28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7,195</w:t>
            </w:r>
          </w:p>
        </w:tc>
        <w:tc>
          <w:tcPr>
            <w:tcW w:w="940" w:type="dxa"/>
            <w:vAlign w:val="bottom"/>
            <w:shd w:val="clear" w:color="auto" w:fill="CCEEFF"/>
          </w:tcPr>
          <w:p>
            <w:pPr>
              <w:spacing w:after="0"/>
              <w:rPr>
                <w:sz w:val="12"/>
                <w:szCs w:val="12"/>
                <w:color w:val="auto"/>
              </w:rPr>
            </w:pPr>
          </w:p>
        </w:tc>
        <w:tc>
          <w:tcPr>
            <w:tcW w:w="4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7,195</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120" w:type="dxa"/>
            <w:vAlign w:val="bottom"/>
          </w:tcPr>
          <w:p>
            <w:pPr>
              <w:ind w:left="320"/>
              <w:spacing w:after="0"/>
              <w:rPr>
                <w:sz w:val="20"/>
                <w:szCs w:val="20"/>
                <w:color w:val="auto"/>
              </w:rPr>
            </w:pPr>
            <w:r>
              <w:rPr>
                <w:rFonts w:ascii="Arial" w:cs="Arial" w:eastAsia="Arial" w:hAnsi="Arial"/>
                <w:sz w:val="12"/>
                <w:szCs w:val="12"/>
                <w:color w:val="auto"/>
              </w:rPr>
              <w:t>Private label mortgage-backed</w:t>
            </w:r>
          </w:p>
        </w:tc>
        <w:tc>
          <w:tcPr>
            <w:tcW w:w="2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42,829</w:t>
            </w:r>
          </w:p>
        </w:tc>
        <w:tc>
          <w:tcPr>
            <w:tcW w:w="940" w:type="dxa"/>
            <w:vAlign w:val="bottom"/>
          </w:tcPr>
          <w:p>
            <w:pPr>
              <w:spacing w:after="0"/>
              <w:rPr>
                <w:sz w:val="12"/>
                <w:szCs w:val="12"/>
                <w:color w:val="auto"/>
              </w:rPr>
            </w:pPr>
          </w:p>
        </w:tc>
        <w:tc>
          <w:tcPr>
            <w:tcW w:w="420" w:type="dxa"/>
            <w:vAlign w:val="bottom"/>
          </w:tcPr>
          <w:p>
            <w:pPr>
              <w:ind w:left="26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2"/>
                <w:szCs w:val="12"/>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42,829</w:t>
            </w:r>
          </w:p>
        </w:tc>
        <w:tc>
          <w:tcPr>
            <w:tcW w:w="2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120" w:type="dxa"/>
            <w:vAlign w:val="bottom"/>
            <w:shd w:val="clear" w:color="auto" w:fill="CCEEFF"/>
          </w:tcPr>
          <w:p>
            <w:pPr>
              <w:ind w:left="320"/>
              <w:spacing w:after="0"/>
              <w:rPr>
                <w:sz w:val="20"/>
                <w:szCs w:val="20"/>
                <w:color w:val="auto"/>
              </w:rPr>
            </w:pPr>
            <w:r>
              <w:rPr>
                <w:rFonts w:ascii="Arial" w:cs="Arial" w:eastAsia="Arial" w:hAnsi="Arial"/>
                <w:sz w:val="12"/>
                <w:szCs w:val="12"/>
                <w:color w:val="auto"/>
              </w:rPr>
              <w:t>Other asset backed</w:t>
            </w:r>
          </w:p>
        </w:tc>
        <w:tc>
          <w:tcPr>
            <w:tcW w:w="28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87"/>
              </w:rPr>
              <w:t>254,181</w:t>
            </w:r>
          </w:p>
        </w:tc>
        <w:tc>
          <w:tcPr>
            <w:tcW w:w="940" w:type="dxa"/>
            <w:vAlign w:val="bottom"/>
            <w:shd w:val="clear" w:color="auto" w:fill="CCEEFF"/>
          </w:tcPr>
          <w:p>
            <w:pPr>
              <w:spacing w:after="0"/>
              <w:rPr>
                <w:sz w:val="12"/>
                <w:szCs w:val="12"/>
                <w:color w:val="auto"/>
              </w:rPr>
            </w:pPr>
          </w:p>
        </w:tc>
        <w:tc>
          <w:tcPr>
            <w:tcW w:w="4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254,181</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120" w:type="dxa"/>
            <w:vAlign w:val="bottom"/>
          </w:tcPr>
          <w:p>
            <w:pPr>
              <w:ind w:left="320"/>
              <w:spacing w:after="0"/>
              <w:rPr>
                <w:sz w:val="20"/>
                <w:szCs w:val="20"/>
                <w:color w:val="auto"/>
              </w:rPr>
            </w:pPr>
            <w:r>
              <w:rPr>
                <w:rFonts w:ascii="Arial" w:cs="Arial" w:eastAsia="Arial" w:hAnsi="Arial"/>
                <w:sz w:val="12"/>
                <w:szCs w:val="12"/>
                <w:color w:val="auto"/>
              </w:rPr>
              <w:t>Obligations of states and political subdivisions</w:t>
            </w:r>
          </w:p>
        </w:tc>
        <w:tc>
          <w:tcPr>
            <w:tcW w:w="2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w w:val="87"/>
              </w:rPr>
              <w:t>324,293</w:t>
            </w:r>
          </w:p>
        </w:tc>
        <w:tc>
          <w:tcPr>
            <w:tcW w:w="940" w:type="dxa"/>
            <w:vAlign w:val="bottom"/>
          </w:tcPr>
          <w:p>
            <w:pPr>
              <w:spacing w:after="0"/>
              <w:rPr>
                <w:sz w:val="12"/>
                <w:szCs w:val="12"/>
                <w:color w:val="auto"/>
              </w:rPr>
            </w:pPr>
          </w:p>
        </w:tc>
        <w:tc>
          <w:tcPr>
            <w:tcW w:w="420" w:type="dxa"/>
            <w:vAlign w:val="bottom"/>
          </w:tcPr>
          <w:p>
            <w:pPr>
              <w:ind w:left="26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2"/>
                <w:szCs w:val="12"/>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324,293</w:t>
            </w:r>
          </w:p>
        </w:tc>
        <w:tc>
          <w:tcPr>
            <w:tcW w:w="2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120" w:type="dxa"/>
            <w:vAlign w:val="bottom"/>
            <w:shd w:val="clear" w:color="auto" w:fill="CCEEFF"/>
          </w:tcPr>
          <w:p>
            <w:pPr>
              <w:ind w:left="320"/>
              <w:spacing w:after="0"/>
              <w:rPr>
                <w:sz w:val="20"/>
                <w:szCs w:val="20"/>
                <w:color w:val="auto"/>
              </w:rPr>
            </w:pPr>
            <w:r>
              <w:rPr>
                <w:rFonts w:ascii="Arial" w:cs="Arial" w:eastAsia="Arial" w:hAnsi="Arial"/>
                <w:sz w:val="12"/>
                <w:szCs w:val="12"/>
                <w:color w:val="auto"/>
              </w:rPr>
              <w:t>Corporate</w:t>
            </w:r>
          </w:p>
        </w:tc>
        <w:tc>
          <w:tcPr>
            <w:tcW w:w="28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86,017</w:t>
            </w:r>
          </w:p>
        </w:tc>
        <w:tc>
          <w:tcPr>
            <w:tcW w:w="940" w:type="dxa"/>
            <w:vAlign w:val="bottom"/>
            <w:shd w:val="clear" w:color="auto" w:fill="CCEEFF"/>
          </w:tcPr>
          <w:p>
            <w:pPr>
              <w:spacing w:after="0"/>
              <w:rPr>
                <w:sz w:val="12"/>
                <w:szCs w:val="12"/>
                <w:color w:val="auto"/>
              </w:rPr>
            </w:pPr>
          </w:p>
        </w:tc>
        <w:tc>
          <w:tcPr>
            <w:tcW w:w="4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86,017</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120" w:type="dxa"/>
            <w:vAlign w:val="bottom"/>
          </w:tcPr>
          <w:p>
            <w:pPr>
              <w:ind w:left="320"/>
              <w:spacing w:after="0"/>
              <w:rPr>
                <w:sz w:val="20"/>
                <w:szCs w:val="20"/>
                <w:color w:val="auto"/>
              </w:rPr>
            </w:pPr>
            <w:r>
              <w:rPr>
                <w:rFonts w:ascii="Arial" w:cs="Arial" w:eastAsia="Arial" w:hAnsi="Arial"/>
                <w:sz w:val="12"/>
                <w:szCs w:val="12"/>
                <w:color w:val="auto"/>
              </w:rPr>
              <w:t>Trust preferred</w:t>
            </w:r>
          </w:p>
        </w:tc>
        <w:tc>
          <w:tcPr>
            <w:tcW w:w="2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1,798</w:t>
            </w:r>
          </w:p>
        </w:tc>
        <w:tc>
          <w:tcPr>
            <w:tcW w:w="940" w:type="dxa"/>
            <w:vAlign w:val="bottom"/>
          </w:tcPr>
          <w:p>
            <w:pPr>
              <w:spacing w:after="0"/>
              <w:rPr>
                <w:sz w:val="12"/>
                <w:szCs w:val="12"/>
                <w:color w:val="auto"/>
              </w:rPr>
            </w:pPr>
          </w:p>
        </w:tc>
        <w:tc>
          <w:tcPr>
            <w:tcW w:w="420" w:type="dxa"/>
            <w:vAlign w:val="bottom"/>
          </w:tcPr>
          <w:p>
            <w:pPr>
              <w:ind w:left="26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2"/>
                <w:szCs w:val="12"/>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1,798</w:t>
            </w:r>
          </w:p>
        </w:tc>
        <w:tc>
          <w:tcPr>
            <w:tcW w:w="2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120" w:type="dxa"/>
            <w:vAlign w:val="bottom"/>
            <w:shd w:val="clear" w:color="auto" w:fill="CCEEFF"/>
          </w:tcPr>
          <w:p>
            <w:pPr>
              <w:ind w:left="320"/>
              <w:spacing w:after="0"/>
              <w:rPr>
                <w:sz w:val="20"/>
                <w:szCs w:val="20"/>
                <w:color w:val="auto"/>
              </w:rPr>
            </w:pPr>
            <w:r>
              <w:rPr>
                <w:rFonts w:ascii="Arial" w:cs="Arial" w:eastAsia="Arial" w:hAnsi="Arial"/>
                <w:sz w:val="12"/>
                <w:szCs w:val="12"/>
                <w:color w:val="auto"/>
              </w:rPr>
              <w:t>Foreign government</w:t>
            </w:r>
          </w:p>
        </w:tc>
        <w:tc>
          <w:tcPr>
            <w:tcW w:w="28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516</w:t>
            </w:r>
          </w:p>
        </w:tc>
        <w:tc>
          <w:tcPr>
            <w:tcW w:w="940" w:type="dxa"/>
            <w:vAlign w:val="bottom"/>
            <w:shd w:val="clear" w:color="auto" w:fill="CCEEFF"/>
          </w:tcPr>
          <w:p>
            <w:pPr>
              <w:spacing w:after="0"/>
              <w:rPr>
                <w:sz w:val="12"/>
                <w:szCs w:val="12"/>
                <w:color w:val="auto"/>
              </w:rPr>
            </w:pPr>
          </w:p>
        </w:tc>
        <w:tc>
          <w:tcPr>
            <w:tcW w:w="4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516</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120" w:type="dxa"/>
            <w:vAlign w:val="bottom"/>
          </w:tcPr>
          <w:p>
            <w:pPr>
              <w:ind w:left="200"/>
              <w:spacing w:after="0"/>
              <w:rPr>
                <w:sz w:val="20"/>
                <w:szCs w:val="20"/>
                <w:color w:val="auto"/>
              </w:rPr>
            </w:pPr>
            <w:r>
              <w:rPr>
                <w:rFonts w:ascii="Arial" w:cs="Arial" w:eastAsia="Arial" w:hAnsi="Arial"/>
                <w:sz w:val="12"/>
                <w:szCs w:val="12"/>
                <w:color w:val="auto"/>
              </w:rPr>
              <w:t>Loans held for sale, carried at fair value</w:t>
            </w:r>
          </w:p>
        </w:tc>
        <w:tc>
          <w:tcPr>
            <w:tcW w:w="2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92,434</w:t>
            </w:r>
          </w:p>
        </w:tc>
        <w:tc>
          <w:tcPr>
            <w:tcW w:w="940" w:type="dxa"/>
            <w:vAlign w:val="bottom"/>
          </w:tcPr>
          <w:p>
            <w:pPr>
              <w:spacing w:after="0"/>
              <w:rPr>
                <w:sz w:val="12"/>
                <w:szCs w:val="12"/>
                <w:color w:val="auto"/>
              </w:rPr>
            </w:pPr>
          </w:p>
        </w:tc>
        <w:tc>
          <w:tcPr>
            <w:tcW w:w="420" w:type="dxa"/>
            <w:vAlign w:val="bottom"/>
          </w:tcPr>
          <w:p>
            <w:pPr>
              <w:ind w:left="26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2"/>
                <w:szCs w:val="12"/>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92,434</w:t>
            </w:r>
          </w:p>
        </w:tc>
        <w:tc>
          <w:tcPr>
            <w:tcW w:w="2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120" w:type="dxa"/>
            <w:vAlign w:val="bottom"/>
            <w:shd w:val="clear" w:color="auto" w:fill="CCEEFF"/>
          </w:tcPr>
          <w:p>
            <w:pPr>
              <w:ind w:left="200"/>
              <w:spacing w:after="0"/>
              <w:rPr>
                <w:sz w:val="20"/>
                <w:szCs w:val="20"/>
                <w:color w:val="auto"/>
              </w:rPr>
            </w:pPr>
            <w:r>
              <w:rPr>
                <w:rFonts w:ascii="Arial" w:cs="Arial" w:eastAsia="Arial" w:hAnsi="Arial"/>
                <w:sz w:val="12"/>
                <w:szCs w:val="12"/>
                <w:color w:val="auto"/>
              </w:rPr>
              <w:t>Capitalized mortgage loan servicing rights</w:t>
            </w:r>
          </w:p>
        </w:tc>
        <w:tc>
          <w:tcPr>
            <w:tcW w:w="28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16,904</w:t>
            </w:r>
          </w:p>
        </w:tc>
        <w:tc>
          <w:tcPr>
            <w:tcW w:w="940" w:type="dxa"/>
            <w:vAlign w:val="bottom"/>
            <w:shd w:val="clear" w:color="auto" w:fill="CCEEFF"/>
          </w:tcPr>
          <w:p>
            <w:pPr>
              <w:spacing w:after="0"/>
              <w:rPr>
                <w:sz w:val="12"/>
                <w:szCs w:val="12"/>
                <w:color w:val="auto"/>
              </w:rPr>
            </w:pPr>
          </w:p>
        </w:tc>
        <w:tc>
          <w:tcPr>
            <w:tcW w:w="4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16,904</w:t>
            </w:r>
          </w:p>
        </w:tc>
        <w:tc>
          <w:tcPr>
            <w:tcW w:w="0" w:type="dxa"/>
            <w:vAlign w:val="bottom"/>
          </w:tcPr>
          <w:p>
            <w:pPr>
              <w:spacing w:after="0"/>
              <w:rPr>
                <w:sz w:val="1"/>
                <w:szCs w:val="1"/>
                <w:color w:val="auto"/>
              </w:rPr>
            </w:pPr>
          </w:p>
        </w:tc>
      </w:tr>
      <w:tr>
        <w:trPr>
          <w:trHeight w:val="144"/>
        </w:trPr>
        <w:tc>
          <w:tcPr>
            <w:tcW w:w="3120" w:type="dxa"/>
            <w:vAlign w:val="bottom"/>
          </w:tcPr>
          <w:p>
            <w:pPr>
              <w:ind w:left="200"/>
              <w:spacing w:after="0"/>
              <w:rPr>
                <w:sz w:val="20"/>
                <w:szCs w:val="20"/>
                <w:color w:val="auto"/>
              </w:rPr>
            </w:pPr>
            <w:r>
              <w:rPr>
                <w:rFonts w:ascii="Arial" w:cs="Arial" w:eastAsia="Arial" w:hAnsi="Arial"/>
                <w:sz w:val="12"/>
                <w:szCs w:val="12"/>
                <w:color w:val="auto"/>
              </w:rPr>
              <w:t>Derivatives (1)</w:t>
            </w:r>
          </w:p>
        </w:tc>
        <w:tc>
          <w:tcPr>
            <w:tcW w:w="2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16,782</w:t>
            </w:r>
          </w:p>
        </w:tc>
        <w:tc>
          <w:tcPr>
            <w:tcW w:w="940" w:type="dxa"/>
            <w:vAlign w:val="bottom"/>
          </w:tcPr>
          <w:p>
            <w:pPr>
              <w:spacing w:after="0"/>
              <w:rPr>
                <w:sz w:val="12"/>
                <w:szCs w:val="12"/>
                <w:color w:val="auto"/>
              </w:rPr>
            </w:pPr>
          </w:p>
        </w:tc>
        <w:tc>
          <w:tcPr>
            <w:tcW w:w="420" w:type="dxa"/>
            <w:vAlign w:val="bottom"/>
          </w:tcPr>
          <w:p>
            <w:pPr>
              <w:ind w:left="26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2"/>
                <w:szCs w:val="12"/>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16,782</w:t>
            </w:r>
          </w:p>
        </w:tc>
        <w:tc>
          <w:tcPr>
            <w:tcW w:w="2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120" w:type="dxa"/>
            <w:vAlign w:val="bottom"/>
            <w:shd w:val="clear" w:color="auto" w:fill="CCEEFF"/>
          </w:tcPr>
          <w:p>
            <w:pPr>
              <w:ind w:left="80"/>
              <w:spacing w:after="0"/>
              <w:rPr>
                <w:sz w:val="20"/>
                <w:szCs w:val="20"/>
                <w:color w:val="auto"/>
              </w:rPr>
            </w:pPr>
            <w:r>
              <w:rPr>
                <w:rFonts w:ascii="Arial" w:cs="Arial" w:eastAsia="Arial" w:hAnsi="Arial"/>
                <w:sz w:val="12"/>
                <w:szCs w:val="12"/>
                <w:color w:val="auto"/>
              </w:rPr>
              <w:t>Liabilities</w:t>
            </w:r>
          </w:p>
        </w:tc>
        <w:tc>
          <w:tcPr>
            <w:tcW w:w="28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20" w:type="dxa"/>
            <w:vAlign w:val="bottom"/>
          </w:tcPr>
          <w:p>
            <w:pPr>
              <w:ind w:left="200"/>
              <w:spacing w:after="0"/>
              <w:rPr>
                <w:sz w:val="20"/>
                <w:szCs w:val="20"/>
                <w:color w:val="auto"/>
              </w:rPr>
            </w:pPr>
            <w:r>
              <w:rPr>
                <w:rFonts w:ascii="Arial" w:cs="Arial" w:eastAsia="Arial" w:hAnsi="Arial"/>
                <w:sz w:val="12"/>
                <w:szCs w:val="12"/>
                <w:color w:val="auto"/>
              </w:rPr>
              <w:t>Derivatives (2)</w:t>
            </w:r>
          </w:p>
        </w:tc>
        <w:tc>
          <w:tcPr>
            <w:tcW w:w="2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11,754</w:t>
            </w:r>
          </w:p>
        </w:tc>
        <w:tc>
          <w:tcPr>
            <w:tcW w:w="940" w:type="dxa"/>
            <w:vAlign w:val="bottom"/>
          </w:tcPr>
          <w:p>
            <w:pPr>
              <w:spacing w:after="0"/>
              <w:rPr>
                <w:sz w:val="12"/>
                <w:szCs w:val="12"/>
                <w:color w:val="auto"/>
              </w:rPr>
            </w:pPr>
          </w:p>
        </w:tc>
        <w:tc>
          <w:tcPr>
            <w:tcW w:w="420" w:type="dxa"/>
            <w:vAlign w:val="bottom"/>
          </w:tcPr>
          <w:p>
            <w:pPr>
              <w:ind w:left="26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2"/>
                <w:szCs w:val="12"/>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11,754</w:t>
            </w:r>
          </w:p>
        </w:tc>
        <w:tc>
          <w:tcPr>
            <w:tcW w:w="2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120" w:type="dxa"/>
            <w:vAlign w:val="bottom"/>
            <w:shd w:val="clear" w:color="auto" w:fill="CCEEFF"/>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20" w:type="dxa"/>
            <w:vAlign w:val="bottom"/>
          </w:tcPr>
          <w:p>
            <w:pPr>
              <w:ind w:left="80"/>
              <w:spacing w:after="0"/>
              <w:rPr>
                <w:sz w:val="20"/>
                <w:szCs w:val="20"/>
                <w:color w:val="auto"/>
              </w:rPr>
            </w:pPr>
            <w:r>
              <w:rPr>
                <w:rFonts w:ascii="Arial" w:cs="Arial" w:eastAsia="Arial" w:hAnsi="Arial"/>
                <w:sz w:val="12"/>
                <w:szCs w:val="12"/>
                <w:color w:val="auto"/>
              </w:rPr>
              <w:t>Measured at Fair Value on a Non-recurring Basis:</w:t>
            </w:r>
          </w:p>
        </w:tc>
        <w:tc>
          <w:tcPr>
            <w:tcW w:w="2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20" w:type="dxa"/>
            <w:vAlign w:val="bottom"/>
            <w:shd w:val="clear" w:color="auto" w:fill="CCEEFF"/>
          </w:tcPr>
          <w:p>
            <w:pPr>
              <w:ind w:left="80"/>
              <w:spacing w:after="0"/>
              <w:rPr>
                <w:sz w:val="20"/>
                <w:szCs w:val="20"/>
                <w:color w:val="auto"/>
              </w:rPr>
            </w:pPr>
            <w:r>
              <w:rPr>
                <w:rFonts w:ascii="Arial" w:cs="Arial" w:eastAsia="Arial" w:hAnsi="Arial"/>
                <w:sz w:val="12"/>
                <w:szCs w:val="12"/>
                <w:color w:val="auto"/>
              </w:rPr>
              <w:t>Assets</w:t>
            </w:r>
          </w:p>
        </w:tc>
        <w:tc>
          <w:tcPr>
            <w:tcW w:w="28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20" w:type="dxa"/>
            <w:vAlign w:val="bottom"/>
          </w:tcPr>
          <w:p>
            <w:pPr>
              <w:ind w:left="200"/>
              <w:spacing w:after="0"/>
              <w:rPr>
                <w:sz w:val="20"/>
                <w:szCs w:val="20"/>
                <w:color w:val="auto"/>
              </w:rPr>
            </w:pPr>
            <w:r>
              <w:rPr>
                <w:rFonts w:ascii="Arial" w:cs="Arial" w:eastAsia="Arial" w:hAnsi="Arial"/>
                <w:sz w:val="12"/>
                <w:szCs w:val="12"/>
                <w:color w:val="auto"/>
              </w:rPr>
              <w:t>Impaired loans (3)</w:t>
            </w:r>
          </w:p>
        </w:tc>
        <w:tc>
          <w:tcPr>
            <w:tcW w:w="2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20" w:type="dxa"/>
            <w:vAlign w:val="bottom"/>
            <w:shd w:val="clear" w:color="auto" w:fill="CCEEFF"/>
          </w:tcPr>
          <w:p>
            <w:pPr>
              <w:ind w:left="320"/>
              <w:spacing w:after="0"/>
              <w:rPr>
                <w:sz w:val="20"/>
                <w:szCs w:val="20"/>
                <w:color w:val="auto"/>
              </w:rPr>
            </w:pPr>
            <w:r>
              <w:rPr>
                <w:rFonts w:ascii="Arial" w:cs="Arial" w:eastAsia="Arial" w:hAnsi="Arial"/>
                <w:sz w:val="12"/>
                <w:szCs w:val="12"/>
                <w:color w:val="auto"/>
              </w:rPr>
              <w:t>Commercial</w:t>
            </w:r>
          </w:p>
        </w:tc>
        <w:tc>
          <w:tcPr>
            <w:tcW w:w="28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20" w:type="dxa"/>
            <w:vAlign w:val="bottom"/>
          </w:tcPr>
          <w:p>
            <w:pPr>
              <w:ind w:left="420"/>
              <w:spacing w:after="0"/>
              <w:rPr>
                <w:sz w:val="20"/>
                <w:szCs w:val="20"/>
                <w:color w:val="auto"/>
              </w:rPr>
            </w:pPr>
            <w:r>
              <w:rPr>
                <w:rFonts w:ascii="Arial" w:cs="Arial" w:eastAsia="Arial" w:hAnsi="Arial"/>
                <w:sz w:val="12"/>
                <w:szCs w:val="12"/>
                <w:color w:val="auto"/>
              </w:rPr>
              <w:t>Commercial and industrial</w:t>
            </w:r>
          </w:p>
        </w:tc>
        <w:tc>
          <w:tcPr>
            <w:tcW w:w="2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1,468</w:t>
            </w:r>
          </w:p>
        </w:tc>
        <w:tc>
          <w:tcPr>
            <w:tcW w:w="940" w:type="dxa"/>
            <w:vAlign w:val="bottom"/>
          </w:tcPr>
          <w:p>
            <w:pPr>
              <w:spacing w:after="0"/>
              <w:rPr>
                <w:sz w:val="12"/>
                <w:szCs w:val="12"/>
                <w:color w:val="auto"/>
              </w:rPr>
            </w:pPr>
          </w:p>
        </w:tc>
        <w:tc>
          <w:tcPr>
            <w:tcW w:w="420" w:type="dxa"/>
            <w:vAlign w:val="bottom"/>
          </w:tcPr>
          <w:p>
            <w:pPr>
              <w:ind w:left="26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2"/>
                <w:szCs w:val="12"/>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1,468</w:t>
            </w:r>
          </w:p>
        </w:tc>
        <w:tc>
          <w:tcPr>
            <w:tcW w:w="0" w:type="dxa"/>
            <w:vAlign w:val="bottom"/>
          </w:tcPr>
          <w:p>
            <w:pPr>
              <w:spacing w:after="0"/>
              <w:rPr>
                <w:sz w:val="1"/>
                <w:szCs w:val="1"/>
                <w:color w:val="auto"/>
              </w:rPr>
            </w:pPr>
          </w:p>
        </w:tc>
      </w:tr>
      <w:tr>
        <w:trPr>
          <w:trHeight w:val="144"/>
        </w:trPr>
        <w:tc>
          <w:tcPr>
            <w:tcW w:w="3120" w:type="dxa"/>
            <w:vAlign w:val="bottom"/>
            <w:shd w:val="clear" w:color="auto" w:fill="CCEEFF"/>
          </w:tcPr>
          <w:p>
            <w:pPr>
              <w:ind w:left="420"/>
              <w:spacing w:after="0"/>
              <w:rPr>
                <w:sz w:val="20"/>
                <w:szCs w:val="20"/>
                <w:color w:val="auto"/>
              </w:rPr>
            </w:pPr>
            <w:r>
              <w:rPr>
                <w:rFonts w:ascii="Arial" w:cs="Arial" w:eastAsia="Arial" w:hAnsi="Arial"/>
                <w:sz w:val="12"/>
                <w:szCs w:val="12"/>
                <w:color w:val="auto"/>
              </w:rPr>
              <w:t>Commercial real estate</w:t>
            </w:r>
          </w:p>
        </w:tc>
        <w:tc>
          <w:tcPr>
            <w:tcW w:w="28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6,586</w:t>
            </w:r>
          </w:p>
        </w:tc>
        <w:tc>
          <w:tcPr>
            <w:tcW w:w="940" w:type="dxa"/>
            <w:vAlign w:val="bottom"/>
            <w:shd w:val="clear" w:color="auto" w:fill="CCEEFF"/>
          </w:tcPr>
          <w:p>
            <w:pPr>
              <w:spacing w:after="0"/>
              <w:rPr>
                <w:sz w:val="12"/>
                <w:szCs w:val="12"/>
                <w:color w:val="auto"/>
              </w:rPr>
            </w:pPr>
          </w:p>
        </w:tc>
        <w:tc>
          <w:tcPr>
            <w:tcW w:w="4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6,586</w:t>
            </w:r>
          </w:p>
        </w:tc>
        <w:tc>
          <w:tcPr>
            <w:tcW w:w="0" w:type="dxa"/>
            <w:vAlign w:val="bottom"/>
          </w:tcPr>
          <w:p>
            <w:pPr>
              <w:spacing w:after="0"/>
              <w:rPr>
                <w:sz w:val="1"/>
                <w:szCs w:val="1"/>
                <w:color w:val="auto"/>
              </w:rPr>
            </w:pPr>
          </w:p>
        </w:tc>
      </w:tr>
      <w:tr>
        <w:trPr>
          <w:trHeight w:val="144"/>
        </w:trPr>
        <w:tc>
          <w:tcPr>
            <w:tcW w:w="3120" w:type="dxa"/>
            <w:vAlign w:val="bottom"/>
          </w:tcPr>
          <w:p>
            <w:pPr>
              <w:ind w:left="320"/>
              <w:spacing w:after="0"/>
              <w:rPr>
                <w:sz w:val="20"/>
                <w:szCs w:val="20"/>
                <w:color w:val="auto"/>
              </w:rPr>
            </w:pPr>
            <w:r>
              <w:rPr>
                <w:rFonts w:ascii="Arial" w:cs="Arial" w:eastAsia="Arial" w:hAnsi="Arial"/>
                <w:sz w:val="12"/>
                <w:szCs w:val="12"/>
                <w:color w:val="auto"/>
              </w:rPr>
              <w:t>Mortgage</w:t>
            </w:r>
          </w:p>
        </w:tc>
        <w:tc>
          <w:tcPr>
            <w:tcW w:w="2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20" w:type="dxa"/>
            <w:vAlign w:val="bottom"/>
            <w:shd w:val="clear" w:color="auto" w:fill="CCEEFF"/>
          </w:tcPr>
          <w:p>
            <w:pPr>
              <w:ind w:left="420"/>
              <w:spacing w:after="0"/>
              <w:rPr>
                <w:sz w:val="20"/>
                <w:szCs w:val="20"/>
                <w:color w:val="auto"/>
              </w:rPr>
            </w:pPr>
            <w:r>
              <w:rPr>
                <w:rFonts w:ascii="Arial" w:cs="Arial" w:eastAsia="Arial" w:hAnsi="Arial"/>
                <w:sz w:val="12"/>
                <w:szCs w:val="12"/>
                <w:color w:val="auto"/>
              </w:rPr>
              <w:t>1-4 family owner occupied - jumbo</w:t>
            </w:r>
          </w:p>
        </w:tc>
        <w:tc>
          <w:tcPr>
            <w:tcW w:w="28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spacing w:after="0"/>
              <w:rPr>
                <w:sz w:val="12"/>
                <w:szCs w:val="12"/>
                <w:color w:val="auto"/>
              </w:rPr>
            </w:pPr>
          </w:p>
        </w:tc>
        <w:tc>
          <w:tcPr>
            <w:tcW w:w="4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120" w:type="dxa"/>
            <w:vAlign w:val="bottom"/>
          </w:tcPr>
          <w:p>
            <w:pPr>
              <w:ind w:left="420"/>
              <w:spacing w:after="0"/>
              <w:rPr>
                <w:sz w:val="20"/>
                <w:szCs w:val="20"/>
                <w:color w:val="auto"/>
              </w:rPr>
            </w:pPr>
            <w:r>
              <w:rPr>
                <w:rFonts w:ascii="Arial" w:cs="Arial" w:eastAsia="Arial" w:hAnsi="Arial"/>
                <w:sz w:val="12"/>
                <w:szCs w:val="12"/>
                <w:color w:val="auto"/>
              </w:rPr>
              <w:t>1-4 family owner occupied - non-jumbo</w:t>
            </w:r>
          </w:p>
        </w:tc>
        <w:tc>
          <w:tcPr>
            <w:tcW w:w="2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321</w:t>
            </w:r>
          </w:p>
        </w:tc>
        <w:tc>
          <w:tcPr>
            <w:tcW w:w="940" w:type="dxa"/>
            <w:vAlign w:val="bottom"/>
          </w:tcPr>
          <w:p>
            <w:pPr>
              <w:spacing w:after="0"/>
              <w:rPr>
                <w:sz w:val="12"/>
                <w:szCs w:val="12"/>
                <w:color w:val="auto"/>
              </w:rPr>
            </w:pPr>
          </w:p>
        </w:tc>
        <w:tc>
          <w:tcPr>
            <w:tcW w:w="420" w:type="dxa"/>
            <w:vAlign w:val="bottom"/>
          </w:tcPr>
          <w:p>
            <w:pPr>
              <w:ind w:left="26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2"/>
                <w:szCs w:val="12"/>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321</w:t>
            </w:r>
          </w:p>
        </w:tc>
        <w:tc>
          <w:tcPr>
            <w:tcW w:w="0" w:type="dxa"/>
            <w:vAlign w:val="bottom"/>
          </w:tcPr>
          <w:p>
            <w:pPr>
              <w:spacing w:after="0"/>
              <w:rPr>
                <w:sz w:val="1"/>
                <w:szCs w:val="1"/>
                <w:color w:val="auto"/>
              </w:rPr>
            </w:pPr>
          </w:p>
        </w:tc>
      </w:tr>
      <w:tr>
        <w:trPr>
          <w:trHeight w:val="144"/>
        </w:trPr>
        <w:tc>
          <w:tcPr>
            <w:tcW w:w="3120" w:type="dxa"/>
            <w:vAlign w:val="bottom"/>
            <w:shd w:val="clear" w:color="auto" w:fill="CCEEFF"/>
          </w:tcPr>
          <w:p>
            <w:pPr>
              <w:ind w:left="420"/>
              <w:spacing w:after="0"/>
              <w:rPr>
                <w:sz w:val="20"/>
                <w:szCs w:val="20"/>
                <w:color w:val="auto"/>
              </w:rPr>
            </w:pPr>
            <w:r>
              <w:rPr>
                <w:rFonts w:ascii="Arial" w:cs="Arial" w:eastAsia="Arial" w:hAnsi="Arial"/>
                <w:sz w:val="12"/>
                <w:szCs w:val="12"/>
                <w:color w:val="auto"/>
              </w:rPr>
              <w:t>1-4 family non-owner occupied</w:t>
            </w:r>
          </w:p>
        </w:tc>
        <w:tc>
          <w:tcPr>
            <w:tcW w:w="28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155</w:t>
            </w:r>
          </w:p>
        </w:tc>
        <w:tc>
          <w:tcPr>
            <w:tcW w:w="940" w:type="dxa"/>
            <w:vAlign w:val="bottom"/>
            <w:shd w:val="clear" w:color="auto" w:fill="CCEEFF"/>
          </w:tcPr>
          <w:p>
            <w:pPr>
              <w:spacing w:after="0"/>
              <w:rPr>
                <w:sz w:val="12"/>
                <w:szCs w:val="12"/>
                <w:color w:val="auto"/>
              </w:rPr>
            </w:pPr>
          </w:p>
        </w:tc>
        <w:tc>
          <w:tcPr>
            <w:tcW w:w="4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155</w:t>
            </w:r>
          </w:p>
        </w:tc>
        <w:tc>
          <w:tcPr>
            <w:tcW w:w="0" w:type="dxa"/>
            <w:vAlign w:val="bottom"/>
          </w:tcPr>
          <w:p>
            <w:pPr>
              <w:spacing w:after="0"/>
              <w:rPr>
                <w:sz w:val="1"/>
                <w:szCs w:val="1"/>
                <w:color w:val="auto"/>
              </w:rPr>
            </w:pPr>
          </w:p>
        </w:tc>
      </w:tr>
      <w:tr>
        <w:trPr>
          <w:trHeight w:val="144"/>
        </w:trPr>
        <w:tc>
          <w:tcPr>
            <w:tcW w:w="3120" w:type="dxa"/>
            <w:vAlign w:val="bottom"/>
          </w:tcPr>
          <w:p>
            <w:pPr>
              <w:ind w:left="420"/>
              <w:spacing w:after="0"/>
              <w:rPr>
                <w:sz w:val="20"/>
                <w:szCs w:val="20"/>
                <w:color w:val="auto"/>
              </w:rPr>
            </w:pPr>
            <w:r>
              <w:rPr>
                <w:rFonts w:ascii="Arial" w:cs="Arial" w:eastAsia="Arial" w:hAnsi="Arial"/>
                <w:sz w:val="12"/>
                <w:szCs w:val="12"/>
                <w:color w:val="auto"/>
              </w:rPr>
              <w:t>1-4 family - 2nd lien</w:t>
            </w:r>
          </w:p>
        </w:tc>
        <w:tc>
          <w:tcPr>
            <w:tcW w:w="2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324</w:t>
            </w:r>
          </w:p>
        </w:tc>
        <w:tc>
          <w:tcPr>
            <w:tcW w:w="940" w:type="dxa"/>
            <w:vAlign w:val="bottom"/>
          </w:tcPr>
          <w:p>
            <w:pPr>
              <w:spacing w:after="0"/>
              <w:rPr>
                <w:sz w:val="12"/>
                <w:szCs w:val="12"/>
                <w:color w:val="auto"/>
              </w:rPr>
            </w:pPr>
          </w:p>
        </w:tc>
        <w:tc>
          <w:tcPr>
            <w:tcW w:w="420" w:type="dxa"/>
            <w:vAlign w:val="bottom"/>
          </w:tcPr>
          <w:p>
            <w:pPr>
              <w:ind w:left="26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2"/>
                <w:szCs w:val="12"/>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324</w:t>
            </w:r>
          </w:p>
        </w:tc>
        <w:tc>
          <w:tcPr>
            <w:tcW w:w="0" w:type="dxa"/>
            <w:vAlign w:val="bottom"/>
          </w:tcPr>
          <w:p>
            <w:pPr>
              <w:spacing w:after="0"/>
              <w:rPr>
                <w:sz w:val="1"/>
                <w:szCs w:val="1"/>
                <w:color w:val="auto"/>
              </w:rPr>
            </w:pPr>
          </w:p>
        </w:tc>
      </w:tr>
      <w:tr>
        <w:trPr>
          <w:trHeight w:val="144"/>
        </w:trPr>
        <w:tc>
          <w:tcPr>
            <w:tcW w:w="3120" w:type="dxa"/>
            <w:vAlign w:val="bottom"/>
            <w:shd w:val="clear" w:color="auto" w:fill="CCEEFF"/>
          </w:tcPr>
          <w:p>
            <w:pPr>
              <w:ind w:left="420"/>
              <w:spacing w:after="0"/>
              <w:rPr>
                <w:sz w:val="20"/>
                <w:szCs w:val="20"/>
                <w:color w:val="auto"/>
              </w:rPr>
            </w:pPr>
            <w:r>
              <w:rPr>
                <w:rFonts w:ascii="Arial" w:cs="Arial" w:eastAsia="Arial" w:hAnsi="Arial"/>
                <w:sz w:val="12"/>
                <w:szCs w:val="12"/>
                <w:color w:val="auto"/>
              </w:rPr>
              <w:t>Resort lending</w:t>
            </w:r>
          </w:p>
        </w:tc>
        <w:tc>
          <w:tcPr>
            <w:tcW w:w="28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61</w:t>
            </w:r>
          </w:p>
        </w:tc>
        <w:tc>
          <w:tcPr>
            <w:tcW w:w="940" w:type="dxa"/>
            <w:vAlign w:val="bottom"/>
            <w:shd w:val="clear" w:color="auto" w:fill="CCEEFF"/>
          </w:tcPr>
          <w:p>
            <w:pPr>
              <w:spacing w:after="0"/>
              <w:rPr>
                <w:sz w:val="12"/>
                <w:szCs w:val="12"/>
                <w:color w:val="auto"/>
              </w:rPr>
            </w:pPr>
          </w:p>
        </w:tc>
        <w:tc>
          <w:tcPr>
            <w:tcW w:w="4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61</w:t>
            </w:r>
          </w:p>
        </w:tc>
        <w:tc>
          <w:tcPr>
            <w:tcW w:w="0" w:type="dxa"/>
            <w:vAlign w:val="bottom"/>
          </w:tcPr>
          <w:p>
            <w:pPr>
              <w:spacing w:after="0"/>
              <w:rPr>
                <w:sz w:val="1"/>
                <w:szCs w:val="1"/>
                <w:color w:val="auto"/>
              </w:rPr>
            </w:pPr>
          </w:p>
        </w:tc>
      </w:tr>
      <w:tr>
        <w:trPr>
          <w:trHeight w:val="144"/>
        </w:trPr>
        <w:tc>
          <w:tcPr>
            <w:tcW w:w="3120" w:type="dxa"/>
            <w:vAlign w:val="bottom"/>
          </w:tcPr>
          <w:p>
            <w:pPr>
              <w:ind w:left="300"/>
              <w:spacing w:after="0"/>
              <w:rPr>
                <w:sz w:val="20"/>
                <w:szCs w:val="20"/>
                <w:color w:val="auto"/>
              </w:rPr>
            </w:pPr>
            <w:r>
              <w:rPr>
                <w:rFonts w:ascii="Arial" w:cs="Arial" w:eastAsia="Arial" w:hAnsi="Arial"/>
                <w:sz w:val="12"/>
                <w:szCs w:val="12"/>
                <w:color w:val="auto"/>
              </w:rPr>
              <w:t>Installment</w:t>
            </w:r>
          </w:p>
        </w:tc>
        <w:tc>
          <w:tcPr>
            <w:tcW w:w="2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20" w:type="dxa"/>
            <w:vAlign w:val="bottom"/>
            <w:shd w:val="clear" w:color="auto" w:fill="CCEEFF"/>
          </w:tcPr>
          <w:p>
            <w:pPr>
              <w:ind w:left="420"/>
              <w:spacing w:after="0"/>
              <w:rPr>
                <w:sz w:val="20"/>
                <w:szCs w:val="20"/>
                <w:color w:val="auto"/>
              </w:rPr>
            </w:pPr>
            <w:r>
              <w:rPr>
                <w:rFonts w:ascii="Arial" w:cs="Arial" w:eastAsia="Arial" w:hAnsi="Arial"/>
                <w:sz w:val="12"/>
                <w:szCs w:val="12"/>
                <w:color w:val="auto"/>
              </w:rPr>
              <w:t>Boat lending</w:t>
            </w:r>
          </w:p>
        </w:tc>
        <w:tc>
          <w:tcPr>
            <w:tcW w:w="28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w:t>
            </w:r>
          </w:p>
        </w:tc>
        <w:tc>
          <w:tcPr>
            <w:tcW w:w="940" w:type="dxa"/>
            <w:vAlign w:val="bottom"/>
            <w:shd w:val="clear" w:color="auto" w:fill="CCEEFF"/>
          </w:tcPr>
          <w:p>
            <w:pPr>
              <w:spacing w:after="0"/>
              <w:rPr>
                <w:sz w:val="12"/>
                <w:szCs w:val="12"/>
                <w:color w:val="auto"/>
              </w:rPr>
            </w:pPr>
          </w:p>
        </w:tc>
        <w:tc>
          <w:tcPr>
            <w:tcW w:w="4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44"/>
        </w:trPr>
        <w:tc>
          <w:tcPr>
            <w:tcW w:w="3120" w:type="dxa"/>
            <w:vAlign w:val="bottom"/>
          </w:tcPr>
          <w:p>
            <w:pPr>
              <w:ind w:left="420"/>
              <w:spacing w:after="0"/>
              <w:rPr>
                <w:sz w:val="20"/>
                <w:szCs w:val="20"/>
                <w:color w:val="auto"/>
              </w:rPr>
            </w:pPr>
            <w:r>
              <w:rPr>
                <w:rFonts w:ascii="Arial" w:cs="Arial" w:eastAsia="Arial" w:hAnsi="Arial"/>
                <w:sz w:val="12"/>
                <w:szCs w:val="12"/>
                <w:color w:val="auto"/>
              </w:rPr>
              <w:t>Recreational vehicle lending</w:t>
            </w:r>
          </w:p>
        </w:tc>
        <w:tc>
          <w:tcPr>
            <w:tcW w:w="2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31</w:t>
            </w:r>
          </w:p>
        </w:tc>
        <w:tc>
          <w:tcPr>
            <w:tcW w:w="940" w:type="dxa"/>
            <w:vAlign w:val="bottom"/>
          </w:tcPr>
          <w:p>
            <w:pPr>
              <w:spacing w:after="0"/>
              <w:rPr>
                <w:sz w:val="12"/>
                <w:szCs w:val="12"/>
                <w:color w:val="auto"/>
              </w:rPr>
            </w:pPr>
          </w:p>
        </w:tc>
        <w:tc>
          <w:tcPr>
            <w:tcW w:w="420" w:type="dxa"/>
            <w:vAlign w:val="bottom"/>
          </w:tcPr>
          <w:p>
            <w:pPr>
              <w:ind w:left="26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2"/>
                <w:szCs w:val="12"/>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44"/>
        </w:trPr>
        <w:tc>
          <w:tcPr>
            <w:tcW w:w="3120" w:type="dxa"/>
            <w:vAlign w:val="bottom"/>
            <w:shd w:val="clear" w:color="auto" w:fill="CCEEFF"/>
          </w:tcPr>
          <w:p>
            <w:pPr>
              <w:ind w:left="420"/>
              <w:spacing w:after="0"/>
              <w:rPr>
                <w:sz w:val="20"/>
                <w:szCs w:val="20"/>
                <w:color w:val="auto"/>
              </w:rPr>
            </w:pPr>
            <w:r>
              <w:rPr>
                <w:rFonts w:ascii="Arial" w:cs="Arial" w:eastAsia="Arial" w:hAnsi="Arial"/>
                <w:sz w:val="12"/>
                <w:szCs w:val="12"/>
                <w:color w:val="auto"/>
              </w:rPr>
              <w:t>Other</w:t>
            </w:r>
          </w:p>
        </w:tc>
        <w:tc>
          <w:tcPr>
            <w:tcW w:w="28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124</w:t>
            </w:r>
          </w:p>
        </w:tc>
        <w:tc>
          <w:tcPr>
            <w:tcW w:w="940" w:type="dxa"/>
            <w:vAlign w:val="bottom"/>
            <w:shd w:val="clear" w:color="auto" w:fill="CCEEFF"/>
          </w:tcPr>
          <w:p>
            <w:pPr>
              <w:spacing w:after="0"/>
              <w:rPr>
                <w:sz w:val="12"/>
                <w:szCs w:val="12"/>
                <w:color w:val="auto"/>
              </w:rPr>
            </w:pPr>
          </w:p>
        </w:tc>
        <w:tc>
          <w:tcPr>
            <w:tcW w:w="4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124</w:t>
            </w:r>
          </w:p>
        </w:tc>
        <w:tc>
          <w:tcPr>
            <w:tcW w:w="0" w:type="dxa"/>
            <w:vAlign w:val="bottom"/>
          </w:tcPr>
          <w:p>
            <w:pPr>
              <w:spacing w:after="0"/>
              <w:rPr>
                <w:sz w:val="1"/>
                <w:szCs w:val="1"/>
                <w:color w:val="auto"/>
              </w:rPr>
            </w:pPr>
          </w:p>
        </w:tc>
      </w:tr>
      <w:tr>
        <w:trPr>
          <w:trHeight w:val="144"/>
        </w:trPr>
        <w:tc>
          <w:tcPr>
            <w:tcW w:w="3120" w:type="dxa"/>
            <w:vAlign w:val="bottom"/>
          </w:tcPr>
          <w:p>
            <w:pPr>
              <w:ind w:left="200"/>
              <w:spacing w:after="0"/>
              <w:rPr>
                <w:sz w:val="20"/>
                <w:szCs w:val="20"/>
                <w:color w:val="auto"/>
              </w:rPr>
            </w:pPr>
            <w:r>
              <w:rPr>
                <w:rFonts w:ascii="Arial" w:cs="Arial" w:eastAsia="Arial" w:hAnsi="Arial"/>
                <w:sz w:val="12"/>
                <w:szCs w:val="12"/>
                <w:color w:val="auto"/>
              </w:rPr>
              <w:t>Other real estate (4)</w:t>
            </w:r>
          </w:p>
        </w:tc>
        <w:tc>
          <w:tcPr>
            <w:tcW w:w="2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20" w:type="dxa"/>
            <w:vAlign w:val="bottom"/>
            <w:shd w:val="clear" w:color="auto" w:fill="CCEEFF"/>
          </w:tcPr>
          <w:p>
            <w:pPr>
              <w:ind w:left="320"/>
              <w:spacing w:after="0"/>
              <w:rPr>
                <w:sz w:val="20"/>
                <w:szCs w:val="20"/>
                <w:color w:val="auto"/>
              </w:rPr>
            </w:pPr>
            <w:r>
              <w:rPr>
                <w:rFonts w:ascii="Arial" w:cs="Arial" w:eastAsia="Arial" w:hAnsi="Arial"/>
                <w:sz w:val="12"/>
                <w:szCs w:val="12"/>
                <w:color w:val="auto"/>
              </w:rPr>
              <w:t>1-4 family owner occupied - non-jumbo</w:t>
            </w:r>
          </w:p>
        </w:tc>
        <w:tc>
          <w:tcPr>
            <w:tcW w:w="28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102</w:t>
            </w:r>
          </w:p>
        </w:tc>
        <w:tc>
          <w:tcPr>
            <w:tcW w:w="940" w:type="dxa"/>
            <w:vAlign w:val="bottom"/>
            <w:shd w:val="clear" w:color="auto" w:fill="CCEEFF"/>
          </w:tcPr>
          <w:p>
            <w:pPr>
              <w:spacing w:after="0"/>
              <w:rPr>
                <w:sz w:val="12"/>
                <w:szCs w:val="12"/>
                <w:color w:val="auto"/>
              </w:rPr>
            </w:pPr>
          </w:p>
        </w:tc>
        <w:tc>
          <w:tcPr>
            <w:tcW w:w="4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131445</wp:posOffset>
            </wp:positionV>
            <wp:extent cx="2868930" cy="114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1">
                      <a:extLst>
                        <a:ext uri="{28A0092B-C50C-407E-A947-70E740481C1C}"/>
                      </a:extLst>
                    </a:blip>
                    <a:srcRect/>
                    <a:stretch>
                      <a:fillRect/>
                    </a:stretch>
                  </pic:blipFill>
                  <pic:spPr bwMode="auto">
                    <a:xfrm>
                      <a:off x="0" y="0"/>
                      <a:ext cx="2868930" cy="11430"/>
                    </a:xfrm>
                    <a:prstGeom prst="rect">
                      <a:avLst/>
                    </a:prstGeom>
                    <a:noFill/>
                  </pic:spPr>
                </pic:pic>
              </a:graphicData>
            </a:graphic>
          </wp:anchor>
        </w:drawing>
      </w:r>
    </w:p>
    <w:p>
      <w:pPr>
        <w:spacing w:after="0" w:line="259" w:lineRule="exact"/>
        <w:rPr>
          <w:sz w:val="20"/>
          <w:szCs w:val="20"/>
          <w:color w:val="auto"/>
        </w:rPr>
      </w:pPr>
    </w:p>
    <w:p>
      <w:pPr>
        <w:ind w:left="208" w:hanging="208"/>
        <w:spacing w:after="0"/>
        <w:tabs>
          <w:tab w:leader="none" w:pos="208" w:val="left"/>
        </w:tabs>
        <w:numPr>
          <w:ilvl w:val="0"/>
          <w:numId w:val="37"/>
        </w:numPr>
        <w:rPr>
          <w:rFonts w:ascii="Arial" w:cs="Arial" w:eastAsia="Arial" w:hAnsi="Arial"/>
          <w:sz w:val="12"/>
          <w:szCs w:val="12"/>
          <w:color w:val="auto"/>
        </w:rPr>
      </w:pPr>
      <w:r>
        <w:rPr>
          <w:rFonts w:ascii="Arial" w:cs="Arial" w:eastAsia="Arial" w:hAnsi="Arial"/>
          <w:sz w:val="12"/>
          <w:szCs w:val="12"/>
          <w:color w:val="auto"/>
        </w:rPr>
        <w:t>Included in accrued income and other assets in the Consolidated Statements of Financial Condition.</w:t>
      </w:r>
    </w:p>
    <w:p>
      <w:pPr>
        <w:spacing w:after="0" w:line="14" w:lineRule="exact"/>
        <w:rPr>
          <w:rFonts w:ascii="Arial" w:cs="Arial" w:eastAsia="Arial" w:hAnsi="Arial"/>
          <w:sz w:val="12"/>
          <w:szCs w:val="12"/>
          <w:color w:val="auto"/>
        </w:rPr>
      </w:pPr>
    </w:p>
    <w:p>
      <w:pPr>
        <w:ind w:left="208" w:hanging="208"/>
        <w:spacing w:after="0"/>
        <w:tabs>
          <w:tab w:leader="none" w:pos="208" w:val="left"/>
        </w:tabs>
        <w:numPr>
          <w:ilvl w:val="0"/>
          <w:numId w:val="37"/>
        </w:numPr>
        <w:rPr>
          <w:rFonts w:ascii="Arial" w:cs="Arial" w:eastAsia="Arial" w:hAnsi="Arial"/>
          <w:sz w:val="12"/>
          <w:szCs w:val="12"/>
          <w:color w:val="auto"/>
        </w:rPr>
      </w:pPr>
      <w:r>
        <w:rPr>
          <w:rFonts w:ascii="Arial" w:cs="Arial" w:eastAsia="Arial" w:hAnsi="Arial"/>
          <w:sz w:val="12"/>
          <w:szCs w:val="12"/>
          <w:color w:val="auto"/>
        </w:rPr>
        <w:t>Included in accrued expenses and other liabilities in the Consolidated Statements of Financial Condition.</w:t>
      </w:r>
    </w:p>
    <w:p>
      <w:pPr>
        <w:spacing w:after="0" w:line="6" w:lineRule="exact"/>
        <w:rPr>
          <w:rFonts w:ascii="Arial" w:cs="Arial" w:eastAsia="Arial" w:hAnsi="Arial"/>
          <w:sz w:val="12"/>
          <w:szCs w:val="12"/>
          <w:color w:val="auto"/>
        </w:rPr>
      </w:pPr>
    </w:p>
    <w:p>
      <w:pPr>
        <w:ind w:left="208" w:hanging="208"/>
        <w:spacing w:after="0"/>
        <w:tabs>
          <w:tab w:leader="none" w:pos="208" w:val="left"/>
        </w:tabs>
        <w:numPr>
          <w:ilvl w:val="0"/>
          <w:numId w:val="37"/>
        </w:numPr>
        <w:rPr>
          <w:rFonts w:ascii="Arial" w:cs="Arial" w:eastAsia="Arial" w:hAnsi="Arial"/>
          <w:sz w:val="12"/>
          <w:szCs w:val="12"/>
          <w:color w:val="auto"/>
        </w:rPr>
      </w:pPr>
      <w:r>
        <w:rPr>
          <w:rFonts w:ascii="Arial" w:cs="Arial" w:eastAsia="Arial" w:hAnsi="Arial"/>
          <w:sz w:val="12"/>
          <w:szCs w:val="12"/>
          <w:color w:val="auto"/>
        </w:rPr>
        <w:t>Only includes impaired loans with specific loss allocations based on collateral value.</w:t>
      </w:r>
    </w:p>
    <w:p>
      <w:pPr>
        <w:spacing w:after="0" w:line="6" w:lineRule="exact"/>
        <w:rPr>
          <w:rFonts w:ascii="Arial" w:cs="Arial" w:eastAsia="Arial" w:hAnsi="Arial"/>
          <w:sz w:val="12"/>
          <w:szCs w:val="12"/>
          <w:color w:val="auto"/>
        </w:rPr>
      </w:pPr>
    </w:p>
    <w:p>
      <w:pPr>
        <w:ind w:left="208" w:hanging="208"/>
        <w:spacing w:after="0"/>
        <w:tabs>
          <w:tab w:leader="none" w:pos="208" w:val="left"/>
        </w:tabs>
        <w:numPr>
          <w:ilvl w:val="0"/>
          <w:numId w:val="37"/>
        </w:numPr>
        <w:rPr>
          <w:rFonts w:ascii="Arial" w:cs="Arial" w:eastAsia="Arial" w:hAnsi="Arial"/>
          <w:sz w:val="12"/>
          <w:szCs w:val="12"/>
          <w:color w:val="auto"/>
        </w:rPr>
      </w:pPr>
      <w:r>
        <w:rPr>
          <w:rFonts w:ascii="Arial" w:cs="Arial" w:eastAsia="Arial" w:hAnsi="Arial"/>
          <w:sz w:val="12"/>
          <w:szCs w:val="12"/>
          <w:color w:val="auto"/>
        </w:rPr>
        <w:t>Only includes other real estate with subsequent write downs to fair value.</w:t>
      </w:r>
    </w:p>
    <w:p>
      <w:pPr>
        <w:spacing w:after="0" w:line="255" w:lineRule="exact"/>
        <w:rPr>
          <w:sz w:val="20"/>
          <w:szCs w:val="20"/>
          <w:color w:val="auto"/>
        </w:rPr>
      </w:pPr>
    </w:p>
    <w:p>
      <w:pPr>
        <w:jc w:val="center"/>
        <w:ind w:right="-7"/>
        <w:spacing w:after="0"/>
        <w:rPr>
          <w:sz w:val="20"/>
          <w:szCs w:val="20"/>
          <w:color w:val="auto"/>
        </w:rPr>
      </w:pPr>
      <w:r>
        <w:rPr>
          <w:rFonts w:ascii="Arial" w:cs="Arial" w:eastAsia="Arial" w:hAnsi="Arial"/>
          <w:sz w:val="10"/>
          <w:szCs w:val="10"/>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78040" cy="114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7" w:right="29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157"/>
        </w:trPr>
        <w:tc>
          <w:tcPr>
            <w:tcW w:w="2900" w:type="dxa"/>
            <w:vAlign w:val="bottom"/>
          </w:tcPr>
          <w:p>
            <w:pPr>
              <w:spacing w:after="0"/>
              <w:rPr>
                <w:sz w:val="13"/>
                <w:szCs w:val="13"/>
                <w:color w:val="auto"/>
              </w:rPr>
            </w:pPr>
          </w:p>
        </w:tc>
        <w:tc>
          <w:tcPr>
            <w:tcW w:w="4740" w:type="dxa"/>
            <w:vAlign w:val="bottom"/>
            <w:gridSpan w:val="4"/>
          </w:tcPr>
          <w:p>
            <w:pPr>
              <w:jc w:val="right"/>
              <w:spacing w:after="0"/>
              <w:rPr>
                <w:sz w:val="20"/>
                <w:szCs w:val="20"/>
                <w:color w:val="auto"/>
              </w:rPr>
            </w:pPr>
            <w:r>
              <w:rPr>
                <w:rFonts w:ascii="Arial" w:cs="Arial" w:eastAsia="Arial" w:hAnsi="Arial"/>
                <w:sz w:val="12"/>
                <w:szCs w:val="12"/>
                <w:b w:val="1"/>
                <w:bCs w:val="1"/>
                <w:color w:val="auto"/>
              </w:rPr>
              <w:t>NOTES TO CONSOLIDATED FINANCIAL STATEMENTS − (Continued)</w:t>
            </w: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7260" w:type="dxa"/>
            <w:vAlign w:val="bottom"/>
            <w:gridSpan w:val="4"/>
          </w:tcPr>
          <w:p>
            <w:pPr>
              <w:ind w:left="200"/>
              <w:spacing w:after="0"/>
              <w:rPr>
                <w:sz w:val="20"/>
                <w:szCs w:val="20"/>
                <w:color w:val="auto"/>
              </w:rPr>
            </w:pPr>
            <w:r>
              <w:rPr>
                <w:rFonts w:ascii="Arial" w:cs="Arial" w:eastAsia="Arial" w:hAnsi="Arial"/>
                <w:sz w:val="12"/>
                <w:szCs w:val="12"/>
                <w:color w:val="auto"/>
                <w:w w:val="95"/>
              </w:rPr>
              <w:t>Changes in fair values of financial assets for which we have elected the fair value option for the years ended December 31 were as follows:</w:t>
            </w: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2900" w:type="dxa"/>
            <w:vAlign w:val="bottom"/>
          </w:tcPr>
          <w:p>
            <w:pPr>
              <w:spacing w:after="0"/>
              <w:rPr>
                <w:sz w:val="23"/>
                <w:szCs w:val="23"/>
                <w:color w:val="auto"/>
              </w:rPr>
            </w:pPr>
          </w:p>
        </w:tc>
        <w:tc>
          <w:tcPr>
            <w:tcW w:w="3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44"/>
        </w:trPr>
        <w:tc>
          <w:tcPr>
            <w:tcW w:w="29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0"/>
              </w:rPr>
              <w:t>Change</w:t>
            </w:r>
          </w:p>
        </w:tc>
        <w:tc>
          <w:tcPr>
            <w:tcW w:w="0" w:type="dxa"/>
            <w:vAlign w:val="bottom"/>
          </w:tcPr>
          <w:p>
            <w:pPr>
              <w:spacing w:after="0"/>
              <w:rPr>
                <w:sz w:val="1"/>
                <w:szCs w:val="1"/>
                <w:color w:val="auto"/>
              </w:rPr>
            </w:pPr>
          </w:p>
        </w:tc>
      </w:tr>
      <w:tr>
        <w:trPr>
          <w:trHeight w:val="144"/>
        </w:trPr>
        <w:tc>
          <w:tcPr>
            <w:tcW w:w="29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40" w:type="dxa"/>
            <w:vAlign w:val="bottom"/>
            <w:gridSpan w:val="4"/>
            <w:vMerge w:val="restart"/>
          </w:tcPr>
          <w:p>
            <w:pPr>
              <w:jc w:val="center"/>
              <w:ind w:right="300"/>
              <w:spacing w:after="0"/>
              <w:rPr>
                <w:sz w:val="20"/>
                <w:szCs w:val="20"/>
                <w:color w:val="auto"/>
              </w:rPr>
            </w:pPr>
            <w:r>
              <w:rPr>
                <w:rFonts w:ascii="Arial" w:cs="Arial" w:eastAsia="Arial" w:hAnsi="Arial"/>
                <w:sz w:val="12"/>
                <w:szCs w:val="12"/>
                <w:b w:val="1"/>
                <w:bCs w:val="1"/>
                <w:color w:val="auto"/>
                <w:w w:val="86"/>
              </w:rPr>
              <w:t>Net Gains (Losses)</w:t>
            </w: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4"/>
              </w:rPr>
              <w:t>in Fair</w:t>
            </w:r>
          </w:p>
        </w:tc>
        <w:tc>
          <w:tcPr>
            <w:tcW w:w="0" w:type="dxa"/>
            <w:vAlign w:val="bottom"/>
          </w:tcPr>
          <w:p>
            <w:pPr>
              <w:spacing w:after="0"/>
              <w:rPr>
                <w:sz w:val="1"/>
                <w:szCs w:val="1"/>
                <w:color w:val="auto"/>
              </w:rPr>
            </w:pPr>
          </w:p>
        </w:tc>
      </w:tr>
      <w:tr>
        <w:trPr>
          <w:trHeight w:val="126"/>
        </w:trPr>
        <w:tc>
          <w:tcPr>
            <w:tcW w:w="290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40" w:type="dxa"/>
            <w:vAlign w:val="bottom"/>
            <w:gridSpan w:val="4"/>
            <w:vMerge w:val="continue"/>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gridSpan w:val="2"/>
          </w:tcPr>
          <w:p>
            <w:pPr>
              <w:jc w:val="center"/>
              <w:ind w:right="280"/>
              <w:spacing w:after="0" w:line="126" w:lineRule="exact"/>
              <w:rPr>
                <w:sz w:val="20"/>
                <w:szCs w:val="20"/>
                <w:color w:val="auto"/>
              </w:rPr>
            </w:pPr>
            <w:r>
              <w:rPr>
                <w:rFonts w:ascii="Arial" w:cs="Arial" w:eastAsia="Arial" w:hAnsi="Arial"/>
                <w:sz w:val="12"/>
                <w:szCs w:val="12"/>
                <w:b w:val="1"/>
                <w:bCs w:val="1"/>
                <w:color w:val="auto"/>
                <w:w w:val="87"/>
              </w:rPr>
              <w:t>Values</w:t>
            </w:r>
          </w:p>
        </w:tc>
        <w:tc>
          <w:tcPr>
            <w:tcW w:w="0" w:type="dxa"/>
            <w:vAlign w:val="bottom"/>
          </w:tcPr>
          <w:p>
            <w:pPr>
              <w:spacing w:after="0"/>
              <w:rPr>
                <w:sz w:val="1"/>
                <w:szCs w:val="1"/>
                <w:color w:val="auto"/>
              </w:rPr>
            </w:pPr>
          </w:p>
        </w:tc>
      </w:tr>
      <w:tr>
        <w:trPr>
          <w:trHeight w:val="157"/>
        </w:trPr>
        <w:tc>
          <w:tcPr>
            <w:tcW w:w="290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jc w:val="center"/>
              <w:ind w:left="620"/>
              <w:spacing w:after="0"/>
              <w:rPr>
                <w:sz w:val="20"/>
                <w:szCs w:val="20"/>
                <w:color w:val="auto"/>
              </w:rPr>
            </w:pPr>
            <w:r>
              <w:rPr>
                <w:rFonts w:ascii="Arial" w:cs="Arial" w:eastAsia="Arial" w:hAnsi="Arial"/>
                <w:sz w:val="12"/>
                <w:szCs w:val="12"/>
                <w:b w:val="1"/>
                <w:bCs w:val="1"/>
                <w:color w:val="auto"/>
                <w:w w:val="80"/>
              </w:rPr>
              <w:t>on Assets</w:t>
            </w:r>
          </w:p>
        </w:tc>
        <w:tc>
          <w:tcPr>
            <w:tcW w:w="8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3"/>
              </w:rPr>
              <w:t>Included</w:t>
            </w:r>
          </w:p>
        </w:tc>
        <w:tc>
          <w:tcPr>
            <w:tcW w:w="0" w:type="dxa"/>
            <w:vAlign w:val="bottom"/>
          </w:tcPr>
          <w:p>
            <w:pPr>
              <w:spacing w:after="0"/>
              <w:rPr>
                <w:sz w:val="1"/>
                <w:szCs w:val="1"/>
                <w:color w:val="auto"/>
              </w:rPr>
            </w:pPr>
          </w:p>
        </w:tc>
      </w:tr>
      <w:tr>
        <w:trPr>
          <w:trHeight w:val="129"/>
        </w:trPr>
        <w:tc>
          <w:tcPr>
            <w:tcW w:w="290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jc w:val="center"/>
              <w:ind w:right="240"/>
              <w:spacing w:after="0" w:line="129" w:lineRule="exact"/>
              <w:rPr>
                <w:sz w:val="20"/>
                <w:szCs w:val="20"/>
                <w:color w:val="auto"/>
              </w:rPr>
            </w:pPr>
            <w:r>
              <w:rPr>
                <w:rFonts w:ascii="Arial" w:cs="Arial" w:eastAsia="Arial" w:hAnsi="Arial"/>
                <w:sz w:val="12"/>
                <w:szCs w:val="12"/>
                <w:b w:val="1"/>
                <w:bCs w:val="1"/>
                <w:color w:val="auto"/>
                <w:w w:val="87"/>
              </w:rPr>
              <w:t>Securities</w:t>
            </w: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center"/>
              <w:ind w:right="200"/>
              <w:spacing w:after="0" w:line="129" w:lineRule="exact"/>
              <w:rPr>
                <w:sz w:val="20"/>
                <w:szCs w:val="20"/>
                <w:color w:val="auto"/>
              </w:rPr>
            </w:pPr>
            <w:r>
              <w:rPr>
                <w:rFonts w:ascii="Arial" w:cs="Arial" w:eastAsia="Arial" w:hAnsi="Arial"/>
                <w:sz w:val="12"/>
                <w:szCs w:val="12"/>
                <w:b w:val="1"/>
                <w:bCs w:val="1"/>
                <w:color w:val="auto"/>
                <w:w w:val="92"/>
              </w:rPr>
              <w:t>Mortgage</w:t>
            </w:r>
          </w:p>
        </w:tc>
        <w:tc>
          <w:tcPr>
            <w:tcW w:w="260" w:type="dxa"/>
            <w:vAlign w:val="bottom"/>
          </w:tcPr>
          <w:p>
            <w:pPr>
              <w:spacing w:after="0"/>
              <w:rPr>
                <w:sz w:val="11"/>
                <w:szCs w:val="11"/>
                <w:color w:val="auto"/>
              </w:rPr>
            </w:pPr>
          </w:p>
        </w:tc>
        <w:tc>
          <w:tcPr>
            <w:tcW w:w="1060" w:type="dxa"/>
            <w:vAlign w:val="bottom"/>
            <w:gridSpan w:val="2"/>
          </w:tcPr>
          <w:p>
            <w:pPr>
              <w:jc w:val="center"/>
              <w:ind w:right="280"/>
              <w:spacing w:after="0" w:line="129" w:lineRule="exact"/>
              <w:rPr>
                <w:sz w:val="20"/>
                <w:szCs w:val="20"/>
                <w:color w:val="auto"/>
              </w:rPr>
            </w:pPr>
            <w:r>
              <w:rPr>
                <w:rFonts w:ascii="Arial" w:cs="Arial" w:eastAsia="Arial" w:hAnsi="Arial"/>
                <w:sz w:val="12"/>
                <w:szCs w:val="12"/>
                <w:b w:val="1"/>
                <w:bCs w:val="1"/>
                <w:color w:val="auto"/>
                <w:w w:val="94"/>
              </w:rPr>
              <w:t>in Current</w:t>
            </w:r>
          </w:p>
        </w:tc>
        <w:tc>
          <w:tcPr>
            <w:tcW w:w="0" w:type="dxa"/>
            <w:vAlign w:val="bottom"/>
          </w:tcPr>
          <w:p>
            <w:pPr>
              <w:spacing w:after="0"/>
              <w:rPr>
                <w:sz w:val="1"/>
                <w:szCs w:val="1"/>
                <w:color w:val="auto"/>
              </w:rPr>
            </w:pPr>
          </w:p>
        </w:tc>
      </w:tr>
      <w:tr>
        <w:trPr>
          <w:trHeight w:val="144"/>
        </w:trPr>
        <w:tc>
          <w:tcPr>
            <w:tcW w:w="29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260"/>
              <w:spacing w:after="0"/>
              <w:rPr>
                <w:sz w:val="20"/>
                <w:szCs w:val="20"/>
                <w:color w:val="auto"/>
              </w:rPr>
            </w:pPr>
            <w:r>
              <w:rPr>
                <w:rFonts w:ascii="Arial" w:cs="Arial" w:eastAsia="Arial" w:hAnsi="Arial"/>
                <w:sz w:val="12"/>
                <w:szCs w:val="12"/>
                <w:b w:val="1"/>
                <w:bCs w:val="1"/>
                <w:color w:val="auto"/>
                <w:w w:val="91"/>
              </w:rPr>
              <w:t>Available</w:t>
            </w:r>
          </w:p>
        </w:tc>
        <w:tc>
          <w:tcPr>
            <w:tcW w:w="380" w:type="dxa"/>
            <w:vAlign w:val="bottom"/>
          </w:tcPr>
          <w:p>
            <w:pPr>
              <w:spacing w:after="0"/>
              <w:rPr>
                <w:sz w:val="12"/>
                <w:szCs w:val="12"/>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w w:val="96"/>
              </w:rPr>
              <w:t>Mortgage</w:t>
            </w:r>
          </w:p>
        </w:tc>
        <w:tc>
          <w:tcPr>
            <w:tcW w:w="240" w:type="dxa"/>
            <w:vAlign w:val="bottom"/>
          </w:tcPr>
          <w:p>
            <w:pPr>
              <w:spacing w:after="0"/>
              <w:rPr>
                <w:sz w:val="12"/>
                <w:szCs w:val="12"/>
                <w:color w:val="auto"/>
              </w:rPr>
            </w:pPr>
          </w:p>
        </w:tc>
        <w:tc>
          <w:tcPr>
            <w:tcW w:w="1120" w:type="dxa"/>
            <w:vAlign w:val="bottom"/>
          </w:tcPr>
          <w:p>
            <w:pPr>
              <w:jc w:val="center"/>
              <w:ind w:right="200"/>
              <w:spacing w:after="0"/>
              <w:rPr>
                <w:sz w:val="20"/>
                <w:szCs w:val="20"/>
                <w:color w:val="auto"/>
              </w:rPr>
            </w:pPr>
            <w:r>
              <w:rPr>
                <w:rFonts w:ascii="Arial" w:cs="Arial" w:eastAsia="Arial" w:hAnsi="Arial"/>
                <w:sz w:val="12"/>
                <w:szCs w:val="12"/>
                <w:b w:val="1"/>
                <w:bCs w:val="1"/>
                <w:color w:val="auto"/>
                <w:w w:val="90"/>
              </w:rPr>
              <w:t>Loan</w:t>
            </w:r>
          </w:p>
        </w:tc>
        <w:tc>
          <w:tcPr>
            <w:tcW w:w="260" w:type="dxa"/>
            <w:vAlign w:val="bottom"/>
          </w:tcPr>
          <w:p>
            <w:pPr>
              <w:spacing w:after="0"/>
              <w:rPr>
                <w:sz w:val="12"/>
                <w:szCs w:val="1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0"/>
              </w:rPr>
              <w:t>Period</w:t>
            </w:r>
          </w:p>
        </w:tc>
        <w:tc>
          <w:tcPr>
            <w:tcW w:w="0" w:type="dxa"/>
            <w:vAlign w:val="bottom"/>
          </w:tcPr>
          <w:p>
            <w:pPr>
              <w:spacing w:after="0"/>
              <w:rPr>
                <w:sz w:val="1"/>
                <w:szCs w:val="1"/>
                <w:color w:val="auto"/>
              </w:rPr>
            </w:pPr>
          </w:p>
        </w:tc>
      </w:tr>
      <w:tr>
        <w:trPr>
          <w:trHeight w:val="157"/>
        </w:trPr>
        <w:tc>
          <w:tcPr>
            <w:tcW w:w="290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center"/>
              <w:ind w:right="240"/>
              <w:spacing w:after="0"/>
              <w:rPr>
                <w:sz w:val="20"/>
                <w:szCs w:val="20"/>
                <w:color w:val="auto"/>
              </w:rPr>
            </w:pPr>
            <w:r>
              <w:rPr>
                <w:rFonts w:ascii="Arial" w:cs="Arial" w:eastAsia="Arial" w:hAnsi="Arial"/>
                <w:sz w:val="12"/>
                <w:szCs w:val="12"/>
                <w:b w:val="1"/>
                <w:bCs w:val="1"/>
                <w:color w:val="auto"/>
                <w:w w:val="88"/>
              </w:rPr>
              <w:t>For Sale</w:t>
            </w:r>
          </w:p>
        </w:tc>
        <w:tc>
          <w:tcPr>
            <w:tcW w:w="380" w:type="dxa"/>
            <w:vAlign w:val="bottom"/>
          </w:tcPr>
          <w:p>
            <w:pPr>
              <w:spacing w:after="0"/>
              <w:rPr>
                <w:sz w:val="13"/>
                <w:szCs w:val="13"/>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Loans</w:t>
            </w:r>
          </w:p>
        </w:tc>
        <w:tc>
          <w:tcPr>
            <w:tcW w:w="240" w:type="dxa"/>
            <w:vAlign w:val="bottom"/>
          </w:tcPr>
          <w:p>
            <w:pPr>
              <w:spacing w:after="0"/>
              <w:rPr>
                <w:sz w:val="13"/>
                <w:szCs w:val="13"/>
                <w:color w:val="auto"/>
              </w:rPr>
            </w:pPr>
          </w:p>
        </w:tc>
        <w:tc>
          <w:tcPr>
            <w:tcW w:w="1120" w:type="dxa"/>
            <w:vAlign w:val="bottom"/>
          </w:tcPr>
          <w:p>
            <w:pPr>
              <w:jc w:val="center"/>
              <w:ind w:right="200"/>
              <w:spacing w:after="0"/>
              <w:rPr>
                <w:sz w:val="20"/>
                <w:szCs w:val="20"/>
                <w:color w:val="auto"/>
              </w:rPr>
            </w:pPr>
            <w:r>
              <w:rPr>
                <w:rFonts w:ascii="Arial" w:cs="Arial" w:eastAsia="Arial" w:hAnsi="Arial"/>
                <w:sz w:val="12"/>
                <w:szCs w:val="12"/>
                <w:b w:val="1"/>
                <w:bCs w:val="1"/>
                <w:color w:val="auto"/>
                <w:w w:val="88"/>
              </w:rPr>
              <w:t>Servicing, net</w:t>
            </w:r>
          </w:p>
        </w:tc>
        <w:tc>
          <w:tcPr>
            <w:tcW w:w="260" w:type="dxa"/>
            <w:vAlign w:val="bottom"/>
          </w:tcPr>
          <w:p>
            <w:pPr>
              <w:spacing w:after="0"/>
              <w:rPr>
                <w:sz w:val="13"/>
                <w:szCs w:val="13"/>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9"/>
              </w:rPr>
              <w:t>Earnings</w:t>
            </w:r>
          </w:p>
        </w:tc>
        <w:tc>
          <w:tcPr>
            <w:tcW w:w="0" w:type="dxa"/>
            <w:vAlign w:val="bottom"/>
          </w:tcPr>
          <w:p>
            <w:pPr>
              <w:spacing w:after="0"/>
              <w:rPr>
                <w:sz w:val="1"/>
                <w:szCs w:val="1"/>
                <w:color w:val="auto"/>
              </w:rPr>
            </w:pPr>
          </w:p>
        </w:tc>
      </w:tr>
      <w:tr>
        <w:trPr>
          <w:trHeight w:val="155"/>
        </w:trPr>
        <w:tc>
          <w:tcPr>
            <w:tcW w:w="290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340" w:type="dxa"/>
            <w:vAlign w:val="bottom"/>
            <w:tcBorders>
              <w:top w:val="single" w:sz="8" w:color="auto"/>
            </w:tcBorders>
            <w:gridSpan w:val="4"/>
          </w:tcPr>
          <w:p>
            <w:pPr>
              <w:jc w:val="right"/>
              <w:ind w:right="960"/>
              <w:spacing w:after="0"/>
              <w:rPr>
                <w:sz w:val="20"/>
                <w:szCs w:val="20"/>
                <w:color w:val="auto"/>
              </w:rPr>
            </w:pPr>
            <w:r>
              <w:rPr>
                <w:rFonts w:ascii="Arial" w:cs="Arial" w:eastAsia="Arial" w:hAnsi="Arial"/>
                <w:sz w:val="12"/>
                <w:szCs w:val="12"/>
                <w:b w:val="1"/>
                <w:bCs w:val="1"/>
                <w:color w:val="auto"/>
              </w:rPr>
              <w:t>(In thousands)</w:t>
            </w: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5"/>
        </w:trPr>
        <w:tc>
          <w:tcPr>
            <w:tcW w:w="2900" w:type="dxa"/>
            <w:vAlign w:val="bottom"/>
          </w:tcPr>
          <w:p>
            <w:pPr>
              <w:spacing w:after="0"/>
              <w:rPr>
                <w:sz w:val="20"/>
                <w:szCs w:val="20"/>
                <w:color w:val="auto"/>
              </w:rPr>
            </w:pPr>
            <w:r>
              <w:rPr>
                <w:rFonts w:ascii="Arial" w:cs="Arial" w:eastAsia="Arial" w:hAnsi="Arial"/>
                <w:sz w:val="12"/>
                <w:szCs w:val="12"/>
                <w:color w:val="auto"/>
              </w:rPr>
              <w:t>2021</w:t>
            </w:r>
          </w:p>
        </w:tc>
        <w:tc>
          <w:tcPr>
            <w:tcW w:w="3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2900" w:type="dxa"/>
            <w:vAlign w:val="bottom"/>
            <w:shd w:val="clear" w:color="auto" w:fill="CCEEFF"/>
          </w:tcPr>
          <w:p>
            <w:pPr>
              <w:ind w:left="80"/>
              <w:spacing w:after="0"/>
              <w:rPr>
                <w:sz w:val="20"/>
                <w:szCs w:val="20"/>
                <w:color w:val="auto"/>
              </w:rPr>
            </w:pPr>
            <w:r>
              <w:rPr>
                <w:rFonts w:ascii="Arial" w:cs="Arial" w:eastAsia="Arial" w:hAnsi="Arial"/>
                <w:sz w:val="12"/>
                <w:szCs w:val="12"/>
                <w:color w:val="auto"/>
              </w:rPr>
              <w:t>Loans held for sale</w:t>
            </w:r>
          </w:p>
        </w:tc>
        <w:tc>
          <w:tcPr>
            <w:tcW w:w="32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(2,805)</w:t>
            </w:r>
          </w:p>
        </w:tc>
        <w:tc>
          <w:tcPr>
            <w:tcW w:w="2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(2,805)</w:t>
            </w:r>
          </w:p>
        </w:tc>
        <w:tc>
          <w:tcPr>
            <w:tcW w:w="0" w:type="dxa"/>
            <w:vAlign w:val="bottom"/>
          </w:tcPr>
          <w:p>
            <w:pPr>
              <w:spacing w:after="0"/>
              <w:rPr>
                <w:sz w:val="1"/>
                <w:szCs w:val="1"/>
                <w:color w:val="auto"/>
              </w:rPr>
            </w:pPr>
          </w:p>
        </w:tc>
      </w:tr>
      <w:tr>
        <w:trPr>
          <w:trHeight w:val="144"/>
        </w:trPr>
        <w:tc>
          <w:tcPr>
            <w:tcW w:w="2900" w:type="dxa"/>
            <w:vAlign w:val="bottom"/>
          </w:tcPr>
          <w:p>
            <w:pPr>
              <w:ind w:left="80"/>
              <w:spacing w:after="0"/>
              <w:rPr>
                <w:sz w:val="20"/>
                <w:szCs w:val="20"/>
                <w:color w:val="auto"/>
              </w:rPr>
            </w:pPr>
            <w:r>
              <w:rPr>
                <w:rFonts w:ascii="Arial" w:cs="Arial" w:eastAsia="Arial" w:hAnsi="Arial"/>
                <w:sz w:val="12"/>
                <w:szCs w:val="12"/>
                <w:color w:val="auto"/>
              </w:rPr>
              <w:t>Capitalized mortgage loan servicing rights</w:t>
            </w:r>
          </w:p>
        </w:tc>
        <w:tc>
          <w:tcPr>
            <w:tcW w:w="3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120" w:type="dxa"/>
            <w:vAlign w:val="bottom"/>
          </w:tcPr>
          <w:p>
            <w:pPr>
              <w:jc w:val="right"/>
              <w:ind w:right="40"/>
              <w:spacing w:after="0"/>
              <w:rPr>
                <w:sz w:val="20"/>
                <w:szCs w:val="20"/>
                <w:color w:val="auto"/>
              </w:rPr>
            </w:pPr>
            <w:r>
              <w:rPr>
                <w:rFonts w:ascii="Arial" w:cs="Arial" w:eastAsia="Arial" w:hAnsi="Arial"/>
                <w:sz w:val="12"/>
                <w:szCs w:val="12"/>
                <w:color w:val="auto"/>
              </w:rPr>
              <w:t>(2,108)</w:t>
            </w:r>
          </w:p>
        </w:tc>
        <w:tc>
          <w:tcPr>
            <w:tcW w:w="260" w:type="dxa"/>
            <w:vAlign w:val="bottom"/>
          </w:tcPr>
          <w:p>
            <w:pPr>
              <w:spacing w:after="0"/>
              <w:rPr>
                <w:sz w:val="12"/>
                <w:szCs w:val="12"/>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2"/>
                <w:szCs w:val="12"/>
                <w:color w:val="auto"/>
              </w:rPr>
              <w:t>(2,108)</w:t>
            </w:r>
          </w:p>
        </w:tc>
        <w:tc>
          <w:tcPr>
            <w:tcW w:w="0" w:type="dxa"/>
            <w:vAlign w:val="bottom"/>
          </w:tcPr>
          <w:p>
            <w:pPr>
              <w:spacing w:after="0"/>
              <w:rPr>
                <w:sz w:val="1"/>
                <w:szCs w:val="1"/>
                <w:color w:val="auto"/>
              </w:rPr>
            </w:pPr>
          </w:p>
        </w:tc>
      </w:tr>
      <w:tr>
        <w:trPr>
          <w:trHeight w:val="144"/>
        </w:trPr>
        <w:tc>
          <w:tcPr>
            <w:tcW w:w="2900" w:type="dxa"/>
            <w:vAlign w:val="bottom"/>
            <w:shd w:val="clear" w:color="auto" w:fill="CCEEFF"/>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00" w:type="dxa"/>
            <w:vAlign w:val="bottom"/>
          </w:tcPr>
          <w:p>
            <w:pPr>
              <w:spacing w:after="0"/>
              <w:rPr>
                <w:sz w:val="20"/>
                <w:szCs w:val="20"/>
                <w:color w:val="auto"/>
              </w:rPr>
            </w:pPr>
            <w:r>
              <w:rPr>
                <w:rFonts w:ascii="Arial" w:cs="Arial" w:eastAsia="Arial" w:hAnsi="Arial"/>
                <w:sz w:val="12"/>
                <w:szCs w:val="12"/>
                <w:color w:val="auto"/>
              </w:rPr>
              <w:t>2020</w:t>
            </w:r>
          </w:p>
        </w:tc>
        <w:tc>
          <w:tcPr>
            <w:tcW w:w="3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00" w:type="dxa"/>
            <w:vAlign w:val="bottom"/>
            <w:shd w:val="clear" w:color="auto" w:fill="CCEEFF"/>
          </w:tcPr>
          <w:p>
            <w:pPr>
              <w:ind w:left="80"/>
              <w:spacing w:after="0"/>
              <w:rPr>
                <w:sz w:val="20"/>
                <w:szCs w:val="20"/>
                <w:color w:val="auto"/>
              </w:rPr>
            </w:pPr>
            <w:r>
              <w:rPr>
                <w:rFonts w:ascii="Arial" w:cs="Arial" w:eastAsia="Arial" w:hAnsi="Arial"/>
                <w:sz w:val="12"/>
                <w:szCs w:val="12"/>
                <w:color w:val="auto"/>
              </w:rPr>
              <w:t>Loans held for sale</w:t>
            </w:r>
          </w:p>
        </w:tc>
        <w:tc>
          <w:tcPr>
            <w:tcW w:w="3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1,962</w:t>
            </w: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1,962</w:t>
            </w:r>
          </w:p>
        </w:tc>
        <w:tc>
          <w:tcPr>
            <w:tcW w:w="0" w:type="dxa"/>
            <w:vAlign w:val="bottom"/>
          </w:tcPr>
          <w:p>
            <w:pPr>
              <w:spacing w:after="0"/>
              <w:rPr>
                <w:sz w:val="1"/>
                <w:szCs w:val="1"/>
                <w:color w:val="auto"/>
              </w:rPr>
            </w:pPr>
          </w:p>
        </w:tc>
      </w:tr>
      <w:tr>
        <w:trPr>
          <w:trHeight w:val="144"/>
        </w:trPr>
        <w:tc>
          <w:tcPr>
            <w:tcW w:w="2900" w:type="dxa"/>
            <w:vAlign w:val="bottom"/>
          </w:tcPr>
          <w:p>
            <w:pPr>
              <w:ind w:left="80"/>
              <w:spacing w:after="0"/>
              <w:rPr>
                <w:sz w:val="20"/>
                <w:szCs w:val="20"/>
                <w:color w:val="auto"/>
              </w:rPr>
            </w:pPr>
            <w:r>
              <w:rPr>
                <w:rFonts w:ascii="Arial" w:cs="Arial" w:eastAsia="Arial" w:hAnsi="Arial"/>
                <w:sz w:val="12"/>
                <w:szCs w:val="12"/>
                <w:color w:val="auto"/>
              </w:rPr>
              <w:t>Capitalized mortgage loan servicing rights</w:t>
            </w:r>
          </w:p>
        </w:tc>
        <w:tc>
          <w:tcPr>
            <w:tcW w:w="3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120" w:type="dxa"/>
            <w:vAlign w:val="bottom"/>
          </w:tcPr>
          <w:p>
            <w:pPr>
              <w:jc w:val="right"/>
              <w:ind w:right="40"/>
              <w:spacing w:after="0"/>
              <w:rPr>
                <w:sz w:val="20"/>
                <w:szCs w:val="20"/>
                <w:color w:val="auto"/>
              </w:rPr>
            </w:pPr>
            <w:r>
              <w:rPr>
                <w:rFonts w:ascii="Arial" w:cs="Arial" w:eastAsia="Arial" w:hAnsi="Arial"/>
                <w:sz w:val="12"/>
                <w:szCs w:val="12"/>
                <w:color w:val="auto"/>
              </w:rPr>
              <w:t>(16,224)</w:t>
            </w:r>
          </w:p>
        </w:tc>
        <w:tc>
          <w:tcPr>
            <w:tcW w:w="260" w:type="dxa"/>
            <w:vAlign w:val="bottom"/>
          </w:tcPr>
          <w:p>
            <w:pPr>
              <w:spacing w:after="0"/>
              <w:rPr>
                <w:sz w:val="12"/>
                <w:szCs w:val="12"/>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2"/>
                <w:szCs w:val="12"/>
                <w:color w:val="auto"/>
              </w:rPr>
              <w:t>(16,224)</w:t>
            </w:r>
          </w:p>
        </w:tc>
        <w:tc>
          <w:tcPr>
            <w:tcW w:w="0" w:type="dxa"/>
            <w:vAlign w:val="bottom"/>
          </w:tcPr>
          <w:p>
            <w:pPr>
              <w:spacing w:after="0"/>
              <w:rPr>
                <w:sz w:val="1"/>
                <w:szCs w:val="1"/>
                <w:color w:val="auto"/>
              </w:rPr>
            </w:pPr>
          </w:p>
        </w:tc>
      </w:tr>
      <w:tr>
        <w:trPr>
          <w:trHeight w:val="144"/>
        </w:trPr>
        <w:tc>
          <w:tcPr>
            <w:tcW w:w="2900" w:type="dxa"/>
            <w:vAlign w:val="bottom"/>
            <w:shd w:val="clear" w:color="auto" w:fill="CCEEFF"/>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00" w:type="dxa"/>
            <w:vAlign w:val="bottom"/>
          </w:tcPr>
          <w:p>
            <w:pPr>
              <w:spacing w:after="0"/>
              <w:rPr>
                <w:sz w:val="20"/>
                <w:szCs w:val="20"/>
                <w:color w:val="auto"/>
              </w:rPr>
            </w:pPr>
            <w:r>
              <w:rPr>
                <w:rFonts w:ascii="Arial" w:cs="Arial" w:eastAsia="Arial" w:hAnsi="Arial"/>
                <w:sz w:val="12"/>
                <w:szCs w:val="12"/>
                <w:color w:val="auto"/>
              </w:rPr>
              <w:t>2019</w:t>
            </w:r>
          </w:p>
        </w:tc>
        <w:tc>
          <w:tcPr>
            <w:tcW w:w="3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00" w:type="dxa"/>
            <w:vAlign w:val="bottom"/>
            <w:shd w:val="clear" w:color="auto" w:fill="CCEEFF"/>
          </w:tcPr>
          <w:p>
            <w:pPr>
              <w:ind w:left="80"/>
              <w:spacing w:after="0"/>
              <w:rPr>
                <w:sz w:val="20"/>
                <w:szCs w:val="20"/>
                <w:color w:val="auto"/>
              </w:rPr>
            </w:pPr>
            <w:r>
              <w:rPr>
                <w:rFonts w:ascii="Arial" w:cs="Arial" w:eastAsia="Arial" w:hAnsi="Arial"/>
                <w:sz w:val="12"/>
                <w:szCs w:val="12"/>
                <w:color w:val="auto"/>
              </w:rPr>
              <w:t>Equity securities at fair value</w:t>
            </w:r>
          </w:p>
        </w:tc>
        <w:tc>
          <w:tcPr>
            <w:tcW w:w="3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167</w:t>
            </w:r>
          </w:p>
        </w:tc>
        <w:tc>
          <w:tcPr>
            <w:tcW w:w="3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167</w:t>
            </w:r>
          </w:p>
        </w:tc>
        <w:tc>
          <w:tcPr>
            <w:tcW w:w="0" w:type="dxa"/>
            <w:vAlign w:val="bottom"/>
          </w:tcPr>
          <w:p>
            <w:pPr>
              <w:spacing w:after="0"/>
              <w:rPr>
                <w:sz w:val="1"/>
                <w:szCs w:val="1"/>
                <w:color w:val="auto"/>
              </w:rPr>
            </w:pPr>
          </w:p>
        </w:tc>
      </w:tr>
      <w:tr>
        <w:trPr>
          <w:trHeight w:val="144"/>
        </w:trPr>
        <w:tc>
          <w:tcPr>
            <w:tcW w:w="2900" w:type="dxa"/>
            <w:vAlign w:val="bottom"/>
          </w:tcPr>
          <w:p>
            <w:pPr>
              <w:ind w:left="80"/>
              <w:spacing w:after="0"/>
              <w:rPr>
                <w:sz w:val="20"/>
                <w:szCs w:val="20"/>
                <w:color w:val="auto"/>
              </w:rPr>
            </w:pPr>
            <w:r>
              <w:rPr>
                <w:rFonts w:ascii="Arial" w:cs="Arial" w:eastAsia="Arial" w:hAnsi="Arial"/>
                <w:sz w:val="12"/>
                <w:szCs w:val="12"/>
                <w:color w:val="auto"/>
              </w:rPr>
              <w:t>Loans held for sale</w:t>
            </w:r>
          </w:p>
        </w:tc>
        <w:tc>
          <w:tcPr>
            <w:tcW w:w="3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637</w:t>
            </w:r>
          </w:p>
        </w:tc>
        <w:tc>
          <w:tcPr>
            <w:tcW w:w="240" w:type="dxa"/>
            <w:vAlign w:val="bottom"/>
          </w:tcPr>
          <w:p>
            <w:pPr>
              <w:spacing w:after="0"/>
              <w:rPr>
                <w:sz w:val="12"/>
                <w:szCs w:val="12"/>
                <w:color w:val="auto"/>
              </w:rPr>
            </w:pPr>
          </w:p>
        </w:tc>
        <w:tc>
          <w:tcPr>
            <w:tcW w:w="112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637</w:t>
            </w:r>
          </w:p>
        </w:tc>
        <w:tc>
          <w:tcPr>
            <w:tcW w:w="0" w:type="dxa"/>
            <w:vAlign w:val="bottom"/>
          </w:tcPr>
          <w:p>
            <w:pPr>
              <w:spacing w:after="0"/>
              <w:rPr>
                <w:sz w:val="1"/>
                <w:szCs w:val="1"/>
                <w:color w:val="auto"/>
              </w:rPr>
            </w:pPr>
          </w:p>
        </w:tc>
      </w:tr>
      <w:tr>
        <w:trPr>
          <w:trHeight w:val="144"/>
        </w:trPr>
        <w:tc>
          <w:tcPr>
            <w:tcW w:w="2900" w:type="dxa"/>
            <w:vAlign w:val="bottom"/>
            <w:shd w:val="clear" w:color="auto" w:fill="CCEEFF"/>
          </w:tcPr>
          <w:p>
            <w:pPr>
              <w:ind w:left="80"/>
              <w:spacing w:after="0"/>
              <w:rPr>
                <w:sz w:val="20"/>
                <w:szCs w:val="20"/>
                <w:color w:val="auto"/>
              </w:rPr>
            </w:pPr>
            <w:r>
              <w:rPr>
                <w:rFonts w:ascii="Arial" w:cs="Arial" w:eastAsia="Arial" w:hAnsi="Arial"/>
                <w:sz w:val="12"/>
                <w:szCs w:val="12"/>
                <w:color w:val="auto"/>
              </w:rPr>
              <w:t>Capitalized mortgage loan servicing rights</w:t>
            </w:r>
          </w:p>
        </w:tc>
        <w:tc>
          <w:tcPr>
            <w:tcW w:w="3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(9,532)</w:t>
            </w:r>
          </w:p>
        </w:tc>
        <w:tc>
          <w:tcPr>
            <w:tcW w:w="2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(9,532)</w:t>
            </w:r>
          </w:p>
        </w:tc>
        <w:tc>
          <w:tcPr>
            <w:tcW w:w="0" w:type="dxa"/>
            <w:vAlign w:val="bottom"/>
          </w:tcPr>
          <w:p>
            <w:pPr>
              <w:spacing w:after="0"/>
              <w:rPr>
                <w:sz w:val="1"/>
                <w:szCs w:val="1"/>
                <w:color w:val="auto"/>
              </w:rPr>
            </w:pPr>
          </w:p>
        </w:tc>
      </w:tr>
    </w:tbl>
    <w:p>
      <w:pPr>
        <w:spacing w:after="0" w:line="135"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For those items measured at fair value pursuant to our election of the fair value option, interest income is recorded within the Consolidated Statements of Operations based on the contractual amount of interest income earned on these financial assets and dividend income is recorded based on cash dividends received.</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following represent impairment charges recognized during the years ended December 31, 2021, 2020 and 2019 relating to assets measured at fair value on a non-recurring basis:</w:t>
      </w:r>
    </w:p>
    <w:p>
      <w:pPr>
        <w:spacing w:after="0" w:line="150" w:lineRule="exact"/>
        <w:rPr>
          <w:sz w:val="20"/>
          <w:szCs w:val="20"/>
          <w:color w:val="auto"/>
        </w:rPr>
      </w:pPr>
    </w:p>
    <w:p>
      <w:pPr>
        <w:jc w:val="both"/>
        <w:ind w:left="420" w:hanging="212"/>
        <w:spacing w:after="0" w:line="263" w:lineRule="auto"/>
        <w:tabs>
          <w:tab w:leader="none" w:pos="4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Loans that are individually evaluated using the fair value of collateral for collateral dependent loans had a carrying amount of $1.4 million, which is net of a valuation allowance of $0.6 million at December 31, 2021, and had a carrying amount of $9.1 million, which is net of a valuation allowance of $1.8 million at December 31, 2020. An additional provision for credit losses relating to these collateral dependent loans of $0.3 million, $0.7 million and $1.3 million was included in our results of operations for the years ending December 31, 2021, 2020 and 2019, respectively.</w:t>
      </w:r>
    </w:p>
    <w:p>
      <w:pPr>
        <w:spacing w:after="0" w:line="122" w:lineRule="exact"/>
        <w:rPr>
          <w:rFonts w:ascii="Arial" w:cs="Arial" w:eastAsia="Arial" w:hAnsi="Arial"/>
          <w:sz w:val="12"/>
          <w:szCs w:val="12"/>
          <w:color w:val="auto"/>
        </w:rPr>
      </w:pPr>
    </w:p>
    <w:p>
      <w:pPr>
        <w:jc w:val="both"/>
        <w:ind w:left="420" w:hanging="212"/>
        <w:spacing w:after="0" w:line="263" w:lineRule="auto"/>
        <w:tabs>
          <w:tab w:leader="none" w:pos="4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Other real estate, which is measured using the fair value of the property, had a carrying amount of zero which is net of a valuation allowance of $0.03 million at December 31, 2021, and a carrying amount of $0.10 million which is net of a valuation allowance of $0.09 million, at December 31, 2020. An additional charge relating to other real estate measured at fair value of zero, $0.03 million and $0.03 million was included in our results of operations during the years ended December 31, 2021, 2020 and 2019, respectively.</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157"/>
        </w:trPr>
        <w:tc>
          <w:tcPr>
            <w:tcW w:w="3180" w:type="dxa"/>
            <w:vAlign w:val="bottom"/>
          </w:tcPr>
          <w:p>
            <w:pPr>
              <w:spacing w:after="0"/>
              <w:rPr>
                <w:sz w:val="13"/>
                <w:szCs w:val="13"/>
                <w:color w:val="auto"/>
              </w:rPr>
            </w:pPr>
          </w:p>
        </w:tc>
        <w:tc>
          <w:tcPr>
            <w:tcW w:w="4920" w:type="dxa"/>
            <w:vAlign w:val="bottom"/>
            <w:gridSpan w:val="2"/>
          </w:tcPr>
          <w:p>
            <w:pPr>
              <w:jc w:val="right"/>
              <w:ind w:right="448"/>
              <w:spacing w:after="0"/>
              <w:rPr>
                <w:sz w:val="20"/>
                <w:szCs w:val="20"/>
                <w:color w:val="auto"/>
              </w:rPr>
            </w:pPr>
            <w:r>
              <w:rPr>
                <w:rFonts w:ascii="Arial" w:cs="Arial" w:eastAsia="Arial" w:hAnsi="Arial"/>
                <w:sz w:val="12"/>
                <w:szCs w:val="12"/>
                <w:b w:val="1"/>
                <w:bCs w:val="1"/>
                <w:color w:val="auto"/>
              </w:rPr>
              <w:t>NOTES TO CONSOLIDATED FINANCIAL STATEMENTS − (Continued)</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61"/>
        </w:trPr>
        <w:tc>
          <w:tcPr>
            <w:tcW w:w="8840" w:type="dxa"/>
            <w:vAlign w:val="bottom"/>
            <w:gridSpan w:val="7"/>
          </w:tcPr>
          <w:p>
            <w:pPr>
              <w:ind w:left="200"/>
              <w:spacing w:after="0"/>
              <w:rPr>
                <w:sz w:val="20"/>
                <w:szCs w:val="20"/>
                <w:color w:val="auto"/>
              </w:rPr>
            </w:pPr>
            <w:r>
              <w:rPr>
                <w:rFonts w:ascii="Arial" w:cs="Arial" w:eastAsia="Arial" w:hAnsi="Arial"/>
                <w:sz w:val="12"/>
                <w:szCs w:val="12"/>
                <w:color w:val="auto"/>
                <w:w w:val="91"/>
              </w:rPr>
              <w:t>A reconciliation for all assets and (liabilities) measured at fair value on a recurring basis using significant unobservable inputs (Level 3) for the years ended December 31 follows:</w:t>
            </w: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75"/>
        </w:trPr>
        <w:tc>
          <w:tcPr>
            <w:tcW w:w="3180" w:type="dxa"/>
            <w:vAlign w:val="bottom"/>
          </w:tcPr>
          <w:p>
            <w:pPr>
              <w:spacing w:after="0"/>
              <w:rPr>
                <w:sz w:val="23"/>
                <w:szCs w:val="23"/>
                <w:color w:val="auto"/>
              </w:rPr>
            </w:pPr>
          </w:p>
        </w:tc>
        <w:tc>
          <w:tcPr>
            <w:tcW w:w="4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gridSpan w:val="4"/>
          </w:tcPr>
          <w:p>
            <w:pPr>
              <w:ind w:left="80"/>
              <w:spacing w:after="0"/>
              <w:rPr>
                <w:sz w:val="20"/>
                <w:szCs w:val="20"/>
                <w:color w:val="auto"/>
              </w:rPr>
            </w:pPr>
            <w:r>
              <w:rPr>
                <w:rFonts w:ascii="Arial" w:cs="Arial" w:eastAsia="Arial" w:hAnsi="Arial"/>
                <w:sz w:val="12"/>
                <w:szCs w:val="12"/>
                <w:b w:val="1"/>
                <w:bCs w:val="1"/>
                <w:color w:val="auto"/>
              </w:rPr>
              <w:t>Capitalized Mortgage</w:t>
            </w: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157"/>
        </w:trPr>
        <w:tc>
          <w:tcPr>
            <w:tcW w:w="318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4"/>
          </w:tcPr>
          <w:p>
            <w:pPr>
              <w:ind w:left="80"/>
              <w:spacing w:after="0"/>
              <w:rPr>
                <w:sz w:val="20"/>
                <w:szCs w:val="20"/>
                <w:color w:val="auto"/>
              </w:rPr>
            </w:pPr>
            <w:r>
              <w:rPr>
                <w:rFonts w:ascii="Arial" w:cs="Arial" w:eastAsia="Arial" w:hAnsi="Arial"/>
                <w:sz w:val="12"/>
                <w:szCs w:val="12"/>
                <w:b w:val="1"/>
                <w:bCs w:val="1"/>
                <w:color w:val="auto"/>
              </w:rPr>
              <w:t>Loan Servicing Rights</w:t>
            </w: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318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2"/>
                <w:szCs w:val="12"/>
                <w:b w:val="1"/>
                <w:bCs w:val="1"/>
                <w:color w:val="auto"/>
              </w:rPr>
              <w:t>2021</w:t>
            </w:r>
          </w:p>
        </w:tc>
        <w:tc>
          <w:tcPr>
            <w:tcW w:w="3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2020</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2"/>
                <w:szCs w:val="12"/>
                <w:color w:val="auto"/>
              </w:rPr>
            </w:pPr>
          </w:p>
        </w:tc>
      </w:tr>
      <w:tr>
        <w:trPr>
          <w:trHeight w:val="142"/>
        </w:trPr>
        <w:tc>
          <w:tcPr>
            <w:tcW w:w="318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ind w:right="140"/>
              <w:spacing w:after="0"/>
              <w:rPr>
                <w:sz w:val="20"/>
                <w:szCs w:val="20"/>
                <w:color w:val="auto"/>
              </w:rPr>
            </w:pPr>
            <w:r>
              <w:rPr>
                <w:rFonts w:ascii="Arial" w:cs="Arial" w:eastAsia="Arial" w:hAnsi="Arial"/>
                <w:sz w:val="12"/>
                <w:szCs w:val="12"/>
                <w:b w:val="1"/>
                <w:bCs w:val="1"/>
                <w:color w:val="auto"/>
                <w:w w:val="94"/>
              </w:rPr>
              <w:t>(In thousands)</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180" w:type="dxa"/>
            <w:vAlign w:val="bottom"/>
            <w:shd w:val="clear" w:color="auto" w:fill="CCEEFF"/>
          </w:tcPr>
          <w:p>
            <w:pPr>
              <w:spacing w:after="0"/>
              <w:rPr>
                <w:sz w:val="20"/>
                <w:szCs w:val="20"/>
                <w:color w:val="auto"/>
              </w:rPr>
            </w:pPr>
            <w:r>
              <w:rPr>
                <w:rFonts w:ascii="Arial" w:cs="Arial" w:eastAsia="Arial" w:hAnsi="Arial"/>
                <w:sz w:val="12"/>
                <w:szCs w:val="12"/>
                <w:color w:val="auto"/>
              </w:rPr>
              <w:t>Beginning balance</w:t>
            </w:r>
          </w:p>
        </w:tc>
        <w:tc>
          <w:tcPr>
            <w:tcW w:w="4920" w:type="dxa"/>
            <w:vAlign w:val="bottom"/>
            <w:gridSpan w:val="2"/>
            <w:shd w:val="clear" w:color="auto" w:fill="CCEEFF"/>
          </w:tcPr>
          <w:p>
            <w:pPr>
              <w:jc w:val="right"/>
              <w:ind w:right="648"/>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97"/>
              </w:rPr>
              <w:t>16,904</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19,171</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21,400</w:t>
            </w:r>
          </w:p>
        </w:tc>
      </w:tr>
      <w:tr>
        <w:trPr>
          <w:trHeight w:val="144"/>
        </w:trPr>
        <w:tc>
          <w:tcPr>
            <w:tcW w:w="3180" w:type="dxa"/>
            <w:vAlign w:val="bottom"/>
          </w:tcPr>
          <w:p>
            <w:pPr>
              <w:ind w:left="80"/>
              <w:spacing w:after="0"/>
              <w:rPr>
                <w:sz w:val="20"/>
                <w:szCs w:val="20"/>
                <w:color w:val="auto"/>
              </w:rPr>
            </w:pPr>
            <w:r>
              <w:rPr>
                <w:rFonts w:ascii="Arial" w:cs="Arial" w:eastAsia="Arial" w:hAnsi="Arial"/>
                <w:sz w:val="12"/>
                <w:szCs w:val="12"/>
                <w:color w:val="auto"/>
              </w:rPr>
              <w:t>Total losses realized and unrealized:</w:t>
            </w:r>
          </w:p>
        </w:tc>
        <w:tc>
          <w:tcPr>
            <w:tcW w:w="4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1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Included in results of operations</w:t>
            </w:r>
          </w:p>
        </w:tc>
        <w:tc>
          <w:tcPr>
            <w:tcW w:w="4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(2,108)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(16,224)</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(9,532)</w:t>
            </w:r>
          </w:p>
        </w:tc>
      </w:tr>
      <w:tr>
        <w:trPr>
          <w:trHeight w:val="144"/>
        </w:trPr>
        <w:tc>
          <w:tcPr>
            <w:tcW w:w="3180" w:type="dxa"/>
            <w:vAlign w:val="bottom"/>
          </w:tcPr>
          <w:p>
            <w:pPr>
              <w:ind w:left="200"/>
              <w:spacing w:after="0"/>
              <w:rPr>
                <w:sz w:val="20"/>
                <w:szCs w:val="20"/>
                <w:color w:val="auto"/>
              </w:rPr>
            </w:pPr>
            <w:r>
              <w:rPr>
                <w:rFonts w:ascii="Arial" w:cs="Arial" w:eastAsia="Arial" w:hAnsi="Arial"/>
                <w:sz w:val="12"/>
                <w:szCs w:val="12"/>
                <w:color w:val="auto"/>
              </w:rPr>
              <w:t>Included in other comprehensive income (loss)</w:t>
            </w:r>
          </w:p>
        </w:tc>
        <w:tc>
          <w:tcPr>
            <w:tcW w:w="4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4"/>
        </w:trPr>
        <w:tc>
          <w:tcPr>
            <w:tcW w:w="3180" w:type="dxa"/>
            <w:vAlign w:val="bottom"/>
            <w:shd w:val="clear" w:color="auto" w:fill="CCEEFF"/>
          </w:tcPr>
          <w:p>
            <w:pPr>
              <w:ind w:left="80"/>
              <w:spacing w:after="0"/>
              <w:rPr>
                <w:sz w:val="20"/>
                <w:szCs w:val="20"/>
                <w:color w:val="auto"/>
              </w:rPr>
            </w:pPr>
            <w:r>
              <w:rPr>
                <w:rFonts w:ascii="Arial" w:cs="Arial" w:eastAsia="Arial" w:hAnsi="Arial"/>
                <w:sz w:val="12"/>
                <w:szCs w:val="12"/>
                <w:color w:val="auto"/>
              </w:rPr>
              <w:t>Purchases, issuances, settlements, maturities and calls</w:t>
            </w:r>
          </w:p>
        </w:tc>
        <w:tc>
          <w:tcPr>
            <w:tcW w:w="4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11,436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13,957</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7,303</w:t>
            </w:r>
          </w:p>
        </w:tc>
      </w:tr>
      <w:tr>
        <w:trPr>
          <w:trHeight w:val="144"/>
        </w:trPr>
        <w:tc>
          <w:tcPr>
            <w:tcW w:w="3180" w:type="dxa"/>
            <w:vAlign w:val="bottom"/>
          </w:tcPr>
          <w:p>
            <w:pPr>
              <w:ind w:left="80"/>
              <w:spacing w:after="0"/>
              <w:rPr>
                <w:sz w:val="20"/>
                <w:szCs w:val="20"/>
                <w:color w:val="auto"/>
              </w:rPr>
            </w:pPr>
            <w:r>
              <w:rPr>
                <w:rFonts w:ascii="Arial" w:cs="Arial" w:eastAsia="Arial" w:hAnsi="Arial"/>
                <w:sz w:val="12"/>
                <w:szCs w:val="12"/>
                <w:color w:val="auto"/>
              </w:rPr>
              <w:t>Transfers in and/or out of Level 3</w:t>
            </w:r>
          </w:p>
        </w:tc>
        <w:tc>
          <w:tcPr>
            <w:tcW w:w="4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82"/>
        </w:trPr>
        <w:tc>
          <w:tcPr>
            <w:tcW w:w="3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Ending balance</w:t>
            </w:r>
          </w:p>
        </w:tc>
        <w:tc>
          <w:tcPr>
            <w:tcW w:w="4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ind w:right="648"/>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7"/>
              </w:rPr>
              <w:t>26,232</w:t>
            </w: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16,904</w:t>
            </w:r>
          </w:p>
        </w:tc>
        <w:tc>
          <w:tcPr>
            <w:tcW w:w="2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19,171</w:t>
            </w:r>
          </w:p>
        </w:tc>
        <w:tc>
          <w:tcPr>
            <w:tcW w:w="120" w:type="dxa"/>
            <w:vAlign w:val="bottom"/>
            <w:tcBorders>
              <w:bottom w:val="single" w:sz="8" w:color="CCEEFF"/>
            </w:tcBorders>
            <w:shd w:val="clear" w:color="auto" w:fill="CCEEFF"/>
          </w:tcPr>
          <w:p>
            <w:pPr>
              <w:spacing w:after="0"/>
              <w:rPr>
                <w:sz w:val="15"/>
                <w:szCs w:val="15"/>
                <w:color w:val="auto"/>
              </w:rPr>
            </w:pPr>
          </w:p>
        </w:tc>
      </w:tr>
      <w:tr>
        <w:trPr>
          <w:trHeight w:val="120"/>
        </w:trPr>
        <w:tc>
          <w:tcPr>
            <w:tcW w:w="8100" w:type="dxa"/>
            <w:vAlign w:val="bottom"/>
            <w:gridSpan w:val="3"/>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5"/>
        </w:trPr>
        <w:tc>
          <w:tcPr>
            <w:tcW w:w="8100" w:type="dxa"/>
            <w:vAlign w:val="bottom"/>
            <w:gridSpan w:val="3"/>
            <w:shd w:val="clear" w:color="auto" w:fill="CCEEFF"/>
          </w:tcPr>
          <w:p>
            <w:pPr>
              <w:spacing w:after="0" w:line="135" w:lineRule="exact"/>
              <w:rPr>
                <w:sz w:val="20"/>
                <w:szCs w:val="20"/>
                <w:color w:val="auto"/>
              </w:rPr>
            </w:pPr>
            <w:r>
              <w:rPr>
                <w:rFonts w:ascii="Arial" w:cs="Arial" w:eastAsia="Arial" w:hAnsi="Arial"/>
                <w:sz w:val="12"/>
                <w:szCs w:val="12"/>
                <w:color w:val="auto"/>
              </w:rPr>
              <w:t>Amount of total losses for the period included in earnings attributable to the change in unrealized losses relating to assets and liabilities still held at</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73"/>
        </w:trPr>
        <w:tc>
          <w:tcPr>
            <w:tcW w:w="3180" w:type="dxa"/>
            <w:vAlign w:val="bottom"/>
            <w:shd w:val="clear" w:color="auto" w:fill="CCEEFF"/>
          </w:tcPr>
          <w:p>
            <w:pPr>
              <w:ind w:left="80"/>
              <w:spacing w:after="0"/>
              <w:rPr>
                <w:sz w:val="20"/>
                <w:szCs w:val="20"/>
                <w:color w:val="auto"/>
              </w:rPr>
            </w:pPr>
            <w:r>
              <w:rPr>
                <w:rFonts w:ascii="Arial" w:cs="Arial" w:eastAsia="Arial" w:hAnsi="Arial"/>
                <w:sz w:val="12"/>
                <w:szCs w:val="12"/>
                <w:color w:val="auto"/>
              </w:rPr>
              <w:t>December 31</w:t>
            </w:r>
          </w:p>
        </w:tc>
        <w:tc>
          <w:tcPr>
            <w:tcW w:w="4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648"/>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(2,108)</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(16,224)</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(9,532)</w:t>
            </w:r>
          </w:p>
        </w:tc>
      </w:tr>
      <w:tr>
        <w:trPr>
          <w:trHeight w:val="20"/>
        </w:trPr>
        <w:tc>
          <w:tcPr>
            <w:tcW w:w="3180" w:type="dxa"/>
            <w:vAlign w:val="bottom"/>
            <w:tcBorders>
              <w:top w:val="single" w:sz="8" w:color="CCEEFF"/>
            </w:tcBorders>
            <w:shd w:val="clear" w:color="auto" w:fill="CCEEFF"/>
          </w:tcPr>
          <w:p>
            <w:pPr>
              <w:spacing w:after="0" w:line="20" w:lineRule="exact"/>
              <w:rPr>
                <w:sz w:val="1"/>
                <w:szCs w:val="1"/>
                <w:color w:val="auto"/>
              </w:rPr>
            </w:pPr>
          </w:p>
        </w:tc>
        <w:tc>
          <w:tcPr>
            <w:tcW w:w="4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35"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The fair value of our capitalized mortgage loan servicing rights has been determined based on a valuation model used by an independent third party as discussed above. The significant unobservable inputs used in the fair value measurement of the capitalized mortgage loan servicing rights are discount rate, cost to service, ancillary income, float rate and prepayment rate. Significant changes in all five of these assumptions in isolation would result in significant changes to the value of our capitalized mortgage loan servicing rights. Quantitative information about our Level 3 fair value measurements measured on a recurring basis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5"/>
              </w:rPr>
              <w:t>Asset</w:t>
            </w: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9"/>
              </w:rPr>
              <w:t>Fair</w:t>
            </w:r>
          </w:p>
        </w:tc>
        <w:tc>
          <w:tcPr>
            <w:tcW w:w="1640" w:type="dxa"/>
            <w:vAlign w:val="bottom"/>
          </w:tcPr>
          <w:p>
            <w:pPr>
              <w:ind w:left="560"/>
              <w:spacing w:after="0"/>
              <w:rPr>
                <w:sz w:val="20"/>
                <w:szCs w:val="20"/>
                <w:color w:val="auto"/>
              </w:rPr>
            </w:pPr>
            <w:r>
              <w:rPr>
                <w:rFonts w:ascii="Arial" w:cs="Arial" w:eastAsia="Arial" w:hAnsi="Arial"/>
                <w:sz w:val="12"/>
                <w:szCs w:val="12"/>
                <w:b w:val="1"/>
                <w:bCs w:val="1"/>
                <w:color w:val="auto"/>
              </w:rPr>
              <w:t>Valuation</w:t>
            </w:r>
          </w:p>
        </w:tc>
        <w:tc>
          <w:tcPr>
            <w:tcW w:w="100" w:type="dxa"/>
            <w:vAlign w:val="bottom"/>
          </w:tcPr>
          <w:p>
            <w:pPr>
              <w:spacing w:after="0"/>
              <w:rPr>
                <w:sz w:val="12"/>
                <w:szCs w:val="12"/>
                <w:color w:val="auto"/>
              </w:rPr>
            </w:pPr>
          </w:p>
        </w:tc>
        <w:tc>
          <w:tcPr>
            <w:tcW w:w="1460" w:type="dxa"/>
            <w:vAlign w:val="bottom"/>
          </w:tcPr>
          <w:p>
            <w:pPr>
              <w:ind w:left="380"/>
              <w:spacing w:after="0"/>
              <w:rPr>
                <w:sz w:val="20"/>
                <w:szCs w:val="20"/>
                <w:color w:val="auto"/>
              </w:rPr>
            </w:pPr>
            <w:r>
              <w:rPr>
                <w:rFonts w:ascii="Arial" w:cs="Arial" w:eastAsia="Arial" w:hAnsi="Arial"/>
                <w:sz w:val="12"/>
                <w:szCs w:val="12"/>
                <w:b w:val="1"/>
                <w:bCs w:val="1"/>
                <w:color w:val="auto"/>
              </w:rPr>
              <w:t>Unobservable</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w w:val="96"/>
              </w:rPr>
              <w:t>Weighted</w:t>
            </w:r>
          </w:p>
        </w:tc>
        <w:tc>
          <w:tcPr>
            <w:tcW w:w="0" w:type="dxa"/>
            <w:vAlign w:val="bottom"/>
          </w:tcPr>
          <w:p>
            <w:pPr>
              <w:spacing w:after="0"/>
              <w:rPr>
                <w:sz w:val="1"/>
                <w:szCs w:val="1"/>
                <w:color w:val="auto"/>
              </w:rPr>
            </w:pPr>
          </w:p>
        </w:tc>
      </w:tr>
      <w:tr>
        <w:trPr>
          <w:trHeight w:val="157"/>
        </w:trPr>
        <w:tc>
          <w:tcPr>
            <w:tcW w:w="3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7"/>
              </w:rPr>
              <w:t>Value</w:t>
            </w:r>
          </w:p>
        </w:tc>
        <w:tc>
          <w:tcPr>
            <w:tcW w:w="1640" w:type="dxa"/>
            <w:vAlign w:val="bottom"/>
          </w:tcPr>
          <w:p>
            <w:pPr>
              <w:ind w:left="560"/>
              <w:spacing w:after="0"/>
              <w:rPr>
                <w:sz w:val="20"/>
                <w:szCs w:val="20"/>
                <w:color w:val="auto"/>
              </w:rPr>
            </w:pPr>
            <w:r>
              <w:rPr>
                <w:rFonts w:ascii="Arial" w:cs="Arial" w:eastAsia="Arial" w:hAnsi="Arial"/>
                <w:sz w:val="12"/>
                <w:szCs w:val="12"/>
                <w:b w:val="1"/>
                <w:bCs w:val="1"/>
                <w:color w:val="auto"/>
              </w:rPr>
              <w:t>Technique</w:t>
            </w:r>
          </w:p>
        </w:tc>
        <w:tc>
          <w:tcPr>
            <w:tcW w:w="100" w:type="dxa"/>
            <w:vAlign w:val="bottom"/>
          </w:tcPr>
          <w:p>
            <w:pPr>
              <w:spacing w:after="0"/>
              <w:rPr>
                <w:sz w:val="13"/>
                <w:szCs w:val="13"/>
                <w:color w:val="auto"/>
              </w:rPr>
            </w:pPr>
          </w:p>
        </w:tc>
        <w:tc>
          <w:tcPr>
            <w:tcW w:w="1460" w:type="dxa"/>
            <w:vAlign w:val="bottom"/>
          </w:tcPr>
          <w:p>
            <w:pPr>
              <w:ind w:left="560"/>
              <w:spacing w:after="0"/>
              <w:rPr>
                <w:sz w:val="20"/>
                <w:szCs w:val="20"/>
                <w:color w:val="auto"/>
              </w:rPr>
            </w:pPr>
            <w:r>
              <w:rPr>
                <w:rFonts w:ascii="Arial" w:cs="Arial" w:eastAsia="Arial" w:hAnsi="Arial"/>
                <w:sz w:val="12"/>
                <w:szCs w:val="12"/>
                <w:b w:val="1"/>
                <w:bCs w:val="1"/>
                <w:color w:val="auto"/>
              </w:rPr>
              <w:t>Inputs</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40" w:type="dxa"/>
            <w:vAlign w:val="bottom"/>
            <w:gridSpan w:val="2"/>
          </w:tcPr>
          <w:p>
            <w:pPr>
              <w:jc w:val="right"/>
              <w:ind w:right="860"/>
              <w:spacing w:after="0"/>
              <w:rPr>
                <w:sz w:val="20"/>
                <w:szCs w:val="20"/>
                <w:color w:val="auto"/>
              </w:rPr>
            </w:pPr>
            <w:r>
              <w:rPr>
                <w:rFonts w:ascii="Arial" w:cs="Arial" w:eastAsia="Arial" w:hAnsi="Arial"/>
                <w:sz w:val="12"/>
                <w:szCs w:val="12"/>
                <w:b w:val="1"/>
                <w:bCs w:val="1"/>
                <w:color w:val="auto"/>
              </w:rPr>
              <w:t>Range</w:t>
            </w:r>
          </w:p>
        </w:tc>
        <w:tc>
          <w:tcPr>
            <w:tcW w:w="120" w:type="dxa"/>
            <w:vAlign w:val="bottom"/>
          </w:tcPr>
          <w:p>
            <w:pPr>
              <w:spacing w:after="0"/>
              <w:rPr>
                <w:sz w:val="13"/>
                <w:szCs w:val="13"/>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rPr>
              <w:t>Average</w:t>
            </w:r>
          </w:p>
        </w:tc>
        <w:tc>
          <w:tcPr>
            <w:tcW w:w="0" w:type="dxa"/>
            <w:vAlign w:val="bottom"/>
          </w:tcPr>
          <w:p>
            <w:pPr>
              <w:spacing w:after="0"/>
              <w:rPr>
                <w:sz w:val="1"/>
                <w:szCs w:val="1"/>
                <w:color w:val="auto"/>
              </w:rPr>
            </w:pPr>
          </w:p>
        </w:tc>
      </w:tr>
      <w:tr>
        <w:trPr>
          <w:trHeight w:val="155"/>
        </w:trPr>
        <w:tc>
          <w:tcPr>
            <w:tcW w:w="3740" w:type="dxa"/>
            <w:vAlign w:val="bottom"/>
            <w:vMerge w:val="restart"/>
          </w:tcPr>
          <w:p>
            <w:pPr>
              <w:jc w:val="right"/>
              <w:ind w:right="3440"/>
              <w:spacing w:after="0"/>
              <w:rPr>
                <w:sz w:val="20"/>
                <w:szCs w:val="20"/>
                <w:color w:val="auto"/>
              </w:rPr>
            </w:pPr>
            <w:r>
              <w:rPr>
                <w:rFonts w:ascii="Arial" w:cs="Arial" w:eastAsia="Arial" w:hAnsi="Arial"/>
                <w:sz w:val="12"/>
                <w:szCs w:val="12"/>
                <w:color w:val="auto"/>
                <w:w w:val="82"/>
              </w:rPr>
              <w:t>2021</w:t>
            </w:r>
          </w:p>
        </w:tc>
        <w:tc>
          <w:tcPr>
            <w:tcW w:w="1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ind w:right="100"/>
              <w:spacing w:after="0"/>
              <w:rPr>
                <w:sz w:val="20"/>
                <w:szCs w:val="20"/>
                <w:color w:val="auto"/>
              </w:rPr>
            </w:pPr>
            <w:r>
              <w:rPr>
                <w:rFonts w:ascii="Arial" w:cs="Arial" w:eastAsia="Arial" w:hAnsi="Arial"/>
                <w:sz w:val="12"/>
                <w:szCs w:val="12"/>
                <w:b w:val="1"/>
                <w:bCs w:val="1"/>
                <w:color w:val="auto"/>
                <w:w w:val="91"/>
              </w:rPr>
              <w:t>(In thousands)</w:t>
            </w:r>
          </w:p>
        </w:tc>
        <w:tc>
          <w:tcPr>
            <w:tcW w:w="120" w:type="dxa"/>
            <w:vAlign w:val="bottom"/>
          </w:tcPr>
          <w:p>
            <w:pPr>
              <w:spacing w:after="0"/>
              <w:rPr>
                <w:sz w:val="13"/>
                <w:szCs w:val="13"/>
                <w:color w:val="auto"/>
              </w:rPr>
            </w:pPr>
          </w:p>
        </w:tc>
        <w:tc>
          <w:tcPr>
            <w:tcW w:w="1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7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740" w:type="dxa"/>
            <w:vAlign w:val="bottom"/>
            <w:shd w:val="clear" w:color="auto" w:fill="CCEEFF"/>
          </w:tcPr>
          <w:p>
            <w:pPr>
              <w:jc w:val="right"/>
              <w:ind w:right="1560"/>
              <w:spacing w:after="0"/>
              <w:rPr>
                <w:sz w:val="20"/>
                <w:szCs w:val="20"/>
                <w:color w:val="auto"/>
              </w:rPr>
            </w:pPr>
            <w:r>
              <w:rPr>
                <w:rFonts w:ascii="Arial" w:cs="Arial" w:eastAsia="Arial" w:hAnsi="Arial"/>
                <w:sz w:val="12"/>
                <w:szCs w:val="12"/>
                <w:color w:val="auto"/>
                <w:w w:val="94"/>
              </w:rPr>
              <w:t>Capitalized mortgage loan servicing rights</w:t>
            </w: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26,232</w:t>
            </w:r>
          </w:p>
        </w:tc>
        <w:tc>
          <w:tcPr>
            <w:tcW w:w="1640" w:type="dxa"/>
            <w:vAlign w:val="bottom"/>
            <w:shd w:val="clear" w:color="auto" w:fill="CCEEFF"/>
          </w:tcPr>
          <w:p>
            <w:pPr>
              <w:spacing w:after="0"/>
              <w:rPr>
                <w:sz w:val="20"/>
                <w:szCs w:val="20"/>
                <w:color w:val="auto"/>
              </w:rPr>
            </w:pPr>
            <w:r>
              <w:rPr>
                <w:rFonts w:ascii="Arial" w:cs="Arial" w:eastAsia="Arial" w:hAnsi="Arial"/>
                <w:sz w:val="12"/>
                <w:szCs w:val="12"/>
                <w:color w:val="auto"/>
              </w:rPr>
              <w:t>Present value of net</w:t>
            </w: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2"/>
                <w:szCs w:val="12"/>
                <w:color w:val="auto"/>
              </w:rPr>
              <w:t>Discount rate</w:t>
            </w: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10.00% to 13.00%</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10.07%</w:t>
            </w:r>
          </w:p>
        </w:tc>
        <w:tc>
          <w:tcPr>
            <w:tcW w:w="0" w:type="dxa"/>
            <w:vAlign w:val="bottom"/>
          </w:tcPr>
          <w:p>
            <w:pPr>
              <w:spacing w:after="0"/>
              <w:rPr>
                <w:sz w:val="1"/>
                <w:szCs w:val="1"/>
                <w:color w:val="auto"/>
              </w:rPr>
            </w:pPr>
          </w:p>
        </w:tc>
      </w:tr>
      <w:tr>
        <w:trPr>
          <w:trHeight w:val="144"/>
        </w:trPr>
        <w:tc>
          <w:tcPr>
            <w:tcW w:w="3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spacing w:after="0"/>
              <w:rPr>
                <w:sz w:val="20"/>
                <w:szCs w:val="20"/>
                <w:color w:val="auto"/>
              </w:rPr>
            </w:pPr>
            <w:r>
              <w:rPr>
                <w:rFonts w:ascii="Arial" w:cs="Arial" w:eastAsia="Arial" w:hAnsi="Arial"/>
                <w:sz w:val="12"/>
                <w:szCs w:val="12"/>
                <w:color w:val="auto"/>
              </w:rPr>
              <w:t>servicing revenue</w:t>
            </w:r>
          </w:p>
        </w:tc>
        <w:tc>
          <w:tcPr>
            <w:tcW w:w="100" w:type="dxa"/>
            <w:vAlign w:val="bottom"/>
          </w:tcPr>
          <w:p>
            <w:pPr>
              <w:spacing w:after="0"/>
              <w:rPr>
                <w:sz w:val="12"/>
                <w:szCs w:val="12"/>
                <w:color w:val="auto"/>
              </w:rPr>
            </w:pPr>
          </w:p>
        </w:tc>
        <w:tc>
          <w:tcPr>
            <w:tcW w:w="1460" w:type="dxa"/>
            <w:vAlign w:val="bottom"/>
          </w:tcPr>
          <w:p>
            <w:pPr>
              <w:spacing w:after="0"/>
              <w:rPr>
                <w:sz w:val="20"/>
                <w:szCs w:val="20"/>
                <w:color w:val="auto"/>
              </w:rPr>
            </w:pPr>
            <w:r>
              <w:rPr>
                <w:rFonts w:ascii="Arial" w:cs="Arial" w:eastAsia="Arial" w:hAnsi="Arial"/>
                <w:sz w:val="12"/>
                <w:szCs w:val="12"/>
                <w:color w:val="auto"/>
              </w:rPr>
              <w:t>Cost to service</w:t>
            </w:r>
          </w:p>
        </w:tc>
        <w:tc>
          <w:tcPr>
            <w:tcW w:w="4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440" w:type="dxa"/>
            <w:vAlign w:val="bottom"/>
            <w:gridSpan w:val="2"/>
          </w:tcPr>
          <w:p>
            <w:pPr>
              <w:jc w:val="right"/>
              <w:ind w:right="260"/>
              <w:spacing w:after="0"/>
              <w:rPr>
                <w:sz w:val="20"/>
                <w:szCs w:val="20"/>
                <w:color w:val="auto"/>
              </w:rPr>
            </w:pPr>
            <w:r>
              <w:rPr>
                <w:rFonts w:ascii="Arial" w:cs="Arial" w:eastAsia="Arial" w:hAnsi="Arial"/>
                <w:sz w:val="12"/>
                <w:szCs w:val="12"/>
                <w:color w:val="auto"/>
              </w:rPr>
              <w:t>67 to $281</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78</w:t>
            </w:r>
          </w:p>
        </w:tc>
        <w:tc>
          <w:tcPr>
            <w:tcW w:w="0" w:type="dxa"/>
            <w:vAlign w:val="bottom"/>
          </w:tcPr>
          <w:p>
            <w:pPr>
              <w:spacing w:after="0"/>
              <w:rPr>
                <w:sz w:val="1"/>
                <w:szCs w:val="1"/>
                <w:color w:val="auto"/>
              </w:rPr>
            </w:pPr>
          </w:p>
        </w:tc>
      </w:tr>
      <w:tr>
        <w:trPr>
          <w:trHeight w:val="144"/>
        </w:trPr>
        <w:tc>
          <w:tcPr>
            <w:tcW w:w="3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2"/>
                <w:szCs w:val="12"/>
                <w:color w:val="auto"/>
              </w:rPr>
              <w:t>Ancillary income</w:t>
            </w: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20 to 30</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21</w:t>
            </w:r>
          </w:p>
        </w:tc>
        <w:tc>
          <w:tcPr>
            <w:tcW w:w="0" w:type="dxa"/>
            <w:vAlign w:val="bottom"/>
          </w:tcPr>
          <w:p>
            <w:pPr>
              <w:spacing w:after="0"/>
              <w:rPr>
                <w:sz w:val="1"/>
                <w:szCs w:val="1"/>
                <w:color w:val="auto"/>
              </w:rPr>
            </w:pPr>
          </w:p>
        </w:tc>
      </w:tr>
      <w:tr>
        <w:trPr>
          <w:trHeight w:val="144"/>
        </w:trPr>
        <w:tc>
          <w:tcPr>
            <w:tcW w:w="3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20"/>
                <w:szCs w:val="20"/>
                <w:color w:val="auto"/>
              </w:rPr>
            </w:pPr>
            <w:r>
              <w:rPr>
                <w:rFonts w:ascii="Arial" w:cs="Arial" w:eastAsia="Arial" w:hAnsi="Arial"/>
                <w:sz w:val="12"/>
                <w:szCs w:val="12"/>
                <w:color w:val="auto"/>
              </w:rPr>
              <w:t>Float rate</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2"/>
                <w:szCs w:val="12"/>
                <w:color w:val="auto"/>
              </w:rPr>
              <w:t>1.36%</w:t>
            </w:r>
          </w:p>
        </w:tc>
        <w:tc>
          <w:tcPr>
            <w:tcW w:w="120" w:type="dxa"/>
            <w:vAlign w:val="bottom"/>
          </w:tcPr>
          <w:p>
            <w:pPr>
              <w:spacing w:after="0"/>
              <w:rPr>
                <w:sz w:val="12"/>
                <w:szCs w:val="12"/>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2"/>
                <w:szCs w:val="12"/>
                <w:color w:val="auto"/>
              </w:rPr>
              <w:t>1.36%</w:t>
            </w:r>
          </w:p>
        </w:tc>
        <w:tc>
          <w:tcPr>
            <w:tcW w:w="0" w:type="dxa"/>
            <w:vAlign w:val="bottom"/>
          </w:tcPr>
          <w:p>
            <w:pPr>
              <w:spacing w:after="0"/>
              <w:rPr>
                <w:sz w:val="1"/>
                <w:szCs w:val="1"/>
                <w:color w:val="auto"/>
              </w:rPr>
            </w:pPr>
          </w:p>
        </w:tc>
      </w:tr>
      <w:tr>
        <w:trPr>
          <w:trHeight w:val="144"/>
        </w:trPr>
        <w:tc>
          <w:tcPr>
            <w:tcW w:w="3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2"/>
                <w:szCs w:val="12"/>
                <w:color w:val="auto"/>
              </w:rPr>
              <w:t>Prepayment rate</w:t>
            </w: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7.02% to 44.21%</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13.92%</w:t>
            </w:r>
          </w:p>
        </w:tc>
        <w:tc>
          <w:tcPr>
            <w:tcW w:w="0" w:type="dxa"/>
            <w:vAlign w:val="bottom"/>
          </w:tcPr>
          <w:p>
            <w:pPr>
              <w:spacing w:after="0"/>
              <w:rPr>
                <w:sz w:val="1"/>
                <w:szCs w:val="1"/>
                <w:color w:val="auto"/>
              </w:rPr>
            </w:pPr>
          </w:p>
        </w:tc>
      </w:tr>
      <w:tr>
        <w:trPr>
          <w:trHeight w:val="144"/>
        </w:trPr>
        <w:tc>
          <w:tcPr>
            <w:tcW w:w="3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40" w:type="dxa"/>
            <w:vAlign w:val="bottom"/>
            <w:shd w:val="clear" w:color="auto" w:fill="CCEEFF"/>
          </w:tcPr>
          <w:p>
            <w:pPr>
              <w:jc w:val="right"/>
              <w:ind w:right="3440"/>
              <w:spacing w:after="0"/>
              <w:rPr>
                <w:sz w:val="20"/>
                <w:szCs w:val="20"/>
                <w:color w:val="auto"/>
              </w:rPr>
            </w:pPr>
            <w:r>
              <w:rPr>
                <w:rFonts w:ascii="Arial" w:cs="Arial" w:eastAsia="Arial" w:hAnsi="Arial"/>
                <w:sz w:val="12"/>
                <w:szCs w:val="12"/>
                <w:color w:val="auto"/>
                <w:w w:val="82"/>
              </w:rPr>
              <w:t>2020</w:t>
            </w: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40" w:type="dxa"/>
            <w:vAlign w:val="bottom"/>
          </w:tcPr>
          <w:p>
            <w:pPr>
              <w:jc w:val="right"/>
              <w:ind w:right="1560"/>
              <w:spacing w:after="0"/>
              <w:rPr>
                <w:sz w:val="20"/>
                <w:szCs w:val="20"/>
                <w:color w:val="auto"/>
              </w:rPr>
            </w:pPr>
            <w:r>
              <w:rPr>
                <w:rFonts w:ascii="Arial" w:cs="Arial" w:eastAsia="Arial" w:hAnsi="Arial"/>
                <w:sz w:val="12"/>
                <w:szCs w:val="12"/>
                <w:color w:val="auto"/>
                <w:w w:val="94"/>
              </w:rPr>
              <w:t>Capitalized mortgage loan servicing rights</w:t>
            </w: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16,904</w:t>
            </w:r>
          </w:p>
        </w:tc>
        <w:tc>
          <w:tcPr>
            <w:tcW w:w="1640" w:type="dxa"/>
            <w:vAlign w:val="bottom"/>
          </w:tcPr>
          <w:p>
            <w:pPr>
              <w:spacing w:after="0"/>
              <w:rPr>
                <w:sz w:val="20"/>
                <w:szCs w:val="20"/>
                <w:color w:val="auto"/>
              </w:rPr>
            </w:pPr>
            <w:r>
              <w:rPr>
                <w:rFonts w:ascii="Arial" w:cs="Arial" w:eastAsia="Arial" w:hAnsi="Arial"/>
                <w:sz w:val="12"/>
                <w:szCs w:val="12"/>
                <w:color w:val="auto"/>
              </w:rPr>
              <w:t>Present value of net</w:t>
            </w:r>
          </w:p>
        </w:tc>
        <w:tc>
          <w:tcPr>
            <w:tcW w:w="100" w:type="dxa"/>
            <w:vAlign w:val="bottom"/>
          </w:tcPr>
          <w:p>
            <w:pPr>
              <w:spacing w:after="0"/>
              <w:rPr>
                <w:sz w:val="12"/>
                <w:szCs w:val="12"/>
                <w:color w:val="auto"/>
              </w:rPr>
            </w:pPr>
          </w:p>
        </w:tc>
        <w:tc>
          <w:tcPr>
            <w:tcW w:w="1460" w:type="dxa"/>
            <w:vAlign w:val="bottom"/>
          </w:tcPr>
          <w:p>
            <w:pPr>
              <w:spacing w:after="0"/>
              <w:rPr>
                <w:sz w:val="20"/>
                <w:szCs w:val="20"/>
                <w:color w:val="auto"/>
              </w:rPr>
            </w:pPr>
            <w:r>
              <w:rPr>
                <w:rFonts w:ascii="Arial" w:cs="Arial" w:eastAsia="Arial" w:hAnsi="Arial"/>
                <w:sz w:val="12"/>
                <w:szCs w:val="12"/>
                <w:color w:val="auto"/>
              </w:rPr>
              <w:t>Discount rate</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2"/>
                <w:szCs w:val="12"/>
                <w:color w:val="auto"/>
              </w:rPr>
              <w:t>10.00% to 13.00%</w:t>
            </w:r>
          </w:p>
        </w:tc>
        <w:tc>
          <w:tcPr>
            <w:tcW w:w="120" w:type="dxa"/>
            <w:vAlign w:val="bottom"/>
          </w:tcPr>
          <w:p>
            <w:pPr>
              <w:spacing w:after="0"/>
              <w:rPr>
                <w:sz w:val="12"/>
                <w:szCs w:val="12"/>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2"/>
                <w:szCs w:val="12"/>
                <w:color w:val="auto"/>
              </w:rPr>
              <w:t>10.09%</w:t>
            </w:r>
          </w:p>
        </w:tc>
        <w:tc>
          <w:tcPr>
            <w:tcW w:w="0" w:type="dxa"/>
            <w:vAlign w:val="bottom"/>
          </w:tcPr>
          <w:p>
            <w:pPr>
              <w:spacing w:after="0"/>
              <w:rPr>
                <w:sz w:val="1"/>
                <w:szCs w:val="1"/>
                <w:color w:val="auto"/>
              </w:rPr>
            </w:pPr>
          </w:p>
        </w:tc>
      </w:tr>
      <w:tr>
        <w:trPr>
          <w:trHeight w:val="144"/>
        </w:trPr>
        <w:tc>
          <w:tcPr>
            <w:tcW w:w="3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2"/>
                <w:szCs w:val="12"/>
                <w:color w:val="auto"/>
              </w:rPr>
              <w:t>servicing revenue</w:t>
            </w: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2"/>
                <w:szCs w:val="12"/>
                <w:color w:val="auto"/>
              </w:rPr>
              <w:t>Cost to service</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69 to $289</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79</w:t>
            </w:r>
          </w:p>
        </w:tc>
        <w:tc>
          <w:tcPr>
            <w:tcW w:w="0" w:type="dxa"/>
            <w:vAlign w:val="bottom"/>
          </w:tcPr>
          <w:p>
            <w:pPr>
              <w:spacing w:after="0"/>
              <w:rPr>
                <w:sz w:val="1"/>
                <w:szCs w:val="1"/>
                <w:color w:val="auto"/>
              </w:rPr>
            </w:pPr>
          </w:p>
        </w:tc>
      </w:tr>
      <w:tr>
        <w:trPr>
          <w:trHeight w:val="144"/>
        </w:trPr>
        <w:tc>
          <w:tcPr>
            <w:tcW w:w="3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20"/>
                <w:szCs w:val="20"/>
                <w:color w:val="auto"/>
              </w:rPr>
            </w:pPr>
            <w:r>
              <w:rPr>
                <w:rFonts w:ascii="Arial" w:cs="Arial" w:eastAsia="Arial" w:hAnsi="Arial"/>
                <w:sz w:val="12"/>
                <w:szCs w:val="12"/>
                <w:color w:val="auto"/>
              </w:rPr>
              <w:t>Ancillary income</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2"/>
                <w:szCs w:val="12"/>
                <w:color w:val="auto"/>
              </w:rPr>
              <w:t>20 to 37</w:t>
            </w:r>
          </w:p>
        </w:tc>
        <w:tc>
          <w:tcPr>
            <w:tcW w:w="12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22</w:t>
            </w:r>
          </w:p>
        </w:tc>
        <w:tc>
          <w:tcPr>
            <w:tcW w:w="0" w:type="dxa"/>
            <w:vAlign w:val="bottom"/>
          </w:tcPr>
          <w:p>
            <w:pPr>
              <w:spacing w:after="0"/>
              <w:rPr>
                <w:sz w:val="1"/>
                <w:szCs w:val="1"/>
                <w:color w:val="auto"/>
              </w:rPr>
            </w:pPr>
          </w:p>
        </w:tc>
      </w:tr>
      <w:tr>
        <w:trPr>
          <w:trHeight w:val="144"/>
        </w:trPr>
        <w:tc>
          <w:tcPr>
            <w:tcW w:w="3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2"/>
                <w:szCs w:val="12"/>
                <w:color w:val="auto"/>
              </w:rPr>
              <w:t>Float rate</w:t>
            </w: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0.43%</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0.43%</w:t>
            </w:r>
          </w:p>
        </w:tc>
        <w:tc>
          <w:tcPr>
            <w:tcW w:w="0" w:type="dxa"/>
            <w:vAlign w:val="bottom"/>
          </w:tcPr>
          <w:p>
            <w:pPr>
              <w:spacing w:after="0"/>
              <w:rPr>
                <w:sz w:val="1"/>
                <w:szCs w:val="1"/>
                <w:color w:val="auto"/>
              </w:rPr>
            </w:pPr>
          </w:p>
        </w:tc>
      </w:tr>
      <w:tr>
        <w:trPr>
          <w:trHeight w:val="153"/>
        </w:trPr>
        <w:tc>
          <w:tcPr>
            <w:tcW w:w="3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20"/>
                <w:szCs w:val="20"/>
                <w:color w:val="auto"/>
              </w:rPr>
            </w:pPr>
            <w:r>
              <w:rPr>
                <w:rFonts w:ascii="Arial" w:cs="Arial" w:eastAsia="Arial" w:hAnsi="Arial"/>
                <w:sz w:val="12"/>
                <w:szCs w:val="12"/>
                <w:color w:val="auto"/>
              </w:rPr>
              <w:t>Prepayment rate</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2"/>
                <w:szCs w:val="12"/>
                <w:color w:val="auto"/>
              </w:rPr>
              <w:t>7.92% to 64.70%</w:t>
            </w:r>
          </w:p>
        </w:tc>
        <w:tc>
          <w:tcPr>
            <w:tcW w:w="12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2"/>
                <w:szCs w:val="12"/>
                <w:color w:val="auto"/>
              </w:rPr>
              <w:t>20.85%</w:t>
            </w:r>
          </w:p>
        </w:tc>
        <w:tc>
          <w:tcPr>
            <w:tcW w:w="0" w:type="dxa"/>
            <w:vAlign w:val="bottom"/>
          </w:tcPr>
          <w:p>
            <w:pPr>
              <w:spacing w:after="0"/>
              <w:rPr>
                <w:sz w:val="1"/>
                <w:szCs w:val="1"/>
                <w:color w:val="auto"/>
              </w:rPr>
            </w:pPr>
          </w:p>
        </w:tc>
      </w:tr>
      <w:tr>
        <w:trPr>
          <w:trHeight w:val="370"/>
        </w:trPr>
        <w:tc>
          <w:tcPr>
            <w:tcW w:w="3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ind w:left="440"/>
              <w:spacing w:after="0"/>
              <w:rPr>
                <w:sz w:val="20"/>
                <w:szCs w:val="20"/>
                <w:color w:val="auto"/>
              </w:rPr>
            </w:pPr>
            <w:r>
              <w:rPr>
                <w:rFonts w:ascii="Arial" w:cs="Arial" w:eastAsia="Arial" w:hAnsi="Arial"/>
                <w:sz w:val="10"/>
                <w:szCs w:val="10"/>
                <w:color w:val="auto"/>
              </w:rPr>
              <w:t>100</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3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27" w:right="299" w:bottom="1440" w:gutter="0" w:footer="0" w:header="0"/>
        </w:sectPr>
      </w:pPr>
    </w:p>
    <w:bookmarkStart w:id="120" w:name="page121"/>
    <w:bookmarkEnd w:id="120"/>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2660" w:type="dxa"/>
            <w:vAlign w:val="bottom"/>
          </w:tcPr>
          <w:p>
            <w:pPr>
              <w:spacing w:after="0"/>
              <w:rPr>
                <w:sz w:val="13"/>
                <w:szCs w:val="13"/>
                <w:color w:val="auto"/>
              </w:rPr>
            </w:pPr>
          </w:p>
        </w:tc>
        <w:tc>
          <w:tcPr>
            <w:tcW w:w="6060" w:type="dxa"/>
            <w:vAlign w:val="bottom"/>
            <w:gridSpan w:val="9"/>
          </w:tcPr>
          <w:p>
            <w:pPr>
              <w:ind w:left="1040"/>
              <w:spacing w:after="0"/>
              <w:rPr>
                <w:sz w:val="20"/>
                <w:szCs w:val="20"/>
                <w:color w:val="auto"/>
              </w:rPr>
            </w:pPr>
            <w:r>
              <w:rPr>
                <w:rFonts w:ascii="Arial" w:cs="Arial" w:eastAsia="Arial" w:hAnsi="Arial"/>
                <w:sz w:val="12"/>
                <w:szCs w:val="12"/>
                <w:b w:val="1"/>
                <w:bCs w:val="1"/>
                <w:color w:val="auto"/>
              </w:rPr>
              <w:t>NOTES TO CONSOLIDATED FINANCIAL STATEMENTS − (Continued)</w:t>
            </w: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5880" w:type="dxa"/>
            <w:vAlign w:val="bottom"/>
            <w:gridSpan w:val="6"/>
          </w:tcPr>
          <w:p>
            <w:pPr>
              <w:ind w:left="200"/>
              <w:spacing w:after="0"/>
              <w:rPr>
                <w:sz w:val="20"/>
                <w:szCs w:val="20"/>
                <w:color w:val="auto"/>
              </w:rPr>
            </w:pPr>
            <w:r>
              <w:rPr>
                <w:rFonts w:ascii="Arial" w:cs="Arial" w:eastAsia="Arial" w:hAnsi="Arial"/>
                <w:sz w:val="12"/>
                <w:szCs w:val="12"/>
                <w:color w:val="auto"/>
                <w:w w:val="99"/>
              </w:rPr>
              <w:t>Quantitative information about Level 3 fair value measurements measured on a non-recurring basis follows:</w:t>
            </w:r>
          </w:p>
        </w:tc>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266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85"/>
              </w:rPr>
              <w:t>Asset</w:t>
            </w:r>
          </w:p>
        </w:tc>
        <w:tc>
          <w:tcPr>
            <w:tcW w:w="1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26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9"/>
              </w:rPr>
              <w:t>Fair</w:t>
            </w:r>
          </w:p>
        </w:tc>
        <w:tc>
          <w:tcPr>
            <w:tcW w:w="1120" w:type="dxa"/>
            <w:vAlign w:val="bottom"/>
          </w:tcPr>
          <w:p>
            <w:pPr>
              <w:ind w:left="320"/>
              <w:spacing w:after="0"/>
              <w:rPr>
                <w:sz w:val="20"/>
                <w:szCs w:val="20"/>
                <w:color w:val="auto"/>
              </w:rPr>
            </w:pPr>
            <w:r>
              <w:rPr>
                <w:rFonts w:ascii="Arial" w:cs="Arial" w:eastAsia="Arial" w:hAnsi="Arial"/>
                <w:sz w:val="12"/>
                <w:szCs w:val="12"/>
                <w:b w:val="1"/>
                <w:bCs w:val="1"/>
                <w:color w:val="auto"/>
              </w:rPr>
              <w:t>Valuation</w:t>
            </w:r>
          </w:p>
        </w:tc>
        <w:tc>
          <w:tcPr>
            <w:tcW w:w="220" w:type="dxa"/>
            <w:vAlign w:val="bottom"/>
          </w:tcPr>
          <w:p>
            <w:pPr>
              <w:spacing w:after="0"/>
              <w:rPr>
                <w:sz w:val="12"/>
                <w:szCs w:val="12"/>
                <w:color w:val="auto"/>
              </w:rPr>
            </w:pPr>
          </w:p>
        </w:tc>
        <w:tc>
          <w:tcPr>
            <w:tcW w:w="1500" w:type="dxa"/>
            <w:vAlign w:val="bottom"/>
            <w:gridSpan w:val="2"/>
          </w:tcPr>
          <w:p>
            <w:pPr>
              <w:ind w:left="280"/>
              <w:spacing w:after="0"/>
              <w:rPr>
                <w:sz w:val="20"/>
                <w:szCs w:val="20"/>
                <w:color w:val="auto"/>
              </w:rPr>
            </w:pPr>
            <w:r>
              <w:rPr>
                <w:rFonts w:ascii="Arial" w:cs="Arial" w:eastAsia="Arial" w:hAnsi="Arial"/>
                <w:sz w:val="12"/>
                <w:szCs w:val="12"/>
                <w:b w:val="1"/>
                <w:bCs w:val="1"/>
                <w:color w:val="auto"/>
              </w:rPr>
              <w:t>Unobservable</w:t>
            </w: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Weighted</w:t>
            </w:r>
          </w:p>
        </w:tc>
        <w:tc>
          <w:tcPr>
            <w:tcW w:w="0" w:type="dxa"/>
            <w:vAlign w:val="bottom"/>
          </w:tcPr>
          <w:p>
            <w:pPr>
              <w:spacing w:after="0"/>
              <w:rPr>
                <w:sz w:val="1"/>
                <w:szCs w:val="1"/>
                <w:color w:val="auto"/>
              </w:rPr>
            </w:pPr>
          </w:p>
        </w:tc>
      </w:tr>
      <w:tr>
        <w:trPr>
          <w:trHeight w:val="157"/>
        </w:trPr>
        <w:tc>
          <w:tcPr>
            <w:tcW w:w="26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87"/>
              </w:rPr>
              <w:t>Value</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rPr>
              <w:t>Technique</w:t>
            </w:r>
          </w:p>
        </w:tc>
        <w:tc>
          <w:tcPr>
            <w:tcW w:w="220" w:type="dxa"/>
            <w:vAlign w:val="bottom"/>
          </w:tcPr>
          <w:p>
            <w:pPr>
              <w:spacing w:after="0"/>
              <w:rPr>
                <w:sz w:val="13"/>
                <w:szCs w:val="13"/>
                <w:color w:val="auto"/>
              </w:rPr>
            </w:pPr>
          </w:p>
        </w:tc>
        <w:tc>
          <w:tcPr>
            <w:tcW w:w="1500" w:type="dxa"/>
            <w:vAlign w:val="bottom"/>
            <w:gridSpan w:val="2"/>
          </w:tcPr>
          <w:p>
            <w:pPr>
              <w:ind w:left="480"/>
              <w:spacing w:after="0"/>
              <w:rPr>
                <w:sz w:val="20"/>
                <w:szCs w:val="20"/>
                <w:color w:val="auto"/>
              </w:rPr>
            </w:pPr>
            <w:r>
              <w:rPr>
                <w:rFonts w:ascii="Arial" w:cs="Arial" w:eastAsia="Arial" w:hAnsi="Arial"/>
                <w:sz w:val="12"/>
                <w:szCs w:val="12"/>
                <w:b w:val="1"/>
                <w:bCs w:val="1"/>
                <w:color w:val="auto"/>
              </w:rPr>
              <w:t>Inputs</w:t>
            </w:r>
          </w:p>
        </w:tc>
        <w:tc>
          <w:tcPr>
            <w:tcW w:w="1340" w:type="dxa"/>
            <w:vAlign w:val="bottom"/>
            <w:gridSpan w:val="2"/>
          </w:tcPr>
          <w:p>
            <w:pPr>
              <w:jc w:val="right"/>
              <w:ind w:right="620"/>
              <w:spacing w:after="0"/>
              <w:rPr>
                <w:sz w:val="20"/>
                <w:szCs w:val="20"/>
                <w:color w:val="auto"/>
              </w:rPr>
            </w:pPr>
            <w:r>
              <w:rPr>
                <w:rFonts w:ascii="Arial" w:cs="Arial" w:eastAsia="Arial" w:hAnsi="Arial"/>
                <w:sz w:val="12"/>
                <w:szCs w:val="12"/>
                <w:b w:val="1"/>
                <w:bCs w:val="1"/>
                <w:color w:val="auto"/>
              </w:rPr>
              <w:t>Range</w:t>
            </w:r>
          </w:p>
        </w:tc>
        <w:tc>
          <w:tcPr>
            <w:tcW w:w="124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rPr>
              <w:t>Average</w:t>
            </w:r>
          </w:p>
        </w:tc>
        <w:tc>
          <w:tcPr>
            <w:tcW w:w="0" w:type="dxa"/>
            <w:vAlign w:val="bottom"/>
          </w:tcPr>
          <w:p>
            <w:pPr>
              <w:spacing w:after="0"/>
              <w:rPr>
                <w:sz w:val="1"/>
                <w:szCs w:val="1"/>
                <w:color w:val="auto"/>
              </w:rPr>
            </w:pPr>
          </w:p>
        </w:tc>
      </w:tr>
      <w:tr>
        <w:trPr>
          <w:trHeight w:val="155"/>
        </w:trPr>
        <w:tc>
          <w:tcPr>
            <w:tcW w:w="2660" w:type="dxa"/>
            <w:vAlign w:val="bottom"/>
            <w:vMerge w:val="restart"/>
          </w:tcPr>
          <w:p>
            <w:pPr>
              <w:spacing w:after="0"/>
              <w:rPr>
                <w:sz w:val="20"/>
                <w:szCs w:val="20"/>
                <w:color w:val="auto"/>
              </w:rPr>
            </w:pPr>
            <w:r>
              <w:rPr>
                <w:rFonts w:ascii="Arial" w:cs="Arial" w:eastAsia="Arial" w:hAnsi="Arial"/>
                <w:sz w:val="12"/>
                <w:szCs w:val="12"/>
                <w:color w:val="auto"/>
              </w:rPr>
              <w:t>2021</w:t>
            </w:r>
          </w:p>
        </w:tc>
        <w:tc>
          <w:tcPr>
            <w:tcW w:w="1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center"/>
              <w:ind w:right="40"/>
              <w:spacing w:after="0"/>
              <w:rPr>
                <w:sz w:val="20"/>
                <w:szCs w:val="20"/>
                <w:color w:val="auto"/>
              </w:rPr>
            </w:pPr>
            <w:r>
              <w:rPr>
                <w:rFonts w:ascii="Arial" w:cs="Arial" w:eastAsia="Arial" w:hAnsi="Arial"/>
                <w:sz w:val="12"/>
                <w:szCs w:val="12"/>
                <w:b w:val="1"/>
                <w:bCs w:val="1"/>
                <w:color w:val="auto"/>
                <w:w w:val="89"/>
              </w:rPr>
              <w:t>(In thousands)</w:t>
            </w:r>
          </w:p>
        </w:tc>
        <w:tc>
          <w:tcPr>
            <w:tcW w:w="22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660" w:type="dxa"/>
            <w:vAlign w:val="bottom"/>
            <w:vMerge w:val="continue"/>
          </w:tcPr>
          <w:p>
            <w:pPr>
              <w:spacing w:after="0"/>
              <w:rPr>
                <w:sz w:val="10"/>
                <w:szCs w:val="10"/>
                <w:color w:val="auto"/>
              </w:rPr>
            </w:pPr>
          </w:p>
        </w:tc>
        <w:tc>
          <w:tcPr>
            <w:tcW w:w="1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60" w:type="dxa"/>
            <w:vAlign w:val="bottom"/>
          </w:tcPr>
          <w:p>
            <w:pPr>
              <w:ind w:left="80"/>
              <w:spacing w:after="0"/>
              <w:rPr>
                <w:sz w:val="20"/>
                <w:szCs w:val="20"/>
                <w:color w:val="auto"/>
              </w:rPr>
            </w:pPr>
            <w:r>
              <w:rPr>
                <w:rFonts w:ascii="Arial" w:cs="Arial" w:eastAsia="Arial" w:hAnsi="Arial"/>
                <w:sz w:val="12"/>
                <w:szCs w:val="12"/>
                <w:color w:val="auto"/>
              </w:rPr>
              <w:t>Collateral dependent loans</w:t>
            </w:r>
          </w:p>
        </w:tc>
        <w:tc>
          <w:tcPr>
            <w:tcW w:w="1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660" w:type="dxa"/>
            <w:vAlign w:val="bottom"/>
            <w:shd w:val="clear" w:color="auto" w:fill="CCEEFF"/>
          </w:tcPr>
          <w:p>
            <w:pPr>
              <w:ind w:left="200"/>
              <w:spacing w:after="0"/>
              <w:rPr>
                <w:sz w:val="20"/>
                <w:szCs w:val="20"/>
                <w:color w:val="auto"/>
              </w:rPr>
            </w:pPr>
            <w:r>
              <w:rPr>
                <w:rFonts w:ascii="Arial" w:cs="Arial" w:eastAsia="Arial" w:hAnsi="Arial"/>
                <w:sz w:val="12"/>
                <w:szCs w:val="12"/>
                <w:color w:val="auto"/>
              </w:rPr>
              <w:t>Commercial</w:t>
            </w:r>
          </w:p>
        </w:tc>
        <w:tc>
          <w:tcPr>
            <w:tcW w:w="20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339</w:t>
            </w:r>
          </w:p>
        </w:tc>
        <w:tc>
          <w:tcPr>
            <w:tcW w:w="1120" w:type="dxa"/>
            <w:vAlign w:val="bottom"/>
            <w:shd w:val="clear" w:color="auto" w:fill="CCEEFF"/>
          </w:tcPr>
          <w:p>
            <w:pPr>
              <w:spacing w:after="0"/>
              <w:rPr>
                <w:sz w:val="20"/>
                <w:szCs w:val="20"/>
                <w:color w:val="auto"/>
              </w:rPr>
            </w:pPr>
            <w:r>
              <w:rPr>
                <w:rFonts w:ascii="Arial" w:cs="Arial" w:eastAsia="Arial" w:hAnsi="Arial"/>
                <w:sz w:val="12"/>
                <w:szCs w:val="12"/>
                <w:color w:val="auto"/>
              </w:rPr>
              <w:t>Sales comparison</w:t>
            </w:r>
          </w:p>
        </w:tc>
        <w:tc>
          <w:tcPr>
            <w:tcW w:w="22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Adjustment for differences</w:t>
            </w: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20"/>
                <w:szCs w:val="20"/>
                <w:color w:val="auto"/>
              </w:rPr>
            </w:pPr>
            <w:r>
              <w:rPr>
                <w:rFonts w:ascii="Arial" w:cs="Arial" w:eastAsia="Arial" w:hAnsi="Arial"/>
                <w:sz w:val="12"/>
                <w:szCs w:val="12"/>
                <w:color w:val="auto"/>
              </w:rPr>
              <w:t>approach</w:t>
            </w:r>
          </w:p>
        </w:tc>
        <w:tc>
          <w:tcPr>
            <w:tcW w:w="220" w:type="dxa"/>
            <w:vAlign w:val="bottom"/>
          </w:tcPr>
          <w:p>
            <w:pPr>
              <w:spacing w:after="0"/>
              <w:rPr>
                <w:sz w:val="12"/>
                <w:szCs w:val="12"/>
                <w:color w:val="auto"/>
              </w:rPr>
            </w:pPr>
          </w:p>
        </w:tc>
        <w:tc>
          <w:tcPr>
            <w:tcW w:w="1500" w:type="dxa"/>
            <w:vAlign w:val="bottom"/>
            <w:gridSpan w:val="2"/>
          </w:tcPr>
          <w:p>
            <w:pPr>
              <w:spacing w:after="0"/>
              <w:rPr>
                <w:sz w:val="20"/>
                <w:szCs w:val="20"/>
                <w:color w:val="auto"/>
              </w:rPr>
            </w:pPr>
            <w:r>
              <w:rPr>
                <w:rFonts w:ascii="Arial" w:cs="Arial" w:eastAsia="Arial" w:hAnsi="Arial"/>
                <w:sz w:val="12"/>
                <w:szCs w:val="12"/>
                <w:color w:val="auto"/>
              </w:rPr>
              <w:t>between comparable sales</w:t>
            </w:r>
          </w:p>
        </w:tc>
        <w:tc>
          <w:tcPr>
            <w:tcW w:w="1340" w:type="dxa"/>
            <w:vAlign w:val="bottom"/>
            <w:gridSpan w:val="2"/>
          </w:tcPr>
          <w:p>
            <w:pPr>
              <w:jc w:val="right"/>
              <w:ind w:right="120"/>
              <w:spacing w:after="0"/>
              <w:rPr>
                <w:sz w:val="20"/>
                <w:szCs w:val="20"/>
                <w:color w:val="auto"/>
              </w:rPr>
            </w:pPr>
            <w:r>
              <w:rPr>
                <w:rFonts w:ascii="Arial" w:cs="Arial" w:eastAsia="Arial" w:hAnsi="Arial"/>
                <w:sz w:val="12"/>
                <w:szCs w:val="12"/>
                <w:color w:val="auto"/>
              </w:rPr>
              <w:t>(12.5)% to 12.0%</w:t>
            </w:r>
          </w:p>
        </w:tc>
        <w:tc>
          <w:tcPr>
            <w:tcW w:w="1240" w:type="dxa"/>
            <w:vAlign w:val="bottom"/>
            <w:gridSpan w:val="2"/>
          </w:tcPr>
          <w:p>
            <w:pPr>
              <w:jc w:val="right"/>
              <w:ind w:right="20"/>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44"/>
        </w:trPr>
        <w:tc>
          <w:tcPr>
            <w:tcW w:w="2660" w:type="dxa"/>
            <w:vAlign w:val="bottom"/>
            <w:shd w:val="clear" w:color="auto" w:fill="CCEEFF"/>
          </w:tcPr>
          <w:p>
            <w:pPr>
              <w:ind w:left="200"/>
              <w:spacing w:after="0"/>
              <w:rPr>
                <w:sz w:val="20"/>
                <w:szCs w:val="20"/>
                <w:color w:val="auto"/>
              </w:rPr>
            </w:pPr>
            <w:r>
              <w:rPr>
                <w:rFonts w:ascii="Arial" w:cs="Arial" w:eastAsia="Arial" w:hAnsi="Arial"/>
                <w:sz w:val="12"/>
                <w:szCs w:val="12"/>
                <w:color w:val="auto"/>
              </w:rPr>
              <w:t>Mortgage and Installment (1)</w:t>
            </w:r>
          </w:p>
        </w:tc>
        <w:tc>
          <w:tcPr>
            <w:tcW w:w="1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1,017</w:t>
            </w:r>
          </w:p>
        </w:tc>
        <w:tc>
          <w:tcPr>
            <w:tcW w:w="1120" w:type="dxa"/>
            <w:vAlign w:val="bottom"/>
            <w:shd w:val="clear" w:color="auto" w:fill="CCEEFF"/>
          </w:tcPr>
          <w:p>
            <w:pPr>
              <w:spacing w:after="0"/>
              <w:rPr>
                <w:sz w:val="20"/>
                <w:szCs w:val="20"/>
                <w:color w:val="auto"/>
              </w:rPr>
            </w:pPr>
            <w:r>
              <w:rPr>
                <w:rFonts w:ascii="Arial" w:cs="Arial" w:eastAsia="Arial" w:hAnsi="Arial"/>
                <w:sz w:val="12"/>
                <w:szCs w:val="12"/>
                <w:color w:val="auto"/>
              </w:rPr>
              <w:t>Sales comparison</w:t>
            </w:r>
          </w:p>
        </w:tc>
        <w:tc>
          <w:tcPr>
            <w:tcW w:w="22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Adjustment for differences</w:t>
            </w: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20"/>
                <w:szCs w:val="20"/>
                <w:color w:val="auto"/>
              </w:rPr>
            </w:pPr>
            <w:r>
              <w:rPr>
                <w:rFonts w:ascii="Arial" w:cs="Arial" w:eastAsia="Arial" w:hAnsi="Arial"/>
                <w:sz w:val="12"/>
                <w:szCs w:val="12"/>
                <w:color w:val="auto"/>
              </w:rPr>
              <w:t>approach</w:t>
            </w:r>
          </w:p>
        </w:tc>
        <w:tc>
          <w:tcPr>
            <w:tcW w:w="220" w:type="dxa"/>
            <w:vAlign w:val="bottom"/>
          </w:tcPr>
          <w:p>
            <w:pPr>
              <w:spacing w:after="0"/>
              <w:rPr>
                <w:sz w:val="12"/>
                <w:szCs w:val="12"/>
                <w:color w:val="auto"/>
              </w:rPr>
            </w:pPr>
          </w:p>
        </w:tc>
        <w:tc>
          <w:tcPr>
            <w:tcW w:w="1500" w:type="dxa"/>
            <w:vAlign w:val="bottom"/>
            <w:gridSpan w:val="2"/>
          </w:tcPr>
          <w:p>
            <w:pPr>
              <w:spacing w:after="0"/>
              <w:rPr>
                <w:sz w:val="20"/>
                <w:szCs w:val="20"/>
                <w:color w:val="auto"/>
              </w:rPr>
            </w:pPr>
            <w:r>
              <w:rPr>
                <w:rFonts w:ascii="Arial" w:cs="Arial" w:eastAsia="Arial" w:hAnsi="Arial"/>
                <w:sz w:val="12"/>
                <w:szCs w:val="12"/>
                <w:color w:val="auto"/>
              </w:rPr>
              <w:t>between comparable sales</w:t>
            </w:r>
          </w:p>
        </w:tc>
        <w:tc>
          <w:tcPr>
            <w:tcW w:w="1340" w:type="dxa"/>
            <w:vAlign w:val="bottom"/>
            <w:gridSpan w:val="2"/>
          </w:tcPr>
          <w:p>
            <w:pPr>
              <w:jc w:val="right"/>
              <w:ind w:right="220"/>
              <w:spacing w:after="0"/>
              <w:rPr>
                <w:sz w:val="20"/>
                <w:szCs w:val="20"/>
                <w:color w:val="auto"/>
              </w:rPr>
            </w:pPr>
            <w:r>
              <w:rPr>
                <w:rFonts w:ascii="Arial" w:cs="Arial" w:eastAsia="Arial" w:hAnsi="Arial"/>
                <w:sz w:val="12"/>
                <w:szCs w:val="12"/>
                <w:color w:val="auto"/>
              </w:rPr>
              <w:t>(30.1) to 29.3</w:t>
            </w: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0.2</w:t>
            </w:r>
          </w:p>
        </w:tc>
        <w:tc>
          <w:tcPr>
            <w:tcW w:w="0" w:type="dxa"/>
            <w:vAlign w:val="bottom"/>
          </w:tcPr>
          <w:p>
            <w:pPr>
              <w:spacing w:after="0"/>
              <w:rPr>
                <w:sz w:val="1"/>
                <w:szCs w:val="1"/>
                <w:color w:val="auto"/>
              </w:rPr>
            </w:pPr>
          </w:p>
        </w:tc>
      </w:tr>
      <w:tr>
        <w:trPr>
          <w:trHeight w:val="144"/>
        </w:trPr>
        <w:tc>
          <w:tcPr>
            <w:tcW w:w="2660" w:type="dxa"/>
            <w:vAlign w:val="bottom"/>
            <w:shd w:val="clear" w:color="auto" w:fill="CCEEFF"/>
          </w:tcPr>
          <w:p>
            <w:pPr>
              <w:ind w:left="80"/>
              <w:spacing w:after="0"/>
              <w:rPr>
                <w:sz w:val="20"/>
                <w:szCs w:val="20"/>
                <w:color w:val="auto"/>
              </w:rPr>
            </w:pPr>
            <w:r>
              <w:rPr>
                <w:rFonts w:ascii="Arial" w:cs="Arial" w:eastAsia="Arial" w:hAnsi="Arial"/>
                <w:sz w:val="12"/>
                <w:szCs w:val="12"/>
                <w:color w:val="auto"/>
              </w:rPr>
              <w:t>Other real estate</w:t>
            </w:r>
          </w:p>
        </w:tc>
        <w:tc>
          <w:tcPr>
            <w:tcW w:w="1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60" w:type="dxa"/>
            <w:vAlign w:val="bottom"/>
            <w:shd w:val="clear" w:color="auto" w:fill="CCEEFF"/>
          </w:tcPr>
          <w:p>
            <w:pPr>
              <w:spacing w:after="0"/>
              <w:rPr>
                <w:sz w:val="20"/>
                <w:szCs w:val="20"/>
                <w:color w:val="auto"/>
              </w:rPr>
            </w:pPr>
            <w:r>
              <w:rPr>
                <w:rFonts w:ascii="Arial" w:cs="Arial" w:eastAsia="Arial" w:hAnsi="Arial"/>
                <w:sz w:val="12"/>
                <w:szCs w:val="12"/>
                <w:color w:val="auto"/>
              </w:rPr>
              <w:t>2020</w:t>
            </w:r>
          </w:p>
        </w:tc>
        <w:tc>
          <w:tcPr>
            <w:tcW w:w="1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60" w:type="dxa"/>
            <w:vAlign w:val="bottom"/>
          </w:tcPr>
          <w:p>
            <w:pPr>
              <w:ind w:left="80"/>
              <w:spacing w:after="0"/>
              <w:rPr>
                <w:sz w:val="20"/>
                <w:szCs w:val="20"/>
                <w:color w:val="auto"/>
              </w:rPr>
            </w:pPr>
            <w:r>
              <w:rPr>
                <w:rFonts w:ascii="Arial" w:cs="Arial" w:eastAsia="Arial" w:hAnsi="Arial"/>
                <w:sz w:val="12"/>
                <w:szCs w:val="12"/>
                <w:color w:val="auto"/>
              </w:rPr>
              <w:t>Impaired loans</w:t>
            </w:r>
          </w:p>
        </w:tc>
        <w:tc>
          <w:tcPr>
            <w:tcW w:w="1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60" w:type="dxa"/>
            <w:vAlign w:val="bottom"/>
            <w:shd w:val="clear" w:color="auto" w:fill="CCEEFF"/>
          </w:tcPr>
          <w:p>
            <w:pPr>
              <w:ind w:left="200"/>
              <w:spacing w:after="0"/>
              <w:rPr>
                <w:sz w:val="20"/>
                <w:szCs w:val="20"/>
                <w:color w:val="auto"/>
              </w:rPr>
            </w:pPr>
            <w:r>
              <w:rPr>
                <w:rFonts w:ascii="Arial" w:cs="Arial" w:eastAsia="Arial" w:hAnsi="Arial"/>
                <w:sz w:val="12"/>
                <w:szCs w:val="12"/>
                <w:color w:val="auto"/>
              </w:rPr>
              <w:t>Commercial</w:t>
            </w:r>
          </w:p>
        </w:tc>
        <w:tc>
          <w:tcPr>
            <w:tcW w:w="20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8,054</w:t>
            </w:r>
          </w:p>
        </w:tc>
        <w:tc>
          <w:tcPr>
            <w:tcW w:w="1120" w:type="dxa"/>
            <w:vAlign w:val="bottom"/>
            <w:shd w:val="clear" w:color="auto" w:fill="CCEEFF"/>
          </w:tcPr>
          <w:p>
            <w:pPr>
              <w:spacing w:after="0"/>
              <w:rPr>
                <w:sz w:val="20"/>
                <w:szCs w:val="20"/>
                <w:color w:val="auto"/>
              </w:rPr>
            </w:pPr>
            <w:r>
              <w:rPr>
                <w:rFonts w:ascii="Arial" w:cs="Arial" w:eastAsia="Arial" w:hAnsi="Arial"/>
                <w:sz w:val="12"/>
                <w:szCs w:val="12"/>
                <w:color w:val="auto"/>
              </w:rPr>
              <w:t>Sales comparison</w:t>
            </w:r>
          </w:p>
        </w:tc>
        <w:tc>
          <w:tcPr>
            <w:tcW w:w="22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Adjustment for differences</w:t>
            </w: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20"/>
                <w:szCs w:val="20"/>
                <w:color w:val="auto"/>
              </w:rPr>
            </w:pPr>
            <w:r>
              <w:rPr>
                <w:rFonts w:ascii="Arial" w:cs="Arial" w:eastAsia="Arial" w:hAnsi="Arial"/>
                <w:sz w:val="12"/>
                <w:szCs w:val="12"/>
                <w:color w:val="auto"/>
              </w:rPr>
              <w:t>approach</w:t>
            </w:r>
          </w:p>
        </w:tc>
        <w:tc>
          <w:tcPr>
            <w:tcW w:w="220" w:type="dxa"/>
            <w:vAlign w:val="bottom"/>
          </w:tcPr>
          <w:p>
            <w:pPr>
              <w:spacing w:after="0"/>
              <w:rPr>
                <w:sz w:val="12"/>
                <w:szCs w:val="12"/>
                <w:color w:val="auto"/>
              </w:rPr>
            </w:pPr>
          </w:p>
        </w:tc>
        <w:tc>
          <w:tcPr>
            <w:tcW w:w="1500" w:type="dxa"/>
            <w:vAlign w:val="bottom"/>
            <w:gridSpan w:val="2"/>
          </w:tcPr>
          <w:p>
            <w:pPr>
              <w:spacing w:after="0"/>
              <w:rPr>
                <w:sz w:val="20"/>
                <w:szCs w:val="20"/>
                <w:color w:val="auto"/>
              </w:rPr>
            </w:pPr>
            <w:r>
              <w:rPr>
                <w:rFonts w:ascii="Arial" w:cs="Arial" w:eastAsia="Arial" w:hAnsi="Arial"/>
                <w:sz w:val="12"/>
                <w:szCs w:val="12"/>
                <w:color w:val="auto"/>
              </w:rPr>
              <w:t>between comparable sales</w:t>
            </w:r>
          </w:p>
        </w:tc>
        <w:tc>
          <w:tcPr>
            <w:tcW w:w="1340" w:type="dxa"/>
            <w:vAlign w:val="bottom"/>
            <w:gridSpan w:val="2"/>
          </w:tcPr>
          <w:p>
            <w:pPr>
              <w:jc w:val="right"/>
              <w:ind w:right="120"/>
              <w:spacing w:after="0"/>
              <w:rPr>
                <w:sz w:val="20"/>
                <w:szCs w:val="20"/>
                <w:color w:val="auto"/>
              </w:rPr>
            </w:pPr>
            <w:r>
              <w:rPr>
                <w:rFonts w:ascii="Arial" w:cs="Arial" w:eastAsia="Arial" w:hAnsi="Arial"/>
                <w:sz w:val="12"/>
                <w:szCs w:val="12"/>
                <w:color w:val="auto"/>
              </w:rPr>
              <w:t>(40.0)% to 75.0%</w:t>
            </w:r>
          </w:p>
        </w:tc>
        <w:tc>
          <w:tcPr>
            <w:tcW w:w="1240" w:type="dxa"/>
            <w:vAlign w:val="bottom"/>
            <w:gridSpan w:val="2"/>
          </w:tcPr>
          <w:p>
            <w:pPr>
              <w:jc w:val="right"/>
              <w:ind w:right="20"/>
              <w:spacing w:after="0"/>
              <w:rPr>
                <w:sz w:val="20"/>
                <w:szCs w:val="20"/>
                <w:color w:val="auto"/>
              </w:rPr>
            </w:pPr>
            <w:r>
              <w:rPr>
                <w:rFonts w:ascii="Arial" w:cs="Arial" w:eastAsia="Arial" w:hAnsi="Arial"/>
                <w:sz w:val="12"/>
                <w:szCs w:val="12"/>
                <w:color w:val="auto"/>
              </w:rPr>
              <w:t>3.8%</w:t>
            </w:r>
          </w:p>
        </w:tc>
        <w:tc>
          <w:tcPr>
            <w:tcW w:w="0" w:type="dxa"/>
            <w:vAlign w:val="bottom"/>
          </w:tcPr>
          <w:p>
            <w:pPr>
              <w:spacing w:after="0"/>
              <w:rPr>
                <w:sz w:val="1"/>
                <w:szCs w:val="1"/>
                <w:color w:val="auto"/>
              </w:rPr>
            </w:pPr>
          </w:p>
        </w:tc>
      </w:tr>
      <w:tr>
        <w:trPr>
          <w:trHeight w:val="144"/>
        </w:trPr>
        <w:tc>
          <w:tcPr>
            <w:tcW w:w="2660" w:type="dxa"/>
            <w:vAlign w:val="bottom"/>
            <w:shd w:val="clear" w:color="auto" w:fill="CCEEFF"/>
          </w:tcPr>
          <w:p>
            <w:pPr>
              <w:ind w:left="200"/>
              <w:spacing w:after="0"/>
              <w:rPr>
                <w:sz w:val="20"/>
                <w:szCs w:val="20"/>
                <w:color w:val="auto"/>
              </w:rPr>
            </w:pPr>
            <w:r>
              <w:rPr>
                <w:rFonts w:ascii="Arial" w:cs="Arial" w:eastAsia="Arial" w:hAnsi="Arial"/>
                <w:sz w:val="12"/>
                <w:szCs w:val="12"/>
                <w:color w:val="auto"/>
              </w:rPr>
              <w:t>Mortgage and Installment (1)</w:t>
            </w:r>
          </w:p>
        </w:tc>
        <w:tc>
          <w:tcPr>
            <w:tcW w:w="1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1,020</w:t>
            </w:r>
          </w:p>
        </w:tc>
        <w:tc>
          <w:tcPr>
            <w:tcW w:w="1120" w:type="dxa"/>
            <w:vAlign w:val="bottom"/>
            <w:shd w:val="clear" w:color="auto" w:fill="CCEEFF"/>
          </w:tcPr>
          <w:p>
            <w:pPr>
              <w:spacing w:after="0"/>
              <w:rPr>
                <w:sz w:val="20"/>
                <w:szCs w:val="20"/>
                <w:color w:val="auto"/>
              </w:rPr>
            </w:pPr>
            <w:r>
              <w:rPr>
                <w:rFonts w:ascii="Arial" w:cs="Arial" w:eastAsia="Arial" w:hAnsi="Arial"/>
                <w:sz w:val="12"/>
                <w:szCs w:val="12"/>
                <w:color w:val="auto"/>
              </w:rPr>
              <w:t>Sales comparison</w:t>
            </w:r>
          </w:p>
        </w:tc>
        <w:tc>
          <w:tcPr>
            <w:tcW w:w="22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Adjustment for differences</w:t>
            </w: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20"/>
                <w:szCs w:val="20"/>
                <w:color w:val="auto"/>
              </w:rPr>
            </w:pPr>
            <w:r>
              <w:rPr>
                <w:rFonts w:ascii="Arial" w:cs="Arial" w:eastAsia="Arial" w:hAnsi="Arial"/>
                <w:sz w:val="12"/>
                <w:szCs w:val="12"/>
                <w:color w:val="auto"/>
              </w:rPr>
              <w:t>approach</w:t>
            </w:r>
          </w:p>
        </w:tc>
        <w:tc>
          <w:tcPr>
            <w:tcW w:w="220" w:type="dxa"/>
            <w:vAlign w:val="bottom"/>
          </w:tcPr>
          <w:p>
            <w:pPr>
              <w:spacing w:after="0"/>
              <w:rPr>
                <w:sz w:val="12"/>
                <w:szCs w:val="12"/>
                <w:color w:val="auto"/>
              </w:rPr>
            </w:pPr>
          </w:p>
        </w:tc>
        <w:tc>
          <w:tcPr>
            <w:tcW w:w="1500" w:type="dxa"/>
            <w:vAlign w:val="bottom"/>
            <w:gridSpan w:val="2"/>
          </w:tcPr>
          <w:p>
            <w:pPr>
              <w:spacing w:after="0"/>
              <w:rPr>
                <w:sz w:val="20"/>
                <w:szCs w:val="20"/>
                <w:color w:val="auto"/>
              </w:rPr>
            </w:pPr>
            <w:r>
              <w:rPr>
                <w:rFonts w:ascii="Arial" w:cs="Arial" w:eastAsia="Arial" w:hAnsi="Arial"/>
                <w:sz w:val="12"/>
                <w:szCs w:val="12"/>
                <w:color w:val="auto"/>
              </w:rPr>
              <w:t>between comparable sales</w:t>
            </w:r>
          </w:p>
        </w:tc>
        <w:tc>
          <w:tcPr>
            <w:tcW w:w="1340" w:type="dxa"/>
            <w:vAlign w:val="bottom"/>
            <w:gridSpan w:val="2"/>
          </w:tcPr>
          <w:p>
            <w:pPr>
              <w:jc w:val="right"/>
              <w:ind w:right="220"/>
              <w:spacing w:after="0"/>
              <w:rPr>
                <w:sz w:val="20"/>
                <w:szCs w:val="20"/>
                <w:color w:val="auto"/>
              </w:rPr>
            </w:pPr>
            <w:r>
              <w:rPr>
                <w:rFonts w:ascii="Arial" w:cs="Arial" w:eastAsia="Arial" w:hAnsi="Arial"/>
                <w:sz w:val="12"/>
                <w:szCs w:val="12"/>
                <w:color w:val="auto"/>
              </w:rPr>
              <w:t>(73.3) to 104.6</w:t>
            </w: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44"/>
        </w:trPr>
        <w:tc>
          <w:tcPr>
            <w:tcW w:w="2660" w:type="dxa"/>
            <w:vAlign w:val="bottom"/>
            <w:shd w:val="clear" w:color="auto" w:fill="CCEEFF"/>
          </w:tcPr>
          <w:p>
            <w:pPr>
              <w:ind w:left="80"/>
              <w:spacing w:after="0"/>
              <w:rPr>
                <w:sz w:val="20"/>
                <w:szCs w:val="20"/>
                <w:color w:val="auto"/>
              </w:rPr>
            </w:pPr>
            <w:r>
              <w:rPr>
                <w:rFonts w:ascii="Arial" w:cs="Arial" w:eastAsia="Arial" w:hAnsi="Arial"/>
                <w:sz w:val="12"/>
                <w:szCs w:val="12"/>
                <w:color w:val="auto"/>
              </w:rPr>
              <w:t>Other real estate</w:t>
            </w:r>
          </w:p>
        </w:tc>
        <w:tc>
          <w:tcPr>
            <w:tcW w:w="1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60" w:type="dxa"/>
            <w:vAlign w:val="bottom"/>
          </w:tcPr>
          <w:p>
            <w:pPr>
              <w:ind w:left="200"/>
              <w:spacing w:after="0"/>
              <w:rPr>
                <w:sz w:val="20"/>
                <w:szCs w:val="20"/>
                <w:color w:val="auto"/>
              </w:rPr>
            </w:pPr>
            <w:r>
              <w:rPr>
                <w:rFonts w:ascii="Arial" w:cs="Arial" w:eastAsia="Arial" w:hAnsi="Arial"/>
                <w:sz w:val="12"/>
                <w:szCs w:val="12"/>
                <w:color w:val="auto"/>
              </w:rPr>
              <w:t>Mortgage</w:t>
            </w:r>
          </w:p>
        </w:tc>
        <w:tc>
          <w:tcPr>
            <w:tcW w:w="1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102</w:t>
            </w:r>
          </w:p>
        </w:tc>
        <w:tc>
          <w:tcPr>
            <w:tcW w:w="1120" w:type="dxa"/>
            <w:vAlign w:val="bottom"/>
          </w:tcPr>
          <w:p>
            <w:pPr>
              <w:spacing w:after="0"/>
              <w:rPr>
                <w:sz w:val="20"/>
                <w:szCs w:val="20"/>
                <w:color w:val="auto"/>
              </w:rPr>
            </w:pPr>
            <w:r>
              <w:rPr>
                <w:rFonts w:ascii="Arial" w:cs="Arial" w:eastAsia="Arial" w:hAnsi="Arial"/>
                <w:sz w:val="12"/>
                <w:szCs w:val="12"/>
                <w:color w:val="auto"/>
              </w:rPr>
              <w:t>Sales comparison</w:t>
            </w:r>
          </w:p>
        </w:tc>
        <w:tc>
          <w:tcPr>
            <w:tcW w:w="220" w:type="dxa"/>
            <w:vAlign w:val="bottom"/>
          </w:tcPr>
          <w:p>
            <w:pPr>
              <w:spacing w:after="0"/>
              <w:rPr>
                <w:sz w:val="12"/>
                <w:szCs w:val="12"/>
                <w:color w:val="auto"/>
              </w:rPr>
            </w:pPr>
          </w:p>
        </w:tc>
        <w:tc>
          <w:tcPr>
            <w:tcW w:w="1500" w:type="dxa"/>
            <w:vAlign w:val="bottom"/>
            <w:gridSpan w:val="2"/>
          </w:tcPr>
          <w:p>
            <w:pPr>
              <w:spacing w:after="0"/>
              <w:rPr>
                <w:sz w:val="20"/>
                <w:szCs w:val="20"/>
                <w:color w:val="auto"/>
              </w:rPr>
            </w:pPr>
            <w:r>
              <w:rPr>
                <w:rFonts w:ascii="Arial" w:cs="Arial" w:eastAsia="Arial" w:hAnsi="Arial"/>
                <w:sz w:val="12"/>
                <w:szCs w:val="12"/>
                <w:color w:val="auto"/>
              </w:rPr>
              <w:t>Adjustment for differences</w:t>
            </w: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6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2"/>
                <w:szCs w:val="12"/>
                <w:color w:val="auto"/>
              </w:rPr>
              <w:t>approach</w:t>
            </w:r>
          </w:p>
        </w:tc>
        <w:tc>
          <w:tcPr>
            <w:tcW w:w="22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between comparable sales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(13.1) to 2.4</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(3.6)</w:t>
            </w:r>
          </w:p>
        </w:tc>
        <w:tc>
          <w:tcPr>
            <w:tcW w:w="0" w:type="dxa"/>
            <w:vAlign w:val="bottom"/>
          </w:tcPr>
          <w:p>
            <w:pPr>
              <w:spacing w:after="0"/>
              <w:rPr>
                <w:sz w:val="1"/>
                <w:szCs w:val="1"/>
                <w:color w:val="auto"/>
              </w:rPr>
            </w:pPr>
          </w:p>
        </w:tc>
      </w:tr>
      <w:tr>
        <w:trPr>
          <w:trHeight w:val="63"/>
        </w:trPr>
        <w:tc>
          <w:tcPr>
            <w:tcW w:w="2660" w:type="dxa"/>
            <w:vAlign w:val="bottom"/>
            <w:tcBorders>
              <w:bottom w:val="single" w:sz="8" w:color="54301A"/>
            </w:tcBorders>
          </w:tcPr>
          <w:p>
            <w:pPr>
              <w:spacing w:after="0"/>
              <w:rPr>
                <w:sz w:val="5"/>
                <w:szCs w:val="5"/>
                <w:color w:val="auto"/>
              </w:rPr>
            </w:pPr>
          </w:p>
        </w:tc>
        <w:tc>
          <w:tcPr>
            <w:tcW w:w="1840" w:type="dxa"/>
            <w:vAlign w:val="bottom"/>
            <w:tcBorders>
              <w:bottom w:val="single" w:sz="8" w:color="54301A"/>
            </w:tcBorders>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208" w:right="20" w:hanging="208"/>
        <w:spacing w:after="0" w:line="276" w:lineRule="auto"/>
        <w:tabs>
          <w:tab w:leader="none" w:pos="208" w:val="left"/>
        </w:tabs>
        <w:numPr>
          <w:ilvl w:val="0"/>
          <w:numId w:val="39"/>
        </w:numPr>
        <w:rPr>
          <w:rFonts w:ascii="Arial" w:cs="Arial" w:eastAsia="Arial" w:hAnsi="Arial"/>
          <w:sz w:val="12"/>
          <w:szCs w:val="12"/>
          <w:color w:val="auto"/>
        </w:rPr>
      </w:pPr>
      <w:r>
        <w:rPr>
          <w:rFonts w:ascii="Arial" w:cs="Arial" w:eastAsia="Arial" w:hAnsi="Arial"/>
          <w:sz w:val="12"/>
          <w:szCs w:val="12"/>
          <w:color w:val="auto"/>
        </w:rPr>
        <w:t>In addition to the valuation techniques and unobservable inputs discussed above, at December 31, 2021 and 2020 certain collateral dependent installment loans totaling approximately $0.17 million and $0.16 million are secured by collateral other than real estate. For the majority of these loans, we apply internal discount rates to industry valuation guides.</w:t>
      </w:r>
    </w:p>
    <w:p>
      <w:pPr>
        <w:spacing w:after="0" w:line="115" w:lineRule="exact"/>
        <w:rPr>
          <w:sz w:val="20"/>
          <w:szCs w:val="20"/>
          <w:color w:val="auto"/>
        </w:rPr>
      </w:pPr>
    </w:p>
    <w:p>
      <w:pPr>
        <w:ind w:left="208"/>
        <w:spacing w:after="0"/>
        <w:rPr>
          <w:sz w:val="20"/>
          <w:szCs w:val="20"/>
          <w:color w:val="auto"/>
        </w:rPr>
      </w:pPr>
      <w:r>
        <w:rPr>
          <w:rFonts w:ascii="Arial" w:cs="Arial" w:eastAsia="Arial" w:hAnsi="Arial"/>
          <w:sz w:val="10"/>
          <w:szCs w:val="10"/>
          <w:color w:val="auto"/>
        </w:rPr>
        <w:t>The following table reflects the difference between the aggregate fair value and the aggregate remaining contractual principal balance outstanding for loans held for sale for which the fair value option has been elected at December</w:t>
      </w:r>
    </w:p>
    <w:p>
      <w:pPr>
        <w:spacing w:after="0" w:line="38" w:lineRule="exact"/>
        <w:rPr>
          <w:sz w:val="20"/>
          <w:szCs w:val="20"/>
          <w:color w:val="auto"/>
        </w:rPr>
      </w:pPr>
    </w:p>
    <w:p>
      <w:pPr>
        <w:ind w:left="8"/>
        <w:spacing w:after="0"/>
        <w:rPr>
          <w:sz w:val="20"/>
          <w:szCs w:val="20"/>
          <w:color w:val="auto"/>
        </w:rPr>
      </w:pPr>
      <w:r>
        <w:rPr>
          <w:rFonts w:ascii="Arial" w:cs="Arial" w:eastAsia="Arial" w:hAnsi="Arial"/>
          <w:sz w:val="12"/>
          <w:szCs w:val="12"/>
          <w:color w:val="auto"/>
        </w:rPr>
        <w:t>31:</w:t>
      </w:r>
    </w:p>
    <w:p>
      <w:pPr>
        <w:spacing w:after="0" w:line="137"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7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2"/>
                <w:szCs w:val="12"/>
                <w:b w:val="1"/>
                <w:bCs w:val="1"/>
                <w:color w:val="auto"/>
              </w:rPr>
              <w:t>Aggregate</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Contractual</w:t>
            </w:r>
          </w:p>
        </w:tc>
        <w:tc>
          <w:tcPr>
            <w:tcW w:w="0" w:type="dxa"/>
            <w:vAlign w:val="bottom"/>
          </w:tcPr>
          <w:p>
            <w:pPr>
              <w:spacing w:after="0"/>
              <w:rPr>
                <w:sz w:val="1"/>
                <w:szCs w:val="1"/>
                <w:color w:val="auto"/>
              </w:rPr>
            </w:pPr>
          </w:p>
        </w:tc>
      </w:tr>
      <w:tr>
        <w:trPr>
          <w:trHeight w:val="157"/>
        </w:trPr>
        <w:tc>
          <w:tcPr>
            <w:tcW w:w="7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2"/>
                <w:szCs w:val="12"/>
                <w:b w:val="1"/>
                <w:bCs w:val="1"/>
                <w:color w:val="auto"/>
              </w:rPr>
              <w:t>Fair Value</w:t>
            </w:r>
          </w:p>
        </w:tc>
        <w:tc>
          <w:tcPr>
            <w:tcW w:w="120" w:type="dxa"/>
            <w:vAlign w:val="bottom"/>
          </w:tcPr>
          <w:p>
            <w:pPr>
              <w:spacing w:after="0"/>
              <w:rPr>
                <w:sz w:val="13"/>
                <w:szCs w:val="13"/>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Difference</w:t>
            </w:r>
          </w:p>
        </w:tc>
        <w:tc>
          <w:tcPr>
            <w:tcW w:w="160" w:type="dxa"/>
            <w:vAlign w:val="bottom"/>
          </w:tcPr>
          <w:p>
            <w:pPr>
              <w:spacing w:after="0"/>
              <w:rPr>
                <w:sz w:val="13"/>
                <w:szCs w:val="13"/>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Principal</w:t>
            </w:r>
          </w:p>
        </w:tc>
        <w:tc>
          <w:tcPr>
            <w:tcW w:w="0" w:type="dxa"/>
            <w:vAlign w:val="bottom"/>
          </w:tcPr>
          <w:p>
            <w:pPr>
              <w:spacing w:after="0"/>
              <w:rPr>
                <w:sz w:val="1"/>
                <w:szCs w:val="1"/>
                <w:color w:val="auto"/>
              </w:rPr>
            </w:pPr>
          </w:p>
        </w:tc>
      </w:tr>
      <w:tr>
        <w:trPr>
          <w:trHeight w:val="155"/>
        </w:trPr>
        <w:tc>
          <w:tcPr>
            <w:tcW w:w="7340" w:type="dxa"/>
            <w:vAlign w:val="bottom"/>
            <w:vMerge w:val="restart"/>
          </w:tcPr>
          <w:p>
            <w:pPr>
              <w:spacing w:after="0"/>
              <w:rPr>
                <w:sz w:val="20"/>
                <w:szCs w:val="20"/>
                <w:color w:val="auto"/>
              </w:rPr>
            </w:pPr>
            <w:r>
              <w:rPr>
                <w:rFonts w:ascii="Arial" w:cs="Arial" w:eastAsia="Arial" w:hAnsi="Arial"/>
                <w:sz w:val="12"/>
                <w:szCs w:val="12"/>
                <w:color w:val="auto"/>
              </w:rPr>
              <w:t>Loans held for sale</w:t>
            </w: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140"/>
              <w:spacing w:after="0"/>
              <w:rPr>
                <w:sz w:val="20"/>
                <w:szCs w:val="20"/>
                <w:color w:val="auto"/>
              </w:rPr>
            </w:pPr>
            <w:r>
              <w:rPr>
                <w:rFonts w:ascii="Arial" w:cs="Arial" w:eastAsia="Arial" w:hAnsi="Arial"/>
                <w:sz w:val="12"/>
                <w:szCs w:val="12"/>
                <w:b w:val="1"/>
                <w:bCs w:val="1"/>
                <w:color w:val="auto"/>
                <w:w w:val="94"/>
              </w:rPr>
              <w:t>(In thousands)</w:t>
            </w:r>
          </w:p>
        </w:tc>
        <w:tc>
          <w:tcPr>
            <w:tcW w:w="2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73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340" w:type="dxa"/>
            <w:vAlign w:val="bottom"/>
            <w:shd w:val="clear" w:color="auto" w:fill="CCEEFF"/>
          </w:tcPr>
          <w:p>
            <w:pPr>
              <w:spacing w:after="0"/>
              <w:rPr>
                <w:sz w:val="20"/>
                <w:szCs w:val="20"/>
                <w:color w:val="auto"/>
              </w:rPr>
            </w:pPr>
            <w:r>
              <w:rPr>
                <w:rFonts w:ascii="Arial" w:cs="Arial" w:eastAsia="Arial" w:hAnsi="Arial"/>
                <w:sz w:val="12"/>
                <w:szCs w:val="12"/>
                <w:color w:val="auto"/>
              </w:rPr>
              <w:t>2021</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55,470</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1,051</w:t>
            </w: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54,419</w:t>
            </w:r>
          </w:p>
        </w:tc>
        <w:tc>
          <w:tcPr>
            <w:tcW w:w="0" w:type="dxa"/>
            <w:vAlign w:val="bottom"/>
          </w:tcPr>
          <w:p>
            <w:pPr>
              <w:spacing w:after="0"/>
              <w:rPr>
                <w:sz w:val="1"/>
                <w:szCs w:val="1"/>
                <w:color w:val="auto"/>
              </w:rPr>
            </w:pPr>
          </w:p>
        </w:tc>
      </w:tr>
      <w:tr>
        <w:trPr>
          <w:trHeight w:val="144"/>
        </w:trPr>
        <w:tc>
          <w:tcPr>
            <w:tcW w:w="7340" w:type="dxa"/>
            <w:vAlign w:val="bottom"/>
          </w:tcPr>
          <w:p>
            <w:pPr>
              <w:spacing w:after="0"/>
              <w:rPr>
                <w:sz w:val="20"/>
                <w:szCs w:val="20"/>
                <w:color w:val="auto"/>
              </w:rPr>
            </w:pPr>
            <w:r>
              <w:rPr>
                <w:rFonts w:ascii="Arial" w:cs="Arial" w:eastAsia="Arial" w:hAnsi="Arial"/>
                <w:sz w:val="12"/>
                <w:szCs w:val="12"/>
                <w:color w:val="auto"/>
              </w:rPr>
              <w:t>2020</w:t>
            </w:r>
          </w:p>
        </w:tc>
        <w:tc>
          <w:tcPr>
            <w:tcW w:w="1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92,434</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3,856</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88,578</w:t>
            </w:r>
          </w:p>
        </w:tc>
        <w:tc>
          <w:tcPr>
            <w:tcW w:w="0" w:type="dxa"/>
            <w:vAlign w:val="bottom"/>
          </w:tcPr>
          <w:p>
            <w:pPr>
              <w:spacing w:after="0"/>
              <w:rPr>
                <w:sz w:val="1"/>
                <w:szCs w:val="1"/>
                <w:color w:val="auto"/>
              </w:rPr>
            </w:pPr>
          </w:p>
        </w:tc>
      </w:tr>
      <w:tr>
        <w:trPr>
          <w:trHeight w:val="144"/>
        </w:trPr>
        <w:tc>
          <w:tcPr>
            <w:tcW w:w="7340" w:type="dxa"/>
            <w:vAlign w:val="bottom"/>
            <w:shd w:val="clear" w:color="auto" w:fill="CCEEFF"/>
          </w:tcPr>
          <w:p>
            <w:pPr>
              <w:spacing w:after="0"/>
              <w:rPr>
                <w:sz w:val="20"/>
                <w:szCs w:val="20"/>
                <w:color w:val="auto"/>
              </w:rPr>
            </w:pPr>
            <w:r>
              <w:rPr>
                <w:rFonts w:ascii="Arial" w:cs="Arial" w:eastAsia="Arial" w:hAnsi="Arial"/>
                <w:sz w:val="12"/>
                <w:szCs w:val="12"/>
                <w:color w:val="auto"/>
              </w:rPr>
              <w:t>2019</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69,800</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1,894</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67,906</w:t>
            </w:r>
          </w:p>
        </w:tc>
        <w:tc>
          <w:tcPr>
            <w:tcW w:w="0" w:type="dxa"/>
            <w:vAlign w:val="bottom"/>
          </w:tcPr>
          <w:p>
            <w:pPr>
              <w:spacing w:after="0"/>
              <w:rPr>
                <w:sz w:val="1"/>
                <w:szCs w:val="1"/>
                <w:color w:val="auto"/>
              </w:rPr>
            </w:pPr>
          </w:p>
        </w:tc>
      </w:tr>
    </w:tbl>
    <w:p>
      <w:pPr>
        <w:spacing w:after="0" w:line="27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 22 – FAIR VALUES OF FINANCIAL INSTRUMENTS</w:t>
      </w:r>
    </w:p>
    <w:p>
      <w:pPr>
        <w:spacing w:after="0" w:line="154" w:lineRule="exact"/>
        <w:rPr>
          <w:sz w:val="20"/>
          <w:szCs w:val="20"/>
          <w:color w:val="auto"/>
        </w:rPr>
      </w:pPr>
    </w:p>
    <w:p>
      <w:pPr>
        <w:jc w:val="both"/>
        <w:ind w:left="8" w:firstLine="216"/>
        <w:spacing w:after="0" w:line="263" w:lineRule="auto"/>
        <w:rPr>
          <w:sz w:val="20"/>
          <w:szCs w:val="20"/>
          <w:color w:val="auto"/>
        </w:rPr>
      </w:pPr>
      <w:r>
        <w:rPr>
          <w:rFonts w:ascii="Arial" w:cs="Arial" w:eastAsia="Arial" w:hAnsi="Arial"/>
          <w:sz w:val="12"/>
          <w:szCs w:val="12"/>
          <w:color w:val="auto"/>
        </w:rPr>
        <w:t>Most of our assets and liabilities are considered financial instruments. Many of these financial instruments lack an available trading market and it is our general practice and intent to hold the majority of our financial instruments to maturity. Significant estimates and assumptions were used to determine the fair value of financial instruments. These estimates are subjective in nature, involving uncertainties and matters of judgment, and therefore, fair values may not be a precise estimate. Changes in assumptions could significantly affect the estimates.</w:t>
      </w:r>
    </w:p>
    <w:p>
      <w:pPr>
        <w:spacing w:after="0" w:line="122" w:lineRule="exact"/>
        <w:rPr>
          <w:sz w:val="20"/>
          <w:szCs w:val="20"/>
          <w:color w:val="auto"/>
        </w:rPr>
      </w:pPr>
    </w:p>
    <w:p>
      <w:pPr>
        <w:jc w:val="both"/>
        <w:ind w:left="8" w:firstLine="216"/>
        <w:spacing w:after="0" w:line="276" w:lineRule="auto"/>
        <w:rPr>
          <w:sz w:val="20"/>
          <w:szCs w:val="20"/>
          <w:color w:val="auto"/>
        </w:rPr>
      </w:pPr>
      <w:r>
        <w:rPr>
          <w:rFonts w:ascii="Arial" w:cs="Arial" w:eastAsia="Arial" w:hAnsi="Arial"/>
          <w:sz w:val="12"/>
          <w:szCs w:val="12"/>
          <w:color w:val="auto"/>
        </w:rPr>
        <w:t>Estimated fair values have been determined using available data and methodologies that are considered suitable for each category of financial instrument. For instruments with adjustable interest rates which reprice frequently and without significant credit risk, it is presumed that estimated fair values approximate the recorded book balances.</w:t>
      </w:r>
    </w:p>
    <w:p>
      <w:pPr>
        <w:spacing w:after="0" w:line="228" w:lineRule="exact"/>
        <w:rPr>
          <w:sz w:val="20"/>
          <w:szCs w:val="20"/>
          <w:color w:val="auto"/>
        </w:rPr>
      </w:pPr>
    </w:p>
    <w:p>
      <w:pPr>
        <w:jc w:val="center"/>
        <w:ind w:right="-7"/>
        <w:spacing w:after="0"/>
        <w:rPr>
          <w:sz w:val="20"/>
          <w:szCs w:val="20"/>
          <w:color w:val="auto"/>
        </w:rPr>
      </w:pPr>
      <w:r>
        <w:rPr>
          <w:rFonts w:ascii="Arial" w:cs="Arial" w:eastAsia="Arial" w:hAnsi="Arial"/>
          <w:sz w:val="10"/>
          <w:szCs w:val="10"/>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78040" cy="114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7" w:right="299" w:bottom="1440" w:gutter="0" w:footer="0" w:header="0"/>
        </w:sectPr>
      </w:pPr>
    </w:p>
    <w:bookmarkStart w:id="121" w:name="page122"/>
    <w:bookmarkEnd w:id="121"/>
    <w:tbl>
      <w:tblPr>
        <w:tblLayout w:type="fixed"/>
        <w:tblInd w:w="8" w:type="dxa"/>
        <w:tblCellMar>
          <w:top w:w="0" w:type="dxa"/>
          <w:left w:w="0" w:type="dxa"/>
          <w:bottom w:w="0" w:type="dxa"/>
          <w:right w:w="0" w:type="dxa"/>
        </w:tblCellMar>
      </w:tblPr>
      <w:tr>
        <w:trPr>
          <w:trHeight w:val="157"/>
        </w:trPr>
        <w:tc>
          <w:tcPr>
            <w:tcW w:w="3380" w:type="dxa"/>
            <w:vAlign w:val="bottom"/>
          </w:tcPr>
          <w:p>
            <w:pPr>
              <w:spacing w:after="0"/>
              <w:rPr>
                <w:sz w:val="13"/>
                <w:szCs w:val="13"/>
                <w:color w:val="auto"/>
              </w:rPr>
            </w:pPr>
          </w:p>
        </w:tc>
        <w:tc>
          <w:tcPr>
            <w:tcW w:w="5340" w:type="dxa"/>
            <w:vAlign w:val="bottom"/>
            <w:gridSpan w:val="10"/>
          </w:tcPr>
          <w:p>
            <w:pPr>
              <w:jc w:val="right"/>
              <w:ind w:right="1120"/>
              <w:spacing w:after="0"/>
              <w:rPr>
                <w:sz w:val="20"/>
                <w:szCs w:val="20"/>
                <w:color w:val="auto"/>
              </w:rPr>
            </w:pPr>
            <w:r>
              <w:rPr>
                <w:rFonts w:ascii="Arial" w:cs="Arial" w:eastAsia="Arial" w:hAnsi="Arial"/>
                <w:sz w:val="12"/>
                <w:szCs w:val="12"/>
                <w:b w:val="1"/>
                <w:bCs w:val="1"/>
                <w:color w:val="auto"/>
              </w:rPr>
              <w:t>NOTES TO CONSOLIDATED FINANCIAL STATEMENTS − (Continued)</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5"/>
        </w:trPr>
        <w:tc>
          <w:tcPr>
            <w:tcW w:w="4820" w:type="dxa"/>
            <w:vAlign w:val="bottom"/>
            <w:gridSpan w:val="3"/>
          </w:tcPr>
          <w:p>
            <w:pPr>
              <w:ind w:left="200"/>
              <w:spacing w:after="0"/>
              <w:rPr>
                <w:sz w:val="20"/>
                <w:szCs w:val="20"/>
                <w:color w:val="auto"/>
              </w:rPr>
            </w:pPr>
            <w:r>
              <w:rPr>
                <w:rFonts w:ascii="Arial" w:cs="Arial" w:eastAsia="Arial" w:hAnsi="Arial"/>
                <w:sz w:val="12"/>
                <w:szCs w:val="12"/>
                <w:color w:val="auto"/>
              </w:rPr>
              <w:t>The estimated recorded book balances and fair values at December 31 follow:</w:t>
            </w: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2"/>
                <w:szCs w:val="12"/>
                <w:b w:val="1"/>
                <w:bCs w:val="1"/>
                <w:color w:val="auto"/>
                <w:w w:val="91"/>
              </w:rPr>
              <w:t>Fair Value Using</w:t>
            </w: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3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320"/>
              <w:spacing w:after="0" w:line="129" w:lineRule="exact"/>
              <w:rPr>
                <w:sz w:val="20"/>
                <w:szCs w:val="20"/>
                <w:color w:val="auto"/>
              </w:rPr>
            </w:pPr>
            <w:r>
              <w:rPr>
                <w:rFonts w:ascii="Arial" w:cs="Arial" w:eastAsia="Arial" w:hAnsi="Arial"/>
                <w:sz w:val="12"/>
                <w:szCs w:val="12"/>
                <w:b w:val="1"/>
                <w:bCs w:val="1"/>
                <w:color w:val="auto"/>
                <w:w w:val="90"/>
              </w:rPr>
              <w:t>Quoted</w:t>
            </w: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88"/>
              </w:rPr>
              <w:t>Prices</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1"/>
              </w:rPr>
              <w:t>in Active</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6"/>
              </w:rPr>
              <w:t>Markets</w:t>
            </w:r>
          </w:p>
        </w:tc>
        <w:tc>
          <w:tcPr>
            <w:tcW w:w="100" w:type="dxa"/>
            <w:vAlign w:val="bottom"/>
          </w:tcPr>
          <w:p>
            <w:pPr>
              <w:spacing w:after="0"/>
              <w:rPr>
                <w:sz w:val="12"/>
                <w:szCs w:val="12"/>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1"/>
              </w:rPr>
              <w:t>Significant</w:t>
            </w:r>
          </w:p>
        </w:tc>
        <w:tc>
          <w:tcPr>
            <w:tcW w:w="180" w:type="dxa"/>
            <w:vAlign w:val="bottom"/>
          </w:tcPr>
          <w:p>
            <w:pPr>
              <w:spacing w:after="0"/>
              <w:rPr>
                <w:sz w:val="12"/>
                <w:szCs w:val="12"/>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1"/>
              </w:rPr>
              <w:t>Significant</w:t>
            </w:r>
          </w:p>
        </w:tc>
        <w:tc>
          <w:tcPr>
            <w:tcW w:w="0" w:type="dxa"/>
            <w:vAlign w:val="bottom"/>
          </w:tcPr>
          <w:p>
            <w:pPr>
              <w:spacing w:after="0"/>
              <w:rPr>
                <w:sz w:val="1"/>
                <w:szCs w:val="1"/>
                <w:color w:val="auto"/>
              </w:rPr>
            </w:pPr>
          </w:p>
        </w:tc>
      </w:tr>
      <w:tr>
        <w:trPr>
          <w:trHeight w:val="144"/>
        </w:trPr>
        <w:tc>
          <w:tcPr>
            <w:tcW w:w="3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9"/>
              </w:rPr>
              <w:t>for</w:t>
            </w:r>
          </w:p>
        </w:tc>
        <w:tc>
          <w:tcPr>
            <w:tcW w:w="100" w:type="dxa"/>
            <w:vAlign w:val="bottom"/>
          </w:tcPr>
          <w:p>
            <w:pPr>
              <w:spacing w:after="0"/>
              <w:rPr>
                <w:sz w:val="12"/>
                <w:szCs w:val="12"/>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3"/>
              </w:rPr>
              <w:t>Other</w:t>
            </w:r>
          </w:p>
        </w:tc>
        <w:tc>
          <w:tcPr>
            <w:tcW w:w="180" w:type="dxa"/>
            <w:vAlign w:val="bottom"/>
          </w:tcPr>
          <w:p>
            <w:pPr>
              <w:spacing w:after="0"/>
              <w:rPr>
                <w:sz w:val="12"/>
                <w:szCs w:val="12"/>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9"/>
              </w:rPr>
              <w:t>Un-</w:t>
            </w:r>
          </w:p>
        </w:tc>
        <w:tc>
          <w:tcPr>
            <w:tcW w:w="0" w:type="dxa"/>
            <w:vAlign w:val="bottom"/>
          </w:tcPr>
          <w:p>
            <w:pPr>
              <w:spacing w:after="0"/>
              <w:rPr>
                <w:sz w:val="1"/>
                <w:szCs w:val="1"/>
                <w:color w:val="auto"/>
              </w:rPr>
            </w:pPr>
          </w:p>
        </w:tc>
      </w:tr>
      <w:tr>
        <w:trPr>
          <w:trHeight w:val="144"/>
        </w:trPr>
        <w:tc>
          <w:tcPr>
            <w:tcW w:w="3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0"/>
              </w:rPr>
              <w:t>Recorded</w:t>
            </w: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4"/>
              </w:rPr>
              <w:t>Identical</w:t>
            </w:r>
          </w:p>
        </w:tc>
        <w:tc>
          <w:tcPr>
            <w:tcW w:w="100" w:type="dxa"/>
            <w:vAlign w:val="bottom"/>
          </w:tcPr>
          <w:p>
            <w:pPr>
              <w:spacing w:after="0"/>
              <w:rPr>
                <w:sz w:val="12"/>
                <w:szCs w:val="12"/>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8"/>
              </w:rPr>
              <w:t>Observable</w:t>
            </w:r>
          </w:p>
        </w:tc>
        <w:tc>
          <w:tcPr>
            <w:tcW w:w="180" w:type="dxa"/>
            <w:vAlign w:val="bottom"/>
          </w:tcPr>
          <w:p>
            <w:pPr>
              <w:spacing w:after="0"/>
              <w:rPr>
                <w:sz w:val="12"/>
                <w:szCs w:val="12"/>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8"/>
              </w:rPr>
              <w:t>observable</w:t>
            </w:r>
          </w:p>
        </w:tc>
        <w:tc>
          <w:tcPr>
            <w:tcW w:w="0" w:type="dxa"/>
            <w:vAlign w:val="bottom"/>
          </w:tcPr>
          <w:p>
            <w:pPr>
              <w:spacing w:after="0"/>
              <w:rPr>
                <w:sz w:val="1"/>
                <w:szCs w:val="1"/>
                <w:color w:val="auto"/>
              </w:rPr>
            </w:pPr>
          </w:p>
        </w:tc>
      </w:tr>
      <w:tr>
        <w:trPr>
          <w:trHeight w:val="144"/>
        </w:trPr>
        <w:tc>
          <w:tcPr>
            <w:tcW w:w="3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86"/>
              </w:rPr>
              <w:t>Book</w:t>
            </w: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81"/>
              </w:rPr>
              <w:t>Assets</w:t>
            </w:r>
          </w:p>
        </w:tc>
        <w:tc>
          <w:tcPr>
            <w:tcW w:w="100" w:type="dxa"/>
            <w:vAlign w:val="bottom"/>
          </w:tcPr>
          <w:p>
            <w:pPr>
              <w:spacing w:after="0"/>
              <w:rPr>
                <w:sz w:val="12"/>
                <w:szCs w:val="12"/>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4"/>
              </w:rPr>
              <w:t>Inputs</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4"/>
              </w:rPr>
              <w:t>Inputs</w:t>
            </w:r>
          </w:p>
        </w:tc>
        <w:tc>
          <w:tcPr>
            <w:tcW w:w="0" w:type="dxa"/>
            <w:vAlign w:val="bottom"/>
          </w:tcPr>
          <w:p>
            <w:pPr>
              <w:spacing w:after="0"/>
              <w:rPr>
                <w:sz w:val="1"/>
                <w:szCs w:val="1"/>
                <w:color w:val="auto"/>
              </w:rPr>
            </w:pPr>
          </w:p>
        </w:tc>
      </w:tr>
      <w:tr>
        <w:trPr>
          <w:trHeight w:val="157"/>
        </w:trPr>
        <w:tc>
          <w:tcPr>
            <w:tcW w:w="3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1"/>
              </w:rPr>
              <w:t>Balance</w:t>
            </w:r>
          </w:p>
        </w:tc>
        <w:tc>
          <w:tcPr>
            <w:tcW w:w="180" w:type="dxa"/>
            <w:vAlign w:val="bottom"/>
          </w:tcPr>
          <w:p>
            <w:pPr>
              <w:spacing w:after="0"/>
              <w:rPr>
                <w:sz w:val="13"/>
                <w:szCs w:val="13"/>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94"/>
              </w:rPr>
              <w:t>Fair Value</w:t>
            </w:r>
          </w:p>
        </w:tc>
        <w:tc>
          <w:tcPr>
            <w:tcW w:w="120" w:type="dxa"/>
            <w:vAlign w:val="bottom"/>
          </w:tcPr>
          <w:p>
            <w:pPr>
              <w:spacing w:after="0"/>
              <w:rPr>
                <w:sz w:val="13"/>
                <w:szCs w:val="13"/>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0"/>
              </w:rPr>
              <w:t>(Level 1)</w:t>
            </w:r>
          </w:p>
        </w:tc>
        <w:tc>
          <w:tcPr>
            <w:tcW w:w="100" w:type="dxa"/>
            <w:vAlign w:val="bottom"/>
          </w:tcPr>
          <w:p>
            <w:pPr>
              <w:spacing w:after="0"/>
              <w:rPr>
                <w:sz w:val="13"/>
                <w:szCs w:val="13"/>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0"/>
              </w:rPr>
              <w:t>(Level 2)</w:t>
            </w:r>
          </w:p>
        </w:tc>
        <w:tc>
          <w:tcPr>
            <w:tcW w:w="180" w:type="dxa"/>
            <w:vAlign w:val="bottom"/>
          </w:tcPr>
          <w:p>
            <w:pPr>
              <w:spacing w:after="0"/>
              <w:rPr>
                <w:sz w:val="13"/>
                <w:szCs w:val="13"/>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4"/>
              </w:rPr>
              <w:t>(Level 3)</w:t>
            </w:r>
          </w:p>
        </w:tc>
        <w:tc>
          <w:tcPr>
            <w:tcW w:w="0" w:type="dxa"/>
            <w:vAlign w:val="bottom"/>
          </w:tcPr>
          <w:p>
            <w:pPr>
              <w:spacing w:after="0"/>
              <w:rPr>
                <w:sz w:val="1"/>
                <w:szCs w:val="1"/>
                <w:color w:val="auto"/>
              </w:rPr>
            </w:pPr>
          </w:p>
        </w:tc>
      </w:tr>
      <w:tr>
        <w:trPr>
          <w:trHeight w:val="155"/>
        </w:trPr>
        <w:tc>
          <w:tcPr>
            <w:tcW w:w="3380" w:type="dxa"/>
            <w:vAlign w:val="bottom"/>
            <w:vMerge w:val="restart"/>
          </w:tcPr>
          <w:p>
            <w:pPr>
              <w:spacing w:after="0"/>
              <w:rPr>
                <w:sz w:val="20"/>
                <w:szCs w:val="20"/>
                <w:color w:val="auto"/>
              </w:rPr>
            </w:pPr>
            <w:r>
              <w:rPr>
                <w:rFonts w:ascii="Arial" w:cs="Arial" w:eastAsia="Arial" w:hAnsi="Arial"/>
                <w:sz w:val="12"/>
                <w:szCs w:val="12"/>
                <w:color w:val="auto"/>
              </w:rPr>
              <w:t>2021</w:t>
            </w:r>
          </w:p>
        </w:tc>
        <w:tc>
          <w:tcPr>
            <w:tcW w:w="12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160"/>
              <w:spacing w:after="0"/>
              <w:rPr>
                <w:sz w:val="20"/>
                <w:szCs w:val="20"/>
                <w:color w:val="auto"/>
              </w:rPr>
            </w:pPr>
            <w:r>
              <w:rPr>
                <w:rFonts w:ascii="Arial" w:cs="Arial" w:eastAsia="Arial" w:hAnsi="Arial"/>
                <w:sz w:val="12"/>
                <w:szCs w:val="12"/>
                <w:b w:val="1"/>
                <w:bCs w:val="1"/>
                <w:color w:val="auto"/>
                <w:w w:val="91"/>
              </w:rPr>
              <w:t>(In thousands)</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80" w:type="dxa"/>
            <w:vAlign w:val="bottom"/>
          </w:tcPr>
          <w:p>
            <w:pPr>
              <w:ind w:left="80"/>
              <w:spacing w:after="0"/>
              <w:rPr>
                <w:sz w:val="20"/>
                <w:szCs w:val="20"/>
                <w:color w:val="auto"/>
              </w:rPr>
            </w:pPr>
            <w:r>
              <w:rPr>
                <w:rFonts w:ascii="Arial" w:cs="Arial" w:eastAsia="Arial" w:hAnsi="Arial"/>
                <w:sz w:val="12"/>
                <w:szCs w:val="12"/>
                <w:color w:val="auto"/>
              </w:rPr>
              <w:t>Assets</w:t>
            </w:r>
          </w:p>
        </w:tc>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3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Cash and due from banks</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51,069</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51,069</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51,069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380" w:type="dxa"/>
            <w:vAlign w:val="bottom"/>
          </w:tcPr>
          <w:p>
            <w:pPr>
              <w:ind w:left="200"/>
              <w:spacing w:after="0"/>
              <w:rPr>
                <w:sz w:val="20"/>
                <w:szCs w:val="20"/>
                <w:color w:val="auto"/>
              </w:rPr>
            </w:pPr>
            <w:r>
              <w:rPr>
                <w:rFonts w:ascii="Arial" w:cs="Arial" w:eastAsia="Arial" w:hAnsi="Arial"/>
                <w:sz w:val="12"/>
                <w:szCs w:val="12"/>
                <w:color w:val="auto"/>
              </w:rPr>
              <w:t>Interest bearing deposits</w:t>
            </w: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58,404</w:t>
            </w:r>
          </w:p>
        </w:tc>
        <w:tc>
          <w:tcPr>
            <w:tcW w:w="18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58,404</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58,404</w:t>
            </w:r>
          </w:p>
        </w:tc>
        <w:tc>
          <w:tcPr>
            <w:tcW w:w="100" w:type="dxa"/>
            <w:vAlign w:val="bottom"/>
          </w:tcPr>
          <w:p>
            <w:pPr>
              <w:spacing w:after="0"/>
              <w:rPr>
                <w:sz w:val="12"/>
                <w:szCs w:val="1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3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Securities available for sale</w:t>
            </w:r>
          </w:p>
        </w:tc>
        <w:tc>
          <w:tcPr>
            <w:tcW w:w="1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1,412,830</w:t>
            </w: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1,412,830</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1,412,830</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380" w:type="dxa"/>
            <w:vAlign w:val="bottom"/>
          </w:tcPr>
          <w:p>
            <w:pPr>
              <w:ind w:left="200"/>
              <w:spacing w:after="0"/>
              <w:rPr>
                <w:sz w:val="20"/>
                <w:szCs w:val="20"/>
                <w:color w:val="auto"/>
              </w:rPr>
            </w:pPr>
            <w:r>
              <w:rPr>
                <w:rFonts w:ascii="Arial" w:cs="Arial" w:eastAsia="Arial" w:hAnsi="Arial"/>
                <w:sz w:val="12"/>
                <w:szCs w:val="12"/>
                <w:color w:val="auto"/>
                <w:w w:val="99"/>
              </w:rPr>
              <w:t>Federal Home Loan Bank and Federal Reserve Bank Stock</w:t>
            </w: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18,427</w:t>
            </w:r>
          </w:p>
        </w:tc>
        <w:tc>
          <w:tcPr>
            <w:tcW w:w="180" w:type="dxa"/>
            <w:vAlign w:val="bottom"/>
          </w:tcPr>
          <w:p>
            <w:pPr>
              <w:spacing w:after="0"/>
              <w:rPr>
                <w:sz w:val="12"/>
                <w:szCs w:val="12"/>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2"/>
                <w:szCs w:val="12"/>
                <w:color w:val="auto"/>
              </w:rPr>
              <w:t>NA</w:t>
            </w:r>
          </w:p>
        </w:tc>
        <w:tc>
          <w:tcPr>
            <w:tcW w:w="120" w:type="dxa"/>
            <w:vAlign w:val="bottom"/>
          </w:tcPr>
          <w:p>
            <w:pPr>
              <w:spacing w:after="0"/>
              <w:rPr>
                <w:sz w:val="12"/>
                <w:szCs w:val="12"/>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2"/>
                <w:szCs w:val="12"/>
                <w:color w:val="auto"/>
              </w:rPr>
              <w:t>NA</w:t>
            </w:r>
          </w:p>
        </w:tc>
        <w:tc>
          <w:tcPr>
            <w:tcW w:w="100" w:type="dxa"/>
            <w:vAlign w:val="bottom"/>
          </w:tcPr>
          <w:p>
            <w:pPr>
              <w:spacing w:after="0"/>
              <w:rPr>
                <w:sz w:val="12"/>
                <w:szCs w:val="12"/>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2"/>
                <w:szCs w:val="12"/>
                <w:color w:val="auto"/>
              </w:rPr>
              <w:t>NA</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144"/>
        </w:trPr>
        <w:tc>
          <w:tcPr>
            <w:tcW w:w="33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Net loans and loans held for sale</w:t>
            </w:r>
          </w:p>
        </w:tc>
        <w:tc>
          <w:tcPr>
            <w:tcW w:w="1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2,948,074</w:t>
            </w: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2,931,079</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35,233</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55,470</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2,840,376</w:t>
            </w:r>
          </w:p>
        </w:tc>
        <w:tc>
          <w:tcPr>
            <w:tcW w:w="0" w:type="dxa"/>
            <w:vAlign w:val="bottom"/>
          </w:tcPr>
          <w:p>
            <w:pPr>
              <w:spacing w:after="0"/>
              <w:rPr>
                <w:sz w:val="1"/>
                <w:szCs w:val="1"/>
                <w:color w:val="auto"/>
              </w:rPr>
            </w:pPr>
          </w:p>
        </w:tc>
      </w:tr>
      <w:tr>
        <w:trPr>
          <w:trHeight w:val="144"/>
        </w:trPr>
        <w:tc>
          <w:tcPr>
            <w:tcW w:w="3380" w:type="dxa"/>
            <w:vAlign w:val="bottom"/>
          </w:tcPr>
          <w:p>
            <w:pPr>
              <w:ind w:left="200"/>
              <w:spacing w:after="0"/>
              <w:rPr>
                <w:sz w:val="20"/>
                <w:szCs w:val="20"/>
                <w:color w:val="auto"/>
              </w:rPr>
            </w:pPr>
            <w:r>
              <w:rPr>
                <w:rFonts w:ascii="Arial" w:cs="Arial" w:eastAsia="Arial" w:hAnsi="Arial"/>
                <w:sz w:val="12"/>
                <w:szCs w:val="12"/>
                <w:color w:val="auto"/>
              </w:rPr>
              <w:t>Accrued interest receivable</w:t>
            </w: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12,865</w:t>
            </w:r>
          </w:p>
        </w:tc>
        <w:tc>
          <w:tcPr>
            <w:tcW w:w="18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12,865</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2"/>
                <w:szCs w:val="1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6,028</w:t>
            </w: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6,836</w:t>
            </w:r>
          </w:p>
        </w:tc>
        <w:tc>
          <w:tcPr>
            <w:tcW w:w="0" w:type="dxa"/>
            <w:vAlign w:val="bottom"/>
          </w:tcPr>
          <w:p>
            <w:pPr>
              <w:spacing w:after="0"/>
              <w:rPr>
                <w:sz w:val="1"/>
                <w:szCs w:val="1"/>
                <w:color w:val="auto"/>
              </w:rPr>
            </w:pPr>
          </w:p>
        </w:tc>
      </w:tr>
      <w:tr>
        <w:trPr>
          <w:trHeight w:val="144"/>
        </w:trPr>
        <w:tc>
          <w:tcPr>
            <w:tcW w:w="33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Derivative financial instruments</w:t>
            </w:r>
          </w:p>
        </w:tc>
        <w:tc>
          <w:tcPr>
            <w:tcW w:w="1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12,283</w:t>
            </w: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12,283</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12,283</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380" w:type="dxa"/>
            <w:vAlign w:val="bottom"/>
          </w:tcPr>
          <w:p>
            <w:pPr>
              <w:ind w:left="80"/>
              <w:spacing w:after="0"/>
              <w:rPr>
                <w:sz w:val="20"/>
                <w:szCs w:val="20"/>
                <w:color w:val="auto"/>
              </w:rPr>
            </w:pPr>
            <w:r>
              <w:rPr>
                <w:rFonts w:ascii="Arial" w:cs="Arial" w:eastAsia="Arial" w:hAnsi="Arial"/>
                <w:sz w:val="12"/>
                <w:szCs w:val="12"/>
                <w:color w:val="auto"/>
              </w:rPr>
              <w:t>Liabilities</w:t>
            </w: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3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Deposits with no stated maturity (1)</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3,781,298</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3,781,298</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3,781,298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380" w:type="dxa"/>
            <w:vAlign w:val="bottom"/>
          </w:tcPr>
          <w:p>
            <w:pPr>
              <w:ind w:left="200"/>
              <w:spacing w:after="0"/>
              <w:rPr>
                <w:sz w:val="20"/>
                <w:szCs w:val="20"/>
                <w:color w:val="auto"/>
              </w:rPr>
            </w:pPr>
            <w:r>
              <w:rPr>
                <w:rFonts w:ascii="Arial" w:cs="Arial" w:eastAsia="Arial" w:hAnsi="Arial"/>
                <w:sz w:val="12"/>
                <w:szCs w:val="12"/>
                <w:color w:val="auto"/>
              </w:rPr>
              <w:t>Deposits with stated maturity (1)</w:t>
            </w: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335,792</w:t>
            </w:r>
          </w:p>
        </w:tc>
        <w:tc>
          <w:tcPr>
            <w:tcW w:w="18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336,006</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336,006</w:t>
            </w: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3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Other borrowings</w:t>
            </w:r>
          </w:p>
        </w:tc>
        <w:tc>
          <w:tcPr>
            <w:tcW w:w="1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30,009</w:t>
            </w: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30,155</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30,155</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380" w:type="dxa"/>
            <w:vAlign w:val="bottom"/>
          </w:tcPr>
          <w:p>
            <w:pPr>
              <w:ind w:left="200"/>
              <w:spacing w:after="0"/>
              <w:rPr>
                <w:sz w:val="20"/>
                <w:szCs w:val="20"/>
                <w:color w:val="auto"/>
              </w:rPr>
            </w:pPr>
            <w:r>
              <w:rPr>
                <w:rFonts w:ascii="Arial" w:cs="Arial" w:eastAsia="Arial" w:hAnsi="Arial"/>
                <w:sz w:val="12"/>
                <w:szCs w:val="12"/>
                <w:color w:val="auto"/>
              </w:rPr>
              <w:t>Subordinated debt</w:t>
            </w: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39,357</w:t>
            </w:r>
          </w:p>
        </w:tc>
        <w:tc>
          <w:tcPr>
            <w:tcW w:w="18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44,999</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44,999</w:t>
            </w: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3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Subordinated debentures</w:t>
            </w:r>
          </w:p>
        </w:tc>
        <w:tc>
          <w:tcPr>
            <w:tcW w:w="1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39,592</w:t>
            </w: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33,866</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33,866</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380" w:type="dxa"/>
            <w:vAlign w:val="bottom"/>
          </w:tcPr>
          <w:p>
            <w:pPr>
              <w:ind w:left="200"/>
              <w:spacing w:after="0"/>
              <w:rPr>
                <w:sz w:val="20"/>
                <w:szCs w:val="20"/>
                <w:color w:val="auto"/>
              </w:rPr>
            </w:pPr>
            <w:r>
              <w:rPr>
                <w:rFonts w:ascii="Arial" w:cs="Arial" w:eastAsia="Arial" w:hAnsi="Arial"/>
                <w:sz w:val="12"/>
                <w:szCs w:val="12"/>
                <w:color w:val="auto"/>
              </w:rPr>
              <w:t>Accrued interest payable</w:t>
            </w: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497</w:t>
            </w:r>
          </w:p>
        </w:tc>
        <w:tc>
          <w:tcPr>
            <w:tcW w:w="18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497</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67</w:t>
            </w:r>
          </w:p>
        </w:tc>
        <w:tc>
          <w:tcPr>
            <w:tcW w:w="100" w:type="dxa"/>
            <w:vAlign w:val="bottom"/>
          </w:tcPr>
          <w:p>
            <w:pPr>
              <w:spacing w:after="0"/>
              <w:rPr>
                <w:sz w:val="12"/>
                <w:szCs w:val="1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430</w:t>
            </w: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3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Derivative financial instruments</w:t>
            </w:r>
          </w:p>
        </w:tc>
        <w:tc>
          <w:tcPr>
            <w:tcW w:w="1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5,961</w:t>
            </w: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5,961</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5,961</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380" w:type="dxa"/>
            <w:vAlign w:val="bottom"/>
          </w:tcPr>
          <w:p>
            <w:pPr>
              <w:spacing w:after="0"/>
              <w:rPr>
                <w:sz w:val="20"/>
                <w:szCs w:val="20"/>
                <w:color w:val="auto"/>
              </w:rPr>
            </w:pPr>
            <w:r>
              <w:rPr>
                <w:rFonts w:ascii="Arial" w:cs="Arial" w:eastAsia="Arial" w:hAnsi="Arial"/>
                <w:sz w:val="12"/>
                <w:szCs w:val="12"/>
                <w:color w:val="auto"/>
              </w:rPr>
              <w:t>2020</w:t>
            </w: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380" w:type="dxa"/>
            <w:vAlign w:val="bottom"/>
            <w:shd w:val="clear" w:color="auto" w:fill="CCEEFF"/>
          </w:tcPr>
          <w:p>
            <w:pPr>
              <w:ind w:left="80"/>
              <w:spacing w:after="0"/>
              <w:rPr>
                <w:sz w:val="20"/>
                <w:szCs w:val="20"/>
                <w:color w:val="auto"/>
              </w:rPr>
            </w:pPr>
            <w:r>
              <w:rPr>
                <w:rFonts w:ascii="Arial" w:cs="Arial" w:eastAsia="Arial" w:hAnsi="Arial"/>
                <w:sz w:val="12"/>
                <w:szCs w:val="12"/>
                <w:color w:val="auto"/>
              </w:rPr>
              <w:t>Assets</w:t>
            </w:r>
          </w:p>
        </w:tc>
        <w:tc>
          <w:tcPr>
            <w:tcW w:w="1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380" w:type="dxa"/>
            <w:vAlign w:val="bottom"/>
          </w:tcPr>
          <w:p>
            <w:pPr>
              <w:ind w:left="200"/>
              <w:spacing w:after="0"/>
              <w:rPr>
                <w:sz w:val="20"/>
                <w:szCs w:val="20"/>
                <w:color w:val="auto"/>
              </w:rPr>
            </w:pPr>
            <w:r>
              <w:rPr>
                <w:rFonts w:ascii="Arial" w:cs="Arial" w:eastAsia="Arial" w:hAnsi="Arial"/>
                <w:sz w:val="12"/>
                <w:szCs w:val="12"/>
                <w:color w:val="auto"/>
              </w:rPr>
              <w:t>Cash and due from banks</w:t>
            </w:r>
          </w:p>
        </w:tc>
        <w:tc>
          <w:tcPr>
            <w:tcW w:w="14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56,006</w:t>
            </w: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56,006</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56,006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3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Interest bearing deposits</w:t>
            </w:r>
          </w:p>
        </w:tc>
        <w:tc>
          <w:tcPr>
            <w:tcW w:w="1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62,699</w:t>
            </w: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62,699</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62,699</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380" w:type="dxa"/>
            <w:vAlign w:val="bottom"/>
          </w:tcPr>
          <w:p>
            <w:pPr>
              <w:ind w:left="200"/>
              <w:spacing w:after="0"/>
              <w:rPr>
                <w:sz w:val="20"/>
                <w:szCs w:val="20"/>
                <w:color w:val="auto"/>
              </w:rPr>
            </w:pPr>
            <w:r>
              <w:rPr>
                <w:rFonts w:ascii="Arial" w:cs="Arial" w:eastAsia="Arial" w:hAnsi="Arial"/>
                <w:sz w:val="12"/>
                <w:szCs w:val="12"/>
                <w:color w:val="auto"/>
              </w:rPr>
              <w:t>Securities available for sale</w:t>
            </w: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1,072,159</w:t>
            </w:r>
          </w:p>
        </w:tc>
        <w:tc>
          <w:tcPr>
            <w:tcW w:w="18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1,072,159</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1,072,159</w:t>
            </w: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380" w:type="dxa"/>
            <w:vAlign w:val="bottom"/>
            <w:shd w:val="clear" w:color="auto" w:fill="CCEEFF"/>
          </w:tcPr>
          <w:p>
            <w:pPr>
              <w:ind w:left="200"/>
              <w:spacing w:after="0"/>
              <w:rPr>
                <w:sz w:val="20"/>
                <w:szCs w:val="20"/>
                <w:color w:val="auto"/>
              </w:rPr>
            </w:pPr>
            <w:r>
              <w:rPr>
                <w:rFonts w:ascii="Arial" w:cs="Arial" w:eastAsia="Arial" w:hAnsi="Arial"/>
                <w:sz w:val="12"/>
                <w:szCs w:val="12"/>
                <w:color w:val="auto"/>
                <w:w w:val="99"/>
              </w:rPr>
              <w:t>Federal Home Loan Bank and Federal Reserve Bank Stock</w:t>
            </w:r>
          </w:p>
        </w:tc>
        <w:tc>
          <w:tcPr>
            <w:tcW w:w="1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18,427</w:t>
            </w: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center"/>
              <w:ind w:right="400"/>
              <w:spacing w:after="0"/>
              <w:rPr>
                <w:sz w:val="20"/>
                <w:szCs w:val="20"/>
                <w:color w:val="auto"/>
              </w:rPr>
            </w:pPr>
            <w:r>
              <w:rPr>
                <w:rFonts w:ascii="Arial" w:cs="Arial" w:eastAsia="Arial" w:hAnsi="Arial"/>
                <w:sz w:val="12"/>
                <w:szCs w:val="12"/>
                <w:color w:val="auto"/>
              </w:rPr>
              <w:t>NA</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center"/>
              <w:ind w:right="320"/>
              <w:spacing w:after="0"/>
              <w:rPr>
                <w:sz w:val="20"/>
                <w:szCs w:val="20"/>
                <w:color w:val="auto"/>
              </w:rPr>
            </w:pPr>
            <w:r>
              <w:rPr>
                <w:rFonts w:ascii="Arial" w:cs="Arial" w:eastAsia="Arial" w:hAnsi="Arial"/>
                <w:sz w:val="12"/>
                <w:szCs w:val="12"/>
                <w:color w:val="auto"/>
              </w:rPr>
              <w:t>NA</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center"/>
              <w:ind w:right="300"/>
              <w:spacing w:after="0"/>
              <w:rPr>
                <w:sz w:val="20"/>
                <w:szCs w:val="20"/>
                <w:color w:val="auto"/>
              </w:rPr>
            </w:pPr>
            <w:r>
              <w:rPr>
                <w:rFonts w:ascii="Arial" w:cs="Arial" w:eastAsia="Arial" w:hAnsi="Arial"/>
                <w:sz w:val="12"/>
                <w:szCs w:val="12"/>
                <w:color w:val="auto"/>
              </w:rPr>
              <w:t>NA</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center"/>
              <w:ind w:right="280"/>
              <w:spacing w:after="0"/>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144"/>
        </w:trPr>
        <w:tc>
          <w:tcPr>
            <w:tcW w:w="3380" w:type="dxa"/>
            <w:vAlign w:val="bottom"/>
          </w:tcPr>
          <w:p>
            <w:pPr>
              <w:ind w:left="200"/>
              <w:spacing w:after="0"/>
              <w:rPr>
                <w:sz w:val="20"/>
                <w:szCs w:val="20"/>
                <w:color w:val="auto"/>
              </w:rPr>
            </w:pPr>
            <w:r>
              <w:rPr>
                <w:rFonts w:ascii="Arial" w:cs="Arial" w:eastAsia="Arial" w:hAnsi="Arial"/>
                <w:sz w:val="12"/>
                <w:szCs w:val="12"/>
                <w:color w:val="auto"/>
              </w:rPr>
              <w:t>Net loans and loans held for sale</w:t>
            </w: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2,790,683</w:t>
            </w:r>
          </w:p>
        </w:tc>
        <w:tc>
          <w:tcPr>
            <w:tcW w:w="18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2,794,058</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92,434</w:t>
            </w: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2,701,624</w:t>
            </w:r>
          </w:p>
        </w:tc>
        <w:tc>
          <w:tcPr>
            <w:tcW w:w="0" w:type="dxa"/>
            <w:vAlign w:val="bottom"/>
          </w:tcPr>
          <w:p>
            <w:pPr>
              <w:spacing w:after="0"/>
              <w:rPr>
                <w:sz w:val="1"/>
                <w:szCs w:val="1"/>
                <w:color w:val="auto"/>
              </w:rPr>
            </w:pPr>
          </w:p>
        </w:tc>
      </w:tr>
      <w:tr>
        <w:trPr>
          <w:trHeight w:val="144"/>
        </w:trPr>
        <w:tc>
          <w:tcPr>
            <w:tcW w:w="33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Accrued interest receivable</w:t>
            </w:r>
          </w:p>
        </w:tc>
        <w:tc>
          <w:tcPr>
            <w:tcW w:w="1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12,315</w:t>
            </w: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12,315</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3,414</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8,898</w:t>
            </w:r>
          </w:p>
        </w:tc>
        <w:tc>
          <w:tcPr>
            <w:tcW w:w="0" w:type="dxa"/>
            <w:vAlign w:val="bottom"/>
          </w:tcPr>
          <w:p>
            <w:pPr>
              <w:spacing w:after="0"/>
              <w:rPr>
                <w:sz w:val="1"/>
                <w:szCs w:val="1"/>
                <w:color w:val="auto"/>
              </w:rPr>
            </w:pPr>
          </w:p>
        </w:tc>
      </w:tr>
      <w:tr>
        <w:trPr>
          <w:trHeight w:val="144"/>
        </w:trPr>
        <w:tc>
          <w:tcPr>
            <w:tcW w:w="3380" w:type="dxa"/>
            <w:vAlign w:val="bottom"/>
          </w:tcPr>
          <w:p>
            <w:pPr>
              <w:ind w:left="200"/>
              <w:spacing w:after="0"/>
              <w:rPr>
                <w:sz w:val="20"/>
                <w:szCs w:val="20"/>
                <w:color w:val="auto"/>
              </w:rPr>
            </w:pPr>
            <w:r>
              <w:rPr>
                <w:rFonts w:ascii="Arial" w:cs="Arial" w:eastAsia="Arial" w:hAnsi="Arial"/>
                <w:sz w:val="12"/>
                <w:szCs w:val="12"/>
                <w:color w:val="auto"/>
              </w:rPr>
              <w:t>Derivative financial instruments</w:t>
            </w: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16,782</w:t>
            </w:r>
          </w:p>
        </w:tc>
        <w:tc>
          <w:tcPr>
            <w:tcW w:w="18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16,782</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16,782</w:t>
            </w: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3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380" w:type="dxa"/>
            <w:vAlign w:val="bottom"/>
          </w:tcPr>
          <w:p>
            <w:pPr>
              <w:ind w:left="80"/>
              <w:spacing w:after="0"/>
              <w:rPr>
                <w:sz w:val="20"/>
                <w:szCs w:val="20"/>
                <w:color w:val="auto"/>
              </w:rPr>
            </w:pPr>
            <w:r>
              <w:rPr>
                <w:rFonts w:ascii="Arial" w:cs="Arial" w:eastAsia="Arial" w:hAnsi="Arial"/>
                <w:sz w:val="12"/>
                <w:szCs w:val="12"/>
                <w:color w:val="auto"/>
              </w:rPr>
              <w:t>Liabilities</w:t>
            </w: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3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Deposits with no stated maturity (1)</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3,198,338</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3,198,338</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3,198,338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380" w:type="dxa"/>
            <w:vAlign w:val="bottom"/>
          </w:tcPr>
          <w:p>
            <w:pPr>
              <w:ind w:left="200"/>
              <w:spacing w:after="0"/>
              <w:rPr>
                <w:sz w:val="20"/>
                <w:szCs w:val="20"/>
                <w:color w:val="auto"/>
              </w:rPr>
            </w:pPr>
            <w:r>
              <w:rPr>
                <w:rFonts w:ascii="Arial" w:cs="Arial" w:eastAsia="Arial" w:hAnsi="Arial"/>
                <w:sz w:val="12"/>
                <w:szCs w:val="12"/>
                <w:color w:val="auto"/>
              </w:rPr>
              <w:t>Deposits with stated maturity (1)</w:t>
            </w: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439,017</w:t>
            </w:r>
          </w:p>
        </w:tc>
        <w:tc>
          <w:tcPr>
            <w:tcW w:w="18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441,457</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441,457</w:t>
            </w: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3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Other borrowings</w:t>
            </w:r>
          </w:p>
        </w:tc>
        <w:tc>
          <w:tcPr>
            <w:tcW w:w="1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30,012</w:t>
            </w: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30,844</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30,844</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380" w:type="dxa"/>
            <w:vAlign w:val="bottom"/>
          </w:tcPr>
          <w:p>
            <w:pPr>
              <w:ind w:left="200"/>
              <w:spacing w:after="0"/>
              <w:rPr>
                <w:sz w:val="20"/>
                <w:szCs w:val="20"/>
                <w:color w:val="auto"/>
              </w:rPr>
            </w:pPr>
            <w:r>
              <w:rPr>
                <w:rFonts w:ascii="Arial" w:cs="Arial" w:eastAsia="Arial" w:hAnsi="Arial"/>
                <w:sz w:val="12"/>
                <w:szCs w:val="12"/>
                <w:color w:val="auto"/>
              </w:rPr>
              <w:t>Subordinated debt</w:t>
            </w: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39,281</w:t>
            </w:r>
          </w:p>
        </w:tc>
        <w:tc>
          <w:tcPr>
            <w:tcW w:w="18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41,417</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41,417</w:t>
            </w: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3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Subordinated debentures</w:t>
            </w:r>
          </w:p>
        </w:tc>
        <w:tc>
          <w:tcPr>
            <w:tcW w:w="1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39,524</w:t>
            </w: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30,265</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30,265</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380" w:type="dxa"/>
            <w:vAlign w:val="bottom"/>
          </w:tcPr>
          <w:p>
            <w:pPr>
              <w:ind w:left="200"/>
              <w:spacing w:after="0"/>
              <w:rPr>
                <w:sz w:val="20"/>
                <w:szCs w:val="20"/>
                <w:color w:val="auto"/>
              </w:rPr>
            </w:pPr>
            <w:r>
              <w:rPr>
                <w:rFonts w:ascii="Arial" w:cs="Arial" w:eastAsia="Arial" w:hAnsi="Arial"/>
                <w:sz w:val="12"/>
                <w:szCs w:val="12"/>
                <w:color w:val="auto"/>
              </w:rPr>
              <w:t>Accrued interest payable</w:t>
            </w: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601</w:t>
            </w:r>
          </w:p>
        </w:tc>
        <w:tc>
          <w:tcPr>
            <w:tcW w:w="18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601</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59</w:t>
            </w:r>
          </w:p>
        </w:tc>
        <w:tc>
          <w:tcPr>
            <w:tcW w:w="100" w:type="dxa"/>
            <w:vAlign w:val="bottom"/>
          </w:tcPr>
          <w:p>
            <w:pPr>
              <w:spacing w:after="0"/>
              <w:rPr>
                <w:sz w:val="12"/>
                <w:szCs w:val="1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542</w:t>
            </w: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3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Derivative financial instruments</w:t>
            </w:r>
          </w:p>
        </w:tc>
        <w:tc>
          <w:tcPr>
            <w:tcW w:w="1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11,754</w:t>
            </w: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11,754</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11,754</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131445</wp:posOffset>
            </wp:positionV>
            <wp:extent cx="2154555" cy="114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5">
                      <a:extLst>
                        <a:ext uri="{28A0092B-C50C-407E-A947-70E740481C1C}"/>
                      </a:extLst>
                    </a:blip>
                    <a:srcRect/>
                    <a:stretch>
                      <a:fillRect/>
                    </a:stretch>
                  </pic:blipFill>
                  <pic:spPr bwMode="auto">
                    <a:xfrm>
                      <a:off x="0" y="0"/>
                      <a:ext cx="2154555" cy="11430"/>
                    </a:xfrm>
                    <a:prstGeom prst="rect">
                      <a:avLst/>
                    </a:prstGeom>
                    <a:noFill/>
                  </pic:spPr>
                </pic:pic>
              </a:graphicData>
            </a:graphic>
          </wp:anchor>
        </w:drawing>
      </w:r>
    </w:p>
    <w:p>
      <w:pPr>
        <w:spacing w:after="0" w:line="259" w:lineRule="exact"/>
        <w:rPr>
          <w:sz w:val="20"/>
          <w:szCs w:val="20"/>
          <w:color w:val="auto"/>
        </w:rPr>
      </w:pPr>
    </w:p>
    <w:p>
      <w:pPr>
        <w:ind w:left="8"/>
        <w:spacing w:after="0"/>
        <w:rPr>
          <w:sz w:val="20"/>
          <w:szCs w:val="20"/>
          <w:color w:val="auto"/>
        </w:rPr>
      </w:pPr>
      <w:r>
        <w:rPr>
          <w:rFonts w:ascii="Arial" w:cs="Arial" w:eastAsia="Arial" w:hAnsi="Arial"/>
          <w:sz w:val="12"/>
          <w:szCs w:val="12"/>
          <w:color w:val="auto"/>
        </w:rPr>
        <w:t>NA – Not applicable</w:t>
      </w:r>
    </w:p>
    <w:p>
      <w:pPr>
        <w:spacing w:after="0" w:line="15" w:lineRule="exact"/>
        <w:rPr>
          <w:sz w:val="20"/>
          <w:szCs w:val="20"/>
          <w:color w:val="auto"/>
        </w:rPr>
      </w:pPr>
    </w:p>
    <w:p>
      <w:pPr>
        <w:ind w:left="208" w:hanging="208"/>
        <w:spacing w:after="0" w:line="260" w:lineRule="auto"/>
        <w:tabs>
          <w:tab w:leader="none" w:pos="208" w:val="left"/>
        </w:tabs>
        <w:numPr>
          <w:ilvl w:val="0"/>
          <w:numId w:val="40"/>
        </w:numPr>
        <w:rPr>
          <w:rFonts w:ascii="Arial" w:cs="Arial" w:eastAsia="Arial" w:hAnsi="Arial"/>
          <w:sz w:val="12"/>
          <w:szCs w:val="12"/>
          <w:color w:val="auto"/>
        </w:rPr>
      </w:pPr>
      <w:r>
        <w:rPr>
          <w:rFonts w:ascii="Arial" w:cs="Arial" w:eastAsia="Arial" w:hAnsi="Arial"/>
          <w:sz w:val="12"/>
          <w:szCs w:val="12"/>
          <w:color w:val="auto"/>
        </w:rPr>
        <w:t>Deposits with no stated maturity include reciprocal deposits with a recorded book balance of $562.210 million and $518.400 million at December 31, 2021 and 2020, respectively. Deposits with a stated maturity include reciprocal deposits with a recorded book balance of $24.416 million and $37.785 million at December 31, 2021 and 2020, respectively.</w:t>
      </w:r>
    </w:p>
    <w:p>
      <w:pPr>
        <w:spacing w:after="0" w:line="94" w:lineRule="exact"/>
        <w:rPr>
          <w:sz w:val="20"/>
          <w:szCs w:val="20"/>
          <w:color w:val="auto"/>
        </w:rPr>
      </w:pPr>
    </w:p>
    <w:p>
      <w:pPr>
        <w:jc w:val="center"/>
        <w:ind w:right="-7"/>
        <w:spacing w:after="0"/>
        <w:rPr>
          <w:sz w:val="20"/>
          <w:szCs w:val="20"/>
          <w:color w:val="auto"/>
        </w:rPr>
      </w:pPr>
      <w:r>
        <w:rPr>
          <w:rFonts w:ascii="Arial" w:cs="Arial" w:eastAsia="Arial" w:hAnsi="Arial"/>
          <w:sz w:val="10"/>
          <w:szCs w:val="10"/>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78040" cy="114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7" w:right="29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fair values for commitments to extend credit and standby letters of credit are estimated to approximate their aggregate book balance, which is nominal, and therefore are not disclosed.</w:t>
      </w:r>
    </w:p>
    <w:p>
      <w:pPr>
        <w:spacing w:after="0" w:line="150"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Fair value estimates are made at a specific point in time, based on relevant market information and information about the financial instrument. These estimates do not reflect any premium or discount that could result from offering for sale the entire holdings of a particular financial instrument.</w:t>
      </w:r>
    </w:p>
    <w:p>
      <w:pPr>
        <w:spacing w:after="0" w:line="115"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Fair value estimates are based on existing on- and off-balance sheet financial instruments without attempting to estimate the value of anticipated future business, the value of future earnings attributable to off-balance sheet activities and the value of assets and liabilities that are not considered financial instruments.</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1"/>
          <w:szCs w:val="11"/>
          <w:color w:val="auto"/>
        </w:rPr>
        <w:t>Fair value estimates for deposit accounts do not include the value of the core deposit intangible asset resulting from the low-cost funding provided by the deposit liabilities compared to the cost of borrowing funds in the market.</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23 – ACCUMULATED OTHER COMPREHENSIVE INCOME (LOSS)</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A summary of changes in accumulated other comprehensive income (loss) (‘‘AOCIL’’), net of tax during the years ended December 31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326"/>
              <w:spacing w:after="0"/>
              <w:rPr>
                <w:sz w:val="20"/>
                <w:szCs w:val="20"/>
                <w:color w:val="auto"/>
              </w:rPr>
            </w:pPr>
            <w:r>
              <w:rPr>
                <w:rFonts w:ascii="Arial" w:cs="Arial" w:eastAsia="Arial" w:hAnsi="Arial"/>
                <w:sz w:val="12"/>
                <w:szCs w:val="12"/>
                <w:b w:val="1"/>
                <w:bCs w:val="1"/>
                <w:color w:val="auto"/>
                <w:w w:val="91"/>
              </w:rPr>
              <w:t>Dispropor-</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2"/>
              </w:rPr>
              <w:t>Unrealized</w:t>
            </w:r>
          </w:p>
        </w:tc>
        <w:tc>
          <w:tcPr>
            <w:tcW w:w="160" w:type="dxa"/>
            <w:vAlign w:val="bottom"/>
          </w:tcPr>
          <w:p>
            <w:pPr>
              <w:spacing w:after="0"/>
              <w:rPr>
                <w:sz w:val="12"/>
                <w:szCs w:val="12"/>
                <w:color w:val="auto"/>
              </w:rPr>
            </w:pPr>
          </w:p>
        </w:tc>
        <w:tc>
          <w:tcPr>
            <w:tcW w:w="1180" w:type="dxa"/>
            <w:vAlign w:val="bottom"/>
            <w:gridSpan w:val="2"/>
          </w:tcPr>
          <w:p>
            <w:pPr>
              <w:jc w:val="center"/>
              <w:ind w:right="326"/>
              <w:spacing w:after="0"/>
              <w:rPr>
                <w:sz w:val="20"/>
                <w:szCs w:val="20"/>
                <w:color w:val="auto"/>
              </w:rPr>
            </w:pPr>
            <w:r>
              <w:rPr>
                <w:rFonts w:ascii="Arial" w:cs="Arial" w:eastAsia="Arial" w:hAnsi="Arial"/>
                <w:sz w:val="12"/>
                <w:szCs w:val="12"/>
                <w:b w:val="1"/>
                <w:bCs w:val="1"/>
                <w:color w:val="auto"/>
                <w:w w:val="91"/>
              </w:rPr>
              <w:t>tionate</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89"/>
              </w:rPr>
              <w:t>Gains</w:t>
            </w:r>
          </w:p>
        </w:tc>
        <w:tc>
          <w:tcPr>
            <w:tcW w:w="160" w:type="dxa"/>
            <w:vAlign w:val="bottom"/>
          </w:tcPr>
          <w:p>
            <w:pPr>
              <w:spacing w:after="0"/>
              <w:rPr>
                <w:sz w:val="12"/>
                <w:szCs w:val="12"/>
                <w:color w:val="auto"/>
              </w:rPr>
            </w:pPr>
          </w:p>
        </w:tc>
        <w:tc>
          <w:tcPr>
            <w:tcW w:w="1180" w:type="dxa"/>
            <w:vAlign w:val="bottom"/>
            <w:gridSpan w:val="2"/>
          </w:tcPr>
          <w:p>
            <w:pPr>
              <w:jc w:val="center"/>
              <w:ind w:right="326"/>
              <w:spacing w:after="0"/>
              <w:rPr>
                <w:sz w:val="20"/>
                <w:szCs w:val="20"/>
                <w:color w:val="auto"/>
              </w:rPr>
            </w:pPr>
            <w:r>
              <w:rPr>
                <w:rFonts w:ascii="Arial" w:cs="Arial" w:eastAsia="Arial" w:hAnsi="Arial"/>
                <w:sz w:val="12"/>
                <w:szCs w:val="12"/>
                <w:b w:val="1"/>
                <w:bCs w:val="1"/>
                <w:color w:val="auto"/>
                <w:w w:val="87"/>
              </w:rPr>
              <w:t>Tax Effects</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86"/>
              </w:rPr>
              <w:t>(Losses) on</w:t>
            </w:r>
          </w:p>
        </w:tc>
        <w:tc>
          <w:tcPr>
            <w:tcW w:w="160" w:type="dxa"/>
            <w:vAlign w:val="bottom"/>
          </w:tcPr>
          <w:p>
            <w:pPr>
              <w:spacing w:after="0"/>
              <w:rPr>
                <w:sz w:val="12"/>
                <w:szCs w:val="12"/>
                <w:color w:val="auto"/>
              </w:rPr>
            </w:pPr>
          </w:p>
        </w:tc>
        <w:tc>
          <w:tcPr>
            <w:tcW w:w="1180" w:type="dxa"/>
            <w:vAlign w:val="bottom"/>
            <w:gridSpan w:val="2"/>
          </w:tcPr>
          <w:p>
            <w:pPr>
              <w:jc w:val="center"/>
              <w:ind w:right="326"/>
              <w:spacing w:after="0"/>
              <w:rPr>
                <w:sz w:val="20"/>
                <w:szCs w:val="20"/>
                <w:color w:val="auto"/>
              </w:rPr>
            </w:pPr>
            <w:r>
              <w:rPr>
                <w:rFonts w:ascii="Arial" w:cs="Arial" w:eastAsia="Arial" w:hAnsi="Arial"/>
                <w:sz w:val="12"/>
                <w:szCs w:val="12"/>
                <w:b w:val="1"/>
                <w:bCs w:val="1"/>
                <w:color w:val="auto"/>
                <w:w w:val="89"/>
              </w:rPr>
              <w:t>from</w:t>
            </w:r>
          </w:p>
        </w:tc>
        <w:tc>
          <w:tcPr>
            <w:tcW w:w="260" w:type="dxa"/>
            <w:vAlign w:val="bottom"/>
          </w:tcPr>
          <w:p>
            <w:pPr>
              <w:spacing w:after="0"/>
              <w:rPr>
                <w:sz w:val="12"/>
                <w:szCs w:val="12"/>
                <w:color w:val="auto"/>
              </w:rPr>
            </w:pPr>
          </w:p>
        </w:tc>
        <w:tc>
          <w:tcPr>
            <w:tcW w:w="1080" w:type="dxa"/>
            <w:vAlign w:val="bottom"/>
            <w:gridSpan w:val="2"/>
          </w:tcPr>
          <w:p>
            <w:pPr>
              <w:jc w:val="center"/>
              <w:ind w:right="480"/>
              <w:spacing w:after="0"/>
              <w:rPr>
                <w:sz w:val="20"/>
                <w:szCs w:val="20"/>
                <w:color w:val="auto"/>
              </w:rPr>
            </w:pPr>
            <w:r>
              <w:rPr>
                <w:rFonts w:ascii="Arial" w:cs="Arial" w:eastAsia="Arial" w:hAnsi="Arial"/>
                <w:sz w:val="12"/>
                <w:szCs w:val="12"/>
                <w:b w:val="1"/>
                <w:bCs w:val="1"/>
                <w:color w:val="auto"/>
                <w:w w:val="92"/>
              </w:rPr>
              <w:t>Unrealized</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87"/>
              </w:rPr>
              <w:t>Securities</w:t>
            </w:r>
          </w:p>
        </w:tc>
        <w:tc>
          <w:tcPr>
            <w:tcW w:w="160" w:type="dxa"/>
            <w:vAlign w:val="bottom"/>
          </w:tcPr>
          <w:p>
            <w:pPr>
              <w:spacing w:after="0"/>
              <w:rPr>
                <w:sz w:val="12"/>
                <w:szCs w:val="12"/>
                <w:color w:val="auto"/>
              </w:rPr>
            </w:pPr>
          </w:p>
        </w:tc>
        <w:tc>
          <w:tcPr>
            <w:tcW w:w="1180" w:type="dxa"/>
            <w:vAlign w:val="bottom"/>
            <w:gridSpan w:val="2"/>
          </w:tcPr>
          <w:p>
            <w:pPr>
              <w:jc w:val="center"/>
              <w:ind w:right="346"/>
              <w:spacing w:after="0"/>
              <w:rPr>
                <w:sz w:val="20"/>
                <w:szCs w:val="20"/>
                <w:color w:val="auto"/>
              </w:rPr>
            </w:pPr>
            <w:r>
              <w:rPr>
                <w:rFonts w:ascii="Arial" w:cs="Arial" w:eastAsia="Arial" w:hAnsi="Arial"/>
                <w:sz w:val="12"/>
                <w:szCs w:val="12"/>
                <w:b w:val="1"/>
                <w:bCs w:val="1"/>
                <w:color w:val="auto"/>
                <w:w w:val="87"/>
              </w:rPr>
              <w:t>Securities</w:t>
            </w:r>
          </w:p>
        </w:tc>
        <w:tc>
          <w:tcPr>
            <w:tcW w:w="260" w:type="dxa"/>
            <w:vAlign w:val="bottom"/>
          </w:tcPr>
          <w:p>
            <w:pPr>
              <w:spacing w:after="0"/>
              <w:rPr>
                <w:sz w:val="12"/>
                <w:szCs w:val="12"/>
                <w:color w:val="auto"/>
              </w:rPr>
            </w:pPr>
          </w:p>
        </w:tc>
        <w:tc>
          <w:tcPr>
            <w:tcW w:w="1080" w:type="dxa"/>
            <w:vAlign w:val="bottom"/>
            <w:gridSpan w:val="2"/>
          </w:tcPr>
          <w:p>
            <w:pPr>
              <w:jc w:val="center"/>
              <w:ind w:right="480"/>
              <w:spacing w:after="0"/>
              <w:rPr>
                <w:sz w:val="20"/>
                <w:szCs w:val="20"/>
                <w:color w:val="auto"/>
              </w:rPr>
            </w:pPr>
            <w:r>
              <w:rPr>
                <w:rFonts w:ascii="Arial" w:cs="Arial" w:eastAsia="Arial" w:hAnsi="Arial"/>
                <w:sz w:val="12"/>
                <w:szCs w:val="12"/>
                <w:b w:val="1"/>
                <w:bCs w:val="1"/>
                <w:color w:val="auto"/>
                <w:w w:val="80"/>
              </w:rPr>
              <w:t>Losses on</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1"/>
              </w:rPr>
              <w:t>Available</w:t>
            </w:r>
          </w:p>
        </w:tc>
        <w:tc>
          <w:tcPr>
            <w:tcW w:w="160" w:type="dxa"/>
            <w:vAlign w:val="bottom"/>
          </w:tcPr>
          <w:p>
            <w:pPr>
              <w:spacing w:after="0"/>
              <w:rPr>
                <w:sz w:val="12"/>
                <w:szCs w:val="12"/>
                <w:color w:val="auto"/>
              </w:rPr>
            </w:pPr>
          </w:p>
        </w:tc>
        <w:tc>
          <w:tcPr>
            <w:tcW w:w="1180" w:type="dxa"/>
            <w:vAlign w:val="bottom"/>
            <w:gridSpan w:val="2"/>
          </w:tcPr>
          <w:p>
            <w:pPr>
              <w:jc w:val="center"/>
              <w:ind w:right="326"/>
              <w:spacing w:after="0"/>
              <w:rPr>
                <w:sz w:val="20"/>
                <w:szCs w:val="20"/>
                <w:color w:val="auto"/>
              </w:rPr>
            </w:pPr>
            <w:r>
              <w:rPr>
                <w:rFonts w:ascii="Arial" w:cs="Arial" w:eastAsia="Arial" w:hAnsi="Arial"/>
                <w:sz w:val="12"/>
                <w:szCs w:val="12"/>
                <w:b w:val="1"/>
                <w:bCs w:val="1"/>
                <w:color w:val="auto"/>
                <w:w w:val="91"/>
              </w:rPr>
              <w:t>Available</w:t>
            </w:r>
          </w:p>
        </w:tc>
        <w:tc>
          <w:tcPr>
            <w:tcW w:w="260" w:type="dxa"/>
            <w:vAlign w:val="bottom"/>
          </w:tcPr>
          <w:p>
            <w:pPr>
              <w:spacing w:after="0"/>
              <w:rPr>
                <w:sz w:val="12"/>
                <w:szCs w:val="12"/>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89"/>
              </w:rPr>
              <w:t>Cash Flow</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60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20"/>
              <w:spacing w:after="0"/>
              <w:rPr>
                <w:sz w:val="20"/>
                <w:szCs w:val="20"/>
                <w:color w:val="auto"/>
              </w:rPr>
            </w:pPr>
            <w:r>
              <w:rPr>
                <w:rFonts w:ascii="Arial" w:cs="Arial" w:eastAsia="Arial" w:hAnsi="Arial"/>
                <w:sz w:val="12"/>
                <w:szCs w:val="12"/>
                <w:b w:val="1"/>
                <w:bCs w:val="1"/>
                <w:color w:val="auto"/>
                <w:w w:val="90"/>
              </w:rPr>
              <w:t>for Sale</w:t>
            </w: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100"/>
              <w:spacing w:after="0"/>
              <w:rPr>
                <w:sz w:val="20"/>
                <w:szCs w:val="20"/>
                <w:color w:val="auto"/>
              </w:rPr>
            </w:pPr>
            <w:r>
              <w:rPr>
                <w:rFonts w:ascii="Arial" w:cs="Arial" w:eastAsia="Arial" w:hAnsi="Arial"/>
                <w:sz w:val="12"/>
                <w:szCs w:val="12"/>
                <w:b w:val="1"/>
                <w:bCs w:val="1"/>
                <w:color w:val="auto"/>
                <w:w w:val="90"/>
              </w:rPr>
              <w:t>for Sale</w:t>
            </w: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180"/>
              <w:spacing w:after="0"/>
              <w:rPr>
                <w:sz w:val="20"/>
                <w:szCs w:val="20"/>
                <w:color w:val="auto"/>
              </w:rPr>
            </w:pPr>
            <w:r>
              <w:rPr>
                <w:rFonts w:ascii="Arial" w:cs="Arial" w:eastAsia="Arial" w:hAnsi="Arial"/>
                <w:sz w:val="12"/>
                <w:szCs w:val="12"/>
                <w:b w:val="1"/>
                <w:bCs w:val="1"/>
                <w:color w:val="auto"/>
                <w:w w:val="87"/>
              </w:rPr>
              <w:t>Hedges</w:t>
            </w:r>
          </w:p>
        </w:tc>
        <w:tc>
          <w:tcPr>
            <w:tcW w:w="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Total</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000" w:type="dxa"/>
            <w:vAlign w:val="bottom"/>
            <w:vMerge w:val="restart"/>
          </w:tcPr>
          <w:p>
            <w:pPr>
              <w:spacing w:after="0"/>
              <w:rPr>
                <w:sz w:val="20"/>
                <w:szCs w:val="20"/>
                <w:color w:val="auto"/>
              </w:rPr>
            </w:pPr>
            <w:r>
              <w:rPr>
                <w:rFonts w:ascii="Arial" w:cs="Arial" w:eastAsia="Arial" w:hAnsi="Arial"/>
                <w:sz w:val="12"/>
                <w:szCs w:val="12"/>
                <w:color w:val="auto"/>
              </w:rPr>
              <w:t>2021</w:t>
            </w: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ind w:right="60"/>
              <w:spacing w:after="0"/>
              <w:rPr>
                <w:sz w:val="20"/>
                <w:szCs w:val="20"/>
                <w:color w:val="auto"/>
              </w:rPr>
            </w:pPr>
            <w:r>
              <w:rPr>
                <w:rFonts w:ascii="Arial" w:cs="Arial" w:eastAsia="Arial" w:hAnsi="Arial"/>
                <w:sz w:val="12"/>
                <w:szCs w:val="12"/>
                <w:b w:val="1"/>
                <w:bCs w:val="1"/>
                <w:color w:val="auto"/>
              </w:rPr>
              <w:t>(In</w:t>
            </w:r>
          </w:p>
        </w:tc>
        <w:tc>
          <w:tcPr>
            <w:tcW w:w="480" w:type="dxa"/>
            <w:vAlign w:val="bottom"/>
            <w:gridSpan w:val="2"/>
          </w:tcPr>
          <w:p>
            <w:pPr>
              <w:jc w:val="right"/>
              <w:spacing w:after="0"/>
              <w:rPr>
                <w:sz w:val="20"/>
                <w:szCs w:val="20"/>
                <w:color w:val="auto"/>
              </w:rPr>
            </w:pPr>
            <w:r>
              <w:rPr>
                <w:rFonts w:ascii="Arial" w:cs="Arial" w:eastAsia="Arial" w:hAnsi="Arial"/>
                <w:sz w:val="11"/>
                <w:szCs w:val="11"/>
                <w:b w:val="1"/>
                <w:bCs w:val="1"/>
                <w:color w:val="auto"/>
                <w:w w:val="74"/>
              </w:rPr>
              <w:t>thousands)</w:t>
            </w: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60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000" w:type="dxa"/>
            <w:vAlign w:val="bottom"/>
            <w:shd w:val="clear" w:color="auto" w:fill="CCEEFF"/>
          </w:tcPr>
          <w:p>
            <w:pPr>
              <w:ind w:left="80"/>
              <w:spacing w:after="0"/>
              <w:rPr>
                <w:sz w:val="20"/>
                <w:szCs w:val="20"/>
                <w:color w:val="auto"/>
              </w:rPr>
            </w:pPr>
            <w:r>
              <w:rPr>
                <w:rFonts w:ascii="Arial" w:cs="Arial" w:eastAsia="Arial" w:hAnsi="Arial"/>
                <w:sz w:val="12"/>
                <w:szCs w:val="12"/>
                <w:color w:val="auto"/>
              </w:rPr>
              <w:t>Balances at beginning of period</w:t>
            </w: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15,822</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126"/>
              <w:spacing w:after="0"/>
              <w:rPr>
                <w:sz w:val="20"/>
                <w:szCs w:val="20"/>
                <w:color w:val="auto"/>
              </w:rPr>
            </w:pPr>
            <w:r>
              <w:rPr>
                <w:rFonts w:ascii="Arial" w:cs="Arial" w:eastAsia="Arial" w:hAnsi="Arial"/>
                <w:sz w:val="12"/>
                <w:szCs w:val="12"/>
                <w:color w:val="auto"/>
              </w:rPr>
              <w:t>(5,798)</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10,024</w:t>
            </w:r>
          </w:p>
        </w:tc>
        <w:tc>
          <w:tcPr>
            <w:tcW w:w="0" w:type="dxa"/>
            <w:vAlign w:val="bottom"/>
          </w:tcPr>
          <w:p>
            <w:pPr>
              <w:spacing w:after="0"/>
              <w:rPr>
                <w:sz w:val="1"/>
                <w:szCs w:val="1"/>
                <w:color w:val="auto"/>
              </w:rPr>
            </w:pPr>
          </w:p>
        </w:tc>
      </w:tr>
      <w:tr>
        <w:trPr>
          <w:trHeight w:val="144"/>
        </w:trPr>
        <w:tc>
          <w:tcPr>
            <w:tcW w:w="6000" w:type="dxa"/>
            <w:vAlign w:val="bottom"/>
          </w:tcPr>
          <w:p>
            <w:pPr>
              <w:ind w:left="200"/>
              <w:spacing w:after="0"/>
              <w:rPr>
                <w:sz w:val="20"/>
                <w:szCs w:val="20"/>
                <w:color w:val="auto"/>
              </w:rPr>
            </w:pPr>
            <w:r>
              <w:rPr>
                <w:rFonts w:ascii="Arial" w:cs="Arial" w:eastAsia="Arial" w:hAnsi="Arial"/>
                <w:sz w:val="12"/>
                <w:szCs w:val="12"/>
                <w:color w:val="auto"/>
              </w:rPr>
              <w:t>Other comprehensive loss before reclassifications</w:t>
            </w:r>
          </w:p>
        </w:tc>
        <w:tc>
          <w:tcPr>
            <w:tcW w:w="160" w:type="dxa"/>
            <w:vAlign w:val="bottom"/>
          </w:tcPr>
          <w:p>
            <w:pPr>
              <w:spacing w:after="0"/>
              <w:rPr>
                <w:sz w:val="12"/>
                <w:szCs w:val="1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2"/>
                <w:szCs w:val="12"/>
                <w:color w:val="auto"/>
              </w:rPr>
              <w:t>(8,408)</w:t>
            </w:r>
          </w:p>
        </w:tc>
        <w:tc>
          <w:tcPr>
            <w:tcW w:w="160" w:type="dxa"/>
            <w:vAlign w:val="bottom"/>
          </w:tcPr>
          <w:p>
            <w:pPr>
              <w:spacing w:after="0"/>
              <w:rPr>
                <w:sz w:val="12"/>
                <w:szCs w:val="12"/>
                <w:color w:val="auto"/>
              </w:rPr>
            </w:pPr>
          </w:p>
        </w:tc>
        <w:tc>
          <w:tcPr>
            <w:tcW w:w="1180" w:type="dxa"/>
            <w:vAlign w:val="bottom"/>
            <w:gridSpan w:val="2"/>
          </w:tcPr>
          <w:p>
            <w:pPr>
              <w:jc w:val="right"/>
              <w:ind w:right="166"/>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(8,408)</w:t>
            </w:r>
          </w:p>
        </w:tc>
        <w:tc>
          <w:tcPr>
            <w:tcW w:w="0" w:type="dxa"/>
            <w:vAlign w:val="bottom"/>
          </w:tcPr>
          <w:p>
            <w:pPr>
              <w:spacing w:after="0"/>
              <w:rPr>
                <w:sz w:val="1"/>
                <w:szCs w:val="1"/>
                <w:color w:val="auto"/>
              </w:rPr>
            </w:pPr>
          </w:p>
        </w:tc>
      </w:tr>
      <w:tr>
        <w:trPr>
          <w:trHeight w:val="144"/>
        </w:trPr>
        <w:tc>
          <w:tcPr>
            <w:tcW w:w="60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Amounts reclassified from AOCIL</w:t>
            </w: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(1,115)</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66"/>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(1,115)</w:t>
            </w:r>
          </w:p>
        </w:tc>
        <w:tc>
          <w:tcPr>
            <w:tcW w:w="0" w:type="dxa"/>
            <w:vAlign w:val="bottom"/>
          </w:tcPr>
          <w:p>
            <w:pPr>
              <w:spacing w:after="0"/>
              <w:rPr>
                <w:sz w:val="1"/>
                <w:szCs w:val="1"/>
                <w:color w:val="auto"/>
              </w:rPr>
            </w:pPr>
          </w:p>
        </w:tc>
      </w:tr>
      <w:tr>
        <w:trPr>
          <w:trHeight w:val="20"/>
        </w:trPr>
        <w:tc>
          <w:tcPr>
            <w:tcW w:w="60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00" w:type="dxa"/>
            <w:vAlign w:val="bottom"/>
          </w:tcPr>
          <w:p>
            <w:pPr>
              <w:ind w:left="320"/>
              <w:spacing w:after="0"/>
              <w:rPr>
                <w:sz w:val="20"/>
                <w:szCs w:val="20"/>
                <w:color w:val="auto"/>
              </w:rPr>
            </w:pPr>
            <w:r>
              <w:rPr>
                <w:rFonts w:ascii="Arial" w:cs="Arial" w:eastAsia="Arial" w:hAnsi="Arial"/>
                <w:sz w:val="12"/>
                <w:szCs w:val="12"/>
                <w:color w:val="auto"/>
              </w:rPr>
              <w:t>Net current period other comprehensive loss</w:t>
            </w:r>
          </w:p>
        </w:tc>
        <w:tc>
          <w:tcPr>
            <w:tcW w:w="160" w:type="dxa"/>
            <w:vAlign w:val="bottom"/>
          </w:tcPr>
          <w:p>
            <w:pPr>
              <w:spacing w:after="0"/>
              <w:rPr>
                <w:sz w:val="12"/>
                <w:szCs w:val="1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2"/>
                <w:szCs w:val="12"/>
                <w:color w:val="auto"/>
              </w:rPr>
              <w:t>(9,523)</w:t>
            </w:r>
          </w:p>
        </w:tc>
        <w:tc>
          <w:tcPr>
            <w:tcW w:w="160" w:type="dxa"/>
            <w:vAlign w:val="bottom"/>
          </w:tcPr>
          <w:p>
            <w:pPr>
              <w:spacing w:after="0"/>
              <w:rPr>
                <w:sz w:val="12"/>
                <w:szCs w:val="12"/>
                <w:color w:val="auto"/>
              </w:rPr>
            </w:pPr>
          </w:p>
        </w:tc>
        <w:tc>
          <w:tcPr>
            <w:tcW w:w="1180" w:type="dxa"/>
            <w:vAlign w:val="bottom"/>
            <w:gridSpan w:val="2"/>
          </w:tcPr>
          <w:p>
            <w:pPr>
              <w:jc w:val="right"/>
              <w:ind w:right="166"/>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(9,523)</w:t>
            </w:r>
          </w:p>
        </w:tc>
        <w:tc>
          <w:tcPr>
            <w:tcW w:w="0" w:type="dxa"/>
            <w:vAlign w:val="bottom"/>
          </w:tcPr>
          <w:p>
            <w:pPr>
              <w:spacing w:after="0"/>
              <w:rPr>
                <w:sz w:val="1"/>
                <w:szCs w:val="1"/>
                <w:color w:val="auto"/>
              </w:rPr>
            </w:pPr>
          </w:p>
        </w:tc>
      </w:tr>
      <w:tr>
        <w:trPr>
          <w:trHeight w:val="182"/>
        </w:trPr>
        <w:tc>
          <w:tcPr>
            <w:tcW w:w="60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Balances at end of period</w:t>
            </w:r>
          </w:p>
        </w:tc>
        <w:tc>
          <w:tcPr>
            <w:tcW w:w="1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6,299</w:t>
            </w:r>
          </w:p>
        </w:tc>
        <w:tc>
          <w:tcPr>
            <w:tcW w:w="2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(5,798)</w:t>
            </w:r>
          </w:p>
        </w:tc>
        <w:tc>
          <w:tcPr>
            <w:tcW w:w="2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501</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6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6000" w:type="dxa"/>
            <w:vAlign w:val="bottom"/>
            <w:shd w:val="clear" w:color="auto" w:fill="CCEEFF"/>
          </w:tcPr>
          <w:p>
            <w:pPr>
              <w:spacing w:after="0"/>
              <w:rPr>
                <w:sz w:val="20"/>
                <w:szCs w:val="20"/>
                <w:color w:val="auto"/>
              </w:rPr>
            </w:pPr>
            <w:r>
              <w:rPr>
                <w:rFonts w:ascii="Arial" w:cs="Arial" w:eastAsia="Arial" w:hAnsi="Arial"/>
                <w:sz w:val="12"/>
                <w:szCs w:val="12"/>
                <w:color w:val="auto"/>
              </w:rPr>
              <w:t>2020</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00" w:type="dxa"/>
            <w:vAlign w:val="bottom"/>
          </w:tcPr>
          <w:p>
            <w:pPr>
              <w:ind w:left="80"/>
              <w:spacing w:after="0"/>
              <w:rPr>
                <w:sz w:val="20"/>
                <w:szCs w:val="20"/>
                <w:color w:val="auto"/>
              </w:rPr>
            </w:pPr>
            <w:r>
              <w:rPr>
                <w:rFonts w:ascii="Arial" w:cs="Arial" w:eastAsia="Arial" w:hAnsi="Arial"/>
                <w:sz w:val="12"/>
                <w:szCs w:val="12"/>
                <w:color w:val="auto"/>
              </w:rPr>
              <w:t>Balances at beginning of period</w:t>
            </w: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3,739</w:t>
            </w:r>
          </w:p>
        </w:tc>
        <w:tc>
          <w:tcPr>
            <w:tcW w:w="240" w:type="dxa"/>
            <w:vAlign w:val="bottom"/>
          </w:tcPr>
          <w:p>
            <w:pPr>
              <w:spacing w:after="0"/>
              <w:rPr>
                <w:sz w:val="12"/>
                <w:szCs w:val="12"/>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126"/>
              <w:spacing w:after="0"/>
              <w:rPr>
                <w:sz w:val="20"/>
                <w:szCs w:val="20"/>
                <w:color w:val="auto"/>
              </w:rPr>
            </w:pPr>
            <w:r>
              <w:rPr>
                <w:rFonts w:ascii="Arial" w:cs="Arial" w:eastAsia="Arial" w:hAnsi="Arial"/>
                <w:sz w:val="12"/>
                <w:szCs w:val="12"/>
                <w:color w:val="auto"/>
              </w:rPr>
              <w:t>(5,798)</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(1,727)</w:t>
            </w: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(3,786)</w:t>
            </w:r>
          </w:p>
        </w:tc>
        <w:tc>
          <w:tcPr>
            <w:tcW w:w="0" w:type="dxa"/>
            <w:vAlign w:val="bottom"/>
          </w:tcPr>
          <w:p>
            <w:pPr>
              <w:spacing w:after="0"/>
              <w:rPr>
                <w:sz w:val="1"/>
                <w:szCs w:val="1"/>
                <w:color w:val="auto"/>
              </w:rPr>
            </w:pPr>
          </w:p>
        </w:tc>
      </w:tr>
      <w:tr>
        <w:trPr>
          <w:trHeight w:val="144"/>
        </w:trPr>
        <w:tc>
          <w:tcPr>
            <w:tcW w:w="60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Other comprehensive income (loss) before reclassifications</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12,294</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66"/>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(279)</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12,015</w:t>
            </w:r>
          </w:p>
        </w:tc>
        <w:tc>
          <w:tcPr>
            <w:tcW w:w="0" w:type="dxa"/>
            <w:vAlign w:val="bottom"/>
          </w:tcPr>
          <w:p>
            <w:pPr>
              <w:spacing w:after="0"/>
              <w:rPr>
                <w:sz w:val="1"/>
                <w:szCs w:val="1"/>
                <w:color w:val="auto"/>
              </w:rPr>
            </w:pPr>
          </w:p>
        </w:tc>
      </w:tr>
      <w:tr>
        <w:trPr>
          <w:trHeight w:val="144"/>
        </w:trPr>
        <w:tc>
          <w:tcPr>
            <w:tcW w:w="6000" w:type="dxa"/>
            <w:vAlign w:val="bottom"/>
          </w:tcPr>
          <w:p>
            <w:pPr>
              <w:ind w:left="200"/>
              <w:spacing w:after="0"/>
              <w:rPr>
                <w:sz w:val="20"/>
                <w:szCs w:val="20"/>
                <w:color w:val="auto"/>
              </w:rPr>
            </w:pPr>
            <w:r>
              <w:rPr>
                <w:rFonts w:ascii="Arial" w:cs="Arial" w:eastAsia="Arial" w:hAnsi="Arial"/>
                <w:sz w:val="12"/>
                <w:szCs w:val="12"/>
                <w:color w:val="auto"/>
              </w:rPr>
              <w:t>Amounts reclassified from AOCIL</w:t>
            </w:r>
          </w:p>
        </w:tc>
        <w:tc>
          <w:tcPr>
            <w:tcW w:w="160" w:type="dxa"/>
            <w:vAlign w:val="bottom"/>
          </w:tcPr>
          <w:p>
            <w:pPr>
              <w:spacing w:after="0"/>
              <w:rPr>
                <w:sz w:val="12"/>
                <w:szCs w:val="1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2"/>
                <w:szCs w:val="12"/>
                <w:color w:val="auto"/>
              </w:rPr>
              <w:t>(211)</w:t>
            </w:r>
          </w:p>
        </w:tc>
        <w:tc>
          <w:tcPr>
            <w:tcW w:w="160" w:type="dxa"/>
            <w:vAlign w:val="bottom"/>
          </w:tcPr>
          <w:p>
            <w:pPr>
              <w:spacing w:after="0"/>
              <w:rPr>
                <w:sz w:val="12"/>
                <w:szCs w:val="12"/>
                <w:color w:val="auto"/>
              </w:rPr>
            </w:pPr>
          </w:p>
        </w:tc>
        <w:tc>
          <w:tcPr>
            <w:tcW w:w="1180" w:type="dxa"/>
            <w:vAlign w:val="bottom"/>
            <w:gridSpan w:val="2"/>
          </w:tcPr>
          <w:p>
            <w:pPr>
              <w:jc w:val="right"/>
              <w:ind w:right="166"/>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2,006</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1,795</w:t>
            </w:r>
          </w:p>
        </w:tc>
        <w:tc>
          <w:tcPr>
            <w:tcW w:w="0" w:type="dxa"/>
            <w:vAlign w:val="bottom"/>
          </w:tcPr>
          <w:p>
            <w:pPr>
              <w:spacing w:after="0"/>
              <w:rPr>
                <w:sz w:val="1"/>
                <w:szCs w:val="1"/>
                <w:color w:val="auto"/>
              </w:rPr>
            </w:pPr>
          </w:p>
        </w:tc>
      </w:tr>
      <w:tr>
        <w:trPr>
          <w:trHeight w:val="142"/>
        </w:trPr>
        <w:tc>
          <w:tcPr>
            <w:tcW w:w="60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Net current period other comprehensive income</w:t>
            </w: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12,083</w:t>
            </w:r>
          </w:p>
        </w:tc>
        <w:tc>
          <w:tcPr>
            <w:tcW w:w="2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1,727</w:t>
            </w:r>
          </w:p>
        </w:tc>
        <w:tc>
          <w:tcPr>
            <w:tcW w:w="2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13,810</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00" w:type="dxa"/>
            <w:vAlign w:val="bottom"/>
          </w:tcPr>
          <w:p>
            <w:pPr>
              <w:ind w:left="80"/>
              <w:spacing w:after="0"/>
              <w:rPr>
                <w:sz w:val="20"/>
                <w:szCs w:val="20"/>
                <w:color w:val="auto"/>
              </w:rPr>
            </w:pPr>
            <w:r>
              <w:rPr>
                <w:rFonts w:ascii="Arial" w:cs="Arial" w:eastAsia="Arial" w:hAnsi="Arial"/>
                <w:sz w:val="12"/>
                <w:szCs w:val="12"/>
                <w:color w:val="auto"/>
              </w:rPr>
              <w:t>Balances at end of period</w:t>
            </w: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15,822</w:t>
            </w:r>
          </w:p>
        </w:tc>
        <w:tc>
          <w:tcPr>
            <w:tcW w:w="240" w:type="dxa"/>
            <w:vAlign w:val="bottom"/>
          </w:tcPr>
          <w:p>
            <w:pPr>
              <w:spacing w:after="0"/>
              <w:rPr>
                <w:sz w:val="12"/>
                <w:szCs w:val="12"/>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126"/>
              <w:spacing w:after="0"/>
              <w:rPr>
                <w:sz w:val="20"/>
                <w:szCs w:val="20"/>
                <w:color w:val="auto"/>
              </w:rPr>
            </w:pPr>
            <w:r>
              <w:rPr>
                <w:rFonts w:ascii="Arial" w:cs="Arial" w:eastAsia="Arial" w:hAnsi="Arial"/>
                <w:sz w:val="12"/>
                <w:szCs w:val="12"/>
                <w:color w:val="auto"/>
              </w:rPr>
              <w:t>(5,798)</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10,024</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60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6000" w:type="dxa"/>
            <w:vAlign w:val="bottom"/>
          </w:tcPr>
          <w:p>
            <w:pPr>
              <w:spacing w:after="0"/>
              <w:rPr>
                <w:sz w:val="20"/>
                <w:szCs w:val="20"/>
                <w:color w:val="auto"/>
              </w:rPr>
            </w:pPr>
            <w:r>
              <w:rPr>
                <w:rFonts w:ascii="Arial" w:cs="Arial" w:eastAsia="Arial" w:hAnsi="Arial"/>
                <w:sz w:val="12"/>
                <w:szCs w:val="12"/>
                <w:color w:val="auto"/>
              </w:rPr>
              <w:t>2019</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00" w:type="dxa"/>
            <w:vAlign w:val="bottom"/>
            <w:shd w:val="clear" w:color="auto" w:fill="CCEEFF"/>
          </w:tcPr>
          <w:p>
            <w:pPr>
              <w:ind w:left="80"/>
              <w:spacing w:after="0"/>
              <w:rPr>
                <w:sz w:val="20"/>
                <w:szCs w:val="20"/>
                <w:color w:val="auto"/>
              </w:rPr>
            </w:pPr>
            <w:r>
              <w:rPr>
                <w:rFonts w:ascii="Arial" w:cs="Arial" w:eastAsia="Arial" w:hAnsi="Arial"/>
                <w:sz w:val="12"/>
                <w:szCs w:val="12"/>
                <w:color w:val="auto"/>
              </w:rPr>
              <w:t>Balances at beginning of period</w:t>
            </w: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(4,185)</w:t>
            </w: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126"/>
              <w:spacing w:after="0"/>
              <w:rPr>
                <w:sz w:val="20"/>
                <w:szCs w:val="20"/>
                <w:color w:val="auto"/>
              </w:rPr>
            </w:pPr>
            <w:r>
              <w:rPr>
                <w:rFonts w:ascii="Arial" w:cs="Arial" w:eastAsia="Arial" w:hAnsi="Arial"/>
                <w:sz w:val="12"/>
                <w:szCs w:val="12"/>
                <w:color w:val="auto"/>
              </w:rPr>
              <w:t>(5,798)</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(125)</w:t>
            </w: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(10,108)</w:t>
            </w:r>
          </w:p>
        </w:tc>
        <w:tc>
          <w:tcPr>
            <w:tcW w:w="0" w:type="dxa"/>
            <w:vAlign w:val="bottom"/>
          </w:tcPr>
          <w:p>
            <w:pPr>
              <w:spacing w:after="0"/>
              <w:rPr>
                <w:sz w:val="1"/>
                <w:szCs w:val="1"/>
                <w:color w:val="auto"/>
              </w:rPr>
            </w:pPr>
          </w:p>
        </w:tc>
      </w:tr>
      <w:tr>
        <w:trPr>
          <w:trHeight w:val="144"/>
        </w:trPr>
        <w:tc>
          <w:tcPr>
            <w:tcW w:w="6000" w:type="dxa"/>
            <w:vAlign w:val="bottom"/>
          </w:tcPr>
          <w:p>
            <w:pPr>
              <w:ind w:left="200"/>
              <w:spacing w:after="0"/>
              <w:rPr>
                <w:sz w:val="20"/>
                <w:szCs w:val="20"/>
                <w:color w:val="auto"/>
              </w:rPr>
            </w:pPr>
            <w:r>
              <w:rPr>
                <w:rFonts w:ascii="Arial" w:cs="Arial" w:eastAsia="Arial" w:hAnsi="Arial"/>
                <w:sz w:val="12"/>
                <w:szCs w:val="12"/>
                <w:color w:val="auto"/>
              </w:rPr>
              <w:t>Other comprehensive income (loss) before reclassifications</w:t>
            </w: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8,035</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166"/>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(1,266)</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6,769</w:t>
            </w:r>
          </w:p>
        </w:tc>
        <w:tc>
          <w:tcPr>
            <w:tcW w:w="0" w:type="dxa"/>
            <w:vAlign w:val="bottom"/>
          </w:tcPr>
          <w:p>
            <w:pPr>
              <w:spacing w:after="0"/>
              <w:rPr>
                <w:sz w:val="1"/>
                <w:szCs w:val="1"/>
                <w:color w:val="auto"/>
              </w:rPr>
            </w:pPr>
          </w:p>
        </w:tc>
      </w:tr>
      <w:tr>
        <w:trPr>
          <w:trHeight w:val="144"/>
        </w:trPr>
        <w:tc>
          <w:tcPr>
            <w:tcW w:w="60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Amounts reclassified from AOCIL</w:t>
            </w: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(111)</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66"/>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(336)</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(447)</w:t>
            </w:r>
          </w:p>
        </w:tc>
        <w:tc>
          <w:tcPr>
            <w:tcW w:w="0" w:type="dxa"/>
            <w:vAlign w:val="bottom"/>
          </w:tcPr>
          <w:p>
            <w:pPr>
              <w:spacing w:after="0"/>
              <w:rPr>
                <w:sz w:val="1"/>
                <w:szCs w:val="1"/>
                <w:color w:val="auto"/>
              </w:rPr>
            </w:pPr>
          </w:p>
        </w:tc>
      </w:tr>
      <w:tr>
        <w:trPr>
          <w:trHeight w:val="20"/>
        </w:trPr>
        <w:tc>
          <w:tcPr>
            <w:tcW w:w="60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00" w:type="dxa"/>
            <w:vAlign w:val="bottom"/>
          </w:tcPr>
          <w:p>
            <w:pPr>
              <w:ind w:left="320"/>
              <w:spacing w:after="0"/>
              <w:rPr>
                <w:sz w:val="20"/>
                <w:szCs w:val="20"/>
                <w:color w:val="auto"/>
              </w:rPr>
            </w:pPr>
            <w:r>
              <w:rPr>
                <w:rFonts w:ascii="Arial" w:cs="Arial" w:eastAsia="Arial" w:hAnsi="Arial"/>
                <w:sz w:val="12"/>
                <w:szCs w:val="12"/>
                <w:color w:val="auto"/>
              </w:rPr>
              <w:t>Net current period other comprehensive income (loss)</w:t>
            </w: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7,924</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166"/>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(1,602)</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6,322</w:t>
            </w:r>
          </w:p>
        </w:tc>
        <w:tc>
          <w:tcPr>
            <w:tcW w:w="0" w:type="dxa"/>
            <w:vAlign w:val="bottom"/>
          </w:tcPr>
          <w:p>
            <w:pPr>
              <w:spacing w:after="0"/>
              <w:rPr>
                <w:sz w:val="1"/>
                <w:szCs w:val="1"/>
                <w:color w:val="auto"/>
              </w:rPr>
            </w:pPr>
          </w:p>
        </w:tc>
      </w:tr>
      <w:tr>
        <w:trPr>
          <w:trHeight w:val="164"/>
        </w:trPr>
        <w:tc>
          <w:tcPr>
            <w:tcW w:w="6000" w:type="dxa"/>
            <w:vAlign w:val="bottom"/>
            <w:shd w:val="clear" w:color="auto" w:fill="CCEEFF"/>
          </w:tcPr>
          <w:p>
            <w:pPr>
              <w:ind w:left="80"/>
              <w:spacing w:after="0"/>
              <w:rPr>
                <w:sz w:val="20"/>
                <w:szCs w:val="20"/>
                <w:color w:val="auto"/>
              </w:rPr>
            </w:pPr>
            <w:r>
              <w:rPr>
                <w:rFonts w:ascii="Arial" w:cs="Arial" w:eastAsia="Arial" w:hAnsi="Arial"/>
                <w:sz w:val="12"/>
                <w:szCs w:val="12"/>
                <w:color w:val="auto"/>
              </w:rPr>
              <w:t>Balances at end of period</w:t>
            </w: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3,739</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126"/>
              <w:spacing w:after="0"/>
              <w:rPr>
                <w:sz w:val="20"/>
                <w:szCs w:val="20"/>
                <w:color w:val="auto"/>
              </w:rPr>
            </w:pPr>
            <w:r>
              <w:rPr>
                <w:rFonts w:ascii="Arial" w:cs="Arial" w:eastAsia="Arial" w:hAnsi="Arial"/>
                <w:sz w:val="12"/>
                <w:szCs w:val="12"/>
                <w:color w:val="auto"/>
              </w:rPr>
              <w:t>(5,798)</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(1,727)</w:t>
            </w: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(3,786)</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jc w:val="both"/>
        <w:ind w:firstLine="216"/>
        <w:spacing w:after="0" w:line="285" w:lineRule="auto"/>
        <w:rPr>
          <w:sz w:val="20"/>
          <w:szCs w:val="20"/>
          <w:color w:val="auto"/>
        </w:rPr>
      </w:pPr>
      <w:r>
        <w:rPr>
          <w:rFonts w:ascii="Arial" w:cs="Arial" w:eastAsia="Arial" w:hAnsi="Arial"/>
          <w:sz w:val="11"/>
          <w:szCs w:val="11"/>
          <w:color w:val="auto"/>
        </w:rPr>
        <w:t>The disproportionate tax effects from securities available for sale arose primarily due to tax effects of other comprehensive income (‘‘OCI’’) in the presence of a valuation allowance against our deferred tax assets and a pretax loss from operations. Generally, the amount of income tax expense or benefit allocated to operations is determined without regard to the tax effects of other categories of income or loss, such as OCI. However, an exception to the general rule is provided when, in the presence of a valuation allowance against deferred tax assets, there is a pretax loss from operations and pretax income from other categories in the current period. In such instances, income from other categories must offset the current loss from operations, the tax benefit of such offset being reflected in operations. Release of material disproportionate tax effects from other comprehensive income to earnings is done by the portfolio method whereby the effects will remain in AOCIL as long as we carry a more than inconsequential portfolio of securities available for sale.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157"/>
        </w:trPr>
        <w:tc>
          <w:tcPr>
            <w:tcW w:w="3340" w:type="dxa"/>
            <w:vAlign w:val="bottom"/>
          </w:tcPr>
          <w:p>
            <w:pPr>
              <w:spacing w:after="0"/>
              <w:rPr>
                <w:sz w:val="13"/>
                <w:szCs w:val="13"/>
                <w:color w:val="auto"/>
              </w:rPr>
            </w:pPr>
          </w:p>
        </w:tc>
        <w:tc>
          <w:tcPr>
            <w:tcW w:w="7960" w:type="dxa"/>
            <w:vAlign w:val="bottom"/>
            <w:gridSpan w:val="7"/>
          </w:tcPr>
          <w:p>
            <w:pPr>
              <w:jc w:val="center"/>
              <w:ind w:right="3280"/>
              <w:spacing w:after="0"/>
              <w:rPr>
                <w:sz w:val="20"/>
                <w:szCs w:val="20"/>
                <w:color w:val="auto"/>
              </w:rPr>
            </w:pPr>
            <w:r>
              <w:rPr>
                <w:rFonts w:ascii="Arial" w:cs="Arial" w:eastAsia="Arial" w:hAnsi="Arial"/>
                <w:sz w:val="12"/>
                <w:szCs w:val="12"/>
                <w:b w:val="1"/>
                <w:bCs w:val="1"/>
                <w:color w:val="auto"/>
                <w:w w:val="98"/>
              </w:rPr>
              <w:t>NOTES TO CONSOLIDATED FINANCIAL STATEMENTS − (Continued)</w:t>
            </w:r>
          </w:p>
        </w:tc>
      </w:tr>
      <w:tr>
        <w:trPr>
          <w:trHeight w:val="405"/>
        </w:trPr>
        <w:tc>
          <w:tcPr>
            <w:tcW w:w="6320" w:type="dxa"/>
            <w:vAlign w:val="bottom"/>
            <w:gridSpan w:val="7"/>
          </w:tcPr>
          <w:p>
            <w:pPr>
              <w:ind w:left="200"/>
              <w:spacing w:after="0"/>
              <w:rPr>
                <w:sz w:val="20"/>
                <w:szCs w:val="20"/>
                <w:color w:val="auto"/>
              </w:rPr>
            </w:pPr>
            <w:r>
              <w:rPr>
                <w:rFonts w:ascii="Arial" w:cs="Arial" w:eastAsia="Arial" w:hAnsi="Arial"/>
                <w:sz w:val="12"/>
                <w:szCs w:val="12"/>
                <w:color w:val="auto"/>
              </w:rPr>
              <w:t>A summary of reclassifications out of each component of AOCIL for the years ended December 31 follows:</w:t>
            </w:r>
          </w:p>
        </w:tc>
        <w:tc>
          <w:tcPr>
            <w:tcW w:w="4980" w:type="dxa"/>
            <w:vAlign w:val="bottom"/>
          </w:tcPr>
          <w:p>
            <w:pPr>
              <w:spacing w:after="0"/>
              <w:rPr>
                <w:sz w:val="24"/>
                <w:szCs w:val="24"/>
                <w:color w:val="auto"/>
              </w:rPr>
            </w:pPr>
          </w:p>
        </w:tc>
      </w:tr>
      <w:tr>
        <w:trPr>
          <w:trHeight w:val="275"/>
        </w:trPr>
        <w:tc>
          <w:tcPr>
            <w:tcW w:w="33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2"/>
                <w:szCs w:val="12"/>
                <w:b w:val="1"/>
                <w:bCs w:val="1"/>
                <w:color w:val="auto"/>
                <w:w w:val="88"/>
              </w:rPr>
              <w:t>Reclassified</w:t>
            </w:r>
          </w:p>
        </w:tc>
        <w:tc>
          <w:tcPr>
            <w:tcW w:w="4980" w:type="dxa"/>
            <w:vAlign w:val="bottom"/>
          </w:tcPr>
          <w:p>
            <w:pPr>
              <w:spacing w:after="0"/>
              <w:rPr>
                <w:sz w:val="23"/>
                <w:szCs w:val="23"/>
                <w:color w:val="auto"/>
              </w:rPr>
            </w:pPr>
          </w:p>
        </w:tc>
      </w:tr>
      <w:tr>
        <w:trPr>
          <w:trHeight w:val="144"/>
        </w:trPr>
        <w:tc>
          <w:tcPr>
            <w:tcW w:w="33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2"/>
                <w:szCs w:val="12"/>
                <w:b w:val="1"/>
                <w:bCs w:val="1"/>
                <w:color w:val="auto"/>
                <w:w w:val="93"/>
              </w:rPr>
              <w:t>From</w:t>
            </w:r>
          </w:p>
        </w:tc>
        <w:tc>
          <w:tcPr>
            <w:tcW w:w="4980" w:type="dxa"/>
            <w:vAlign w:val="bottom"/>
          </w:tcPr>
          <w:p>
            <w:pPr>
              <w:ind w:left="1960"/>
              <w:spacing w:after="0"/>
              <w:rPr>
                <w:sz w:val="20"/>
                <w:szCs w:val="20"/>
                <w:color w:val="auto"/>
              </w:rPr>
            </w:pPr>
            <w:r>
              <w:rPr>
                <w:rFonts w:ascii="Arial" w:cs="Arial" w:eastAsia="Arial" w:hAnsi="Arial"/>
                <w:sz w:val="12"/>
                <w:szCs w:val="12"/>
                <w:b w:val="1"/>
                <w:bCs w:val="1"/>
                <w:color w:val="auto"/>
              </w:rPr>
              <w:t>Affected Line Item in</w:t>
            </w:r>
          </w:p>
        </w:tc>
      </w:tr>
      <w:tr>
        <w:trPr>
          <w:trHeight w:val="157"/>
        </w:trPr>
        <w:tc>
          <w:tcPr>
            <w:tcW w:w="3340" w:type="dxa"/>
            <w:vAlign w:val="bottom"/>
          </w:tcPr>
          <w:p>
            <w:pPr>
              <w:ind w:left="1960"/>
              <w:spacing w:after="0"/>
              <w:rPr>
                <w:sz w:val="20"/>
                <w:szCs w:val="20"/>
                <w:color w:val="auto"/>
              </w:rPr>
            </w:pPr>
            <w:r>
              <w:rPr>
                <w:rFonts w:ascii="Arial" w:cs="Arial" w:eastAsia="Arial" w:hAnsi="Arial"/>
                <w:sz w:val="12"/>
                <w:szCs w:val="12"/>
                <w:b w:val="1"/>
                <w:bCs w:val="1"/>
                <w:color w:val="auto"/>
              </w:rPr>
              <w:t>AOCIL Component</w:t>
            </w: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2"/>
                <w:szCs w:val="12"/>
                <w:b w:val="1"/>
                <w:bCs w:val="1"/>
                <w:color w:val="auto"/>
              </w:rPr>
              <w:t>AOCIL</w:t>
            </w:r>
          </w:p>
        </w:tc>
        <w:tc>
          <w:tcPr>
            <w:tcW w:w="4980" w:type="dxa"/>
            <w:vAlign w:val="bottom"/>
          </w:tcPr>
          <w:p>
            <w:pPr>
              <w:ind w:left="1500"/>
              <w:spacing w:after="0"/>
              <w:rPr>
                <w:sz w:val="20"/>
                <w:szCs w:val="20"/>
                <w:color w:val="auto"/>
              </w:rPr>
            </w:pPr>
            <w:r>
              <w:rPr>
                <w:rFonts w:ascii="Arial" w:cs="Arial" w:eastAsia="Arial" w:hAnsi="Arial"/>
                <w:sz w:val="12"/>
                <w:szCs w:val="12"/>
                <w:b w:val="1"/>
                <w:bCs w:val="1"/>
                <w:color w:val="auto"/>
              </w:rPr>
              <w:t>Consolidated Statements of Operations</w:t>
            </w:r>
          </w:p>
        </w:tc>
      </w:tr>
      <w:tr>
        <w:trPr>
          <w:trHeight w:val="155"/>
        </w:trPr>
        <w:tc>
          <w:tcPr>
            <w:tcW w:w="334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center"/>
              <w:ind w:right="80"/>
              <w:spacing w:after="0"/>
              <w:rPr>
                <w:sz w:val="20"/>
                <w:szCs w:val="20"/>
                <w:color w:val="auto"/>
              </w:rPr>
            </w:pPr>
            <w:r>
              <w:rPr>
                <w:rFonts w:ascii="Arial" w:cs="Arial" w:eastAsia="Arial" w:hAnsi="Arial"/>
                <w:sz w:val="12"/>
                <w:szCs w:val="12"/>
                <w:b w:val="1"/>
                <w:bCs w:val="1"/>
                <w:color w:val="auto"/>
                <w:w w:val="89"/>
              </w:rPr>
              <w:t>(In thousands)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980" w:type="dxa"/>
            <w:vAlign w:val="bottom"/>
            <w:tcBorders>
              <w:top w:val="single" w:sz="8" w:color="auto"/>
            </w:tcBorders>
          </w:tcPr>
          <w:p>
            <w:pPr>
              <w:spacing w:after="0"/>
              <w:rPr>
                <w:sz w:val="13"/>
                <w:szCs w:val="13"/>
                <w:color w:val="auto"/>
              </w:rPr>
            </w:pPr>
          </w:p>
        </w:tc>
      </w:tr>
      <w:tr>
        <w:trPr>
          <w:trHeight w:val="275"/>
        </w:trPr>
        <w:tc>
          <w:tcPr>
            <w:tcW w:w="3340" w:type="dxa"/>
            <w:vAlign w:val="bottom"/>
          </w:tcPr>
          <w:p>
            <w:pPr>
              <w:spacing w:after="0"/>
              <w:rPr>
                <w:sz w:val="20"/>
                <w:szCs w:val="20"/>
                <w:color w:val="auto"/>
              </w:rPr>
            </w:pPr>
            <w:r>
              <w:rPr>
                <w:rFonts w:ascii="Arial" w:cs="Arial" w:eastAsia="Arial" w:hAnsi="Arial"/>
                <w:sz w:val="12"/>
                <w:szCs w:val="12"/>
                <w:color w:val="auto"/>
              </w:rPr>
              <w:t>2021</w:t>
            </w:r>
          </w:p>
        </w:tc>
        <w:tc>
          <w:tcPr>
            <w:tcW w:w="1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980" w:type="dxa"/>
            <w:vAlign w:val="bottom"/>
          </w:tcPr>
          <w:p>
            <w:pPr>
              <w:spacing w:after="0"/>
              <w:rPr>
                <w:sz w:val="23"/>
                <w:szCs w:val="23"/>
                <w:color w:val="auto"/>
              </w:rPr>
            </w:pPr>
          </w:p>
        </w:tc>
      </w:tr>
      <w:tr>
        <w:trPr>
          <w:trHeight w:val="144"/>
        </w:trPr>
        <w:tc>
          <w:tcPr>
            <w:tcW w:w="3340" w:type="dxa"/>
            <w:vAlign w:val="bottom"/>
            <w:shd w:val="clear" w:color="auto" w:fill="CCEEFF"/>
          </w:tcPr>
          <w:p>
            <w:pPr>
              <w:ind w:left="80"/>
              <w:spacing w:after="0"/>
              <w:rPr>
                <w:sz w:val="20"/>
                <w:szCs w:val="20"/>
                <w:color w:val="auto"/>
              </w:rPr>
            </w:pPr>
            <w:r>
              <w:rPr>
                <w:rFonts w:ascii="Arial" w:cs="Arial" w:eastAsia="Arial" w:hAnsi="Arial"/>
                <w:sz w:val="12"/>
                <w:szCs w:val="12"/>
                <w:color w:val="auto"/>
              </w:rPr>
              <w:t>Unrealized gains (losses) on securities available for sale</w:t>
            </w:r>
          </w:p>
        </w:tc>
        <w:tc>
          <w:tcPr>
            <w:tcW w:w="1880" w:type="dxa"/>
            <w:vAlign w:val="bottom"/>
            <w:gridSpan w:val="3"/>
            <w:shd w:val="clear" w:color="auto" w:fill="CCEEFF"/>
          </w:tcPr>
          <w:p>
            <w:pPr>
              <w:jc w:val="right"/>
              <w:ind w:right="32"/>
              <w:spacing w:after="0"/>
              <w:rPr>
                <w:sz w:val="20"/>
                <w:szCs w:val="20"/>
                <w:color w:val="auto"/>
              </w:rPr>
            </w:pPr>
            <w:r>
              <w:rPr>
                <w:rFonts w:ascii="Arial" w:cs="Arial" w:eastAsia="Arial" w:hAnsi="Arial"/>
                <w:sz w:val="12"/>
                <w:szCs w:val="12"/>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1,411</w:t>
            </w:r>
          </w:p>
        </w:tc>
        <w:tc>
          <w:tcPr>
            <w:tcW w:w="80" w:type="dxa"/>
            <w:vAlign w:val="bottom"/>
            <w:shd w:val="clear" w:color="auto" w:fill="CCEEFF"/>
          </w:tcPr>
          <w:p>
            <w:pPr>
              <w:spacing w:after="0"/>
              <w:rPr>
                <w:sz w:val="12"/>
                <w:szCs w:val="12"/>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2"/>
                <w:szCs w:val="12"/>
                <w:color w:val="auto"/>
              </w:rPr>
              <w:t>Net gains on securities available for sale</w:t>
            </w:r>
          </w:p>
        </w:tc>
      </w:tr>
      <w:tr>
        <w:trPr>
          <w:trHeight w:val="144"/>
        </w:trPr>
        <w:tc>
          <w:tcPr>
            <w:tcW w:w="33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980" w:type="dxa"/>
            <w:vAlign w:val="bottom"/>
          </w:tcPr>
          <w:p>
            <w:pPr>
              <w:spacing w:after="0"/>
              <w:rPr>
                <w:sz w:val="20"/>
                <w:szCs w:val="20"/>
                <w:color w:val="auto"/>
              </w:rPr>
            </w:pPr>
            <w:r>
              <w:rPr>
                <w:rFonts w:ascii="Arial" w:cs="Arial" w:eastAsia="Arial" w:hAnsi="Arial"/>
                <w:sz w:val="12"/>
                <w:szCs w:val="12"/>
                <w:color w:val="auto"/>
              </w:rPr>
              <w:t>Net impairment loss recognized in earnings</w:t>
            </w:r>
          </w:p>
        </w:tc>
      </w:tr>
      <w:tr>
        <w:trPr>
          <w:trHeight w:val="142"/>
        </w:trPr>
        <w:tc>
          <w:tcPr>
            <w:tcW w:w="334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1,411</w:t>
            </w:r>
          </w:p>
        </w:tc>
        <w:tc>
          <w:tcPr>
            <w:tcW w:w="80" w:type="dxa"/>
            <w:vAlign w:val="bottom"/>
            <w:shd w:val="clear" w:color="auto" w:fill="CCEEFF"/>
          </w:tcPr>
          <w:p>
            <w:pPr>
              <w:spacing w:after="0"/>
              <w:rPr>
                <w:sz w:val="12"/>
                <w:szCs w:val="12"/>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2"/>
                <w:szCs w:val="12"/>
                <w:color w:val="auto"/>
              </w:rPr>
              <w:t>Total reclassifications before tax</w:t>
            </w:r>
          </w:p>
        </w:tc>
      </w:tr>
      <w:tr>
        <w:trPr>
          <w:trHeight w:val="144"/>
        </w:trPr>
        <w:tc>
          <w:tcPr>
            <w:tcW w:w="33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296</w:t>
            </w:r>
          </w:p>
        </w:tc>
        <w:tc>
          <w:tcPr>
            <w:tcW w:w="80" w:type="dxa"/>
            <w:vAlign w:val="bottom"/>
          </w:tcPr>
          <w:p>
            <w:pPr>
              <w:spacing w:after="0"/>
              <w:rPr>
                <w:sz w:val="12"/>
                <w:szCs w:val="12"/>
                <w:color w:val="auto"/>
              </w:rPr>
            </w:pPr>
          </w:p>
        </w:tc>
        <w:tc>
          <w:tcPr>
            <w:tcW w:w="4980" w:type="dxa"/>
            <w:vAlign w:val="bottom"/>
          </w:tcPr>
          <w:p>
            <w:pPr>
              <w:spacing w:after="0"/>
              <w:rPr>
                <w:sz w:val="20"/>
                <w:szCs w:val="20"/>
                <w:color w:val="auto"/>
              </w:rPr>
            </w:pPr>
            <w:r>
              <w:rPr>
                <w:rFonts w:ascii="Arial" w:cs="Arial" w:eastAsia="Arial" w:hAnsi="Arial"/>
                <w:sz w:val="12"/>
                <w:szCs w:val="12"/>
                <w:color w:val="auto"/>
              </w:rPr>
              <w:t>Income tax expense</w:t>
            </w:r>
          </w:p>
        </w:tc>
      </w:tr>
      <w:tr>
        <w:trPr>
          <w:trHeight w:val="182"/>
        </w:trPr>
        <w:tc>
          <w:tcPr>
            <w:tcW w:w="334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spacing w:after="0"/>
              <w:rPr>
                <w:sz w:val="15"/>
                <w:szCs w:val="15"/>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1,115</w:t>
            </w:r>
          </w:p>
        </w:tc>
        <w:tc>
          <w:tcPr>
            <w:tcW w:w="80" w:type="dxa"/>
            <w:vAlign w:val="bottom"/>
            <w:shd w:val="clear" w:color="auto" w:fill="CCEEFF"/>
          </w:tcPr>
          <w:p>
            <w:pPr>
              <w:spacing w:after="0"/>
              <w:rPr>
                <w:sz w:val="15"/>
                <w:szCs w:val="15"/>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2"/>
                <w:szCs w:val="12"/>
                <w:color w:val="auto"/>
              </w:rPr>
              <w:t>Reclassifications, net of tax</w:t>
            </w:r>
          </w:p>
        </w:tc>
      </w:tr>
      <w:tr>
        <w:trPr>
          <w:trHeight w:val="120"/>
        </w:trPr>
        <w:tc>
          <w:tcPr>
            <w:tcW w:w="3340" w:type="dxa"/>
            <w:vAlign w:val="bottom"/>
            <w:tcBorders>
              <w:top w:val="single" w:sz="8" w:color="CCEEFF"/>
            </w:tcBorders>
          </w:tcPr>
          <w:p>
            <w:pPr>
              <w:spacing w:after="0"/>
              <w:rPr>
                <w:sz w:val="10"/>
                <w:szCs w:val="10"/>
                <w:color w:val="auto"/>
              </w:rPr>
            </w:pPr>
          </w:p>
        </w:tc>
        <w:tc>
          <w:tcPr>
            <w:tcW w:w="16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4980" w:type="dxa"/>
            <w:vAlign w:val="bottom"/>
            <w:tcBorders>
              <w:top w:val="single" w:sz="8" w:color="CCEEFF"/>
            </w:tcBorders>
          </w:tcPr>
          <w:p>
            <w:pPr>
              <w:spacing w:after="0"/>
              <w:rPr>
                <w:sz w:val="10"/>
                <w:szCs w:val="10"/>
                <w:color w:val="auto"/>
              </w:rPr>
            </w:pPr>
          </w:p>
        </w:tc>
      </w:tr>
      <w:tr>
        <w:trPr>
          <w:trHeight w:val="144"/>
        </w:trPr>
        <w:tc>
          <w:tcPr>
            <w:tcW w:w="3340" w:type="dxa"/>
            <w:vAlign w:val="bottom"/>
            <w:shd w:val="clear" w:color="auto" w:fill="CCEEFF"/>
          </w:tcPr>
          <w:p>
            <w:pPr>
              <w:spacing w:after="0"/>
              <w:rPr>
                <w:sz w:val="20"/>
                <w:szCs w:val="20"/>
                <w:color w:val="auto"/>
              </w:rPr>
            </w:pPr>
            <w:r>
              <w:rPr>
                <w:rFonts w:ascii="Arial" w:cs="Arial" w:eastAsia="Arial" w:hAnsi="Arial"/>
                <w:sz w:val="12"/>
                <w:szCs w:val="12"/>
                <w:color w:val="auto"/>
              </w:rPr>
              <w:t>2020</w:t>
            </w:r>
          </w:p>
        </w:tc>
        <w:tc>
          <w:tcPr>
            <w:tcW w:w="1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980" w:type="dxa"/>
            <w:vAlign w:val="bottom"/>
            <w:shd w:val="clear" w:color="auto" w:fill="CCEEFF"/>
          </w:tcPr>
          <w:p>
            <w:pPr>
              <w:spacing w:after="0"/>
              <w:rPr>
                <w:sz w:val="12"/>
                <w:szCs w:val="12"/>
                <w:color w:val="auto"/>
              </w:rPr>
            </w:pPr>
          </w:p>
        </w:tc>
      </w:tr>
      <w:tr>
        <w:trPr>
          <w:trHeight w:val="144"/>
        </w:trPr>
        <w:tc>
          <w:tcPr>
            <w:tcW w:w="3340" w:type="dxa"/>
            <w:vAlign w:val="bottom"/>
          </w:tcPr>
          <w:p>
            <w:pPr>
              <w:ind w:left="80"/>
              <w:spacing w:after="0"/>
              <w:rPr>
                <w:sz w:val="20"/>
                <w:szCs w:val="20"/>
                <w:color w:val="auto"/>
              </w:rPr>
            </w:pPr>
            <w:r>
              <w:rPr>
                <w:rFonts w:ascii="Arial" w:cs="Arial" w:eastAsia="Arial" w:hAnsi="Arial"/>
                <w:sz w:val="12"/>
                <w:szCs w:val="12"/>
                <w:color w:val="auto"/>
              </w:rPr>
              <w:t>Unrealized gains (losses) on securities available for sale</w:t>
            </w:r>
          </w:p>
        </w:tc>
        <w:tc>
          <w:tcPr>
            <w:tcW w:w="1880" w:type="dxa"/>
            <w:vAlign w:val="bottom"/>
            <w:gridSpan w:val="3"/>
          </w:tcPr>
          <w:p>
            <w:pPr>
              <w:jc w:val="right"/>
              <w:ind w:right="32"/>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2"/>
                <w:szCs w:val="12"/>
                <w:color w:val="auto"/>
              </w:rPr>
              <w:t>267</w:t>
            </w:r>
          </w:p>
        </w:tc>
        <w:tc>
          <w:tcPr>
            <w:tcW w:w="80" w:type="dxa"/>
            <w:vAlign w:val="bottom"/>
          </w:tcPr>
          <w:p>
            <w:pPr>
              <w:spacing w:after="0"/>
              <w:rPr>
                <w:sz w:val="12"/>
                <w:szCs w:val="12"/>
                <w:color w:val="auto"/>
              </w:rPr>
            </w:pPr>
          </w:p>
        </w:tc>
        <w:tc>
          <w:tcPr>
            <w:tcW w:w="4980" w:type="dxa"/>
            <w:vAlign w:val="bottom"/>
          </w:tcPr>
          <w:p>
            <w:pPr>
              <w:spacing w:after="0"/>
              <w:rPr>
                <w:sz w:val="20"/>
                <w:szCs w:val="20"/>
                <w:color w:val="auto"/>
              </w:rPr>
            </w:pPr>
            <w:r>
              <w:rPr>
                <w:rFonts w:ascii="Arial" w:cs="Arial" w:eastAsia="Arial" w:hAnsi="Arial"/>
                <w:sz w:val="12"/>
                <w:szCs w:val="12"/>
                <w:color w:val="auto"/>
              </w:rPr>
              <w:t>Net gains on securities available for sale</w:t>
            </w:r>
          </w:p>
        </w:tc>
      </w:tr>
      <w:tr>
        <w:trPr>
          <w:trHeight w:val="144"/>
        </w:trPr>
        <w:tc>
          <w:tcPr>
            <w:tcW w:w="3340" w:type="dxa"/>
            <w:vAlign w:val="bottom"/>
            <w:tcBorders>
              <w:bottom w:val="single" w:sz="8" w:color="CCEEFF"/>
            </w:tcBorders>
            <w:shd w:val="clear" w:color="auto" w:fill="CCEEFF"/>
          </w:tcPr>
          <w:p>
            <w:pPr>
              <w:spacing w:after="0"/>
              <w:rPr>
                <w:sz w:val="12"/>
                <w:szCs w:val="12"/>
                <w:color w:val="auto"/>
              </w:rPr>
            </w:pPr>
          </w:p>
        </w:tc>
        <w:tc>
          <w:tcPr>
            <w:tcW w:w="16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impairment loss recognized in earnings</w:t>
            </w:r>
          </w:p>
        </w:tc>
      </w:tr>
      <w:tr>
        <w:trPr>
          <w:trHeight w:val="142"/>
        </w:trPr>
        <w:tc>
          <w:tcPr>
            <w:tcW w:w="33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2"/>
                <w:szCs w:val="12"/>
                <w:color w:val="auto"/>
              </w:rPr>
              <w:t>267</w:t>
            </w:r>
          </w:p>
        </w:tc>
        <w:tc>
          <w:tcPr>
            <w:tcW w:w="80" w:type="dxa"/>
            <w:vAlign w:val="bottom"/>
          </w:tcPr>
          <w:p>
            <w:pPr>
              <w:spacing w:after="0"/>
              <w:rPr>
                <w:sz w:val="12"/>
                <w:szCs w:val="12"/>
                <w:color w:val="auto"/>
              </w:rPr>
            </w:pPr>
          </w:p>
        </w:tc>
        <w:tc>
          <w:tcPr>
            <w:tcW w:w="4980" w:type="dxa"/>
            <w:vAlign w:val="bottom"/>
          </w:tcPr>
          <w:p>
            <w:pPr>
              <w:spacing w:after="0"/>
              <w:rPr>
                <w:sz w:val="20"/>
                <w:szCs w:val="20"/>
                <w:color w:val="auto"/>
              </w:rPr>
            </w:pPr>
            <w:r>
              <w:rPr>
                <w:rFonts w:ascii="Arial" w:cs="Arial" w:eastAsia="Arial" w:hAnsi="Arial"/>
                <w:sz w:val="12"/>
                <w:szCs w:val="12"/>
                <w:color w:val="auto"/>
              </w:rPr>
              <w:t>Total reclassifications before tax</w:t>
            </w:r>
          </w:p>
        </w:tc>
      </w:tr>
      <w:tr>
        <w:trPr>
          <w:trHeight w:val="144"/>
        </w:trPr>
        <w:tc>
          <w:tcPr>
            <w:tcW w:w="3340" w:type="dxa"/>
            <w:vAlign w:val="bottom"/>
            <w:tcBorders>
              <w:bottom w:val="single" w:sz="8" w:color="CCEEFF"/>
            </w:tcBorders>
            <w:shd w:val="clear" w:color="auto" w:fill="CCEEFF"/>
          </w:tcPr>
          <w:p>
            <w:pPr>
              <w:spacing w:after="0"/>
              <w:rPr>
                <w:sz w:val="12"/>
                <w:szCs w:val="12"/>
                <w:color w:val="auto"/>
              </w:rPr>
            </w:pPr>
          </w:p>
        </w:tc>
        <w:tc>
          <w:tcPr>
            <w:tcW w:w="16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Income tax expense</w:t>
            </w:r>
          </w:p>
        </w:tc>
      </w:tr>
      <w:tr>
        <w:trPr>
          <w:trHeight w:val="142"/>
        </w:trPr>
        <w:tc>
          <w:tcPr>
            <w:tcW w:w="3340" w:type="dxa"/>
            <w:vAlign w:val="bottom"/>
          </w:tcPr>
          <w:p>
            <w:pPr>
              <w:spacing w:after="0"/>
              <w:rPr>
                <w:sz w:val="12"/>
                <w:szCs w:val="12"/>
                <w:color w:val="auto"/>
              </w:rPr>
            </w:pPr>
          </w:p>
        </w:tc>
        <w:tc>
          <w:tcPr>
            <w:tcW w:w="1740" w:type="dxa"/>
            <w:vAlign w:val="bottom"/>
            <w:gridSpan w:val="2"/>
          </w:tcPr>
          <w:p>
            <w:pPr>
              <w:spacing w:after="0"/>
              <w:rPr>
                <w:sz w:val="12"/>
                <w:szCs w:val="12"/>
                <w:color w:val="auto"/>
              </w:rPr>
            </w:pPr>
          </w:p>
        </w:tc>
        <w:tc>
          <w:tcPr>
            <w:tcW w:w="1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211</w:t>
            </w:r>
          </w:p>
        </w:tc>
        <w:tc>
          <w:tcPr>
            <w:tcW w:w="80" w:type="dxa"/>
            <w:vAlign w:val="bottom"/>
          </w:tcPr>
          <w:p>
            <w:pPr>
              <w:spacing w:after="0"/>
              <w:rPr>
                <w:sz w:val="12"/>
                <w:szCs w:val="12"/>
                <w:color w:val="auto"/>
              </w:rPr>
            </w:pPr>
          </w:p>
        </w:tc>
        <w:tc>
          <w:tcPr>
            <w:tcW w:w="4980" w:type="dxa"/>
            <w:vAlign w:val="bottom"/>
          </w:tcPr>
          <w:p>
            <w:pPr>
              <w:spacing w:after="0"/>
              <w:rPr>
                <w:sz w:val="20"/>
                <w:szCs w:val="20"/>
                <w:color w:val="auto"/>
              </w:rPr>
            </w:pPr>
            <w:r>
              <w:rPr>
                <w:rFonts w:ascii="Arial" w:cs="Arial" w:eastAsia="Arial" w:hAnsi="Arial"/>
                <w:sz w:val="12"/>
                <w:szCs w:val="12"/>
                <w:color w:val="auto"/>
              </w:rPr>
              <w:t>Reclassifications, net of tax</w:t>
            </w:r>
          </w:p>
        </w:tc>
      </w:tr>
      <w:tr>
        <w:trPr>
          <w:trHeight w:val="20"/>
        </w:trPr>
        <w:tc>
          <w:tcPr>
            <w:tcW w:w="334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r>
      <w:tr>
        <w:trPr>
          <w:trHeight w:val="120"/>
        </w:trPr>
        <w:tc>
          <w:tcPr>
            <w:tcW w:w="3340" w:type="dxa"/>
            <w:vAlign w:val="bottom"/>
            <w:shd w:val="clear" w:color="auto" w:fill="CCEEFF"/>
          </w:tcPr>
          <w:p>
            <w:pPr>
              <w:spacing w:after="0"/>
              <w:rPr>
                <w:sz w:val="10"/>
                <w:szCs w:val="10"/>
                <w:color w:val="auto"/>
              </w:rPr>
            </w:pPr>
          </w:p>
        </w:tc>
        <w:tc>
          <w:tcPr>
            <w:tcW w:w="1880" w:type="dxa"/>
            <w:vAlign w:val="bottom"/>
            <w:gridSpan w:val="3"/>
            <w:shd w:val="clear" w:color="auto" w:fill="CCEEFF"/>
          </w:tcPr>
          <w:p>
            <w:pPr>
              <w:spacing w:after="0"/>
              <w:rPr>
                <w:sz w:val="10"/>
                <w:szCs w:val="10"/>
                <w:color w:val="auto"/>
              </w:rPr>
            </w:pPr>
          </w:p>
        </w:tc>
        <w:tc>
          <w:tcPr>
            <w:tcW w:w="1020" w:type="dxa"/>
            <w:vAlign w:val="bottom"/>
            <w:gridSpan w:val="2"/>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980" w:type="dxa"/>
            <w:vAlign w:val="bottom"/>
            <w:shd w:val="clear" w:color="auto" w:fill="CCEEFF"/>
          </w:tcPr>
          <w:p>
            <w:pPr>
              <w:spacing w:after="0"/>
              <w:rPr>
                <w:sz w:val="10"/>
                <w:szCs w:val="10"/>
                <w:color w:val="auto"/>
              </w:rPr>
            </w:pPr>
          </w:p>
        </w:tc>
      </w:tr>
      <w:tr>
        <w:trPr>
          <w:trHeight w:val="144"/>
        </w:trPr>
        <w:tc>
          <w:tcPr>
            <w:tcW w:w="3340" w:type="dxa"/>
            <w:vAlign w:val="bottom"/>
          </w:tcPr>
          <w:p>
            <w:pPr>
              <w:ind w:left="80"/>
              <w:spacing w:after="0"/>
              <w:rPr>
                <w:sz w:val="20"/>
                <w:szCs w:val="20"/>
                <w:color w:val="auto"/>
              </w:rPr>
            </w:pPr>
            <w:r>
              <w:rPr>
                <w:rFonts w:ascii="Arial" w:cs="Arial" w:eastAsia="Arial" w:hAnsi="Arial"/>
                <w:sz w:val="12"/>
                <w:szCs w:val="12"/>
                <w:color w:val="auto"/>
              </w:rPr>
              <w:t>Unrealized gains (losses) on cash flow hedges</w:t>
            </w:r>
          </w:p>
        </w:tc>
        <w:tc>
          <w:tcPr>
            <w:tcW w:w="1880" w:type="dxa"/>
            <w:vAlign w:val="bottom"/>
            <w:gridSpan w:val="3"/>
          </w:tcPr>
          <w:p>
            <w:pPr>
              <w:jc w:val="right"/>
              <w:ind w:right="32"/>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2"/>
                <w:szCs w:val="12"/>
                <w:color w:val="auto"/>
              </w:rPr>
              <w:t>2,539</w:t>
            </w:r>
          </w:p>
        </w:tc>
        <w:tc>
          <w:tcPr>
            <w:tcW w:w="80" w:type="dxa"/>
            <w:vAlign w:val="bottom"/>
          </w:tcPr>
          <w:p>
            <w:pPr>
              <w:spacing w:after="0"/>
              <w:rPr>
                <w:sz w:val="12"/>
                <w:szCs w:val="12"/>
                <w:color w:val="auto"/>
              </w:rPr>
            </w:pPr>
          </w:p>
        </w:tc>
        <w:tc>
          <w:tcPr>
            <w:tcW w:w="4980" w:type="dxa"/>
            <w:vAlign w:val="bottom"/>
          </w:tcPr>
          <w:p>
            <w:pPr>
              <w:spacing w:after="0"/>
              <w:rPr>
                <w:sz w:val="20"/>
                <w:szCs w:val="20"/>
                <w:color w:val="auto"/>
              </w:rPr>
            </w:pPr>
            <w:r>
              <w:rPr>
                <w:rFonts w:ascii="Arial" w:cs="Arial" w:eastAsia="Arial" w:hAnsi="Arial"/>
                <w:sz w:val="12"/>
                <w:szCs w:val="12"/>
                <w:color w:val="auto"/>
              </w:rPr>
              <w:t>Interest expense</w:t>
            </w:r>
          </w:p>
        </w:tc>
      </w:tr>
      <w:tr>
        <w:trPr>
          <w:trHeight w:val="144"/>
        </w:trPr>
        <w:tc>
          <w:tcPr>
            <w:tcW w:w="3340" w:type="dxa"/>
            <w:vAlign w:val="bottom"/>
            <w:tcBorders>
              <w:bottom w:val="single" w:sz="8" w:color="CCEEFF"/>
            </w:tcBorders>
            <w:shd w:val="clear" w:color="auto" w:fill="CCEEFF"/>
          </w:tcPr>
          <w:p>
            <w:pPr>
              <w:spacing w:after="0"/>
              <w:rPr>
                <w:sz w:val="12"/>
                <w:szCs w:val="12"/>
                <w:color w:val="auto"/>
              </w:rPr>
            </w:pPr>
          </w:p>
        </w:tc>
        <w:tc>
          <w:tcPr>
            <w:tcW w:w="16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533</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Income tax expense</w:t>
            </w:r>
          </w:p>
        </w:tc>
      </w:tr>
      <w:tr>
        <w:trPr>
          <w:trHeight w:val="142"/>
        </w:trPr>
        <w:tc>
          <w:tcPr>
            <w:tcW w:w="3340" w:type="dxa"/>
            <w:vAlign w:val="bottom"/>
          </w:tcPr>
          <w:p>
            <w:pPr>
              <w:spacing w:after="0"/>
              <w:rPr>
                <w:sz w:val="12"/>
                <w:szCs w:val="12"/>
                <w:color w:val="auto"/>
              </w:rPr>
            </w:pPr>
          </w:p>
        </w:tc>
        <w:tc>
          <w:tcPr>
            <w:tcW w:w="1740" w:type="dxa"/>
            <w:vAlign w:val="bottom"/>
            <w:gridSpan w:val="2"/>
          </w:tcPr>
          <w:p>
            <w:pPr>
              <w:spacing w:after="0"/>
              <w:rPr>
                <w:sz w:val="12"/>
                <w:szCs w:val="12"/>
                <w:color w:val="auto"/>
              </w:rPr>
            </w:pPr>
          </w:p>
        </w:tc>
        <w:tc>
          <w:tcPr>
            <w:tcW w:w="1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2,006</w:t>
            </w:r>
          </w:p>
        </w:tc>
        <w:tc>
          <w:tcPr>
            <w:tcW w:w="80" w:type="dxa"/>
            <w:vAlign w:val="bottom"/>
          </w:tcPr>
          <w:p>
            <w:pPr>
              <w:spacing w:after="0"/>
              <w:rPr>
                <w:sz w:val="12"/>
                <w:szCs w:val="12"/>
                <w:color w:val="auto"/>
              </w:rPr>
            </w:pPr>
          </w:p>
        </w:tc>
        <w:tc>
          <w:tcPr>
            <w:tcW w:w="4980" w:type="dxa"/>
            <w:vAlign w:val="bottom"/>
          </w:tcPr>
          <w:p>
            <w:pPr>
              <w:spacing w:after="0"/>
              <w:rPr>
                <w:sz w:val="20"/>
                <w:szCs w:val="20"/>
                <w:color w:val="auto"/>
              </w:rPr>
            </w:pPr>
            <w:r>
              <w:rPr>
                <w:rFonts w:ascii="Arial" w:cs="Arial" w:eastAsia="Arial" w:hAnsi="Arial"/>
                <w:sz w:val="12"/>
                <w:szCs w:val="12"/>
                <w:color w:val="auto"/>
              </w:rPr>
              <w:t>Reclassification, net of tax</w:t>
            </w:r>
          </w:p>
        </w:tc>
      </w:tr>
      <w:tr>
        <w:trPr>
          <w:trHeight w:val="20"/>
        </w:trPr>
        <w:tc>
          <w:tcPr>
            <w:tcW w:w="334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r>
      <w:tr>
        <w:trPr>
          <w:trHeight w:val="120"/>
        </w:trPr>
        <w:tc>
          <w:tcPr>
            <w:tcW w:w="3340" w:type="dxa"/>
            <w:vAlign w:val="bottom"/>
            <w:shd w:val="clear" w:color="auto" w:fill="CCEEFF"/>
          </w:tcPr>
          <w:p>
            <w:pPr>
              <w:spacing w:after="0"/>
              <w:rPr>
                <w:sz w:val="10"/>
                <w:szCs w:val="10"/>
                <w:color w:val="auto"/>
              </w:rPr>
            </w:pPr>
          </w:p>
        </w:tc>
        <w:tc>
          <w:tcPr>
            <w:tcW w:w="1880" w:type="dxa"/>
            <w:vAlign w:val="bottom"/>
            <w:gridSpan w:val="3"/>
            <w:shd w:val="clear" w:color="auto" w:fill="CCEEFF"/>
          </w:tcPr>
          <w:p>
            <w:pPr>
              <w:spacing w:after="0"/>
              <w:rPr>
                <w:sz w:val="10"/>
                <w:szCs w:val="10"/>
                <w:color w:val="auto"/>
              </w:rPr>
            </w:pPr>
          </w:p>
        </w:tc>
        <w:tc>
          <w:tcPr>
            <w:tcW w:w="1100" w:type="dxa"/>
            <w:vAlign w:val="bottom"/>
            <w:gridSpan w:val="3"/>
            <w:shd w:val="clear" w:color="auto" w:fill="CCEEFF"/>
          </w:tcPr>
          <w:p>
            <w:pPr>
              <w:spacing w:after="0"/>
              <w:rPr>
                <w:sz w:val="10"/>
                <w:szCs w:val="10"/>
                <w:color w:val="auto"/>
              </w:rPr>
            </w:pPr>
          </w:p>
        </w:tc>
        <w:tc>
          <w:tcPr>
            <w:tcW w:w="4980" w:type="dxa"/>
            <w:vAlign w:val="bottom"/>
            <w:shd w:val="clear" w:color="auto" w:fill="CCEEFF"/>
          </w:tcPr>
          <w:p>
            <w:pPr>
              <w:spacing w:after="0"/>
              <w:rPr>
                <w:sz w:val="10"/>
                <w:szCs w:val="10"/>
                <w:color w:val="auto"/>
              </w:rPr>
            </w:pPr>
          </w:p>
        </w:tc>
      </w:tr>
      <w:tr>
        <w:trPr>
          <w:trHeight w:val="144"/>
        </w:trPr>
        <w:tc>
          <w:tcPr>
            <w:tcW w:w="3340" w:type="dxa"/>
            <w:vAlign w:val="bottom"/>
          </w:tcPr>
          <w:p>
            <w:pPr>
              <w:spacing w:after="0"/>
              <w:rPr>
                <w:sz w:val="12"/>
                <w:szCs w:val="12"/>
                <w:color w:val="auto"/>
              </w:rPr>
            </w:pPr>
          </w:p>
        </w:tc>
        <w:tc>
          <w:tcPr>
            <w:tcW w:w="1880" w:type="dxa"/>
            <w:vAlign w:val="bottom"/>
            <w:gridSpan w:val="3"/>
          </w:tcPr>
          <w:p>
            <w:pPr>
              <w:jc w:val="right"/>
              <w:ind w:right="32"/>
              <w:spacing w:after="0"/>
              <w:rPr>
                <w:sz w:val="20"/>
                <w:szCs w:val="20"/>
                <w:color w:val="auto"/>
              </w:rPr>
            </w:pPr>
            <w:r>
              <w:rPr>
                <w:rFonts w:ascii="Arial" w:cs="Arial" w:eastAsia="Arial" w:hAnsi="Arial"/>
                <w:sz w:val="12"/>
                <w:szCs w:val="12"/>
                <w:color w:val="auto"/>
              </w:rPr>
              <w:t>$</w:t>
            </w:r>
          </w:p>
        </w:tc>
        <w:tc>
          <w:tcPr>
            <w:tcW w:w="1100" w:type="dxa"/>
            <w:vAlign w:val="bottom"/>
            <w:gridSpan w:val="3"/>
          </w:tcPr>
          <w:p>
            <w:pPr>
              <w:jc w:val="right"/>
              <w:ind w:right="60"/>
              <w:spacing w:after="0"/>
              <w:rPr>
                <w:sz w:val="20"/>
                <w:szCs w:val="20"/>
                <w:color w:val="auto"/>
              </w:rPr>
            </w:pPr>
            <w:r>
              <w:rPr>
                <w:rFonts w:ascii="Arial" w:cs="Arial" w:eastAsia="Arial" w:hAnsi="Arial"/>
                <w:sz w:val="12"/>
                <w:szCs w:val="12"/>
                <w:color w:val="auto"/>
              </w:rPr>
              <w:t>(1,795)</w:t>
            </w:r>
          </w:p>
        </w:tc>
        <w:tc>
          <w:tcPr>
            <w:tcW w:w="4980" w:type="dxa"/>
            <w:vAlign w:val="bottom"/>
          </w:tcPr>
          <w:p>
            <w:pPr>
              <w:spacing w:after="0"/>
              <w:rPr>
                <w:sz w:val="20"/>
                <w:szCs w:val="20"/>
                <w:color w:val="auto"/>
              </w:rPr>
            </w:pPr>
            <w:r>
              <w:rPr>
                <w:rFonts w:ascii="Arial" w:cs="Arial" w:eastAsia="Arial" w:hAnsi="Arial"/>
                <w:sz w:val="12"/>
                <w:szCs w:val="12"/>
                <w:color w:val="auto"/>
              </w:rPr>
              <w:t>Total reclassifications for the period, net of tax</w:t>
            </w:r>
          </w:p>
        </w:tc>
      </w:tr>
      <w:tr>
        <w:trPr>
          <w:trHeight w:val="20"/>
        </w:trPr>
        <w:tc>
          <w:tcPr>
            <w:tcW w:w="3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r>
      <w:tr>
        <w:trPr>
          <w:trHeight w:val="120"/>
        </w:trPr>
        <w:tc>
          <w:tcPr>
            <w:tcW w:w="3340" w:type="dxa"/>
            <w:vAlign w:val="bottom"/>
            <w:shd w:val="clear" w:color="auto" w:fill="CCEEFF"/>
          </w:tcPr>
          <w:p>
            <w:pPr>
              <w:spacing w:after="0"/>
              <w:rPr>
                <w:sz w:val="10"/>
                <w:szCs w:val="10"/>
                <w:color w:val="auto"/>
              </w:rPr>
            </w:pPr>
          </w:p>
        </w:tc>
        <w:tc>
          <w:tcPr>
            <w:tcW w:w="1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980" w:type="dxa"/>
            <w:vAlign w:val="bottom"/>
            <w:shd w:val="clear" w:color="auto" w:fill="CCEEFF"/>
          </w:tcPr>
          <w:p>
            <w:pPr>
              <w:spacing w:after="0"/>
              <w:rPr>
                <w:sz w:val="10"/>
                <w:szCs w:val="10"/>
                <w:color w:val="auto"/>
              </w:rPr>
            </w:pPr>
          </w:p>
        </w:tc>
      </w:tr>
      <w:tr>
        <w:trPr>
          <w:trHeight w:val="144"/>
        </w:trPr>
        <w:tc>
          <w:tcPr>
            <w:tcW w:w="3340" w:type="dxa"/>
            <w:vAlign w:val="bottom"/>
          </w:tcPr>
          <w:p>
            <w:pPr>
              <w:spacing w:after="0"/>
              <w:rPr>
                <w:sz w:val="20"/>
                <w:szCs w:val="20"/>
                <w:color w:val="auto"/>
              </w:rPr>
            </w:pPr>
            <w:r>
              <w:rPr>
                <w:rFonts w:ascii="Arial" w:cs="Arial" w:eastAsia="Arial" w:hAnsi="Arial"/>
                <w:sz w:val="12"/>
                <w:szCs w:val="12"/>
                <w:color w:val="auto"/>
              </w:rPr>
              <w:t>2019</w:t>
            </w: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980" w:type="dxa"/>
            <w:vAlign w:val="bottom"/>
          </w:tcPr>
          <w:p>
            <w:pPr>
              <w:spacing w:after="0"/>
              <w:rPr>
                <w:sz w:val="12"/>
                <w:szCs w:val="12"/>
                <w:color w:val="auto"/>
              </w:rPr>
            </w:pPr>
          </w:p>
        </w:tc>
      </w:tr>
      <w:tr>
        <w:trPr>
          <w:trHeight w:val="144"/>
        </w:trPr>
        <w:tc>
          <w:tcPr>
            <w:tcW w:w="3340" w:type="dxa"/>
            <w:vAlign w:val="bottom"/>
            <w:shd w:val="clear" w:color="auto" w:fill="CCEEFF"/>
          </w:tcPr>
          <w:p>
            <w:pPr>
              <w:ind w:left="80"/>
              <w:spacing w:after="0"/>
              <w:rPr>
                <w:sz w:val="20"/>
                <w:szCs w:val="20"/>
                <w:color w:val="auto"/>
              </w:rPr>
            </w:pPr>
            <w:r>
              <w:rPr>
                <w:rFonts w:ascii="Arial" w:cs="Arial" w:eastAsia="Arial" w:hAnsi="Arial"/>
                <w:sz w:val="12"/>
                <w:szCs w:val="12"/>
                <w:color w:val="auto"/>
              </w:rPr>
              <w:t>Unrealized gains (losses) on securities available for sale</w:t>
            </w:r>
          </w:p>
        </w:tc>
        <w:tc>
          <w:tcPr>
            <w:tcW w:w="1880" w:type="dxa"/>
            <w:vAlign w:val="bottom"/>
            <w:gridSpan w:val="3"/>
            <w:shd w:val="clear" w:color="auto" w:fill="CCEEFF"/>
          </w:tcPr>
          <w:p>
            <w:pPr>
              <w:jc w:val="right"/>
              <w:ind w:right="32"/>
              <w:spacing w:after="0"/>
              <w:rPr>
                <w:sz w:val="20"/>
                <w:szCs w:val="20"/>
                <w:color w:val="auto"/>
              </w:rPr>
            </w:pPr>
            <w:r>
              <w:rPr>
                <w:rFonts w:ascii="Arial" w:cs="Arial" w:eastAsia="Arial" w:hAnsi="Arial"/>
                <w:sz w:val="12"/>
                <w:szCs w:val="12"/>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140</w:t>
            </w:r>
          </w:p>
        </w:tc>
        <w:tc>
          <w:tcPr>
            <w:tcW w:w="80" w:type="dxa"/>
            <w:vAlign w:val="bottom"/>
            <w:shd w:val="clear" w:color="auto" w:fill="CCEEFF"/>
          </w:tcPr>
          <w:p>
            <w:pPr>
              <w:spacing w:after="0"/>
              <w:rPr>
                <w:sz w:val="12"/>
                <w:szCs w:val="12"/>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2"/>
                <w:szCs w:val="12"/>
                <w:color w:val="auto"/>
              </w:rPr>
              <w:t>Net gains on securities available for sale</w:t>
            </w:r>
          </w:p>
        </w:tc>
      </w:tr>
      <w:tr>
        <w:trPr>
          <w:trHeight w:val="144"/>
        </w:trPr>
        <w:tc>
          <w:tcPr>
            <w:tcW w:w="33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980" w:type="dxa"/>
            <w:vAlign w:val="bottom"/>
          </w:tcPr>
          <w:p>
            <w:pPr>
              <w:spacing w:after="0"/>
              <w:rPr>
                <w:sz w:val="20"/>
                <w:szCs w:val="20"/>
                <w:color w:val="auto"/>
              </w:rPr>
            </w:pPr>
            <w:r>
              <w:rPr>
                <w:rFonts w:ascii="Arial" w:cs="Arial" w:eastAsia="Arial" w:hAnsi="Arial"/>
                <w:sz w:val="12"/>
                <w:szCs w:val="12"/>
                <w:color w:val="auto"/>
              </w:rPr>
              <w:t>Net impairment loss recognized in earnings</w:t>
            </w:r>
          </w:p>
        </w:tc>
      </w:tr>
      <w:tr>
        <w:trPr>
          <w:trHeight w:val="142"/>
        </w:trPr>
        <w:tc>
          <w:tcPr>
            <w:tcW w:w="334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140</w:t>
            </w:r>
          </w:p>
        </w:tc>
        <w:tc>
          <w:tcPr>
            <w:tcW w:w="80" w:type="dxa"/>
            <w:vAlign w:val="bottom"/>
            <w:shd w:val="clear" w:color="auto" w:fill="CCEEFF"/>
          </w:tcPr>
          <w:p>
            <w:pPr>
              <w:spacing w:after="0"/>
              <w:rPr>
                <w:sz w:val="12"/>
                <w:szCs w:val="12"/>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2"/>
                <w:szCs w:val="12"/>
                <w:color w:val="auto"/>
              </w:rPr>
              <w:t>Total reclassifications before tax</w:t>
            </w:r>
          </w:p>
        </w:tc>
      </w:tr>
      <w:tr>
        <w:trPr>
          <w:trHeight w:val="144"/>
        </w:trPr>
        <w:tc>
          <w:tcPr>
            <w:tcW w:w="33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29</w:t>
            </w:r>
          </w:p>
        </w:tc>
        <w:tc>
          <w:tcPr>
            <w:tcW w:w="80" w:type="dxa"/>
            <w:vAlign w:val="bottom"/>
          </w:tcPr>
          <w:p>
            <w:pPr>
              <w:spacing w:after="0"/>
              <w:rPr>
                <w:sz w:val="12"/>
                <w:szCs w:val="12"/>
                <w:color w:val="auto"/>
              </w:rPr>
            </w:pPr>
          </w:p>
        </w:tc>
        <w:tc>
          <w:tcPr>
            <w:tcW w:w="4980" w:type="dxa"/>
            <w:vAlign w:val="bottom"/>
          </w:tcPr>
          <w:p>
            <w:pPr>
              <w:spacing w:after="0"/>
              <w:rPr>
                <w:sz w:val="20"/>
                <w:szCs w:val="20"/>
                <w:color w:val="auto"/>
              </w:rPr>
            </w:pPr>
            <w:r>
              <w:rPr>
                <w:rFonts w:ascii="Arial" w:cs="Arial" w:eastAsia="Arial" w:hAnsi="Arial"/>
                <w:sz w:val="12"/>
                <w:szCs w:val="12"/>
                <w:color w:val="auto"/>
              </w:rPr>
              <w:t>Income tax expense</w:t>
            </w:r>
          </w:p>
        </w:tc>
      </w:tr>
      <w:tr>
        <w:trPr>
          <w:trHeight w:val="182"/>
        </w:trPr>
        <w:tc>
          <w:tcPr>
            <w:tcW w:w="3340" w:type="dxa"/>
            <w:vAlign w:val="bottom"/>
            <w:tcBorders>
              <w:bottom w:val="single" w:sz="8" w:color="CCEEFF"/>
            </w:tcBorders>
            <w:shd w:val="clear" w:color="auto" w:fill="CCEEFF"/>
          </w:tcPr>
          <w:p>
            <w:pPr>
              <w:spacing w:after="0"/>
              <w:rPr>
                <w:sz w:val="15"/>
                <w:szCs w:val="15"/>
                <w:color w:val="auto"/>
              </w:rPr>
            </w:pPr>
          </w:p>
        </w:tc>
        <w:tc>
          <w:tcPr>
            <w:tcW w:w="1740" w:type="dxa"/>
            <w:vAlign w:val="bottom"/>
            <w:tcBorders>
              <w:bottom w:val="single" w:sz="8" w:color="CCEEFF"/>
            </w:tcBorders>
            <w:gridSpan w:val="2"/>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111</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Reclassifications, net of tax</w:t>
            </w:r>
          </w:p>
        </w:tc>
      </w:tr>
      <w:tr>
        <w:trPr>
          <w:trHeight w:val="120"/>
        </w:trPr>
        <w:tc>
          <w:tcPr>
            <w:tcW w:w="3340" w:type="dxa"/>
            <w:vAlign w:val="bottom"/>
          </w:tcPr>
          <w:p>
            <w:pPr>
              <w:spacing w:after="0"/>
              <w:rPr>
                <w:sz w:val="10"/>
                <w:szCs w:val="10"/>
                <w:color w:val="auto"/>
              </w:rPr>
            </w:pPr>
          </w:p>
        </w:tc>
        <w:tc>
          <w:tcPr>
            <w:tcW w:w="1880" w:type="dxa"/>
            <w:vAlign w:val="bottom"/>
            <w:gridSpan w:val="3"/>
          </w:tcPr>
          <w:p>
            <w:pPr>
              <w:spacing w:after="0"/>
              <w:rPr>
                <w:sz w:val="10"/>
                <w:szCs w:val="10"/>
                <w:color w:val="auto"/>
              </w:rPr>
            </w:pPr>
          </w:p>
        </w:tc>
        <w:tc>
          <w:tcPr>
            <w:tcW w:w="1100" w:type="dxa"/>
            <w:vAlign w:val="bottom"/>
            <w:gridSpan w:val="3"/>
          </w:tcPr>
          <w:p>
            <w:pPr>
              <w:spacing w:after="0"/>
              <w:rPr>
                <w:sz w:val="10"/>
                <w:szCs w:val="10"/>
                <w:color w:val="auto"/>
              </w:rPr>
            </w:pPr>
          </w:p>
        </w:tc>
        <w:tc>
          <w:tcPr>
            <w:tcW w:w="4980" w:type="dxa"/>
            <w:vAlign w:val="bottom"/>
          </w:tcPr>
          <w:p>
            <w:pPr>
              <w:spacing w:after="0"/>
              <w:rPr>
                <w:sz w:val="10"/>
                <w:szCs w:val="10"/>
                <w:color w:val="auto"/>
              </w:rPr>
            </w:pPr>
          </w:p>
        </w:tc>
      </w:tr>
      <w:tr>
        <w:trPr>
          <w:trHeight w:val="144"/>
        </w:trPr>
        <w:tc>
          <w:tcPr>
            <w:tcW w:w="3340" w:type="dxa"/>
            <w:vAlign w:val="bottom"/>
            <w:shd w:val="clear" w:color="auto" w:fill="CCEEFF"/>
          </w:tcPr>
          <w:p>
            <w:pPr>
              <w:ind w:left="80"/>
              <w:spacing w:after="0"/>
              <w:rPr>
                <w:sz w:val="20"/>
                <w:szCs w:val="20"/>
                <w:color w:val="auto"/>
              </w:rPr>
            </w:pPr>
            <w:r>
              <w:rPr>
                <w:rFonts w:ascii="Arial" w:cs="Arial" w:eastAsia="Arial" w:hAnsi="Arial"/>
                <w:sz w:val="12"/>
                <w:szCs w:val="12"/>
                <w:color w:val="auto"/>
              </w:rPr>
              <w:t>Unrealized gains (losses) on cash flow hedges</w:t>
            </w:r>
          </w:p>
        </w:tc>
        <w:tc>
          <w:tcPr>
            <w:tcW w:w="1880" w:type="dxa"/>
            <w:vAlign w:val="bottom"/>
            <w:gridSpan w:val="3"/>
            <w:shd w:val="clear" w:color="auto" w:fill="CCEEFF"/>
          </w:tcPr>
          <w:p>
            <w:pPr>
              <w:jc w:val="right"/>
              <w:ind w:right="32"/>
              <w:spacing w:after="0"/>
              <w:rPr>
                <w:sz w:val="20"/>
                <w:szCs w:val="20"/>
                <w:color w:val="auto"/>
              </w:rPr>
            </w:pPr>
            <w:r>
              <w:rPr>
                <w:rFonts w:ascii="Arial" w:cs="Arial" w:eastAsia="Arial" w:hAnsi="Arial"/>
                <w:sz w:val="12"/>
                <w:szCs w:val="12"/>
                <w:color w:val="auto"/>
              </w:rPr>
              <w:t>$</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(425)</w:t>
            </w:r>
          </w:p>
        </w:tc>
        <w:tc>
          <w:tcPr>
            <w:tcW w:w="4980" w:type="dxa"/>
            <w:vAlign w:val="bottom"/>
            <w:shd w:val="clear" w:color="auto" w:fill="CCEEFF"/>
          </w:tcPr>
          <w:p>
            <w:pPr>
              <w:spacing w:after="0"/>
              <w:rPr>
                <w:sz w:val="20"/>
                <w:szCs w:val="20"/>
                <w:color w:val="auto"/>
              </w:rPr>
            </w:pPr>
            <w:r>
              <w:rPr>
                <w:rFonts w:ascii="Arial" w:cs="Arial" w:eastAsia="Arial" w:hAnsi="Arial"/>
                <w:sz w:val="12"/>
                <w:szCs w:val="12"/>
                <w:color w:val="auto"/>
              </w:rPr>
              <w:t>Interest expense</w:t>
            </w:r>
          </w:p>
        </w:tc>
      </w:tr>
      <w:tr>
        <w:trPr>
          <w:trHeight w:val="144"/>
        </w:trPr>
        <w:tc>
          <w:tcPr>
            <w:tcW w:w="33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2"/>
                <w:szCs w:val="12"/>
                <w:color w:val="auto"/>
              </w:rPr>
              <w:t>(89)</w:t>
            </w:r>
          </w:p>
        </w:tc>
        <w:tc>
          <w:tcPr>
            <w:tcW w:w="4980" w:type="dxa"/>
            <w:vAlign w:val="bottom"/>
          </w:tcPr>
          <w:p>
            <w:pPr>
              <w:spacing w:after="0"/>
              <w:rPr>
                <w:sz w:val="20"/>
                <w:szCs w:val="20"/>
                <w:color w:val="auto"/>
              </w:rPr>
            </w:pPr>
            <w:r>
              <w:rPr>
                <w:rFonts w:ascii="Arial" w:cs="Arial" w:eastAsia="Arial" w:hAnsi="Arial"/>
                <w:sz w:val="12"/>
                <w:szCs w:val="12"/>
                <w:color w:val="auto"/>
              </w:rPr>
              <w:t>Income tax expense</w:t>
            </w:r>
          </w:p>
        </w:tc>
      </w:tr>
      <w:tr>
        <w:trPr>
          <w:trHeight w:val="182"/>
        </w:trPr>
        <w:tc>
          <w:tcPr>
            <w:tcW w:w="3340" w:type="dxa"/>
            <w:vAlign w:val="bottom"/>
            <w:tcBorders>
              <w:bottom w:val="single" w:sz="8" w:color="CCEEFF"/>
            </w:tcBorders>
            <w:shd w:val="clear" w:color="auto" w:fill="CCEEFF"/>
          </w:tcPr>
          <w:p>
            <w:pPr>
              <w:spacing w:after="0"/>
              <w:rPr>
                <w:sz w:val="15"/>
                <w:szCs w:val="15"/>
                <w:color w:val="auto"/>
              </w:rPr>
            </w:pPr>
          </w:p>
        </w:tc>
        <w:tc>
          <w:tcPr>
            <w:tcW w:w="1740" w:type="dxa"/>
            <w:vAlign w:val="bottom"/>
            <w:tcBorders>
              <w:bottom w:val="single" w:sz="8" w:color="CCEEFF"/>
            </w:tcBorders>
            <w:gridSpan w:val="2"/>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(336)</w:t>
            </w:r>
          </w:p>
        </w:tc>
        <w:tc>
          <w:tcPr>
            <w:tcW w:w="100" w:type="dxa"/>
            <w:vAlign w:val="bottom"/>
            <w:tcBorders>
              <w:bottom w:val="single" w:sz="8" w:color="CCEEFF"/>
            </w:tcBorders>
            <w:gridSpan w:val="2"/>
            <w:shd w:val="clear" w:color="auto" w:fill="CCEEFF"/>
          </w:tcPr>
          <w:p>
            <w:pPr>
              <w:spacing w:after="0"/>
              <w:rPr>
                <w:sz w:val="15"/>
                <w:szCs w:val="15"/>
                <w:color w:val="auto"/>
              </w:rPr>
            </w:pPr>
          </w:p>
        </w:tc>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Reclassification, net of tax</w:t>
            </w:r>
          </w:p>
        </w:tc>
      </w:tr>
      <w:tr>
        <w:trPr>
          <w:trHeight w:val="120"/>
        </w:trPr>
        <w:tc>
          <w:tcPr>
            <w:tcW w:w="3340" w:type="dxa"/>
            <w:vAlign w:val="bottom"/>
          </w:tcPr>
          <w:p>
            <w:pPr>
              <w:spacing w:after="0"/>
              <w:rPr>
                <w:sz w:val="10"/>
                <w:szCs w:val="10"/>
                <w:color w:val="auto"/>
              </w:rPr>
            </w:pPr>
          </w:p>
        </w:tc>
        <w:tc>
          <w:tcPr>
            <w:tcW w:w="1880" w:type="dxa"/>
            <w:vAlign w:val="bottom"/>
            <w:gridSpan w:val="3"/>
          </w:tcPr>
          <w:p>
            <w:pPr>
              <w:spacing w:after="0"/>
              <w:rPr>
                <w:sz w:val="10"/>
                <w:szCs w:val="10"/>
                <w:color w:val="auto"/>
              </w:rPr>
            </w:pPr>
          </w:p>
        </w:tc>
        <w:tc>
          <w:tcPr>
            <w:tcW w:w="102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4980" w:type="dxa"/>
            <w:vAlign w:val="bottom"/>
          </w:tcPr>
          <w:p>
            <w:pPr>
              <w:spacing w:after="0"/>
              <w:rPr>
                <w:sz w:val="10"/>
                <w:szCs w:val="10"/>
                <w:color w:val="auto"/>
              </w:rPr>
            </w:pPr>
          </w:p>
        </w:tc>
      </w:tr>
      <w:tr>
        <w:trPr>
          <w:trHeight w:val="184"/>
        </w:trPr>
        <w:tc>
          <w:tcPr>
            <w:tcW w:w="3340" w:type="dxa"/>
            <w:vAlign w:val="bottom"/>
            <w:shd w:val="clear" w:color="auto" w:fill="CCEEFF"/>
          </w:tcPr>
          <w:p>
            <w:pPr>
              <w:spacing w:after="0"/>
              <w:rPr>
                <w:sz w:val="16"/>
                <w:szCs w:val="16"/>
                <w:color w:val="auto"/>
              </w:rPr>
            </w:pPr>
          </w:p>
        </w:tc>
        <w:tc>
          <w:tcPr>
            <w:tcW w:w="1880" w:type="dxa"/>
            <w:vAlign w:val="bottom"/>
            <w:gridSpan w:val="3"/>
            <w:shd w:val="clear" w:color="auto" w:fill="CCEEFF"/>
          </w:tcPr>
          <w:p>
            <w:pPr>
              <w:jc w:val="right"/>
              <w:ind w:right="32"/>
              <w:spacing w:after="0"/>
              <w:rPr>
                <w:sz w:val="20"/>
                <w:szCs w:val="20"/>
                <w:color w:val="auto"/>
              </w:rPr>
            </w:pPr>
            <w:r>
              <w:rPr>
                <w:rFonts w:ascii="Arial" w:cs="Arial" w:eastAsia="Arial" w:hAnsi="Arial"/>
                <w:sz w:val="12"/>
                <w:szCs w:val="12"/>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447</w:t>
            </w:r>
          </w:p>
        </w:tc>
        <w:tc>
          <w:tcPr>
            <w:tcW w:w="80" w:type="dxa"/>
            <w:vAlign w:val="bottom"/>
            <w:shd w:val="clear" w:color="auto" w:fill="CCEEFF"/>
          </w:tcPr>
          <w:p>
            <w:pPr>
              <w:spacing w:after="0"/>
              <w:rPr>
                <w:sz w:val="16"/>
                <w:szCs w:val="16"/>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2"/>
                <w:szCs w:val="12"/>
                <w:color w:val="auto"/>
              </w:rPr>
              <w:t>Total reclassifications for the period, net of tax</w:t>
            </w:r>
          </w:p>
        </w:tc>
      </w:tr>
      <w:tr>
        <w:trPr>
          <w:trHeight w:val="355"/>
        </w:trPr>
        <w:tc>
          <w:tcPr>
            <w:tcW w:w="3340" w:type="dxa"/>
            <w:vAlign w:val="bottom"/>
            <w:tcBorders>
              <w:top w:val="single" w:sz="8" w:color="CCEEFF"/>
            </w:tcBorders>
          </w:tcPr>
          <w:p>
            <w:pPr>
              <w:spacing w:after="0"/>
              <w:rPr>
                <w:sz w:val="24"/>
                <w:szCs w:val="24"/>
                <w:color w:val="auto"/>
              </w:rPr>
            </w:pPr>
          </w:p>
        </w:tc>
        <w:tc>
          <w:tcPr>
            <w:tcW w:w="16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center"/>
              <w:ind w:right="80"/>
              <w:spacing w:after="0"/>
              <w:rPr>
                <w:sz w:val="20"/>
                <w:szCs w:val="20"/>
                <w:color w:val="auto"/>
              </w:rPr>
            </w:pPr>
            <w:r>
              <w:rPr>
                <w:rFonts w:ascii="Arial" w:cs="Arial" w:eastAsia="Arial" w:hAnsi="Arial"/>
                <w:sz w:val="10"/>
                <w:szCs w:val="10"/>
                <w:color w:val="auto"/>
                <w:w w:val="83"/>
              </w:rPr>
              <w:t>104</w:t>
            </w: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980" w:type="dxa"/>
            <w:vAlign w:val="bottom"/>
            <w:tcBorders>
              <w:top w:val="single" w:sz="8" w:color="CCEEFF"/>
            </w:tcBorders>
          </w:tcPr>
          <w:p>
            <w:pPr>
              <w:spacing w:after="0"/>
              <w:rPr>
                <w:sz w:val="24"/>
                <w:szCs w:val="24"/>
                <w:color w:val="auto"/>
              </w:rPr>
            </w:pPr>
          </w:p>
        </w:tc>
      </w:tr>
      <w:tr>
        <w:trPr>
          <w:trHeight w:val="26"/>
        </w:trPr>
        <w:tc>
          <w:tcPr>
            <w:tcW w:w="3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980" w:type="dxa"/>
            <w:vAlign w:val="bottom"/>
            <w:tcBorders>
              <w:bottom w:val="single" w:sz="8" w:color="auto"/>
            </w:tcBorders>
          </w:tcPr>
          <w:p>
            <w:pPr>
              <w:spacing w:after="0"/>
              <w:rPr>
                <w:sz w:val="2"/>
                <w:szCs w:val="2"/>
                <w:color w:val="auto"/>
              </w:rPr>
            </w:pPr>
          </w:p>
        </w:tc>
      </w:tr>
    </w:tbl>
    <w:p>
      <w:pPr>
        <w:sectPr>
          <w:pgSz w:w="11900" w:h="16838" w:orient="portrait"/>
          <w:cols w:equalWidth="0" w:num="1">
            <w:col w:w="11300"/>
          </w:cols>
          <w:pgMar w:left="300" w:top="127" w:right="299" w:bottom="1440" w:gutter="0" w:footer="0" w:header="0"/>
        </w:sectPr>
      </w:pPr>
    </w:p>
    <w:bookmarkStart w:id="124" w:name="page125"/>
    <w:bookmarkEnd w:id="1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100" w:type="dxa"/>
            <w:vAlign w:val="bottom"/>
            <w:gridSpan w:val="2"/>
          </w:tcPr>
          <w:p>
            <w:pPr>
              <w:jc w:val="center"/>
              <w:ind w:left="3140"/>
              <w:spacing w:after="0"/>
              <w:rPr>
                <w:sz w:val="20"/>
                <w:szCs w:val="20"/>
                <w:color w:val="auto"/>
              </w:rPr>
            </w:pPr>
            <w:r>
              <w:rPr>
                <w:rFonts w:ascii="Arial" w:cs="Arial" w:eastAsia="Arial" w:hAnsi="Arial"/>
                <w:sz w:val="12"/>
                <w:szCs w:val="12"/>
                <w:b w:val="1"/>
                <w:bCs w:val="1"/>
                <w:color w:val="auto"/>
                <w:w w:val="98"/>
              </w:rPr>
              <w:t>NOTES TO CONSOLIDATED FINANCIAL STATEMENTS − (Continued)</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7340" w:type="dxa"/>
            <w:vAlign w:val="bottom"/>
          </w:tcPr>
          <w:p>
            <w:pPr>
              <w:spacing w:after="0"/>
              <w:rPr>
                <w:sz w:val="20"/>
                <w:szCs w:val="20"/>
                <w:color w:val="auto"/>
              </w:rPr>
            </w:pPr>
            <w:r>
              <w:rPr>
                <w:rFonts w:ascii="Arial" w:cs="Arial" w:eastAsia="Arial" w:hAnsi="Arial"/>
                <w:sz w:val="12"/>
                <w:szCs w:val="12"/>
                <w:b w:val="1"/>
                <w:bCs w:val="1"/>
                <w:color w:val="auto"/>
              </w:rPr>
              <w:t>NOTE 24 – INDEPENDENT BANK CORPORATION (PARENT COMPANY ONLY) FINANCIAL INFORMATION</w:t>
            </w:r>
          </w:p>
        </w:tc>
        <w:tc>
          <w:tcPr>
            <w:tcW w:w="7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7340" w:type="dxa"/>
            <w:vAlign w:val="bottom"/>
          </w:tcPr>
          <w:p>
            <w:pPr>
              <w:ind w:left="200"/>
              <w:spacing w:after="0"/>
              <w:rPr>
                <w:sz w:val="20"/>
                <w:szCs w:val="20"/>
                <w:color w:val="auto"/>
              </w:rPr>
            </w:pPr>
            <w:r>
              <w:rPr>
                <w:rFonts w:ascii="Arial" w:cs="Arial" w:eastAsia="Arial" w:hAnsi="Arial"/>
                <w:sz w:val="12"/>
                <w:szCs w:val="12"/>
                <w:color w:val="auto"/>
              </w:rPr>
              <w:t>Presented below are condensed financial statements for our parent company.</w:t>
            </w: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340" w:type="dxa"/>
            <w:vAlign w:val="bottom"/>
          </w:tcPr>
          <w:p>
            <w:pPr>
              <w:jc w:val="center"/>
              <w:ind w:left="3700"/>
              <w:spacing w:after="0"/>
              <w:rPr>
                <w:sz w:val="20"/>
                <w:szCs w:val="20"/>
                <w:color w:val="auto"/>
              </w:rPr>
            </w:pPr>
            <w:r>
              <w:rPr>
                <w:rFonts w:ascii="Arial" w:cs="Arial" w:eastAsia="Arial" w:hAnsi="Arial"/>
                <w:sz w:val="12"/>
                <w:szCs w:val="12"/>
                <w:b w:val="1"/>
                <w:bCs w:val="1"/>
                <w:color w:val="auto"/>
              </w:rPr>
              <w:t>CONDENSED STATEMENTS OF FINANCIAL CONDITION</w:t>
            </w: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3"/>
            <w:vMerge w:val="restart"/>
          </w:tcPr>
          <w:p>
            <w:pPr>
              <w:jc w:val="right"/>
              <w:ind w:right="52"/>
              <w:spacing w:after="0"/>
              <w:rPr>
                <w:sz w:val="20"/>
                <w:szCs w:val="20"/>
                <w:color w:val="auto"/>
              </w:rPr>
            </w:pPr>
            <w:r>
              <w:rPr>
                <w:rFonts w:ascii="Arial" w:cs="Arial" w:eastAsia="Arial" w:hAnsi="Arial"/>
                <w:sz w:val="12"/>
                <w:szCs w:val="12"/>
                <w:b w:val="1"/>
                <w:bCs w:val="1"/>
                <w:color w:val="auto"/>
              </w:rPr>
              <w:t>December 31,</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7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3"/>
            <w:vMerge w:val="continue"/>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2021</w:t>
            </w:r>
          </w:p>
        </w:tc>
        <w:tc>
          <w:tcPr>
            <w:tcW w:w="2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340" w:type="dxa"/>
            <w:vAlign w:val="bottom"/>
            <w:vMerge w:val="restart"/>
          </w:tcPr>
          <w:p>
            <w:pPr>
              <w:jc w:val="center"/>
              <w:ind w:left="3700"/>
              <w:spacing w:after="0"/>
              <w:rPr>
                <w:sz w:val="20"/>
                <w:szCs w:val="20"/>
                <w:color w:val="auto"/>
              </w:rPr>
            </w:pPr>
            <w:r>
              <w:rPr>
                <w:rFonts w:ascii="Arial" w:cs="Arial" w:eastAsia="Arial" w:hAnsi="Arial"/>
                <w:sz w:val="12"/>
                <w:szCs w:val="12"/>
                <w:color w:val="auto"/>
                <w:w w:val="88"/>
              </w:rPr>
              <w:t>ASSETS</w:t>
            </w: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ind w:right="120"/>
              <w:spacing w:after="0"/>
              <w:rPr>
                <w:sz w:val="20"/>
                <w:szCs w:val="20"/>
                <w:color w:val="auto"/>
              </w:rPr>
            </w:pPr>
            <w:r>
              <w:rPr>
                <w:rFonts w:ascii="Arial" w:cs="Arial" w:eastAsia="Arial" w:hAnsi="Arial"/>
                <w:sz w:val="12"/>
                <w:szCs w:val="12"/>
                <w:b w:val="1"/>
                <w:bCs w:val="1"/>
                <w:color w:val="auto"/>
              </w:rPr>
              <w:t>(In</w:t>
            </w:r>
          </w:p>
        </w:tc>
        <w:tc>
          <w:tcPr>
            <w:tcW w:w="500" w:type="dxa"/>
            <w:vAlign w:val="bottom"/>
            <w:gridSpan w:val="2"/>
          </w:tcPr>
          <w:p>
            <w:pPr>
              <w:jc w:val="right"/>
              <w:ind w:right="32"/>
              <w:spacing w:after="0"/>
              <w:rPr>
                <w:sz w:val="20"/>
                <w:szCs w:val="20"/>
                <w:color w:val="auto"/>
              </w:rPr>
            </w:pPr>
            <w:r>
              <w:rPr>
                <w:rFonts w:ascii="Arial" w:cs="Arial" w:eastAsia="Arial" w:hAnsi="Arial"/>
                <w:sz w:val="10"/>
                <w:szCs w:val="10"/>
                <w:b w:val="1"/>
                <w:bCs w:val="1"/>
                <w:color w:val="auto"/>
                <w:w w:val="74"/>
              </w:rPr>
              <w:t>thousands)</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734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340" w:type="dxa"/>
            <w:vAlign w:val="bottom"/>
            <w:shd w:val="clear" w:color="auto" w:fill="CCEEFF"/>
          </w:tcPr>
          <w:p>
            <w:pPr>
              <w:spacing w:after="0"/>
              <w:rPr>
                <w:sz w:val="20"/>
                <w:szCs w:val="20"/>
                <w:color w:val="auto"/>
              </w:rPr>
            </w:pPr>
            <w:r>
              <w:rPr>
                <w:rFonts w:ascii="Arial" w:cs="Arial" w:eastAsia="Arial" w:hAnsi="Arial"/>
                <w:sz w:val="12"/>
                <w:szCs w:val="12"/>
                <w:color w:val="auto"/>
              </w:rPr>
              <w:t>Cash and due from banks</w:t>
            </w:r>
          </w:p>
        </w:tc>
        <w:tc>
          <w:tcPr>
            <w:tcW w:w="7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56"/>
              <w:spacing w:after="0"/>
              <w:rPr>
                <w:sz w:val="20"/>
                <w:szCs w:val="20"/>
                <w:color w:val="auto"/>
              </w:rPr>
            </w:pPr>
            <w:r>
              <w:rPr>
                <w:rFonts w:ascii="Arial" w:cs="Arial" w:eastAsia="Arial" w:hAnsi="Arial"/>
                <w:sz w:val="12"/>
                <w:szCs w:val="12"/>
                <w:color w:val="auto"/>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6,093</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10,466</w:t>
            </w:r>
          </w:p>
        </w:tc>
        <w:tc>
          <w:tcPr>
            <w:tcW w:w="0" w:type="dxa"/>
            <w:vAlign w:val="bottom"/>
          </w:tcPr>
          <w:p>
            <w:pPr>
              <w:spacing w:after="0"/>
              <w:rPr>
                <w:sz w:val="1"/>
                <w:szCs w:val="1"/>
                <w:color w:val="auto"/>
              </w:rPr>
            </w:pPr>
          </w:p>
        </w:tc>
      </w:tr>
      <w:tr>
        <w:trPr>
          <w:trHeight w:val="144"/>
        </w:trPr>
        <w:tc>
          <w:tcPr>
            <w:tcW w:w="7340" w:type="dxa"/>
            <w:vAlign w:val="bottom"/>
          </w:tcPr>
          <w:p>
            <w:pPr>
              <w:spacing w:after="0"/>
              <w:rPr>
                <w:sz w:val="20"/>
                <w:szCs w:val="20"/>
                <w:color w:val="auto"/>
              </w:rPr>
            </w:pPr>
            <w:r>
              <w:rPr>
                <w:rFonts w:ascii="Arial" w:cs="Arial" w:eastAsia="Arial" w:hAnsi="Arial"/>
                <w:sz w:val="12"/>
                <w:szCs w:val="12"/>
                <w:color w:val="auto"/>
              </w:rPr>
              <w:t>Interest bearing deposits - time</w:t>
            </w: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172"/>
              <w:spacing w:after="0"/>
              <w:rPr>
                <w:sz w:val="20"/>
                <w:szCs w:val="20"/>
                <w:color w:val="auto"/>
              </w:rPr>
            </w:pPr>
            <w:r>
              <w:rPr>
                <w:rFonts w:ascii="Arial" w:cs="Arial" w:eastAsia="Arial" w:hAnsi="Arial"/>
                <w:sz w:val="12"/>
                <w:szCs w:val="12"/>
                <w:color w:val="auto"/>
              </w:rPr>
              <w:t>40,000</w:t>
            </w:r>
          </w:p>
        </w:tc>
        <w:tc>
          <w:tcPr>
            <w:tcW w:w="30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40,000</w:t>
            </w:r>
          </w:p>
        </w:tc>
        <w:tc>
          <w:tcPr>
            <w:tcW w:w="0" w:type="dxa"/>
            <w:vAlign w:val="bottom"/>
          </w:tcPr>
          <w:p>
            <w:pPr>
              <w:spacing w:after="0"/>
              <w:rPr>
                <w:sz w:val="1"/>
                <w:szCs w:val="1"/>
                <w:color w:val="auto"/>
              </w:rPr>
            </w:pPr>
          </w:p>
        </w:tc>
      </w:tr>
      <w:tr>
        <w:trPr>
          <w:trHeight w:val="144"/>
        </w:trPr>
        <w:tc>
          <w:tcPr>
            <w:tcW w:w="7340" w:type="dxa"/>
            <w:vAlign w:val="bottom"/>
            <w:shd w:val="clear" w:color="auto" w:fill="CCEEFF"/>
          </w:tcPr>
          <w:p>
            <w:pPr>
              <w:spacing w:after="0"/>
              <w:rPr>
                <w:sz w:val="20"/>
                <w:szCs w:val="20"/>
                <w:color w:val="auto"/>
              </w:rPr>
            </w:pPr>
            <w:r>
              <w:rPr>
                <w:rFonts w:ascii="Arial" w:cs="Arial" w:eastAsia="Arial" w:hAnsi="Arial"/>
                <w:sz w:val="12"/>
                <w:szCs w:val="12"/>
                <w:color w:val="auto"/>
              </w:rPr>
              <w:t>Investment in subsidiaries</w:t>
            </w:r>
          </w:p>
        </w:tc>
        <w:tc>
          <w:tcPr>
            <w:tcW w:w="7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432,949</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418,465</w:t>
            </w:r>
          </w:p>
        </w:tc>
        <w:tc>
          <w:tcPr>
            <w:tcW w:w="0" w:type="dxa"/>
            <w:vAlign w:val="bottom"/>
          </w:tcPr>
          <w:p>
            <w:pPr>
              <w:spacing w:after="0"/>
              <w:rPr>
                <w:sz w:val="1"/>
                <w:szCs w:val="1"/>
                <w:color w:val="auto"/>
              </w:rPr>
            </w:pPr>
          </w:p>
        </w:tc>
      </w:tr>
      <w:tr>
        <w:trPr>
          <w:trHeight w:val="144"/>
        </w:trPr>
        <w:tc>
          <w:tcPr>
            <w:tcW w:w="7340" w:type="dxa"/>
            <w:vAlign w:val="bottom"/>
          </w:tcPr>
          <w:p>
            <w:pPr>
              <w:spacing w:after="0"/>
              <w:rPr>
                <w:sz w:val="20"/>
                <w:szCs w:val="20"/>
                <w:color w:val="auto"/>
              </w:rPr>
            </w:pPr>
            <w:r>
              <w:rPr>
                <w:rFonts w:ascii="Arial" w:cs="Arial" w:eastAsia="Arial" w:hAnsi="Arial"/>
                <w:sz w:val="12"/>
                <w:szCs w:val="12"/>
                <w:color w:val="auto"/>
              </w:rPr>
              <w:t>Accrued income and other assets</w:t>
            </w: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96</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805</w:t>
            </w:r>
          </w:p>
        </w:tc>
        <w:tc>
          <w:tcPr>
            <w:tcW w:w="0" w:type="dxa"/>
            <w:vAlign w:val="bottom"/>
          </w:tcPr>
          <w:p>
            <w:pPr>
              <w:spacing w:after="0"/>
              <w:rPr>
                <w:sz w:val="1"/>
                <w:szCs w:val="1"/>
                <w:color w:val="auto"/>
              </w:rPr>
            </w:pPr>
          </w:p>
        </w:tc>
      </w:tr>
      <w:tr>
        <w:trPr>
          <w:trHeight w:val="182"/>
        </w:trPr>
        <w:tc>
          <w:tcPr>
            <w:tcW w:w="7340" w:type="dxa"/>
            <w:vAlign w:val="bottom"/>
            <w:shd w:val="clear" w:color="auto" w:fill="CCEEFF"/>
          </w:tcPr>
          <w:p>
            <w:pPr>
              <w:ind w:left="80"/>
              <w:spacing w:after="0"/>
              <w:rPr>
                <w:sz w:val="20"/>
                <w:szCs w:val="20"/>
                <w:color w:val="auto"/>
              </w:rPr>
            </w:pPr>
            <w:r>
              <w:rPr>
                <w:rFonts w:ascii="Arial" w:cs="Arial" w:eastAsia="Arial" w:hAnsi="Arial"/>
                <w:sz w:val="12"/>
                <w:szCs w:val="12"/>
                <w:color w:val="auto"/>
              </w:rPr>
              <w:t>Total Assets</w:t>
            </w:r>
          </w:p>
        </w:tc>
        <w:tc>
          <w:tcPr>
            <w:tcW w:w="7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5"/>
                <w:szCs w:val="5"/>
                <w:color w:val="auto"/>
                <w:w w:val="70"/>
              </w:rPr>
              <w:t>$</w:t>
            </w: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479,138</w:t>
            </w:r>
          </w:p>
        </w:tc>
        <w:tc>
          <w:tcPr>
            <w:tcW w:w="200" w:type="dxa"/>
            <w:vAlign w:val="bottom"/>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469,736</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7340" w:type="dxa"/>
            <w:vAlign w:val="bottom"/>
            <w:tcBorders>
              <w:top w:val="single" w:sz="8" w:color="CCEEFF"/>
            </w:tcBorders>
          </w:tcPr>
          <w:p>
            <w:pPr>
              <w:spacing w:after="0"/>
              <w:rPr>
                <w:sz w:val="10"/>
                <w:szCs w:val="10"/>
                <w:color w:val="auto"/>
              </w:rPr>
            </w:pPr>
          </w:p>
        </w:tc>
        <w:tc>
          <w:tcPr>
            <w:tcW w:w="760" w:type="dxa"/>
            <w:vAlign w:val="bottom"/>
            <w:tcBorders>
              <w:top w:val="single" w:sz="8" w:color="CCEEFF"/>
            </w:tcBorders>
          </w:tcPr>
          <w:p>
            <w:pPr>
              <w:spacing w:after="0"/>
              <w:rPr>
                <w:sz w:val="10"/>
                <w:szCs w:val="10"/>
                <w:color w:val="auto"/>
              </w:rPr>
            </w:pPr>
          </w:p>
        </w:tc>
        <w:tc>
          <w:tcPr>
            <w:tcW w:w="38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7340" w:type="dxa"/>
            <w:vAlign w:val="bottom"/>
            <w:shd w:val="clear" w:color="auto" w:fill="CCEEFF"/>
          </w:tcPr>
          <w:p>
            <w:pPr>
              <w:jc w:val="center"/>
              <w:ind w:left="3700"/>
              <w:spacing w:after="0"/>
              <w:rPr>
                <w:sz w:val="20"/>
                <w:szCs w:val="20"/>
                <w:color w:val="auto"/>
              </w:rPr>
            </w:pPr>
            <w:r>
              <w:rPr>
                <w:rFonts w:ascii="Arial" w:cs="Arial" w:eastAsia="Arial" w:hAnsi="Arial"/>
                <w:sz w:val="12"/>
                <w:szCs w:val="12"/>
                <w:color w:val="auto"/>
                <w:w w:val="99"/>
              </w:rPr>
              <w:t>LIABILITIES AND SHAREHOLDERS’ EQUITY</w:t>
            </w:r>
          </w:p>
        </w:tc>
        <w:tc>
          <w:tcPr>
            <w:tcW w:w="7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340" w:type="dxa"/>
            <w:vAlign w:val="bottom"/>
          </w:tcPr>
          <w:p>
            <w:pPr>
              <w:spacing w:after="0"/>
              <w:rPr>
                <w:sz w:val="20"/>
                <w:szCs w:val="20"/>
                <w:color w:val="auto"/>
              </w:rPr>
            </w:pPr>
            <w:r>
              <w:rPr>
                <w:rFonts w:ascii="Arial" w:cs="Arial" w:eastAsia="Arial" w:hAnsi="Arial"/>
                <w:sz w:val="12"/>
                <w:szCs w:val="12"/>
                <w:color w:val="auto"/>
              </w:rPr>
              <w:t>Subordinated debt</w:t>
            </w: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gridSpan w:val="2"/>
          </w:tcPr>
          <w:p>
            <w:pPr>
              <w:jc w:val="right"/>
              <w:ind w:right="56"/>
              <w:spacing w:after="0"/>
              <w:rPr>
                <w:sz w:val="20"/>
                <w:szCs w:val="20"/>
                <w:color w:val="auto"/>
              </w:rPr>
            </w:pPr>
            <w:r>
              <w:rPr>
                <w:rFonts w:ascii="Arial" w:cs="Arial" w:eastAsia="Arial" w:hAnsi="Arial"/>
                <w:sz w:val="12"/>
                <w:szCs w:val="12"/>
                <w:color w:val="auto"/>
              </w:rPr>
              <w:t>$</w:t>
            </w:r>
          </w:p>
        </w:tc>
        <w:tc>
          <w:tcPr>
            <w:tcW w:w="1220" w:type="dxa"/>
            <w:vAlign w:val="bottom"/>
            <w:gridSpan w:val="2"/>
          </w:tcPr>
          <w:p>
            <w:pPr>
              <w:jc w:val="right"/>
              <w:ind w:right="172"/>
              <w:spacing w:after="0"/>
              <w:rPr>
                <w:sz w:val="20"/>
                <w:szCs w:val="20"/>
                <w:color w:val="auto"/>
              </w:rPr>
            </w:pPr>
            <w:r>
              <w:rPr>
                <w:rFonts w:ascii="Arial" w:cs="Arial" w:eastAsia="Arial" w:hAnsi="Arial"/>
                <w:sz w:val="12"/>
                <w:szCs w:val="12"/>
                <w:color w:val="auto"/>
              </w:rPr>
              <w:t>39,357</w:t>
            </w: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39,281</w:t>
            </w:r>
          </w:p>
        </w:tc>
        <w:tc>
          <w:tcPr>
            <w:tcW w:w="0" w:type="dxa"/>
            <w:vAlign w:val="bottom"/>
          </w:tcPr>
          <w:p>
            <w:pPr>
              <w:spacing w:after="0"/>
              <w:rPr>
                <w:sz w:val="1"/>
                <w:szCs w:val="1"/>
                <w:color w:val="auto"/>
              </w:rPr>
            </w:pPr>
          </w:p>
        </w:tc>
      </w:tr>
      <w:tr>
        <w:trPr>
          <w:trHeight w:val="144"/>
        </w:trPr>
        <w:tc>
          <w:tcPr>
            <w:tcW w:w="7340" w:type="dxa"/>
            <w:vAlign w:val="bottom"/>
            <w:shd w:val="clear" w:color="auto" w:fill="CCEEFF"/>
          </w:tcPr>
          <w:p>
            <w:pPr>
              <w:spacing w:after="0"/>
              <w:rPr>
                <w:sz w:val="20"/>
                <w:szCs w:val="20"/>
                <w:color w:val="auto"/>
              </w:rPr>
            </w:pPr>
            <w:r>
              <w:rPr>
                <w:rFonts w:ascii="Arial" w:cs="Arial" w:eastAsia="Arial" w:hAnsi="Arial"/>
                <w:sz w:val="12"/>
                <w:szCs w:val="12"/>
                <w:color w:val="auto"/>
              </w:rPr>
              <w:t>Subordinated debentures</w:t>
            </w:r>
          </w:p>
        </w:tc>
        <w:tc>
          <w:tcPr>
            <w:tcW w:w="7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72"/>
              <w:spacing w:after="0"/>
              <w:rPr>
                <w:sz w:val="20"/>
                <w:szCs w:val="20"/>
                <w:color w:val="auto"/>
              </w:rPr>
            </w:pPr>
            <w:r>
              <w:rPr>
                <w:rFonts w:ascii="Arial" w:cs="Arial" w:eastAsia="Arial" w:hAnsi="Arial"/>
                <w:sz w:val="12"/>
                <w:szCs w:val="12"/>
                <w:color w:val="auto"/>
              </w:rPr>
              <w:t>39,592</w:t>
            </w:r>
          </w:p>
        </w:tc>
        <w:tc>
          <w:tcPr>
            <w:tcW w:w="3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39,524</w:t>
            </w:r>
          </w:p>
        </w:tc>
        <w:tc>
          <w:tcPr>
            <w:tcW w:w="0" w:type="dxa"/>
            <w:vAlign w:val="bottom"/>
          </w:tcPr>
          <w:p>
            <w:pPr>
              <w:spacing w:after="0"/>
              <w:rPr>
                <w:sz w:val="1"/>
                <w:szCs w:val="1"/>
                <w:color w:val="auto"/>
              </w:rPr>
            </w:pPr>
          </w:p>
        </w:tc>
      </w:tr>
      <w:tr>
        <w:trPr>
          <w:trHeight w:val="144"/>
        </w:trPr>
        <w:tc>
          <w:tcPr>
            <w:tcW w:w="7340" w:type="dxa"/>
            <w:vAlign w:val="bottom"/>
          </w:tcPr>
          <w:p>
            <w:pPr>
              <w:spacing w:after="0"/>
              <w:rPr>
                <w:sz w:val="20"/>
                <w:szCs w:val="20"/>
                <w:color w:val="auto"/>
              </w:rPr>
            </w:pPr>
            <w:r>
              <w:rPr>
                <w:rFonts w:ascii="Arial" w:cs="Arial" w:eastAsia="Arial" w:hAnsi="Arial"/>
                <w:sz w:val="12"/>
                <w:szCs w:val="12"/>
                <w:color w:val="auto"/>
              </w:rPr>
              <w:t>Accrued expenses and other liabilities</w:t>
            </w: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844</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684</w:t>
            </w:r>
          </w:p>
        </w:tc>
        <w:tc>
          <w:tcPr>
            <w:tcW w:w="0" w:type="dxa"/>
            <w:vAlign w:val="bottom"/>
          </w:tcPr>
          <w:p>
            <w:pPr>
              <w:spacing w:after="0"/>
              <w:rPr>
                <w:sz w:val="1"/>
                <w:szCs w:val="1"/>
                <w:color w:val="auto"/>
              </w:rPr>
            </w:pPr>
          </w:p>
        </w:tc>
      </w:tr>
      <w:tr>
        <w:trPr>
          <w:trHeight w:val="144"/>
        </w:trPr>
        <w:tc>
          <w:tcPr>
            <w:tcW w:w="7340" w:type="dxa"/>
            <w:vAlign w:val="bottom"/>
            <w:shd w:val="clear" w:color="auto" w:fill="CCEEFF"/>
          </w:tcPr>
          <w:p>
            <w:pPr>
              <w:spacing w:after="0"/>
              <w:rPr>
                <w:sz w:val="20"/>
                <w:szCs w:val="20"/>
                <w:color w:val="auto"/>
              </w:rPr>
            </w:pPr>
            <w:r>
              <w:rPr>
                <w:rFonts w:ascii="Arial" w:cs="Arial" w:eastAsia="Arial" w:hAnsi="Arial"/>
                <w:sz w:val="12"/>
                <w:szCs w:val="12"/>
                <w:color w:val="auto"/>
              </w:rPr>
              <w:t>Shareholders’ equity</w:t>
            </w:r>
          </w:p>
        </w:tc>
        <w:tc>
          <w:tcPr>
            <w:tcW w:w="7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399,345</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390,247</w:t>
            </w:r>
          </w:p>
        </w:tc>
        <w:tc>
          <w:tcPr>
            <w:tcW w:w="0" w:type="dxa"/>
            <w:vAlign w:val="bottom"/>
          </w:tcPr>
          <w:p>
            <w:pPr>
              <w:spacing w:after="0"/>
              <w:rPr>
                <w:sz w:val="1"/>
                <w:szCs w:val="1"/>
                <w:color w:val="auto"/>
              </w:rPr>
            </w:pPr>
          </w:p>
        </w:tc>
      </w:tr>
      <w:tr>
        <w:trPr>
          <w:trHeight w:val="20"/>
        </w:trPr>
        <w:tc>
          <w:tcPr>
            <w:tcW w:w="734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340" w:type="dxa"/>
            <w:vAlign w:val="bottom"/>
          </w:tcPr>
          <w:p>
            <w:pPr>
              <w:ind w:left="80"/>
              <w:spacing w:after="0"/>
              <w:rPr>
                <w:sz w:val="20"/>
                <w:szCs w:val="20"/>
                <w:color w:val="auto"/>
              </w:rPr>
            </w:pPr>
            <w:r>
              <w:rPr>
                <w:rFonts w:ascii="Arial" w:cs="Arial" w:eastAsia="Arial" w:hAnsi="Arial"/>
                <w:sz w:val="12"/>
                <w:szCs w:val="12"/>
                <w:color w:val="auto"/>
              </w:rPr>
              <w:t>Total Liabilities and Shareholders’ Equity</w:t>
            </w: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jc w:val="right"/>
              <w:ind w:right="56"/>
              <w:spacing w:after="0"/>
              <w:rPr>
                <w:sz w:val="20"/>
                <w:szCs w:val="20"/>
                <w:color w:val="auto"/>
              </w:rPr>
            </w:pPr>
            <w:r>
              <w:rPr>
                <w:rFonts w:ascii="Arial" w:cs="Arial" w:eastAsia="Arial" w:hAnsi="Arial"/>
                <w:sz w:val="5"/>
                <w:szCs w:val="5"/>
                <w:color w:val="auto"/>
                <w:w w:val="70"/>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479,138</w:t>
            </w:r>
          </w:p>
        </w:tc>
        <w:tc>
          <w:tcPr>
            <w:tcW w:w="200" w:type="dxa"/>
            <w:vAlign w:val="bottom"/>
          </w:tcPr>
          <w:p>
            <w:pPr>
              <w:spacing w:after="0"/>
              <w:rPr>
                <w:sz w:val="12"/>
                <w:szCs w:val="12"/>
                <w:color w:val="auto"/>
              </w:rPr>
            </w:pP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469,736</w:t>
            </w:r>
          </w:p>
        </w:tc>
        <w:tc>
          <w:tcPr>
            <w:tcW w:w="0" w:type="dxa"/>
            <w:vAlign w:val="bottom"/>
          </w:tcPr>
          <w:p>
            <w:pPr>
              <w:spacing w:after="0"/>
              <w:rPr>
                <w:sz w:val="1"/>
                <w:szCs w:val="1"/>
                <w:color w:val="auto"/>
              </w:rPr>
            </w:pPr>
          </w:p>
        </w:tc>
      </w:tr>
      <w:tr>
        <w:trPr>
          <w:trHeight w:val="20"/>
        </w:trPr>
        <w:tc>
          <w:tcPr>
            <w:tcW w:w="7340" w:type="dxa"/>
            <w:vAlign w:val="bottom"/>
            <w:vMerge w:val="restart"/>
          </w:tcPr>
          <w:p>
            <w:pPr>
              <w:jc w:val="center"/>
              <w:ind w:left="3880"/>
              <w:spacing w:after="0"/>
              <w:rPr>
                <w:sz w:val="20"/>
                <w:szCs w:val="20"/>
                <w:color w:val="auto"/>
              </w:rPr>
            </w:pPr>
            <w:r>
              <w:rPr>
                <w:rFonts w:ascii="Arial" w:cs="Arial" w:eastAsia="Arial" w:hAnsi="Arial"/>
                <w:sz w:val="12"/>
                <w:szCs w:val="12"/>
                <w:b w:val="1"/>
                <w:bCs w:val="1"/>
                <w:color w:val="auto"/>
                <w:w w:val="98"/>
              </w:rPr>
              <w:t>CONDENSED STATEMENTS OF OPERATIONS</w:t>
            </w: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340" w:type="dxa"/>
            <w:vAlign w:val="bottom"/>
            <w:vMerge w:val="continue"/>
          </w:tcPr>
          <w:p>
            <w:pPr>
              <w:spacing w:after="0"/>
              <w:rPr>
                <w:sz w:val="22"/>
                <w:szCs w:val="22"/>
                <w:color w:val="auto"/>
              </w:rPr>
            </w:pPr>
          </w:p>
        </w:tc>
        <w:tc>
          <w:tcPr>
            <w:tcW w:w="7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734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center"/>
              <w:ind w:right="32"/>
              <w:spacing w:after="0"/>
              <w:rPr>
                <w:sz w:val="20"/>
                <w:szCs w:val="20"/>
                <w:color w:val="auto"/>
              </w:rPr>
            </w:pPr>
            <w:r>
              <w:rPr>
                <w:rFonts w:ascii="Arial" w:cs="Arial" w:eastAsia="Arial" w:hAnsi="Arial"/>
                <w:sz w:val="12"/>
                <w:szCs w:val="12"/>
                <w:b w:val="1"/>
                <w:bCs w:val="1"/>
                <w:color w:val="auto"/>
                <w:w w:val="90"/>
              </w:rPr>
              <w:t>Year Ended December 31,</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340" w:type="dxa"/>
            <w:vAlign w:val="bottom"/>
          </w:tcPr>
          <w:p>
            <w:pPr>
              <w:spacing w:after="0"/>
              <w:rPr>
                <w:sz w:val="12"/>
                <w:szCs w:val="12"/>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2"/>
                <w:szCs w:val="12"/>
                <w:b w:val="1"/>
                <w:bCs w:val="1"/>
                <w:color w:val="auto"/>
              </w:rPr>
              <w:t>2021</w:t>
            </w:r>
          </w:p>
        </w:tc>
        <w:tc>
          <w:tcPr>
            <w:tcW w:w="3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80"/>
              <w:spacing w:after="0"/>
              <w:rPr>
                <w:sz w:val="20"/>
                <w:szCs w:val="20"/>
                <w:color w:val="auto"/>
              </w:rPr>
            </w:pPr>
            <w:r>
              <w:rPr>
                <w:rFonts w:ascii="Arial" w:cs="Arial" w:eastAsia="Arial" w:hAnsi="Arial"/>
                <w:sz w:val="12"/>
                <w:szCs w:val="12"/>
                <w:b w:val="1"/>
                <w:bCs w:val="1"/>
                <w:color w:val="auto"/>
                <w:w w:val="89"/>
              </w:rPr>
              <w:t>2020</w:t>
            </w:r>
          </w:p>
        </w:tc>
        <w:tc>
          <w:tcPr>
            <w:tcW w:w="2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340" w:type="dxa"/>
            <w:vAlign w:val="bottom"/>
            <w:vMerge w:val="restart"/>
          </w:tcPr>
          <w:p>
            <w:pPr>
              <w:spacing w:after="0"/>
              <w:rPr>
                <w:sz w:val="20"/>
                <w:szCs w:val="20"/>
                <w:color w:val="auto"/>
              </w:rPr>
            </w:pPr>
            <w:r>
              <w:rPr>
                <w:rFonts w:ascii="Arial" w:cs="Arial" w:eastAsia="Arial" w:hAnsi="Arial"/>
                <w:sz w:val="12"/>
                <w:szCs w:val="12"/>
                <w:color w:val="auto"/>
              </w:rPr>
              <w:t>OPERATING INCOME</w:t>
            </w: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center"/>
              <w:ind w:right="100"/>
              <w:spacing w:after="0"/>
              <w:rPr>
                <w:sz w:val="20"/>
                <w:szCs w:val="20"/>
                <w:color w:val="auto"/>
              </w:rPr>
            </w:pPr>
            <w:r>
              <w:rPr>
                <w:rFonts w:ascii="Arial" w:cs="Arial" w:eastAsia="Arial" w:hAnsi="Arial"/>
                <w:sz w:val="12"/>
                <w:szCs w:val="12"/>
                <w:b w:val="1"/>
                <w:bCs w:val="1"/>
                <w:color w:val="auto"/>
                <w:w w:val="89"/>
              </w:rPr>
              <w:t>(In thousands)</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734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340" w:type="dxa"/>
            <w:vAlign w:val="bottom"/>
            <w:shd w:val="clear" w:color="auto" w:fill="CCEEFF"/>
          </w:tcPr>
          <w:p>
            <w:pPr>
              <w:ind w:left="80"/>
              <w:spacing w:after="0"/>
              <w:rPr>
                <w:sz w:val="20"/>
                <w:szCs w:val="20"/>
                <w:color w:val="auto"/>
              </w:rPr>
            </w:pPr>
            <w:r>
              <w:rPr>
                <w:rFonts w:ascii="Arial" w:cs="Arial" w:eastAsia="Arial" w:hAnsi="Arial"/>
                <w:sz w:val="12"/>
                <w:szCs w:val="12"/>
                <w:color w:val="auto"/>
              </w:rPr>
              <w:t>Dividends from subsidiary</w:t>
            </w:r>
          </w:p>
        </w:tc>
        <w:tc>
          <w:tcPr>
            <w:tcW w:w="760" w:type="dxa"/>
            <w:vAlign w:val="bottom"/>
            <w:shd w:val="clear" w:color="auto" w:fill="CCEEFF"/>
          </w:tcPr>
          <w:p>
            <w:pPr>
              <w:jc w:val="right"/>
              <w:ind w:right="648"/>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7"/>
              </w:rPr>
              <w:t>32,000</w:t>
            </w:r>
          </w:p>
        </w:tc>
        <w:tc>
          <w:tcPr>
            <w:tcW w:w="280" w:type="dxa"/>
            <w:vAlign w:val="bottom"/>
            <w:gridSpan w:val="2"/>
            <w:shd w:val="clear" w:color="auto" w:fill="CCEEFF"/>
          </w:tcPr>
          <w:p>
            <w:pPr>
              <w:jc w:val="right"/>
              <w:ind w:right="36"/>
              <w:spacing w:after="0"/>
              <w:rPr>
                <w:sz w:val="20"/>
                <w:szCs w:val="20"/>
                <w:color w:val="auto"/>
              </w:rPr>
            </w:pPr>
            <w:r>
              <w:rPr>
                <w:rFonts w:ascii="Arial" w:cs="Arial" w:eastAsia="Arial" w:hAnsi="Arial"/>
                <w:sz w:val="12"/>
                <w:szCs w:val="12"/>
                <w:color w:val="auto"/>
              </w:rPr>
              <w:t>$</w:t>
            </w:r>
          </w:p>
        </w:tc>
        <w:tc>
          <w:tcPr>
            <w:tcW w:w="1220" w:type="dxa"/>
            <w:vAlign w:val="bottom"/>
            <w:gridSpan w:val="2"/>
            <w:shd w:val="clear" w:color="auto" w:fill="CCEEFF"/>
          </w:tcPr>
          <w:p>
            <w:pPr>
              <w:jc w:val="right"/>
              <w:ind w:right="172"/>
              <w:spacing w:after="0"/>
              <w:rPr>
                <w:sz w:val="20"/>
                <w:szCs w:val="20"/>
                <w:color w:val="auto"/>
              </w:rPr>
            </w:pPr>
            <w:r>
              <w:rPr>
                <w:rFonts w:ascii="Arial" w:cs="Arial" w:eastAsia="Arial" w:hAnsi="Arial"/>
                <w:sz w:val="12"/>
                <w:szCs w:val="12"/>
                <w:color w:val="auto"/>
              </w:rPr>
              <w:t>24,000</w:t>
            </w:r>
          </w:p>
        </w:tc>
        <w:tc>
          <w:tcPr>
            <w:tcW w:w="30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29,000</w:t>
            </w:r>
          </w:p>
        </w:tc>
        <w:tc>
          <w:tcPr>
            <w:tcW w:w="0" w:type="dxa"/>
            <w:vAlign w:val="bottom"/>
          </w:tcPr>
          <w:p>
            <w:pPr>
              <w:spacing w:after="0"/>
              <w:rPr>
                <w:sz w:val="1"/>
                <w:szCs w:val="1"/>
                <w:color w:val="auto"/>
              </w:rPr>
            </w:pPr>
          </w:p>
        </w:tc>
      </w:tr>
      <w:tr>
        <w:trPr>
          <w:trHeight w:val="144"/>
        </w:trPr>
        <w:tc>
          <w:tcPr>
            <w:tcW w:w="7340" w:type="dxa"/>
            <w:vAlign w:val="bottom"/>
          </w:tcPr>
          <w:p>
            <w:pPr>
              <w:ind w:left="80"/>
              <w:spacing w:after="0"/>
              <w:rPr>
                <w:sz w:val="20"/>
                <w:szCs w:val="20"/>
                <w:color w:val="auto"/>
              </w:rPr>
            </w:pPr>
            <w:r>
              <w:rPr>
                <w:rFonts w:ascii="Arial" w:cs="Arial" w:eastAsia="Arial" w:hAnsi="Arial"/>
                <w:sz w:val="12"/>
                <w:szCs w:val="12"/>
                <w:color w:val="auto"/>
              </w:rPr>
              <w:t>Interest income</w:t>
            </w:r>
          </w:p>
        </w:tc>
        <w:tc>
          <w:tcPr>
            <w:tcW w:w="7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55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99</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230</w:t>
            </w:r>
          </w:p>
        </w:tc>
        <w:tc>
          <w:tcPr>
            <w:tcW w:w="0" w:type="dxa"/>
            <w:vAlign w:val="bottom"/>
          </w:tcPr>
          <w:p>
            <w:pPr>
              <w:spacing w:after="0"/>
              <w:rPr>
                <w:sz w:val="1"/>
                <w:szCs w:val="1"/>
                <w:color w:val="auto"/>
              </w:rPr>
            </w:pPr>
          </w:p>
        </w:tc>
      </w:tr>
      <w:tr>
        <w:trPr>
          <w:trHeight w:val="144"/>
        </w:trPr>
        <w:tc>
          <w:tcPr>
            <w:tcW w:w="7340" w:type="dxa"/>
            <w:vAlign w:val="bottom"/>
            <w:shd w:val="clear" w:color="auto" w:fill="CCEEFF"/>
          </w:tcPr>
          <w:p>
            <w:pPr>
              <w:ind w:left="80"/>
              <w:spacing w:after="0"/>
              <w:rPr>
                <w:sz w:val="20"/>
                <w:szCs w:val="20"/>
                <w:color w:val="auto"/>
              </w:rPr>
            </w:pPr>
            <w:r>
              <w:rPr>
                <w:rFonts w:ascii="Arial" w:cs="Arial" w:eastAsia="Arial" w:hAnsi="Arial"/>
                <w:sz w:val="12"/>
                <w:szCs w:val="12"/>
                <w:color w:val="auto"/>
              </w:rPr>
              <w:t>Other income</w:t>
            </w:r>
          </w:p>
        </w:tc>
        <w:tc>
          <w:tcPr>
            <w:tcW w:w="7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w:t>
            </w:r>
          </w:p>
        </w:tc>
        <w:tc>
          <w:tcPr>
            <w:tcW w:w="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42</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61</w:t>
            </w:r>
          </w:p>
        </w:tc>
        <w:tc>
          <w:tcPr>
            <w:tcW w:w="0" w:type="dxa"/>
            <w:vAlign w:val="bottom"/>
          </w:tcPr>
          <w:p>
            <w:pPr>
              <w:spacing w:after="0"/>
              <w:rPr>
                <w:sz w:val="1"/>
                <w:szCs w:val="1"/>
                <w:color w:val="auto"/>
              </w:rPr>
            </w:pPr>
          </w:p>
        </w:tc>
      </w:tr>
      <w:tr>
        <w:trPr>
          <w:trHeight w:val="20"/>
        </w:trPr>
        <w:tc>
          <w:tcPr>
            <w:tcW w:w="734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340" w:type="dxa"/>
            <w:vAlign w:val="bottom"/>
          </w:tcPr>
          <w:p>
            <w:pPr>
              <w:ind w:left="200"/>
              <w:spacing w:after="0"/>
              <w:rPr>
                <w:sz w:val="20"/>
                <w:szCs w:val="20"/>
                <w:color w:val="auto"/>
              </w:rPr>
            </w:pPr>
            <w:r>
              <w:rPr>
                <w:rFonts w:ascii="Arial" w:cs="Arial" w:eastAsia="Arial" w:hAnsi="Arial"/>
                <w:sz w:val="12"/>
                <w:szCs w:val="12"/>
                <w:color w:val="auto"/>
              </w:rPr>
              <w:t>Total Operating Income</w:t>
            </w:r>
          </w:p>
        </w:tc>
        <w:tc>
          <w:tcPr>
            <w:tcW w:w="76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2"/>
                <w:szCs w:val="12"/>
                <w:color w:val="auto"/>
                <w:w w:val="97"/>
              </w:rPr>
              <w:t>32,088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172"/>
              <w:spacing w:after="0"/>
              <w:rPr>
                <w:sz w:val="20"/>
                <w:szCs w:val="20"/>
                <w:color w:val="auto"/>
              </w:rPr>
            </w:pPr>
            <w:r>
              <w:rPr>
                <w:rFonts w:ascii="Arial" w:cs="Arial" w:eastAsia="Arial" w:hAnsi="Arial"/>
                <w:sz w:val="12"/>
                <w:szCs w:val="12"/>
                <w:color w:val="auto"/>
              </w:rPr>
              <w:t>24,141</w:t>
            </w:r>
          </w:p>
        </w:tc>
        <w:tc>
          <w:tcPr>
            <w:tcW w:w="30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29,291</w:t>
            </w:r>
          </w:p>
        </w:tc>
        <w:tc>
          <w:tcPr>
            <w:tcW w:w="0" w:type="dxa"/>
            <w:vAlign w:val="bottom"/>
          </w:tcPr>
          <w:p>
            <w:pPr>
              <w:spacing w:after="0"/>
              <w:rPr>
                <w:sz w:val="1"/>
                <w:szCs w:val="1"/>
                <w:color w:val="auto"/>
              </w:rPr>
            </w:pPr>
          </w:p>
        </w:tc>
      </w:tr>
      <w:tr>
        <w:trPr>
          <w:trHeight w:val="142"/>
        </w:trPr>
        <w:tc>
          <w:tcPr>
            <w:tcW w:w="7340" w:type="dxa"/>
            <w:vAlign w:val="bottom"/>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340" w:type="dxa"/>
            <w:vAlign w:val="bottom"/>
          </w:tcPr>
          <w:p>
            <w:pPr>
              <w:spacing w:after="0"/>
              <w:rPr>
                <w:sz w:val="20"/>
                <w:szCs w:val="20"/>
                <w:color w:val="auto"/>
              </w:rPr>
            </w:pPr>
            <w:r>
              <w:rPr>
                <w:rFonts w:ascii="Arial" w:cs="Arial" w:eastAsia="Arial" w:hAnsi="Arial"/>
                <w:sz w:val="12"/>
                <w:szCs w:val="12"/>
                <w:color w:val="auto"/>
              </w:rPr>
              <w:t>OPERATING EXPENSES</w:t>
            </w: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340" w:type="dxa"/>
            <w:vAlign w:val="bottom"/>
            <w:shd w:val="clear" w:color="auto" w:fill="CCEEFF"/>
          </w:tcPr>
          <w:p>
            <w:pPr>
              <w:ind w:left="80"/>
              <w:spacing w:after="0"/>
              <w:rPr>
                <w:sz w:val="20"/>
                <w:szCs w:val="20"/>
                <w:color w:val="auto"/>
              </w:rPr>
            </w:pPr>
            <w:r>
              <w:rPr>
                <w:rFonts w:ascii="Arial" w:cs="Arial" w:eastAsia="Arial" w:hAnsi="Arial"/>
                <w:sz w:val="12"/>
                <w:szCs w:val="12"/>
                <w:color w:val="auto"/>
              </w:rPr>
              <w:t>Interest expense</w:t>
            </w:r>
          </w:p>
        </w:tc>
        <w:tc>
          <w:tcPr>
            <w:tcW w:w="7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3,625</w:t>
            </w:r>
          </w:p>
        </w:tc>
        <w:tc>
          <w:tcPr>
            <w:tcW w:w="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2,893</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2,104</w:t>
            </w:r>
          </w:p>
        </w:tc>
        <w:tc>
          <w:tcPr>
            <w:tcW w:w="0" w:type="dxa"/>
            <w:vAlign w:val="bottom"/>
          </w:tcPr>
          <w:p>
            <w:pPr>
              <w:spacing w:after="0"/>
              <w:rPr>
                <w:sz w:val="1"/>
                <w:szCs w:val="1"/>
                <w:color w:val="auto"/>
              </w:rPr>
            </w:pPr>
          </w:p>
        </w:tc>
      </w:tr>
      <w:tr>
        <w:trPr>
          <w:trHeight w:val="144"/>
        </w:trPr>
        <w:tc>
          <w:tcPr>
            <w:tcW w:w="7340" w:type="dxa"/>
            <w:vAlign w:val="bottom"/>
          </w:tcPr>
          <w:p>
            <w:pPr>
              <w:ind w:left="80"/>
              <w:spacing w:after="0"/>
              <w:rPr>
                <w:sz w:val="20"/>
                <w:szCs w:val="20"/>
                <w:color w:val="auto"/>
              </w:rPr>
            </w:pPr>
            <w:r>
              <w:rPr>
                <w:rFonts w:ascii="Arial" w:cs="Arial" w:eastAsia="Arial" w:hAnsi="Arial"/>
                <w:sz w:val="12"/>
                <w:szCs w:val="12"/>
                <w:color w:val="auto"/>
              </w:rPr>
              <w:t>Administrative and other expenses</w:t>
            </w:r>
          </w:p>
        </w:tc>
        <w:tc>
          <w:tcPr>
            <w:tcW w:w="7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787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733</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655</w:t>
            </w:r>
          </w:p>
        </w:tc>
        <w:tc>
          <w:tcPr>
            <w:tcW w:w="0" w:type="dxa"/>
            <w:vAlign w:val="bottom"/>
          </w:tcPr>
          <w:p>
            <w:pPr>
              <w:spacing w:after="0"/>
              <w:rPr>
                <w:sz w:val="1"/>
                <w:szCs w:val="1"/>
                <w:color w:val="auto"/>
              </w:rPr>
            </w:pPr>
          </w:p>
        </w:tc>
      </w:tr>
      <w:tr>
        <w:trPr>
          <w:trHeight w:val="142"/>
        </w:trPr>
        <w:tc>
          <w:tcPr>
            <w:tcW w:w="7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Total Operating Expenses</w:t>
            </w:r>
          </w:p>
        </w:tc>
        <w:tc>
          <w:tcPr>
            <w:tcW w:w="760" w:type="dxa"/>
            <w:vAlign w:val="bottom"/>
            <w:tcBorders>
              <w:top w:val="single" w:sz="8" w:color="auto"/>
              <w:bottom w:val="single" w:sz="8" w:color="auto"/>
            </w:tcBorders>
            <w:shd w:val="clear" w:color="auto" w:fill="CCEEFF"/>
          </w:tcPr>
          <w:p>
            <w:pPr>
              <w:spacing w:after="0"/>
              <w:rPr>
                <w:sz w:val="12"/>
                <w:szCs w:val="12"/>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4,412</w:t>
            </w: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right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3,626</w:t>
            </w:r>
          </w:p>
        </w:tc>
        <w:tc>
          <w:tcPr>
            <w:tcW w:w="20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2,759</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340" w:type="dxa"/>
            <w:vAlign w:val="bottom"/>
          </w:tcPr>
          <w:p>
            <w:pPr>
              <w:ind w:left="200"/>
              <w:spacing w:after="0"/>
              <w:rPr>
                <w:sz w:val="20"/>
                <w:szCs w:val="20"/>
                <w:color w:val="auto"/>
              </w:rPr>
            </w:pPr>
            <w:r>
              <w:rPr>
                <w:rFonts w:ascii="Arial" w:cs="Arial" w:eastAsia="Arial" w:hAnsi="Arial"/>
                <w:sz w:val="12"/>
                <w:szCs w:val="12"/>
                <w:color w:val="auto"/>
              </w:rPr>
              <w:t>Income Before Income Tax and Equity in Undistributed Net Income of Subsidiaries</w:t>
            </w:r>
          </w:p>
        </w:tc>
        <w:tc>
          <w:tcPr>
            <w:tcW w:w="76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2"/>
                <w:szCs w:val="12"/>
                <w:color w:val="auto"/>
                <w:w w:val="97"/>
              </w:rPr>
              <w:t>27,676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172"/>
              <w:spacing w:after="0"/>
              <w:rPr>
                <w:sz w:val="20"/>
                <w:szCs w:val="20"/>
                <w:color w:val="auto"/>
              </w:rPr>
            </w:pPr>
            <w:r>
              <w:rPr>
                <w:rFonts w:ascii="Arial" w:cs="Arial" w:eastAsia="Arial" w:hAnsi="Arial"/>
                <w:sz w:val="12"/>
                <w:szCs w:val="12"/>
                <w:color w:val="auto"/>
              </w:rPr>
              <w:t>20,515</w:t>
            </w:r>
          </w:p>
        </w:tc>
        <w:tc>
          <w:tcPr>
            <w:tcW w:w="30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26,532</w:t>
            </w:r>
          </w:p>
        </w:tc>
        <w:tc>
          <w:tcPr>
            <w:tcW w:w="0" w:type="dxa"/>
            <w:vAlign w:val="bottom"/>
          </w:tcPr>
          <w:p>
            <w:pPr>
              <w:spacing w:after="0"/>
              <w:rPr>
                <w:sz w:val="1"/>
                <w:szCs w:val="1"/>
                <w:color w:val="auto"/>
              </w:rPr>
            </w:pPr>
          </w:p>
        </w:tc>
      </w:tr>
      <w:tr>
        <w:trPr>
          <w:trHeight w:val="144"/>
        </w:trPr>
        <w:tc>
          <w:tcPr>
            <w:tcW w:w="7340" w:type="dxa"/>
            <w:vAlign w:val="bottom"/>
            <w:shd w:val="clear" w:color="auto" w:fill="CCEEFF"/>
          </w:tcPr>
          <w:p>
            <w:pPr>
              <w:ind w:left="80"/>
              <w:spacing w:after="0"/>
              <w:rPr>
                <w:sz w:val="20"/>
                <w:szCs w:val="20"/>
                <w:color w:val="auto"/>
              </w:rPr>
            </w:pPr>
            <w:r>
              <w:rPr>
                <w:rFonts w:ascii="Arial" w:cs="Arial" w:eastAsia="Arial" w:hAnsi="Arial"/>
                <w:sz w:val="12"/>
                <w:szCs w:val="12"/>
                <w:color w:val="auto"/>
              </w:rPr>
              <w:t>Income tax benefit</w:t>
            </w:r>
          </w:p>
        </w:tc>
        <w:tc>
          <w:tcPr>
            <w:tcW w:w="7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(1,048)</w:t>
            </w:r>
          </w:p>
        </w:tc>
        <w:tc>
          <w:tcPr>
            <w:tcW w:w="1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32"/>
              <w:spacing w:after="0"/>
              <w:rPr>
                <w:sz w:val="20"/>
                <w:szCs w:val="20"/>
                <w:color w:val="auto"/>
              </w:rPr>
            </w:pPr>
            <w:r>
              <w:rPr>
                <w:rFonts w:ascii="Arial" w:cs="Arial" w:eastAsia="Arial" w:hAnsi="Arial"/>
                <w:sz w:val="12"/>
                <w:szCs w:val="12"/>
                <w:color w:val="auto"/>
              </w:rPr>
              <w:t>(937)</w:t>
            </w:r>
          </w:p>
        </w:tc>
        <w:tc>
          <w:tcPr>
            <w:tcW w:w="3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(423)</w:t>
            </w:r>
          </w:p>
        </w:tc>
        <w:tc>
          <w:tcPr>
            <w:tcW w:w="0" w:type="dxa"/>
            <w:vAlign w:val="bottom"/>
          </w:tcPr>
          <w:p>
            <w:pPr>
              <w:spacing w:after="0"/>
              <w:rPr>
                <w:sz w:val="1"/>
                <w:szCs w:val="1"/>
                <w:color w:val="auto"/>
              </w:rPr>
            </w:pPr>
          </w:p>
        </w:tc>
      </w:tr>
      <w:tr>
        <w:trPr>
          <w:trHeight w:val="20"/>
        </w:trPr>
        <w:tc>
          <w:tcPr>
            <w:tcW w:w="734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340" w:type="dxa"/>
            <w:vAlign w:val="bottom"/>
          </w:tcPr>
          <w:p>
            <w:pPr>
              <w:ind w:left="200"/>
              <w:spacing w:after="0"/>
              <w:rPr>
                <w:sz w:val="20"/>
                <w:szCs w:val="20"/>
                <w:color w:val="auto"/>
              </w:rPr>
            </w:pPr>
            <w:r>
              <w:rPr>
                <w:rFonts w:ascii="Arial" w:cs="Arial" w:eastAsia="Arial" w:hAnsi="Arial"/>
                <w:sz w:val="12"/>
                <w:szCs w:val="12"/>
                <w:color w:val="auto"/>
              </w:rPr>
              <w:t>Income Before Equity in Undistributed Net Income of Subsidiaries</w:t>
            </w:r>
          </w:p>
        </w:tc>
        <w:tc>
          <w:tcPr>
            <w:tcW w:w="76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2"/>
                <w:szCs w:val="12"/>
                <w:color w:val="auto"/>
                <w:w w:val="97"/>
              </w:rPr>
              <w:t>28,724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172"/>
              <w:spacing w:after="0"/>
              <w:rPr>
                <w:sz w:val="20"/>
                <w:szCs w:val="20"/>
                <w:color w:val="auto"/>
              </w:rPr>
            </w:pPr>
            <w:r>
              <w:rPr>
                <w:rFonts w:ascii="Arial" w:cs="Arial" w:eastAsia="Arial" w:hAnsi="Arial"/>
                <w:sz w:val="12"/>
                <w:szCs w:val="12"/>
                <w:color w:val="auto"/>
              </w:rPr>
              <w:t>21,452</w:t>
            </w:r>
          </w:p>
        </w:tc>
        <w:tc>
          <w:tcPr>
            <w:tcW w:w="30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26,955</w:t>
            </w:r>
          </w:p>
        </w:tc>
        <w:tc>
          <w:tcPr>
            <w:tcW w:w="0" w:type="dxa"/>
            <w:vAlign w:val="bottom"/>
          </w:tcPr>
          <w:p>
            <w:pPr>
              <w:spacing w:after="0"/>
              <w:rPr>
                <w:sz w:val="1"/>
                <w:szCs w:val="1"/>
                <w:color w:val="auto"/>
              </w:rPr>
            </w:pPr>
          </w:p>
        </w:tc>
      </w:tr>
      <w:tr>
        <w:trPr>
          <w:trHeight w:val="144"/>
        </w:trPr>
        <w:tc>
          <w:tcPr>
            <w:tcW w:w="7340" w:type="dxa"/>
            <w:vAlign w:val="bottom"/>
            <w:shd w:val="clear" w:color="auto" w:fill="CCEEFF"/>
          </w:tcPr>
          <w:p>
            <w:pPr>
              <w:ind w:left="80"/>
              <w:spacing w:after="0"/>
              <w:rPr>
                <w:sz w:val="20"/>
                <w:szCs w:val="20"/>
                <w:color w:val="auto"/>
              </w:rPr>
            </w:pPr>
            <w:r>
              <w:rPr>
                <w:rFonts w:ascii="Arial" w:cs="Arial" w:eastAsia="Arial" w:hAnsi="Arial"/>
                <w:sz w:val="12"/>
                <w:szCs w:val="12"/>
                <w:color w:val="auto"/>
              </w:rPr>
              <w:t>Equity in undistributed net income of subsidiaries</w:t>
            </w:r>
          </w:p>
        </w:tc>
        <w:tc>
          <w:tcPr>
            <w:tcW w:w="7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7"/>
              </w:rPr>
              <w:t>34,171</w:t>
            </w:r>
          </w:p>
        </w:tc>
        <w:tc>
          <w:tcPr>
            <w:tcW w:w="1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72"/>
              <w:spacing w:after="0"/>
              <w:rPr>
                <w:sz w:val="20"/>
                <w:szCs w:val="20"/>
                <w:color w:val="auto"/>
              </w:rPr>
            </w:pPr>
            <w:r>
              <w:rPr>
                <w:rFonts w:ascii="Arial" w:cs="Arial" w:eastAsia="Arial" w:hAnsi="Arial"/>
                <w:sz w:val="12"/>
                <w:szCs w:val="12"/>
                <w:color w:val="auto"/>
              </w:rPr>
              <w:t>34,700</w:t>
            </w:r>
          </w:p>
        </w:tc>
        <w:tc>
          <w:tcPr>
            <w:tcW w:w="3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19,480</w:t>
            </w:r>
          </w:p>
        </w:tc>
        <w:tc>
          <w:tcPr>
            <w:tcW w:w="0" w:type="dxa"/>
            <w:vAlign w:val="bottom"/>
          </w:tcPr>
          <w:p>
            <w:pPr>
              <w:spacing w:after="0"/>
              <w:rPr>
                <w:sz w:val="1"/>
                <w:szCs w:val="1"/>
                <w:color w:val="auto"/>
              </w:rPr>
            </w:pPr>
          </w:p>
        </w:tc>
      </w:tr>
      <w:tr>
        <w:trPr>
          <w:trHeight w:val="20"/>
        </w:trPr>
        <w:tc>
          <w:tcPr>
            <w:tcW w:w="734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340" w:type="dxa"/>
            <w:vAlign w:val="bottom"/>
          </w:tcPr>
          <w:p>
            <w:pPr>
              <w:ind w:left="200"/>
              <w:spacing w:after="0"/>
              <w:rPr>
                <w:sz w:val="20"/>
                <w:szCs w:val="20"/>
                <w:color w:val="auto"/>
              </w:rPr>
            </w:pPr>
            <w:r>
              <w:rPr>
                <w:rFonts w:ascii="Arial" w:cs="Arial" w:eastAsia="Arial" w:hAnsi="Arial"/>
                <w:sz w:val="12"/>
                <w:szCs w:val="12"/>
                <w:color w:val="auto"/>
              </w:rPr>
              <w:t>Net Income</w:t>
            </w:r>
          </w:p>
        </w:tc>
        <w:tc>
          <w:tcPr>
            <w:tcW w:w="760" w:type="dxa"/>
            <w:vAlign w:val="bottom"/>
          </w:tcPr>
          <w:p>
            <w:pPr>
              <w:jc w:val="right"/>
              <w:ind w:right="648"/>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80"/>
              <w:spacing w:after="0"/>
              <w:rPr>
                <w:sz w:val="20"/>
                <w:szCs w:val="20"/>
                <w:color w:val="auto"/>
              </w:rPr>
            </w:pPr>
            <w:r>
              <w:rPr>
                <w:rFonts w:ascii="Arial" w:cs="Arial" w:eastAsia="Arial" w:hAnsi="Arial"/>
                <w:sz w:val="12"/>
                <w:szCs w:val="12"/>
                <w:color w:val="auto"/>
                <w:w w:val="97"/>
              </w:rPr>
              <w:t>62,895</w:t>
            </w:r>
          </w:p>
        </w:tc>
        <w:tc>
          <w:tcPr>
            <w:tcW w:w="280" w:type="dxa"/>
            <w:vAlign w:val="bottom"/>
            <w:gridSpan w:val="2"/>
          </w:tcPr>
          <w:p>
            <w:pPr>
              <w:jc w:val="right"/>
              <w:ind w:right="36"/>
              <w:spacing w:after="0"/>
              <w:rPr>
                <w:sz w:val="20"/>
                <w:szCs w:val="20"/>
                <w:color w:val="auto"/>
              </w:rPr>
            </w:pPr>
            <w:r>
              <w:rPr>
                <w:rFonts w:ascii="Arial" w:cs="Arial" w:eastAsia="Arial" w:hAnsi="Arial"/>
                <w:sz w:val="12"/>
                <w:szCs w:val="12"/>
                <w:color w:val="auto"/>
              </w:rPr>
              <w:t>$</w:t>
            </w:r>
          </w:p>
        </w:tc>
        <w:tc>
          <w:tcPr>
            <w:tcW w:w="1220" w:type="dxa"/>
            <w:vAlign w:val="bottom"/>
            <w:gridSpan w:val="2"/>
          </w:tcPr>
          <w:p>
            <w:pPr>
              <w:jc w:val="right"/>
              <w:ind w:right="172"/>
              <w:spacing w:after="0"/>
              <w:rPr>
                <w:sz w:val="20"/>
                <w:szCs w:val="20"/>
                <w:color w:val="auto"/>
              </w:rPr>
            </w:pPr>
            <w:r>
              <w:rPr>
                <w:rFonts w:ascii="Arial" w:cs="Arial" w:eastAsia="Arial" w:hAnsi="Arial"/>
                <w:sz w:val="12"/>
                <w:szCs w:val="12"/>
                <w:color w:val="auto"/>
              </w:rPr>
              <w:t>56,152</w:t>
            </w: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46,435</w:t>
            </w:r>
          </w:p>
        </w:tc>
        <w:tc>
          <w:tcPr>
            <w:tcW w:w="0" w:type="dxa"/>
            <w:vAlign w:val="bottom"/>
          </w:tcPr>
          <w:p>
            <w:pPr>
              <w:spacing w:after="0"/>
              <w:rPr>
                <w:sz w:val="1"/>
                <w:szCs w:val="1"/>
                <w:color w:val="auto"/>
              </w:rPr>
            </w:pPr>
          </w:p>
        </w:tc>
      </w:tr>
      <w:tr>
        <w:trPr>
          <w:trHeight w:val="20"/>
        </w:trPr>
        <w:tc>
          <w:tcPr>
            <w:tcW w:w="7340" w:type="dxa"/>
            <w:vAlign w:val="bottom"/>
            <w:vMerge w:val="restart"/>
          </w:tcPr>
          <w:p>
            <w:pPr>
              <w:jc w:val="center"/>
              <w:ind w:left="3900"/>
              <w:spacing w:after="0"/>
              <w:rPr>
                <w:sz w:val="20"/>
                <w:szCs w:val="20"/>
                <w:color w:val="auto"/>
              </w:rPr>
            </w:pPr>
            <w:r>
              <w:rPr>
                <w:rFonts w:ascii="Arial" w:cs="Arial" w:eastAsia="Arial" w:hAnsi="Arial"/>
                <w:sz w:val="10"/>
                <w:szCs w:val="10"/>
                <w:color w:val="auto"/>
                <w:w w:val="83"/>
              </w:rPr>
              <w:t>105</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734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7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27" w:right="299" w:bottom="1440" w:gutter="0" w:footer="0" w:header="0"/>
        </w:sectPr>
      </w:pPr>
    </w:p>
    <w:bookmarkStart w:id="125" w:name="page126"/>
    <w:bookmarkEnd w:id="1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480" w:type="dxa"/>
            <w:vAlign w:val="bottom"/>
          </w:tcPr>
          <w:p>
            <w:pPr>
              <w:spacing w:after="0"/>
              <w:rPr>
                <w:sz w:val="13"/>
                <w:szCs w:val="13"/>
                <w:color w:val="auto"/>
              </w:rPr>
            </w:pPr>
          </w:p>
        </w:tc>
        <w:tc>
          <w:tcPr>
            <w:tcW w:w="4560" w:type="dxa"/>
            <w:vAlign w:val="bottom"/>
            <w:gridSpan w:val="2"/>
          </w:tcPr>
          <w:p>
            <w:pPr>
              <w:jc w:val="right"/>
              <w:ind w:right="388"/>
              <w:spacing w:after="0"/>
              <w:rPr>
                <w:sz w:val="20"/>
                <w:szCs w:val="20"/>
                <w:color w:val="auto"/>
              </w:rPr>
            </w:pPr>
            <w:r>
              <w:rPr>
                <w:rFonts w:ascii="Arial" w:cs="Arial" w:eastAsia="Arial" w:hAnsi="Arial"/>
                <w:sz w:val="12"/>
                <w:szCs w:val="12"/>
                <w:b w:val="1"/>
                <w:bCs w:val="1"/>
                <w:color w:val="auto"/>
              </w:rPr>
              <w:t>NOTES TO CONSOLIDATED FINANCIAL STATEMENTS − (Continued)</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61"/>
        </w:trPr>
        <w:tc>
          <w:tcPr>
            <w:tcW w:w="3480" w:type="dxa"/>
            <w:vAlign w:val="bottom"/>
          </w:tcPr>
          <w:p>
            <w:pPr>
              <w:spacing w:after="0"/>
              <w:rPr>
                <w:sz w:val="22"/>
                <w:szCs w:val="22"/>
                <w:color w:val="auto"/>
              </w:rPr>
            </w:pPr>
          </w:p>
        </w:tc>
        <w:tc>
          <w:tcPr>
            <w:tcW w:w="4560" w:type="dxa"/>
            <w:vAlign w:val="bottom"/>
            <w:gridSpan w:val="2"/>
          </w:tcPr>
          <w:p>
            <w:pPr>
              <w:jc w:val="right"/>
              <w:ind w:right="1048"/>
              <w:spacing w:after="0"/>
              <w:rPr>
                <w:sz w:val="20"/>
                <w:szCs w:val="20"/>
                <w:color w:val="auto"/>
              </w:rPr>
            </w:pPr>
            <w:r>
              <w:rPr>
                <w:rFonts w:ascii="Arial" w:cs="Arial" w:eastAsia="Arial" w:hAnsi="Arial"/>
                <w:sz w:val="12"/>
                <w:szCs w:val="12"/>
                <w:b w:val="1"/>
                <w:bCs w:val="1"/>
                <w:color w:val="auto"/>
              </w:rPr>
              <w:t>CONDENSED STATEMENTS OF CASH FLOWS</w:t>
            </w:r>
          </w:p>
        </w:tc>
        <w:tc>
          <w:tcPr>
            <w:tcW w:w="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88"/>
        </w:trPr>
        <w:tc>
          <w:tcPr>
            <w:tcW w:w="34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2"/>
                <w:szCs w:val="12"/>
                <w:b w:val="1"/>
                <w:bCs w:val="1"/>
                <w:color w:val="auto"/>
                <w:w w:val="90"/>
              </w:rPr>
              <w:t>Year Ended December 31,</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348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5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60"/>
              <w:spacing w:after="0"/>
              <w:rPr>
                <w:sz w:val="20"/>
                <w:szCs w:val="20"/>
                <w:color w:val="auto"/>
              </w:rPr>
            </w:pPr>
            <w:r>
              <w:rPr>
                <w:rFonts w:ascii="Arial" w:cs="Arial" w:eastAsia="Arial" w:hAnsi="Arial"/>
                <w:sz w:val="12"/>
                <w:szCs w:val="12"/>
                <w:b w:val="1"/>
                <w:bCs w:val="1"/>
                <w:color w:val="auto"/>
                <w:w w:val="89"/>
              </w:rPr>
              <w:t>2020</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2"/>
                <w:szCs w:val="12"/>
                <w:color w:val="auto"/>
              </w:rPr>
            </w:pPr>
          </w:p>
        </w:tc>
      </w:tr>
      <w:tr>
        <w:trPr>
          <w:trHeight w:val="142"/>
        </w:trPr>
        <w:tc>
          <w:tcPr>
            <w:tcW w:w="348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80"/>
              <w:spacing w:after="0"/>
              <w:rPr>
                <w:sz w:val="20"/>
                <w:szCs w:val="20"/>
                <w:color w:val="auto"/>
              </w:rPr>
            </w:pPr>
            <w:r>
              <w:rPr>
                <w:rFonts w:ascii="Arial" w:cs="Arial" w:eastAsia="Arial" w:hAnsi="Arial"/>
                <w:sz w:val="12"/>
                <w:szCs w:val="12"/>
                <w:b w:val="1"/>
                <w:bCs w:val="1"/>
                <w:color w:val="auto"/>
                <w:w w:val="89"/>
              </w:rPr>
              <w:t>(In thousands)</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480" w:type="dxa"/>
            <w:vAlign w:val="bottom"/>
            <w:shd w:val="clear" w:color="auto" w:fill="CCEEFF"/>
          </w:tcPr>
          <w:p>
            <w:pPr>
              <w:spacing w:after="0"/>
              <w:rPr>
                <w:sz w:val="20"/>
                <w:szCs w:val="20"/>
                <w:color w:val="auto"/>
              </w:rPr>
            </w:pPr>
            <w:r>
              <w:rPr>
                <w:rFonts w:ascii="Arial" w:cs="Arial" w:eastAsia="Arial" w:hAnsi="Arial"/>
                <w:sz w:val="12"/>
                <w:szCs w:val="12"/>
                <w:color w:val="auto"/>
              </w:rPr>
              <w:t>Net Income</w:t>
            </w:r>
          </w:p>
        </w:tc>
        <w:tc>
          <w:tcPr>
            <w:tcW w:w="38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588"/>
              <w:spacing w:after="0"/>
              <w:rPr>
                <w:sz w:val="20"/>
                <w:szCs w:val="20"/>
                <w:color w:val="auto"/>
              </w:rPr>
            </w:pPr>
            <w:r>
              <w:rPr>
                <w:rFonts w:ascii="Arial" w:cs="Arial" w:eastAsia="Arial" w:hAnsi="Arial"/>
                <w:sz w:val="10"/>
                <w:szCs w:val="10"/>
                <w:color w:val="auto"/>
                <w:w w:val="71"/>
              </w:rPr>
              <w:t>$</w:t>
            </w:r>
          </w:p>
        </w:tc>
        <w:tc>
          <w:tcPr>
            <w:tcW w:w="52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rPr>
              <w:t>62,895</w:t>
            </w:r>
          </w:p>
        </w:tc>
        <w:tc>
          <w:tcPr>
            <w:tcW w:w="280" w:type="dxa"/>
            <w:vAlign w:val="bottom"/>
            <w:gridSpan w:val="2"/>
            <w:shd w:val="clear" w:color="auto" w:fill="CCEEFF"/>
          </w:tcPr>
          <w:p>
            <w:pPr>
              <w:jc w:val="right"/>
              <w:ind w:right="12"/>
              <w:spacing w:after="0"/>
              <w:rPr>
                <w:sz w:val="20"/>
                <w:szCs w:val="20"/>
                <w:color w:val="auto"/>
              </w:rPr>
            </w:pPr>
            <w:r>
              <w:rPr>
                <w:rFonts w:ascii="Arial" w:cs="Arial" w:eastAsia="Arial" w:hAnsi="Arial"/>
                <w:sz w:val="12"/>
                <w:szCs w:val="12"/>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56,152</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46,435</w:t>
            </w:r>
          </w:p>
        </w:tc>
      </w:tr>
      <w:tr>
        <w:trPr>
          <w:trHeight w:val="142"/>
        </w:trPr>
        <w:tc>
          <w:tcPr>
            <w:tcW w:w="7340" w:type="dxa"/>
            <w:vAlign w:val="bottom"/>
            <w:tcBorders>
              <w:top w:val="single" w:sz="8" w:color="CCEEFF"/>
            </w:tcBorders>
            <w:gridSpan w:val="2"/>
          </w:tcPr>
          <w:p>
            <w:pPr>
              <w:spacing w:after="0"/>
              <w:rPr>
                <w:sz w:val="20"/>
                <w:szCs w:val="20"/>
                <w:color w:val="auto"/>
              </w:rPr>
            </w:pPr>
            <w:r>
              <w:rPr>
                <w:rFonts w:ascii="Arial" w:cs="Arial" w:eastAsia="Arial" w:hAnsi="Arial"/>
                <w:sz w:val="12"/>
                <w:szCs w:val="12"/>
                <w:color w:val="auto"/>
              </w:rPr>
              <w:t>ADJUSTMENTS TO RECONCILE NET INCOME TO NET CASH FROM OPERATING ACTIVITIES</w:t>
            </w:r>
          </w:p>
        </w:tc>
        <w:tc>
          <w:tcPr>
            <w:tcW w:w="7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44"/>
        </w:trPr>
        <w:tc>
          <w:tcPr>
            <w:tcW w:w="3480" w:type="dxa"/>
            <w:vAlign w:val="bottom"/>
            <w:shd w:val="clear" w:color="auto" w:fill="CCEEFF"/>
          </w:tcPr>
          <w:p>
            <w:pPr>
              <w:ind w:left="80"/>
              <w:spacing w:after="0"/>
              <w:rPr>
                <w:sz w:val="20"/>
                <w:szCs w:val="20"/>
                <w:color w:val="auto"/>
              </w:rPr>
            </w:pPr>
            <w:r>
              <w:rPr>
                <w:rFonts w:ascii="Arial" w:cs="Arial" w:eastAsia="Arial" w:hAnsi="Arial"/>
                <w:sz w:val="12"/>
                <w:szCs w:val="12"/>
                <w:color w:val="auto"/>
              </w:rPr>
              <w:t>Deferred income tax (benefit) expense</w:t>
            </w:r>
          </w:p>
        </w:tc>
        <w:tc>
          <w:tcPr>
            <w:tcW w:w="38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(81)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(34)</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1,503</w:t>
            </w:r>
          </w:p>
        </w:tc>
      </w:tr>
      <w:tr>
        <w:trPr>
          <w:trHeight w:val="144"/>
        </w:trPr>
        <w:tc>
          <w:tcPr>
            <w:tcW w:w="3480" w:type="dxa"/>
            <w:vAlign w:val="bottom"/>
          </w:tcPr>
          <w:p>
            <w:pPr>
              <w:ind w:left="80"/>
              <w:spacing w:after="0"/>
              <w:rPr>
                <w:sz w:val="20"/>
                <w:szCs w:val="20"/>
                <w:color w:val="auto"/>
              </w:rPr>
            </w:pPr>
            <w:r>
              <w:rPr>
                <w:rFonts w:ascii="Arial" w:cs="Arial" w:eastAsia="Arial" w:hAnsi="Arial"/>
                <w:sz w:val="12"/>
                <w:szCs w:val="12"/>
                <w:color w:val="auto"/>
              </w:rPr>
              <w:t>Share based compensation</w:t>
            </w:r>
          </w:p>
        </w:tc>
        <w:tc>
          <w:tcPr>
            <w:tcW w:w="3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jc w:val="right"/>
              <w:ind w:right="20"/>
              <w:spacing w:after="0"/>
              <w:rPr>
                <w:sz w:val="20"/>
                <w:szCs w:val="20"/>
                <w:color w:val="auto"/>
              </w:rPr>
            </w:pPr>
            <w:r>
              <w:rPr>
                <w:rFonts w:ascii="Arial" w:cs="Arial" w:eastAsia="Arial" w:hAnsi="Arial"/>
                <w:sz w:val="12"/>
                <w:szCs w:val="12"/>
                <w:color w:val="auto"/>
              </w:rPr>
              <w:t>95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89</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65</w:t>
            </w:r>
          </w:p>
        </w:tc>
      </w:tr>
      <w:tr>
        <w:trPr>
          <w:trHeight w:val="144"/>
        </w:trPr>
        <w:tc>
          <w:tcPr>
            <w:tcW w:w="3480" w:type="dxa"/>
            <w:vAlign w:val="bottom"/>
            <w:shd w:val="clear" w:color="auto" w:fill="CCEEFF"/>
          </w:tcPr>
          <w:p>
            <w:pPr>
              <w:ind w:left="80"/>
              <w:spacing w:after="0"/>
              <w:rPr>
                <w:sz w:val="20"/>
                <w:szCs w:val="20"/>
                <w:color w:val="auto"/>
              </w:rPr>
            </w:pPr>
            <w:r>
              <w:rPr>
                <w:rFonts w:ascii="Arial" w:cs="Arial" w:eastAsia="Arial" w:hAnsi="Arial"/>
                <w:sz w:val="12"/>
                <w:szCs w:val="12"/>
                <w:color w:val="auto"/>
              </w:rPr>
              <w:t>Accretion of discount on subordinated debt and debentures</w:t>
            </w:r>
          </w:p>
        </w:tc>
        <w:tc>
          <w:tcPr>
            <w:tcW w:w="38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rPr>
              <w:t>144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113</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68</w:t>
            </w:r>
          </w:p>
        </w:tc>
      </w:tr>
      <w:tr>
        <w:trPr>
          <w:trHeight w:val="144"/>
        </w:trPr>
        <w:tc>
          <w:tcPr>
            <w:tcW w:w="3480" w:type="dxa"/>
            <w:vAlign w:val="bottom"/>
          </w:tcPr>
          <w:p>
            <w:pPr>
              <w:ind w:left="80"/>
              <w:spacing w:after="0"/>
              <w:rPr>
                <w:sz w:val="20"/>
                <w:szCs w:val="20"/>
                <w:color w:val="auto"/>
              </w:rPr>
            </w:pPr>
            <w:r>
              <w:rPr>
                <w:rFonts w:ascii="Arial" w:cs="Arial" w:eastAsia="Arial" w:hAnsi="Arial"/>
                <w:sz w:val="12"/>
                <w:szCs w:val="12"/>
                <w:color w:val="auto"/>
              </w:rPr>
              <w:t>(Increase) decrease in accrued income and other assets</w:t>
            </w:r>
          </w:p>
        </w:tc>
        <w:tc>
          <w:tcPr>
            <w:tcW w:w="3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jc w:val="right"/>
              <w:ind w:right="20"/>
              <w:spacing w:after="0"/>
              <w:rPr>
                <w:sz w:val="20"/>
                <w:szCs w:val="20"/>
                <w:color w:val="auto"/>
              </w:rPr>
            </w:pPr>
            <w:r>
              <w:rPr>
                <w:rFonts w:ascii="Arial" w:cs="Arial" w:eastAsia="Arial" w:hAnsi="Arial"/>
                <w:sz w:val="12"/>
                <w:szCs w:val="12"/>
                <w:color w:val="auto"/>
              </w:rPr>
              <w:t>788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2"/>
                <w:szCs w:val="12"/>
                <w:color w:val="auto"/>
              </w:rPr>
              <w:t>(307)</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891</w:t>
            </w:r>
          </w:p>
        </w:tc>
      </w:tr>
      <w:tr>
        <w:trPr>
          <w:trHeight w:val="144"/>
        </w:trPr>
        <w:tc>
          <w:tcPr>
            <w:tcW w:w="3480" w:type="dxa"/>
            <w:vAlign w:val="bottom"/>
            <w:shd w:val="clear" w:color="auto" w:fill="CCEEFF"/>
          </w:tcPr>
          <w:p>
            <w:pPr>
              <w:ind w:left="80"/>
              <w:spacing w:after="0"/>
              <w:rPr>
                <w:sz w:val="20"/>
                <w:szCs w:val="20"/>
                <w:color w:val="auto"/>
              </w:rPr>
            </w:pPr>
            <w:r>
              <w:rPr>
                <w:rFonts w:ascii="Arial" w:cs="Arial" w:eastAsia="Arial" w:hAnsi="Arial"/>
                <w:sz w:val="12"/>
                <w:szCs w:val="12"/>
                <w:color w:val="auto"/>
              </w:rPr>
              <w:t>Increase in accrued expenses and other liabilities</w:t>
            </w:r>
          </w:p>
        </w:tc>
        <w:tc>
          <w:tcPr>
            <w:tcW w:w="38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rPr>
              <w:t>159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109</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45</w:t>
            </w:r>
          </w:p>
        </w:tc>
      </w:tr>
      <w:tr>
        <w:trPr>
          <w:trHeight w:val="144"/>
        </w:trPr>
        <w:tc>
          <w:tcPr>
            <w:tcW w:w="3480" w:type="dxa"/>
            <w:vAlign w:val="bottom"/>
          </w:tcPr>
          <w:p>
            <w:pPr>
              <w:ind w:left="80"/>
              <w:spacing w:after="0"/>
              <w:rPr>
                <w:sz w:val="20"/>
                <w:szCs w:val="20"/>
                <w:color w:val="auto"/>
              </w:rPr>
            </w:pPr>
            <w:r>
              <w:rPr>
                <w:rFonts w:ascii="Arial" w:cs="Arial" w:eastAsia="Arial" w:hAnsi="Arial"/>
                <w:sz w:val="12"/>
                <w:szCs w:val="12"/>
                <w:color w:val="auto"/>
              </w:rPr>
              <w:t>Equity in undistributed net income of subsidiaries</w:t>
            </w:r>
          </w:p>
        </w:tc>
        <w:tc>
          <w:tcPr>
            <w:tcW w:w="3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(34,171)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2"/>
                <w:szCs w:val="12"/>
                <w:color w:val="auto"/>
              </w:rPr>
              <w:t>(34,700)</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(19,480)</w:t>
            </w:r>
          </w:p>
        </w:tc>
      </w:tr>
      <w:tr>
        <w:trPr>
          <w:trHeight w:val="142"/>
        </w:trPr>
        <w:tc>
          <w:tcPr>
            <w:tcW w:w="3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Total Adjustments</w:t>
            </w:r>
          </w:p>
        </w:tc>
        <w:tc>
          <w:tcPr>
            <w:tcW w:w="38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spacing w:after="0"/>
              <w:rPr>
                <w:sz w:val="12"/>
                <w:szCs w:val="12"/>
                <w:color w:val="auto"/>
              </w:rPr>
            </w:pPr>
          </w:p>
        </w:tc>
        <w:tc>
          <w:tcPr>
            <w:tcW w:w="520" w:type="dxa"/>
            <w:vAlign w:val="bottom"/>
            <w:tcBorders>
              <w:top w:val="single" w:sz="8" w:color="auto"/>
              <w:bottom w:val="single" w:sz="8" w:color="auto"/>
              <w:right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w w:val="93"/>
              </w:rPr>
              <w:t>(33,066)</w:t>
            </w: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(34,730)</w:t>
            </w:r>
          </w:p>
        </w:tc>
        <w:tc>
          <w:tcPr>
            <w:tcW w:w="2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(16,908)</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142"/>
        </w:trPr>
        <w:tc>
          <w:tcPr>
            <w:tcW w:w="3480" w:type="dxa"/>
            <w:vAlign w:val="bottom"/>
          </w:tcPr>
          <w:p>
            <w:pPr>
              <w:ind w:left="200"/>
              <w:spacing w:after="0"/>
              <w:rPr>
                <w:sz w:val="20"/>
                <w:szCs w:val="20"/>
                <w:color w:val="auto"/>
              </w:rPr>
            </w:pPr>
            <w:r>
              <w:rPr>
                <w:rFonts w:ascii="Arial" w:cs="Arial" w:eastAsia="Arial" w:hAnsi="Arial"/>
                <w:sz w:val="12"/>
                <w:szCs w:val="12"/>
                <w:color w:val="auto"/>
              </w:rPr>
              <w:t>Net Cash From Operating Activities</w:t>
            </w:r>
          </w:p>
        </w:tc>
        <w:tc>
          <w:tcPr>
            <w:tcW w:w="3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jc w:val="right"/>
              <w:ind w:right="20"/>
              <w:spacing w:after="0"/>
              <w:rPr>
                <w:sz w:val="20"/>
                <w:szCs w:val="20"/>
                <w:color w:val="auto"/>
              </w:rPr>
            </w:pPr>
            <w:r>
              <w:rPr>
                <w:rFonts w:ascii="Arial" w:cs="Arial" w:eastAsia="Arial" w:hAnsi="Arial"/>
                <w:sz w:val="12"/>
                <w:szCs w:val="12"/>
                <w:color w:val="auto"/>
              </w:rPr>
              <w:t>29,829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21,422</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29,527</w:t>
            </w:r>
          </w:p>
        </w:tc>
      </w:tr>
      <w:tr>
        <w:trPr>
          <w:trHeight w:val="142"/>
        </w:trPr>
        <w:tc>
          <w:tcPr>
            <w:tcW w:w="3480" w:type="dxa"/>
            <w:vAlign w:val="bottom"/>
            <w:shd w:val="clear" w:color="auto" w:fill="CCEEFF"/>
          </w:tcPr>
          <w:p>
            <w:pPr>
              <w:spacing w:after="0"/>
              <w:rPr>
                <w:sz w:val="12"/>
                <w:szCs w:val="12"/>
                <w:color w:val="auto"/>
              </w:rPr>
            </w:pPr>
          </w:p>
        </w:tc>
        <w:tc>
          <w:tcPr>
            <w:tcW w:w="386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3480" w:type="dxa"/>
            <w:vAlign w:val="bottom"/>
          </w:tcPr>
          <w:p>
            <w:pPr>
              <w:spacing w:after="0"/>
              <w:rPr>
                <w:sz w:val="20"/>
                <w:szCs w:val="20"/>
                <w:color w:val="auto"/>
              </w:rPr>
            </w:pPr>
            <w:r>
              <w:rPr>
                <w:rFonts w:ascii="Arial" w:cs="Arial" w:eastAsia="Arial" w:hAnsi="Arial"/>
                <w:sz w:val="12"/>
                <w:szCs w:val="12"/>
                <w:color w:val="auto"/>
              </w:rPr>
              <w:t>CASH FLOW FROM (USED IN) INVESTING ACTIVITIES</w:t>
            </w:r>
          </w:p>
        </w:tc>
        <w:tc>
          <w:tcPr>
            <w:tcW w:w="3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480" w:type="dxa"/>
            <w:vAlign w:val="bottom"/>
            <w:shd w:val="clear" w:color="auto" w:fill="CCEEFF"/>
          </w:tcPr>
          <w:p>
            <w:pPr>
              <w:ind w:left="80"/>
              <w:spacing w:after="0"/>
              <w:rPr>
                <w:sz w:val="20"/>
                <w:szCs w:val="20"/>
                <w:color w:val="auto"/>
              </w:rPr>
            </w:pPr>
            <w:r>
              <w:rPr>
                <w:rFonts w:ascii="Arial" w:cs="Arial" w:eastAsia="Arial" w:hAnsi="Arial"/>
                <w:sz w:val="12"/>
                <w:szCs w:val="12"/>
                <w:color w:val="auto"/>
              </w:rPr>
              <w:t>Purchases of interest bearing deposits - time</w:t>
            </w:r>
          </w:p>
        </w:tc>
        <w:tc>
          <w:tcPr>
            <w:tcW w:w="38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(160,000)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(85,000)</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(20,000)</w:t>
            </w:r>
          </w:p>
        </w:tc>
      </w:tr>
      <w:tr>
        <w:trPr>
          <w:trHeight w:val="144"/>
        </w:trPr>
        <w:tc>
          <w:tcPr>
            <w:tcW w:w="3480" w:type="dxa"/>
            <w:vAlign w:val="bottom"/>
          </w:tcPr>
          <w:p>
            <w:pPr>
              <w:ind w:left="80"/>
              <w:spacing w:after="0"/>
              <w:rPr>
                <w:sz w:val="20"/>
                <w:szCs w:val="20"/>
                <w:color w:val="auto"/>
              </w:rPr>
            </w:pPr>
            <w:r>
              <w:rPr>
                <w:rFonts w:ascii="Arial" w:cs="Arial" w:eastAsia="Arial" w:hAnsi="Arial"/>
                <w:sz w:val="12"/>
                <w:szCs w:val="12"/>
                <w:color w:val="auto"/>
              </w:rPr>
              <w:t>Maturity of interest bearing deposits - time</w:t>
            </w:r>
          </w:p>
        </w:tc>
        <w:tc>
          <w:tcPr>
            <w:tcW w:w="3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jc w:val="right"/>
              <w:ind w:right="20"/>
              <w:spacing w:after="0"/>
              <w:rPr>
                <w:sz w:val="20"/>
                <w:szCs w:val="20"/>
                <w:color w:val="auto"/>
              </w:rPr>
            </w:pPr>
            <w:r>
              <w:rPr>
                <w:rFonts w:ascii="Arial" w:cs="Arial" w:eastAsia="Arial" w:hAnsi="Arial"/>
                <w:sz w:val="12"/>
                <w:szCs w:val="12"/>
                <w:color w:val="auto"/>
                <w:w w:val="96"/>
              </w:rPr>
              <w:t>160,000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55,000</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35,000</w:t>
            </w:r>
          </w:p>
        </w:tc>
      </w:tr>
      <w:tr>
        <w:trPr>
          <w:trHeight w:val="142"/>
        </w:trPr>
        <w:tc>
          <w:tcPr>
            <w:tcW w:w="34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Net Cash From (Used In) Investing Activities</w:t>
            </w:r>
          </w:p>
        </w:tc>
        <w:tc>
          <w:tcPr>
            <w:tcW w:w="386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right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(30,000)</w:t>
            </w:r>
          </w:p>
        </w:tc>
        <w:tc>
          <w:tcPr>
            <w:tcW w:w="2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15,000</w:t>
            </w:r>
          </w:p>
        </w:tc>
        <w:tc>
          <w:tcPr>
            <w:tcW w:w="120" w:type="dxa"/>
            <w:vAlign w:val="bottom"/>
            <w:shd w:val="clear" w:color="auto" w:fill="CCEEFF"/>
          </w:tcPr>
          <w:p>
            <w:pPr>
              <w:spacing w:after="0"/>
              <w:rPr>
                <w:sz w:val="12"/>
                <w:szCs w:val="12"/>
                <w:color w:val="auto"/>
              </w:rPr>
            </w:pPr>
          </w:p>
        </w:tc>
      </w:tr>
      <w:tr>
        <w:trPr>
          <w:trHeight w:val="142"/>
        </w:trPr>
        <w:tc>
          <w:tcPr>
            <w:tcW w:w="3480" w:type="dxa"/>
            <w:vAlign w:val="bottom"/>
            <w:tcBorders>
              <w:top w:val="single" w:sz="8" w:color="CCEEFF"/>
            </w:tcBorders>
          </w:tcPr>
          <w:p>
            <w:pPr>
              <w:spacing w:after="0"/>
              <w:rPr>
                <w:sz w:val="12"/>
                <w:szCs w:val="12"/>
                <w:color w:val="auto"/>
              </w:rPr>
            </w:pPr>
          </w:p>
        </w:tc>
        <w:tc>
          <w:tcPr>
            <w:tcW w:w="3860" w:type="dxa"/>
            <w:vAlign w:val="bottom"/>
            <w:tcBorders>
              <w:top w:val="single" w:sz="8" w:color="CCEEFF"/>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44"/>
        </w:trPr>
        <w:tc>
          <w:tcPr>
            <w:tcW w:w="3480" w:type="dxa"/>
            <w:vAlign w:val="bottom"/>
            <w:shd w:val="clear" w:color="auto" w:fill="CCEEFF"/>
          </w:tcPr>
          <w:p>
            <w:pPr>
              <w:spacing w:after="0"/>
              <w:rPr>
                <w:sz w:val="20"/>
                <w:szCs w:val="20"/>
                <w:color w:val="auto"/>
              </w:rPr>
            </w:pPr>
            <w:r>
              <w:rPr>
                <w:rFonts w:ascii="Arial" w:cs="Arial" w:eastAsia="Arial" w:hAnsi="Arial"/>
                <w:sz w:val="12"/>
                <w:szCs w:val="12"/>
                <w:color w:val="auto"/>
              </w:rPr>
              <w:t>CASH FLOW FROM (USED IN) FINANCING ACTIVITIES</w:t>
            </w:r>
          </w:p>
        </w:tc>
        <w:tc>
          <w:tcPr>
            <w:tcW w:w="38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3480" w:type="dxa"/>
            <w:vAlign w:val="bottom"/>
          </w:tcPr>
          <w:p>
            <w:pPr>
              <w:ind w:left="80"/>
              <w:spacing w:after="0"/>
              <w:rPr>
                <w:sz w:val="20"/>
                <w:szCs w:val="20"/>
                <w:color w:val="auto"/>
              </w:rPr>
            </w:pPr>
            <w:r>
              <w:rPr>
                <w:rFonts w:ascii="Arial" w:cs="Arial" w:eastAsia="Arial" w:hAnsi="Arial"/>
                <w:sz w:val="12"/>
                <w:szCs w:val="12"/>
                <w:color w:val="auto"/>
                <w:w w:val="93"/>
              </w:rPr>
              <w:t>Proceeds from issuance of subordinated debt, net of issuance costs</w:t>
            </w:r>
          </w:p>
        </w:tc>
        <w:tc>
          <w:tcPr>
            <w:tcW w:w="3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39,236</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4"/>
        </w:trPr>
        <w:tc>
          <w:tcPr>
            <w:tcW w:w="3480" w:type="dxa"/>
            <w:vAlign w:val="bottom"/>
            <w:shd w:val="clear" w:color="auto" w:fill="CCEEFF"/>
          </w:tcPr>
          <w:p>
            <w:pPr>
              <w:ind w:left="80"/>
              <w:spacing w:after="0"/>
              <w:rPr>
                <w:sz w:val="20"/>
                <w:szCs w:val="20"/>
                <w:color w:val="auto"/>
              </w:rPr>
            </w:pPr>
            <w:r>
              <w:rPr>
                <w:rFonts w:ascii="Arial" w:cs="Arial" w:eastAsia="Arial" w:hAnsi="Arial"/>
                <w:sz w:val="12"/>
                <w:szCs w:val="12"/>
                <w:color w:val="auto"/>
              </w:rPr>
              <w:t>Dividends paid</w:t>
            </w:r>
          </w:p>
        </w:tc>
        <w:tc>
          <w:tcPr>
            <w:tcW w:w="38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(18,155)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(17,618)</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(16,554)</w:t>
            </w:r>
          </w:p>
        </w:tc>
      </w:tr>
      <w:tr>
        <w:trPr>
          <w:trHeight w:val="144"/>
        </w:trPr>
        <w:tc>
          <w:tcPr>
            <w:tcW w:w="3480" w:type="dxa"/>
            <w:vAlign w:val="bottom"/>
          </w:tcPr>
          <w:p>
            <w:pPr>
              <w:ind w:left="80"/>
              <w:spacing w:after="0"/>
              <w:rPr>
                <w:sz w:val="20"/>
                <w:szCs w:val="20"/>
                <w:color w:val="auto"/>
              </w:rPr>
            </w:pPr>
            <w:r>
              <w:rPr>
                <w:rFonts w:ascii="Arial" w:cs="Arial" w:eastAsia="Arial" w:hAnsi="Arial"/>
                <w:sz w:val="12"/>
                <w:szCs w:val="12"/>
                <w:color w:val="auto"/>
              </w:rPr>
              <w:t>Proceeds from issuance of common stock</w:t>
            </w:r>
          </w:p>
        </w:tc>
        <w:tc>
          <w:tcPr>
            <w:tcW w:w="3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jc w:val="right"/>
              <w:ind w:right="20"/>
              <w:spacing w:after="0"/>
              <w:rPr>
                <w:sz w:val="20"/>
                <w:szCs w:val="20"/>
                <w:color w:val="auto"/>
              </w:rPr>
            </w:pPr>
            <w:r>
              <w:rPr>
                <w:rFonts w:ascii="Arial" w:cs="Arial" w:eastAsia="Arial" w:hAnsi="Arial"/>
                <w:sz w:val="12"/>
                <w:szCs w:val="12"/>
                <w:color w:val="auto"/>
              </w:rPr>
              <w:t>1,913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1,907</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2,074</w:t>
            </w:r>
          </w:p>
        </w:tc>
      </w:tr>
      <w:tr>
        <w:trPr>
          <w:trHeight w:val="144"/>
        </w:trPr>
        <w:tc>
          <w:tcPr>
            <w:tcW w:w="3480" w:type="dxa"/>
            <w:vAlign w:val="bottom"/>
            <w:shd w:val="clear" w:color="auto" w:fill="CCEEFF"/>
          </w:tcPr>
          <w:p>
            <w:pPr>
              <w:ind w:left="80"/>
              <w:spacing w:after="0"/>
              <w:rPr>
                <w:sz w:val="20"/>
                <w:szCs w:val="20"/>
                <w:color w:val="auto"/>
              </w:rPr>
            </w:pPr>
            <w:r>
              <w:rPr>
                <w:rFonts w:ascii="Arial" w:cs="Arial" w:eastAsia="Arial" w:hAnsi="Arial"/>
                <w:sz w:val="12"/>
                <w:szCs w:val="12"/>
                <w:color w:val="auto"/>
              </w:rPr>
              <w:t>Share based compensation withholding obligation</w:t>
            </w:r>
          </w:p>
        </w:tc>
        <w:tc>
          <w:tcPr>
            <w:tcW w:w="38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(691)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(755)</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(882)</w:t>
            </w:r>
          </w:p>
        </w:tc>
      </w:tr>
      <w:tr>
        <w:trPr>
          <w:trHeight w:val="144"/>
        </w:trPr>
        <w:tc>
          <w:tcPr>
            <w:tcW w:w="3480" w:type="dxa"/>
            <w:vAlign w:val="bottom"/>
          </w:tcPr>
          <w:p>
            <w:pPr>
              <w:ind w:left="80"/>
              <w:spacing w:after="0"/>
              <w:rPr>
                <w:sz w:val="20"/>
                <w:szCs w:val="20"/>
                <w:color w:val="auto"/>
              </w:rPr>
            </w:pPr>
            <w:r>
              <w:rPr>
                <w:rFonts w:ascii="Arial" w:cs="Arial" w:eastAsia="Arial" w:hAnsi="Arial"/>
                <w:sz w:val="12"/>
                <w:szCs w:val="12"/>
                <w:color w:val="auto"/>
              </w:rPr>
              <w:t>Repurchase of common stock</w:t>
            </w:r>
          </w:p>
        </w:tc>
        <w:tc>
          <w:tcPr>
            <w:tcW w:w="3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(17,269)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2"/>
                <w:szCs w:val="12"/>
                <w:color w:val="auto"/>
              </w:rPr>
              <w:t>(14,231)</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2"/>
                <w:szCs w:val="12"/>
                <w:color w:val="auto"/>
              </w:rPr>
              <w:t>(26,284)</w:t>
            </w:r>
          </w:p>
        </w:tc>
      </w:tr>
      <w:tr>
        <w:trPr>
          <w:trHeight w:val="142"/>
        </w:trPr>
        <w:tc>
          <w:tcPr>
            <w:tcW w:w="3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Net Cash From (Used In) Financing Activities</w:t>
            </w:r>
          </w:p>
        </w:tc>
        <w:tc>
          <w:tcPr>
            <w:tcW w:w="38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spacing w:after="0"/>
              <w:rPr>
                <w:sz w:val="12"/>
                <w:szCs w:val="12"/>
                <w:color w:val="auto"/>
              </w:rPr>
            </w:pPr>
          </w:p>
        </w:tc>
        <w:tc>
          <w:tcPr>
            <w:tcW w:w="520" w:type="dxa"/>
            <w:vAlign w:val="bottom"/>
            <w:tcBorders>
              <w:top w:val="single" w:sz="8" w:color="auto"/>
              <w:bottom w:val="single" w:sz="8" w:color="auto"/>
              <w:right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w w:val="93"/>
              </w:rPr>
              <w:t>(34,202)</w:t>
            </w: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8,539</w:t>
            </w:r>
          </w:p>
        </w:tc>
        <w:tc>
          <w:tcPr>
            <w:tcW w:w="2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(41,646)</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142"/>
        </w:trPr>
        <w:tc>
          <w:tcPr>
            <w:tcW w:w="3480" w:type="dxa"/>
            <w:vAlign w:val="bottom"/>
          </w:tcPr>
          <w:p>
            <w:pPr>
              <w:ind w:left="200"/>
              <w:spacing w:after="0"/>
              <w:rPr>
                <w:sz w:val="20"/>
                <w:szCs w:val="20"/>
                <w:color w:val="auto"/>
              </w:rPr>
            </w:pPr>
            <w:r>
              <w:rPr>
                <w:rFonts w:ascii="Arial" w:cs="Arial" w:eastAsia="Arial" w:hAnsi="Arial"/>
                <w:sz w:val="12"/>
                <w:szCs w:val="12"/>
                <w:color w:val="auto"/>
              </w:rPr>
              <w:t>Net Increase (Decrease) in Cash and Cash Equivalents</w:t>
            </w:r>
          </w:p>
        </w:tc>
        <w:tc>
          <w:tcPr>
            <w:tcW w:w="3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(4,373)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2"/>
                <w:szCs w:val="12"/>
                <w:color w:val="auto"/>
              </w:rPr>
              <w:t>(39)</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2,881</w:t>
            </w:r>
          </w:p>
        </w:tc>
      </w:tr>
      <w:tr>
        <w:trPr>
          <w:trHeight w:val="144"/>
        </w:trPr>
        <w:tc>
          <w:tcPr>
            <w:tcW w:w="348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 at Beginning of Year</w:t>
            </w:r>
          </w:p>
        </w:tc>
        <w:tc>
          <w:tcPr>
            <w:tcW w:w="38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rPr>
              <w:t>10,466</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10,505</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7,624</w:t>
            </w:r>
          </w:p>
        </w:tc>
      </w:tr>
      <w:tr>
        <w:trPr>
          <w:trHeight w:val="20"/>
        </w:trPr>
        <w:tc>
          <w:tcPr>
            <w:tcW w:w="3480" w:type="dxa"/>
            <w:vAlign w:val="bottom"/>
            <w:shd w:val="clear" w:color="auto" w:fill="CCEEFF"/>
          </w:tcPr>
          <w:p>
            <w:pPr>
              <w:spacing w:after="0" w:line="20" w:lineRule="exact"/>
              <w:rPr>
                <w:sz w:val="1"/>
                <w:szCs w:val="1"/>
                <w:color w:val="auto"/>
              </w:rPr>
            </w:pPr>
          </w:p>
        </w:tc>
        <w:tc>
          <w:tcPr>
            <w:tcW w:w="38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3480" w:type="dxa"/>
            <w:vAlign w:val="bottom"/>
          </w:tcPr>
          <w:p>
            <w:pPr>
              <w:ind w:left="320"/>
              <w:spacing w:after="0"/>
              <w:rPr>
                <w:sz w:val="20"/>
                <w:szCs w:val="20"/>
                <w:color w:val="auto"/>
              </w:rPr>
            </w:pPr>
            <w:r>
              <w:rPr>
                <w:rFonts w:ascii="Arial" w:cs="Arial" w:eastAsia="Arial" w:hAnsi="Arial"/>
                <w:sz w:val="12"/>
                <w:szCs w:val="12"/>
                <w:color w:val="auto"/>
              </w:rPr>
              <w:t>Cash and Cash Equivalents at End of Year</w:t>
            </w:r>
          </w:p>
        </w:tc>
        <w:tc>
          <w:tcPr>
            <w:tcW w:w="3860" w:type="dxa"/>
            <w:vAlign w:val="bottom"/>
          </w:tcPr>
          <w:p>
            <w:pPr>
              <w:spacing w:after="0"/>
              <w:rPr>
                <w:sz w:val="12"/>
                <w:szCs w:val="12"/>
                <w:color w:val="auto"/>
              </w:rPr>
            </w:pPr>
          </w:p>
        </w:tc>
        <w:tc>
          <w:tcPr>
            <w:tcW w:w="700" w:type="dxa"/>
            <w:vAlign w:val="bottom"/>
          </w:tcPr>
          <w:p>
            <w:pPr>
              <w:jc w:val="right"/>
              <w:ind w:right="588"/>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20"/>
              <w:spacing w:after="0"/>
              <w:rPr>
                <w:sz w:val="20"/>
                <w:szCs w:val="20"/>
                <w:color w:val="auto"/>
              </w:rPr>
            </w:pPr>
            <w:r>
              <w:rPr>
                <w:rFonts w:ascii="Arial" w:cs="Arial" w:eastAsia="Arial" w:hAnsi="Arial"/>
                <w:sz w:val="12"/>
                <w:szCs w:val="12"/>
                <w:color w:val="auto"/>
              </w:rPr>
              <w:t>6,093</w:t>
            </w:r>
          </w:p>
        </w:tc>
        <w:tc>
          <w:tcPr>
            <w:tcW w:w="160" w:type="dxa"/>
            <w:vAlign w:val="bottom"/>
          </w:tcPr>
          <w:p>
            <w:pPr>
              <w:spacing w:after="0"/>
              <w:rPr>
                <w:sz w:val="12"/>
                <w:szCs w:val="12"/>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10,466</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10,505</w:t>
            </w:r>
          </w:p>
        </w:tc>
      </w:tr>
      <w:tr>
        <w:trPr>
          <w:trHeight w:val="20"/>
        </w:trPr>
        <w:tc>
          <w:tcPr>
            <w:tcW w:w="34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25 – REVENUE FROM CONTRACTS WITH CUSTOMERS</w:t>
      </w:r>
    </w:p>
    <w:p>
      <w:pPr>
        <w:spacing w:after="0" w:line="154"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We account for revenue in accordance with ASC Topic 606, Revenue from Contracts with Customers. We derive the majority of our revenue from financial instruments and their related contractual rights and obligations which for the most part are excluded from the scope of this topic. These sources of revenue that are excluded from the scope of this topic include interest income, net gains on mortgage loans, net gains on securities available for sale, mortgage loan servicing, net and bank owned life insurance and were approximately 84.6%, 88.1% and 84.9% of total revenues at December 31, 2021, 2020 and 2019, respectively.</w:t>
      </w:r>
    </w:p>
    <w:p>
      <w:pPr>
        <w:spacing w:after="0" w:line="122"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Material sources of revenue that are included in the scope of ASC Topic 606 include service charges on deposits, other deposit related income, interchange income and investment and insurance commissions and are discussed in the following paragraphs. Generally these sources of revenue are earned at the time the service is delivered or over the course of a monthly period and do not result in any contract asset or liability balance at any given period end. As a result, there were no contract assets or liabilities recorded as of December 31, 2021.</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78040" cy="114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2"/>
          <w:szCs w:val="12"/>
          <w:b w:val="1"/>
          <w:bCs w:val="1"/>
          <w:color w:val="auto"/>
        </w:rPr>
        <w:t>NOTES TO CONSOLIDATED FINANCIAL STATEMENTS − (Continued)</w:t>
      </w:r>
    </w:p>
    <w:p>
      <w:pPr>
        <w:spacing w:after="0" w:line="127"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i w:val="1"/>
          <w:iCs w:val="1"/>
          <w:color w:val="auto"/>
        </w:rPr>
        <w:t>Service charges on deposit accounts and other deposit related income</w:t>
      </w:r>
      <w:r>
        <w:rPr>
          <w:rFonts w:ascii="Arial" w:cs="Arial" w:eastAsia="Arial" w:hAnsi="Arial"/>
          <w:sz w:val="12"/>
          <w:szCs w:val="12"/>
          <w:color w:val="auto"/>
        </w:rPr>
        <w:t>: Revenues are earned on depository accounts for commercial and retail customers and include fees for transaction-based, account maintenance and overdraft</w:t>
      </w:r>
      <w:r>
        <w:rPr>
          <w:rFonts w:ascii="Arial" w:cs="Arial" w:eastAsia="Arial" w:hAnsi="Arial"/>
          <w:sz w:val="12"/>
          <w:szCs w:val="12"/>
          <w:i w:val="1"/>
          <w:iCs w:val="1"/>
          <w:color w:val="auto"/>
        </w:rPr>
        <w:t xml:space="preserve"> </w:t>
      </w:r>
      <w:r>
        <w:rPr>
          <w:rFonts w:ascii="Arial" w:cs="Arial" w:eastAsia="Arial" w:hAnsi="Arial"/>
          <w:sz w:val="12"/>
          <w:szCs w:val="12"/>
          <w:color w:val="auto"/>
        </w:rPr>
        <w:t>services. Transaction-based fees, which includes services such as ATM use fees, stop payment charges and ACH fees are recognized at the time the transaction is executed as that is the time we fulfill our customer’s request. Account maintenance fees, which includes monthly maintenance services are earned over the course of a month representing the period over which the performance obligation is satisfied. Our obligation for overdraft services is satisfied at the time of the overdraft.</w:t>
      </w:r>
    </w:p>
    <w:p>
      <w:pPr>
        <w:spacing w:after="0" w:line="124"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i w:val="1"/>
          <w:iCs w:val="1"/>
          <w:color w:val="auto"/>
        </w:rPr>
        <w:t xml:space="preserve">Interchange income: </w:t>
      </w:r>
      <w:r>
        <w:rPr>
          <w:rFonts w:ascii="Arial" w:cs="Arial" w:eastAsia="Arial" w:hAnsi="Arial"/>
          <w:sz w:val="12"/>
          <w:szCs w:val="12"/>
          <w:color w:val="auto"/>
        </w:rPr>
        <w:t>Interchange income primarily includes debit card interchange and network revenues. Debit card interchange and network revenues are earned on debit card transactions conducted through payment networks</w:t>
      </w:r>
      <w:r>
        <w:rPr>
          <w:rFonts w:ascii="Arial" w:cs="Arial" w:eastAsia="Arial" w:hAnsi="Arial"/>
          <w:sz w:val="12"/>
          <w:szCs w:val="12"/>
          <w:i w:val="1"/>
          <w:iCs w:val="1"/>
          <w:color w:val="auto"/>
        </w:rPr>
        <w:t xml:space="preserve"> </w:t>
      </w:r>
      <w:r>
        <w:rPr>
          <w:rFonts w:ascii="Arial" w:cs="Arial" w:eastAsia="Arial" w:hAnsi="Arial"/>
          <w:sz w:val="12"/>
          <w:szCs w:val="12"/>
          <w:color w:val="auto"/>
        </w:rPr>
        <w:t>such as MasterCard and NYCE. Interchange income is recognized concurrently with the delivery of services on a daily basis. Interchange and network revenues are presented gross of interchange expenses, which are presented separately as a component of non-interest expense.</w:t>
      </w:r>
    </w:p>
    <w:p>
      <w:pPr>
        <w:spacing w:after="0" w:line="122"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i w:val="1"/>
          <w:iCs w:val="1"/>
          <w:color w:val="auto"/>
        </w:rPr>
        <w:t xml:space="preserve">Investment and insurance commissions: </w:t>
      </w:r>
      <w:r>
        <w:rPr>
          <w:rFonts w:ascii="Arial" w:cs="Arial" w:eastAsia="Arial" w:hAnsi="Arial"/>
          <w:sz w:val="12"/>
          <w:szCs w:val="12"/>
          <w:color w:val="auto"/>
        </w:rPr>
        <w:t>Investment and insurance commissions include fees and commissions from asset management, custody, recordkeeping, investment advisory and other services provided to our customers.</w:t>
      </w:r>
      <w:r>
        <w:rPr>
          <w:rFonts w:ascii="Arial" w:cs="Arial" w:eastAsia="Arial" w:hAnsi="Arial"/>
          <w:sz w:val="12"/>
          <w:szCs w:val="12"/>
          <w:i w:val="1"/>
          <w:iCs w:val="1"/>
          <w:color w:val="auto"/>
        </w:rPr>
        <w:t xml:space="preserve"> </w:t>
      </w:r>
      <w:r>
        <w:rPr>
          <w:rFonts w:ascii="Arial" w:cs="Arial" w:eastAsia="Arial" w:hAnsi="Arial"/>
          <w:sz w:val="12"/>
          <w:szCs w:val="12"/>
          <w:color w:val="auto"/>
        </w:rPr>
        <w:t>Revenue is recognized on an accrual basis at the time the services are performed and are generally based on either the market value of the assets managed or the services provided. We have an agent relationship with a third party provider of these services and net certain direct costs charged by the third party provider associated with providing these services to our customers.</w:t>
      </w:r>
    </w:p>
    <w:p>
      <w:pPr>
        <w:spacing w:after="0" w:line="122" w:lineRule="exact"/>
        <w:rPr>
          <w:sz w:val="20"/>
          <w:szCs w:val="20"/>
          <w:color w:val="auto"/>
        </w:rPr>
      </w:pPr>
    </w:p>
    <w:p>
      <w:pPr>
        <w:jc w:val="both"/>
        <w:ind w:firstLine="216"/>
        <w:spacing w:after="0" w:line="340" w:lineRule="auto"/>
        <w:rPr>
          <w:sz w:val="20"/>
          <w:szCs w:val="20"/>
          <w:color w:val="auto"/>
        </w:rPr>
      </w:pPr>
      <w:r>
        <w:rPr>
          <w:rFonts w:ascii="Arial" w:cs="Arial" w:eastAsia="Arial" w:hAnsi="Arial"/>
          <w:sz w:val="10"/>
          <w:szCs w:val="10"/>
          <w:i w:val="1"/>
          <w:iCs w:val="1"/>
          <w:color w:val="auto"/>
        </w:rPr>
        <w:t>Net gains on other real estate and repossessed assets</w:t>
      </w:r>
      <w:r>
        <w:rPr>
          <w:rFonts w:ascii="Arial" w:cs="Arial" w:eastAsia="Arial" w:hAnsi="Arial"/>
          <w:sz w:val="10"/>
          <w:szCs w:val="10"/>
          <w:color w:val="auto"/>
        </w:rPr>
        <w:t>: We record a gain or loss from the sale of other real estate when control of the property transfers to the buyer, which generally occurs at the time of an executed deed. If we were</w:t>
      </w:r>
      <w:r>
        <w:rPr>
          <w:rFonts w:ascii="Arial" w:cs="Arial" w:eastAsia="Arial" w:hAnsi="Arial"/>
          <w:sz w:val="10"/>
          <w:szCs w:val="10"/>
          <w:i w:val="1"/>
          <w:iCs w:val="1"/>
          <w:color w:val="auto"/>
        </w:rPr>
        <w:t xml:space="preserve"> </w:t>
      </w:r>
      <w:r>
        <w:rPr>
          <w:rFonts w:ascii="Arial" w:cs="Arial" w:eastAsia="Arial" w:hAnsi="Arial"/>
          <w:sz w:val="10"/>
          <w:szCs w:val="10"/>
          <w:color w:val="auto"/>
        </w:rPr>
        <w:t>to finance the sale of other real estate to the buyer, we would assess whether the buyer is committed to perform their obligations under the contract and whether collectability of the transaction is probable. Once these criteria are met, the other real estate asset would be derecognized and the gain or loss on sale would be recorded upon the transfer of control of the property to the buyer. There were no other real estate properties sold during 2021 that were financed by us.</w:t>
      </w:r>
    </w:p>
    <w:p>
      <w:pPr>
        <w:spacing w:after="0" w:line="87" w:lineRule="exact"/>
        <w:rPr>
          <w:sz w:val="20"/>
          <w:szCs w:val="20"/>
          <w:color w:val="auto"/>
        </w:rPr>
      </w:pPr>
    </w:p>
    <w:p>
      <w:pPr>
        <w:ind w:left="200"/>
        <w:spacing w:after="0"/>
        <w:rPr>
          <w:sz w:val="20"/>
          <w:szCs w:val="20"/>
          <w:color w:val="auto"/>
        </w:rPr>
      </w:pPr>
      <w:r>
        <w:rPr>
          <w:rFonts w:ascii="Arial" w:cs="Arial" w:eastAsia="Arial" w:hAnsi="Arial"/>
          <w:sz w:val="12"/>
          <w:szCs w:val="12"/>
          <w:color w:val="auto"/>
        </w:rPr>
        <w:t>Disaggregation of our revenue sources by attribute for the years ended December 31 follow: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640" w:type="dxa"/>
            <w:vAlign w:val="bottom"/>
          </w:tcPr>
          <w:p>
            <w:pPr>
              <w:spacing w:after="0"/>
              <w:rPr>
                <w:sz w:val="20"/>
                <w:szCs w:val="20"/>
                <w:color w:val="auto"/>
              </w:rPr>
            </w:pPr>
            <w:r>
              <w:rPr>
                <w:rFonts w:ascii="Arial" w:cs="Arial" w:eastAsia="Arial" w:hAnsi="Arial"/>
                <w:sz w:val="12"/>
                <w:szCs w:val="12"/>
                <w:color w:val="auto"/>
              </w:rPr>
              <w:t>2021</w:t>
            </w:r>
          </w:p>
        </w:tc>
        <w:tc>
          <w:tcPr>
            <w:tcW w:w="180" w:type="dxa"/>
            <w:vAlign w:val="bottom"/>
          </w:tcPr>
          <w:p>
            <w:pPr>
              <w:spacing w:after="0"/>
              <w:rPr>
                <w:sz w:val="13"/>
                <w:szCs w:val="13"/>
                <w:color w:val="auto"/>
              </w:rPr>
            </w:pPr>
          </w:p>
        </w:tc>
        <w:tc>
          <w:tcPr>
            <w:tcW w:w="1200" w:type="dxa"/>
            <w:vAlign w:val="bottom"/>
            <w:gridSpan w:val="2"/>
            <w:vMerge w:val="restart"/>
          </w:tcPr>
          <w:p>
            <w:pPr>
              <w:jc w:val="center"/>
              <w:ind w:right="420"/>
              <w:spacing w:after="0"/>
              <w:rPr>
                <w:sz w:val="20"/>
                <w:szCs w:val="20"/>
                <w:color w:val="auto"/>
              </w:rPr>
            </w:pPr>
            <w:r>
              <w:rPr>
                <w:rFonts w:ascii="Arial" w:cs="Arial" w:eastAsia="Arial" w:hAnsi="Arial"/>
                <w:sz w:val="12"/>
                <w:szCs w:val="12"/>
                <w:b w:val="1"/>
                <w:bCs w:val="1"/>
                <w:color w:val="auto"/>
                <w:w w:val="88"/>
              </w:rPr>
              <w:t>Service</w:t>
            </w:r>
          </w:p>
        </w:tc>
        <w:tc>
          <w:tcPr>
            <w:tcW w:w="220" w:type="dxa"/>
            <w:vAlign w:val="bottom"/>
          </w:tcPr>
          <w:p>
            <w:pPr>
              <w:spacing w:after="0"/>
              <w:rPr>
                <w:sz w:val="13"/>
                <w:szCs w:val="13"/>
                <w:color w:val="auto"/>
              </w:rPr>
            </w:pPr>
          </w:p>
        </w:tc>
        <w:tc>
          <w:tcPr>
            <w:tcW w:w="1140" w:type="dxa"/>
            <w:vAlign w:val="bottom"/>
            <w:gridSpan w:val="2"/>
            <w:vMerge w:val="restart"/>
          </w:tcPr>
          <w:p>
            <w:pPr>
              <w:jc w:val="center"/>
              <w:ind w:right="440"/>
              <w:spacing w:after="0"/>
              <w:rPr>
                <w:sz w:val="20"/>
                <w:szCs w:val="20"/>
                <w:color w:val="auto"/>
              </w:rPr>
            </w:pPr>
            <w:r>
              <w:rPr>
                <w:rFonts w:ascii="Arial" w:cs="Arial" w:eastAsia="Arial" w:hAnsi="Arial"/>
                <w:sz w:val="12"/>
                <w:szCs w:val="12"/>
                <w:b w:val="1"/>
                <w:bCs w:val="1"/>
                <w:color w:val="auto"/>
                <w:w w:val="93"/>
              </w:rPr>
              <w:t>Other</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vMerge w:val="restart"/>
          </w:tcPr>
          <w:p>
            <w:pPr>
              <w:jc w:val="center"/>
              <w:ind w:right="340"/>
              <w:spacing w:after="0"/>
              <w:rPr>
                <w:sz w:val="20"/>
                <w:szCs w:val="20"/>
                <w:color w:val="auto"/>
              </w:rPr>
            </w:pPr>
            <w:r>
              <w:rPr>
                <w:rFonts w:ascii="Arial" w:cs="Arial" w:eastAsia="Arial" w:hAnsi="Arial"/>
                <w:sz w:val="12"/>
                <w:szCs w:val="12"/>
                <w:b w:val="1"/>
                <w:bCs w:val="1"/>
                <w:color w:val="auto"/>
                <w:w w:val="91"/>
              </w:rPr>
              <w:t>Investment</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4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87"/>
              </w:rPr>
              <w:t>Charges</w:t>
            </w:r>
          </w:p>
        </w:tc>
        <w:tc>
          <w:tcPr>
            <w:tcW w:w="220" w:type="dxa"/>
            <w:vAlign w:val="bottom"/>
          </w:tcPr>
          <w:p>
            <w:pPr>
              <w:spacing w:after="0"/>
              <w:rPr>
                <w:sz w:val="12"/>
                <w:szCs w:val="12"/>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w w:val="86"/>
              </w:rPr>
              <w:t>Deposit</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3"/>
              </w:rPr>
              <w:t>and</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87"/>
              </w:rPr>
              <w:t>on Deposit</w:t>
            </w:r>
          </w:p>
        </w:tc>
        <w:tc>
          <w:tcPr>
            <w:tcW w:w="220" w:type="dxa"/>
            <w:vAlign w:val="bottom"/>
          </w:tcPr>
          <w:p>
            <w:pPr>
              <w:spacing w:after="0"/>
              <w:rPr>
                <w:sz w:val="12"/>
                <w:szCs w:val="12"/>
                <w:color w:val="auto"/>
              </w:rPr>
            </w:pPr>
          </w:p>
        </w:tc>
        <w:tc>
          <w:tcPr>
            <w:tcW w:w="114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92"/>
              </w:rPr>
              <w:t>Related</w:t>
            </w:r>
          </w:p>
        </w:tc>
        <w:tc>
          <w:tcPr>
            <w:tcW w:w="120" w:type="dxa"/>
            <w:vAlign w:val="bottom"/>
          </w:tcPr>
          <w:p>
            <w:pPr>
              <w:spacing w:after="0"/>
              <w:rPr>
                <w:sz w:val="12"/>
                <w:szCs w:val="12"/>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rPr>
              <w:t>Interchange</w:t>
            </w:r>
          </w:p>
        </w:tc>
        <w:tc>
          <w:tcPr>
            <w:tcW w:w="140" w:type="dxa"/>
            <w:vAlign w:val="bottom"/>
          </w:tcPr>
          <w:p>
            <w:pPr>
              <w:spacing w:after="0"/>
              <w:rPr>
                <w:sz w:val="12"/>
                <w:szCs w:val="12"/>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1"/>
              </w:rPr>
              <w:t>Insurance</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4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84"/>
              </w:rPr>
              <w:t>Accounts</w:t>
            </w:r>
          </w:p>
        </w:tc>
        <w:tc>
          <w:tcPr>
            <w:tcW w:w="220" w:type="dxa"/>
            <w:vAlign w:val="bottom"/>
          </w:tcPr>
          <w:p>
            <w:pPr>
              <w:spacing w:after="0"/>
              <w:rPr>
                <w:sz w:val="13"/>
                <w:szCs w:val="13"/>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w w:val="90"/>
              </w:rPr>
              <w:t>Income</w:t>
            </w:r>
          </w:p>
        </w:tc>
        <w:tc>
          <w:tcPr>
            <w:tcW w:w="120" w:type="dxa"/>
            <w:vAlign w:val="bottom"/>
          </w:tcPr>
          <w:p>
            <w:pPr>
              <w:spacing w:after="0"/>
              <w:rPr>
                <w:sz w:val="13"/>
                <w:szCs w:val="13"/>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2"/>
                <w:szCs w:val="12"/>
                <w:b w:val="1"/>
                <w:bCs w:val="1"/>
                <w:color w:val="auto"/>
              </w:rPr>
              <w:t>Income</w:t>
            </w:r>
          </w:p>
        </w:tc>
        <w:tc>
          <w:tcPr>
            <w:tcW w:w="140" w:type="dxa"/>
            <w:vAlign w:val="bottom"/>
          </w:tcPr>
          <w:p>
            <w:pPr>
              <w:spacing w:after="0"/>
              <w:rPr>
                <w:sz w:val="13"/>
                <w:szCs w:val="13"/>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86"/>
              </w:rPr>
              <w:t>Commissions</w:t>
            </w:r>
          </w:p>
        </w:tc>
        <w:tc>
          <w:tcPr>
            <w:tcW w:w="240" w:type="dxa"/>
            <w:vAlign w:val="bottom"/>
          </w:tcPr>
          <w:p>
            <w:pPr>
              <w:spacing w:after="0"/>
              <w:rPr>
                <w:sz w:val="13"/>
                <w:szCs w:val="13"/>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5"/>
        </w:trPr>
        <w:tc>
          <w:tcPr>
            <w:tcW w:w="4640" w:type="dxa"/>
            <w:vAlign w:val="bottom"/>
            <w:vMerge w:val="restart"/>
          </w:tcPr>
          <w:p>
            <w:pPr>
              <w:spacing w:after="0"/>
              <w:rPr>
                <w:sz w:val="20"/>
                <w:szCs w:val="20"/>
                <w:color w:val="auto"/>
              </w:rPr>
            </w:pPr>
            <w:r>
              <w:rPr>
                <w:rFonts w:ascii="Arial" w:cs="Arial" w:eastAsia="Arial" w:hAnsi="Arial"/>
                <w:sz w:val="12"/>
                <w:szCs w:val="12"/>
                <w:color w:val="auto"/>
              </w:rPr>
              <w:t>Retail</w:t>
            </w: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160"/>
              <w:spacing w:after="0"/>
              <w:rPr>
                <w:sz w:val="20"/>
                <w:szCs w:val="20"/>
                <w:color w:val="auto"/>
              </w:rPr>
            </w:pPr>
            <w:r>
              <w:rPr>
                <w:rFonts w:ascii="Arial" w:cs="Arial" w:eastAsia="Arial" w:hAnsi="Arial"/>
                <w:sz w:val="12"/>
                <w:szCs w:val="12"/>
                <w:b w:val="1"/>
                <w:bCs w:val="1"/>
                <w:color w:val="auto"/>
                <w:w w:val="91"/>
              </w:rPr>
              <w:t>(In thousands)</w:t>
            </w: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46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640" w:type="dxa"/>
            <w:vAlign w:val="bottom"/>
            <w:shd w:val="clear" w:color="auto" w:fill="CCEEFF"/>
          </w:tcPr>
          <w:p>
            <w:pPr>
              <w:ind w:left="80"/>
              <w:spacing w:after="0"/>
              <w:rPr>
                <w:sz w:val="20"/>
                <w:szCs w:val="20"/>
                <w:color w:val="auto"/>
              </w:rPr>
            </w:pPr>
            <w:r>
              <w:rPr>
                <w:rFonts w:ascii="Arial" w:cs="Arial" w:eastAsia="Arial" w:hAnsi="Arial"/>
                <w:sz w:val="12"/>
                <w:szCs w:val="12"/>
                <w:color w:val="auto"/>
              </w:rPr>
              <w:t>Overdraft fees</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8,431</w:t>
            </w: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8,431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40" w:type="dxa"/>
            <w:vAlign w:val="bottom"/>
          </w:tcPr>
          <w:p>
            <w:pPr>
              <w:ind w:left="80"/>
              <w:spacing w:after="0"/>
              <w:rPr>
                <w:sz w:val="20"/>
                <w:szCs w:val="20"/>
                <w:color w:val="auto"/>
              </w:rPr>
            </w:pPr>
            <w:r>
              <w:rPr>
                <w:rFonts w:ascii="Arial" w:cs="Arial" w:eastAsia="Arial" w:hAnsi="Arial"/>
                <w:sz w:val="12"/>
                <w:szCs w:val="12"/>
                <w:color w:val="auto"/>
              </w:rPr>
              <w:t>Account service charges</w:t>
            </w:r>
          </w:p>
        </w:tc>
        <w:tc>
          <w:tcPr>
            <w:tcW w:w="1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1,130</w:t>
            </w:r>
          </w:p>
        </w:tc>
        <w:tc>
          <w:tcPr>
            <w:tcW w:w="22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1,130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40" w:type="dxa"/>
            <w:vAlign w:val="bottom"/>
            <w:shd w:val="clear" w:color="auto" w:fill="CCEEFF"/>
          </w:tcPr>
          <w:p>
            <w:pPr>
              <w:ind w:left="80"/>
              <w:spacing w:after="0"/>
              <w:rPr>
                <w:sz w:val="20"/>
                <w:szCs w:val="20"/>
                <w:color w:val="auto"/>
              </w:rPr>
            </w:pPr>
            <w:r>
              <w:rPr>
                <w:rFonts w:ascii="Arial" w:cs="Arial" w:eastAsia="Arial" w:hAnsi="Arial"/>
                <w:sz w:val="12"/>
                <w:szCs w:val="12"/>
                <w:color w:val="auto"/>
              </w:rPr>
              <w:t>ATM fees</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1,109</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40" w:type="dxa"/>
            <w:vAlign w:val="bottom"/>
          </w:tcPr>
          <w:p>
            <w:pPr>
              <w:ind w:left="80"/>
              <w:spacing w:after="0"/>
              <w:rPr>
                <w:sz w:val="20"/>
                <w:szCs w:val="20"/>
                <w:color w:val="auto"/>
              </w:rPr>
            </w:pPr>
            <w:r>
              <w:rPr>
                <w:rFonts w:ascii="Arial" w:cs="Arial" w:eastAsia="Arial" w:hAnsi="Arial"/>
                <w:sz w:val="12"/>
                <w:szCs w:val="12"/>
                <w:color w:val="auto"/>
              </w:rPr>
              <w:t>Other</w:t>
            </w:r>
          </w:p>
        </w:tc>
        <w:tc>
          <w:tcPr>
            <w:tcW w:w="1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819</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819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40" w:type="dxa"/>
            <w:vAlign w:val="bottom"/>
            <w:shd w:val="clear" w:color="auto" w:fill="CCEEFF"/>
          </w:tcPr>
          <w:p>
            <w:pPr>
              <w:spacing w:after="0"/>
              <w:rPr>
                <w:sz w:val="20"/>
                <w:szCs w:val="20"/>
                <w:color w:val="auto"/>
              </w:rPr>
            </w:pPr>
            <w:r>
              <w:rPr>
                <w:rFonts w:ascii="Arial" w:cs="Arial" w:eastAsia="Arial" w:hAnsi="Arial"/>
                <w:sz w:val="12"/>
                <w:szCs w:val="12"/>
                <w:color w:val="auto"/>
              </w:rPr>
              <w:t>Business</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40" w:type="dxa"/>
            <w:vAlign w:val="bottom"/>
          </w:tcPr>
          <w:p>
            <w:pPr>
              <w:ind w:left="80"/>
              <w:spacing w:after="0"/>
              <w:rPr>
                <w:sz w:val="20"/>
                <w:szCs w:val="20"/>
                <w:color w:val="auto"/>
              </w:rPr>
            </w:pPr>
            <w:r>
              <w:rPr>
                <w:rFonts w:ascii="Arial" w:cs="Arial" w:eastAsia="Arial" w:hAnsi="Arial"/>
                <w:sz w:val="12"/>
                <w:szCs w:val="12"/>
                <w:color w:val="auto"/>
              </w:rPr>
              <w:t>Overdraft fees</w:t>
            </w:r>
          </w:p>
        </w:tc>
        <w:tc>
          <w:tcPr>
            <w:tcW w:w="1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609</w:t>
            </w:r>
          </w:p>
        </w:tc>
        <w:tc>
          <w:tcPr>
            <w:tcW w:w="22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609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40" w:type="dxa"/>
            <w:vAlign w:val="bottom"/>
            <w:shd w:val="clear" w:color="auto" w:fill="CCEEFF"/>
          </w:tcPr>
          <w:p>
            <w:pPr>
              <w:ind w:left="80"/>
              <w:spacing w:after="0"/>
              <w:rPr>
                <w:sz w:val="20"/>
                <w:szCs w:val="20"/>
                <w:color w:val="auto"/>
              </w:rPr>
            </w:pPr>
            <w:r>
              <w:rPr>
                <w:rFonts w:ascii="Arial" w:cs="Arial" w:eastAsia="Arial" w:hAnsi="Arial"/>
                <w:sz w:val="12"/>
                <w:szCs w:val="12"/>
                <w:color w:val="auto"/>
              </w:rPr>
              <w:t>ATM fees</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24</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40" w:type="dxa"/>
            <w:vAlign w:val="bottom"/>
          </w:tcPr>
          <w:p>
            <w:pPr>
              <w:ind w:left="80"/>
              <w:spacing w:after="0"/>
              <w:rPr>
                <w:sz w:val="20"/>
                <w:szCs w:val="20"/>
                <w:color w:val="auto"/>
              </w:rPr>
            </w:pPr>
            <w:r>
              <w:rPr>
                <w:rFonts w:ascii="Arial" w:cs="Arial" w:eastAsia="Arial" w:hAnsi="Arial"/>
                <w:sz w:val="12"/>
                <w:szCs w:val="12"/>
                <w:color w:val="auto"/>
              </w:rPr>
              <w:t>Other</w:t>
            </w:r>
          </w:p>
        </w:tc>
        <w:tc>
          <w:tcPr>
            <w:tcW w:w="1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328</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328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40" w:type="dxa"/>
            <w:vAlign w:val="bottom"/>
            <w:shd w:val="clear" w:color="auto" w:fill="CCEEFF"/>
          </w:tcPr>
          <w:p>
            <w:pPr>
              <w:spacing w:after="0"/>
              <w:rPr>
                <w:sz w:val="20"/>
                <w:szCs w:val="20"/>
                <w:color w:val="auto"/>
              </w:rPr>
            </w:pPr>
            <w:r>
              <w:rPr>
                <w:rFonts w:ascii="Arial" w:cs="Arial" w:eastAsia="Arial" w:hAnsi="Arial"/>
                <w:sz w:val="12"/>
                <w:szCs w:val="12"/>
                <w:color w:val="auto"/>
              </w:rPr>
              <w:t>Interchange income</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14,045</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14,045</w:t>
            </w:r>
          </w:p>
        </w:tc>
        <w:tc>
          <w:tcPr>
            <w:tcW w:w="0" w:type="dxa"/>
            <w:vAlign w:val="bottom"/>
          </w:tcPr>
          <w:p>
            <w:pPr>
              <w:spacing w:after="0"/>
              <w:rPr>
                <w:sz w:val="1"/>
                <w:szCs w:val="1"/>
                <w:color w:val="auto"/>
              </w:rPr>
            </w:pPr>
          </w:p>
        </w:tc>
      </w:tr>
      <w:tr>
        <w:trPr>
          <w:trHeight w:val="144"/>
        </w:trPr>
        <w:tc>
          <w:tcPr>
            <w:tcW w:w="4640" w:type="dxa"/>
            <w:vAlign w:val="bottom"/>
          </w:tcPr>
          <w:p>
            <w:pPr>
              <w:spacing w:after="0"/>
              <w:rPr>
                <w:sz w:val="20"/>
                <w:szCs w:val="20"/>
                <w:color w:val="auto"/>
              </w:rPr>
            </w:pPr>
            <w:r>
              <w:rPr>
                <w:rFonts w:ascii="Arial" w:cs="Arial" w:eastAsia="Arial" w:hAnsi="Arial"/>
                <w:sz w:val="12"/>
                <w:szCs w:val="12"/>
                <w:color w:val="auto"/>
              </w:rPr>
              <w:t>Asset management revenue</w:t>
            </w:r>
          </w:p>
        </w:tc>
        <w:tc>
          <w:tcPr>
            <w:tcW w:w="1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1,689</w:t>
            </w: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1,689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40" w:type="dxa"/>
            <w:vAlign w:val="bottom"/>
            <w:shd w:val="clear" w:color="auto" w:fill="CCEEFF"/>
          </w:tcPr>
          <w:p>
            <w:pPr>
              <w:spacing w:after="0"/>
              <w:rPr>
                <w:sz w:val="20"/>
                <w:szCs w:val="20"/>
                <w:color w:val="auto"/>
              </w:rPr>
            </w:pPr>
            <w:r>
              <w:rPr>
                <w:rFonts w:ascii="Arial" w:cs="Arial" w:eastAsia="Arial" w:hAnsi="Arial"/>
                <w:sz w:val="12"/>
                <w:szCs w:val="12"/>
                <w:color w:val="auto"/>
              </w:rPr>
              <w:t>Transaction based revenue</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914</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6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Total</w:t>
            </w:r>
          </w:p>
        </w:tc>
        <w:tc>
          <w:tcPr>
            <w:tcW w:w="1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10,170</w:t>
            </w:r>
          </w:p>
        </w:tc>
        <w:tc>
          <w:tcPr>
            <w:tcW w:w="2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2,280</w:t>
            </w:r>
          </w:p>
        </w:tc>
        <w:tc>
          <w:tcPr>
            <w:tcW w:w="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14,045</w:t>
            </w:r>
          </w:p>
        </w:tc>
        <w:tc>
          <w:tcPr>
            <w:tcW w:w="2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2,603</w:t>
            </w:r>
          </w:p>
        </w:tc>
        <w:tc>
          <w:tcPr>
            <w:tcW w:w="2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29,098</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4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640" w:type="dxa"/>
            <w:vAlign w:val="bottom"/>
            <w:shd w:val="clear" w:color="auto" w:fill="CCEEFF"/>
          </w:tcPr>
          <w:p>
            <w:pPr>
              <w:spacing w:after="0"/>
              <w:rPr>
                <w:sz w:val="20"/>
                <w:szCs w:val="20"/>
                <w:color w:val="auto"/>
              </w:rPr>
            </w:pPr>
            <w:r>
              <w:rPr>
                <w:rFonts w:ascii="Arial" w:cs="Arial" w:eastAsia="Arial" w:hAnsi="Arial"/>
                <w:sz w:val="12"/>
                <w:szCs w:val="12"/>
                <w:color w:val="auto"/>
              </w:rPr>
              <w:t>Reconciliation to Consolidated Statement of Operations:</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40" w:type="dxa"/>
            <w:vAlign w:val="bottom"/>
          </w:tcPr>
          <w:p>
            <w:pPr>
              <w:ind w:left="80"/>
              <w:spacing w:after="0"/>
              <w:rPr>
                <w:sz w:val="20"/>
                <w:szCs w:val="20"/>
                <w:color w:val="auto"/>
              </w:rPr>
            </w:pPr>
            <w:r>
              <w:rPr>
                <w:rFonts w:ascii="Arial" w:cs="Arial" w:eastAsia="Arial" w:hAnsi="Arial"/>
                <w:sz w:val="12"/>
                <w:szCs w:val="12"/>
                <w:color w:val="auto"/>
              </w:rPr>
              <w:t>Non-interest income - other:</w:t>
            </w: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40" w:type="dxa"/>
            <w:vAlign w:val="bottom"/>
            <w:shd w:val="clear" w:color="auto" w:fill="CCEEFF"/>
          </w:tcPr>
          <w:p>
            <w:pPr>
              <w:ind w:left="200"/>
              <w:spacing w:after="0"/>
              <w:rPr>
                <w:sz w:val="20"/>
                <w:szCs w:val="20"/>
                <w:color w:val="auto"/>
              </w:rPr>
            </w:pPr>
            <w:r>
              <w:rPr>
                <w:rFonts w:ascii="Arial" w:cs="Arial" w:eastAsia="Arial" w:hAnsi="Arial"/>
                <w:sz w:val="12"/>
                <w:szCs w:val="12"/>
                <w:color w:val="auto"/>
              </w:rPr>
              <w:t>Other deposit related income</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2,280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40" w:type="dxa"/>
            <w:vAlign w:val="bottom"/>
          </w:tcPr>
          <w:p>
            <w:pPr>
              <w:ind w:left="200"/>
              <w:spacing w:after="0"/>
              <w:rPr>
                <w:sz w:val="20"/>
                <w:szCs w:val="20"/>
                <w:color w:val="auto"/>
              </w:rPr>
            </w:pPr>
            <w:r>
              <w:rPr>
                <w:rFonts w:ascii="Arial" w:cs="Arial" w:eastAsia="Arial" w:hAnsi="Arial"/>
                <w:sz w:val="12"/>
                <w:szCs w:val="12"/>
                <w:color w:val="auto"/>
              </w:rPr>
              <w:t>Investment and insurance commissions</w:t>
            </w: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2,603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40" w:type="dxa"/>
            <w:vAlign w:val="bottom"/>
            <w:shd w:val="clear" w:color="auto" w:fill="CCEEFF"/>
          </w:tcPr>
          <w:p>
            <w:pPr>
              <w:ind w:left="200"/>
              <w:spacing w:after="0"/>
              <w:rPr>
                <w:sz w:val="20"/>
                <w:szCs w:val="20"/>
                <w:color w:val="auto"/>
              </w:rPr>
            </w:pPr>
            <w:r>
              <w:rPr>
                <w:rFonts w:ascii="Arial" w:cs="Arial" w:eastAsia="Arial" w:hAnsi="Arial"/>
                <w:sz w:val="12"/>
                <w:szCs w:val="12"/>
                <w:color w:val="auto"/>
              </w:rPr>
              <w:t>Bank owned life insurance</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40" w:type="dxa"/>
            <w:vAlign w:val="bottom"/>
          </w:tcPr>
          <w:p>
            <w:pPr>
              <w:ind w:left="200"/>
              <w:spacing w:after="0"/>
              <w:rPr>
                <w:sz w:val="20"/>
                <w:szCs w:val="20"/>
                <w:color w:val="auto"/>
              </w:rPr>
            </w:pPr>
            <w:r>
              <w:rPr>
                <w:rFonts w:ascii="Arial" w:cs="Arial" w:eastAsia="Arial" w:hAnsi="Arial"/>
                <w:sz w:val="12"/>
                <w:szCs w:val="12"/>
                <w:color w:val="auto"/>
              </w:rPr>
              <w:t>Other</w:t>
            </w: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3,942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6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Total</w:t>
            </w: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9,392</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55"/>
        </w:trPr>
        <w:tc>
          <w:tcPr>
            <w:tcW w:w="4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1"/>
              <w:spacing w:after="0"/>
              <w:rPr>
                <w:sz w:val="20"/>
                <w:szCs w:val="20"/>
                <w:color w:val="auto"/>
              </w:rPr>
            </w:pPr>
            <w:r>
              <w:rPr>
                <w:rFonts w:ascii="Arial" w:cs="Arial" w:eastAsia="Arial" w:hAnsi="Arial"/>
                <w:sz w:val="10"/>
                <w:szCs w:val="10"/>
                <w:color w:val="auto"/>
              </w:rPr>
              <w:t>107</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27" w:right="299" w:bottom="1440" w:gutter="0" w:footer="0" w:header="0"/>
        </w:sectPr>
      </w:pPr>
    </w:p>
    <w:bookmarkStart w:id="127" w:name="page128"/>
    <w:bookmarkEnd w:id="1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200" w:type="dxa"/>
            <w:vAlign w:val="bottom"/>
          </w:tcPr>
          <w:p>
            <w:pPr>
              <w:spacing w:after="0"/>
              <w:rPr>
                <w:sz w:val="13"/>
                <w:szCs w:val="13"/>
                <w:color w:val="auto"/>
              </w:rPr>
            </w:pPr>
          </w:p>
        </w:tc>
        <w:tc>
          <w:tcPr>
            <w:tcW w:w="5520" w:type="dxa"/>
            <w:vAlign w:val="bottom"/>
            <w:gridSpan w:val="10"/>
          </w:tcPr>
          <w:p>
            <w:pPr>
              <w:jc w:val="right"/>
              <w:ind w:right="1120"/>
              <w:spacing w:after="0"/>
              <w:rPr>
                <w:sz w:val="20"/>
                <w:szCs w:val="20"/>
                <w:color w:val="auto"/>
              </w:rPr>
            </w:pPr>
            <w:r>
              <w:rPr>
                <w:rFonts w:ascii="Arial" w:cs="Arial" w:eastAsia="Arial" w:hAnsi="Arial"/>
                <w:sz w:val="12"/>
                <w:szCs w:val="12"/>
                <w:b w:val="1"/>
                <w:bCs w:val="1"/>
                <w:color w:val="auto"/>
              </w:rPr>
              <w:t>NOTES TO CONSOLIDATED FINANCIAL STATEMENTS − (Continued)</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3200" w:type="dxa"/>
            <w:vAlign w:val="bottom"/>
          </w:tcPr>
          <w:p>
            <w:pPr>
              <w:spacing w:after="0"/>
              <w:rPr>
                <w:sz w:val="20"/>
                <w:szCs w:val="20"/>
                <w:color w:val="auto"/>
              </w:rPr>
            </w:pPr>
            <w:r>
              <w:rPr>
                <w:rFonts w:ascii="Arial" w:cs="Arial" w:eastAsia="Arial" w:hAnsi="Arial"/>
                <w:sz w:val="12"/>
                <w:szCs w:val="12"/>
                <w:color w:val="auto"/>
              </w:rPr>
              <w:t>2020</w:t>
            </w:r>
          </w:p>
        </w:tc>
        <w:tc>
          <w:tcPr>
            <w:tcW w:w="1440" w:type="dxa"/>
            <w:vAlign w:val="bottom"/>
          </w:tcPr>
          <w:p>
            <w:pPr>
              <w:spacing w:after="0"/>
              <w:rPr>
                <w:sz w:val="22"/>
                <w:szCs w:val="22"/>
                <w:color w:val="auto"/>
              </w:rPr>
            </w:pPr>
          </w:p>
        </w:tc>
        <w:tc>
          <w:tcPr>
            <w:tcW w:w="860" w:type="dxa"/>
            <w:vAlign w:val="bottom"/>
            <w:vMerge w:val="restart"/>
          </w:tcPr>
          <w:p>
            <w:pPr>
              <w:jc w:val="center"/>
              <w:ind w:left="222"/>
              <w:spacing w:after="0"/>
              <w:rPr>
                <w:sz w:val="20"/>
                <w:szCs w:val="20"/>
                <w:color w:val="auto"/>
              </w:rPr>
            </w:pPr>
            <w:r>
              <w:rPr>
                <w:rFonts w:ascii="Arial" w:cs="Arial" w:eastAsia="Arial" w:hAnsi="Arial"/>
                <w:sz w:val="12"/>
                <w:szCs w:val="12"/>
                <w:b w:val="1"/>
                <w:bCs w:val="1"/>
                <w:color w:val="auto"/>
                <w:w w:val="88"/>
              </w:rPr>
              <w:t>Service</w:t>
            </w: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vMerge w:val="restart"/>
          </w:tcPr>
          <w:p>
            <w:pPr>
              <w:jc w:val="center"/>
              <w:ind w:right="440"/>
              <w:spacing w:after="0"/>
              <w:rPr>
                <w:sz w:val="20"/>
                <w:szCs w:val="20"/>
                <w:color w:val="auto"/>
              </w:rPr>
            </w:pPr>
            <w:r>
              <w:rPr>
                <w:rFonts w:ascii="Arial" w:cs="Arial" w:eastAsia="Arial" w:hAnsi="Arial"/>
                <w:sz w:val="12"/>
                <w:szCs w:val="12"/>
                <w:b w:val="1"/>
                <w:bCs w:val="1"/>
                <w:color w:val="auto"/>
                <w:w w:val="93"/>
              </w:rPr>
              <w:t>Other</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vMerge w:val="restart"/>
          </w:tcPr>
          <w:p>
            <w:pPr>
              <w:jc w:val="center"/>
              <w:ind w:right="340"/>
              <w:spacing w:after="0"/>
              <w:rPr>
                <w:sz w:val="20"/>
                <w:szCs w:val="20"/>
                <w:color w:val="auto"/>
              </w:rPr>
            </w:pPr>
            <w:r>
              <w:rPr>
                <w:rFonts w:ascii="Arial" w:cs="Arial" w:eastAsia="Arial" w:hAnsi="Arial"/>
                <w:sz w:val="12"/>
                <w:szCs w:val="12"/>
                <w:b w:val="1"/>
                <w:bCs w:val="1"/>
                <w:color w:val="auto"/>
                <w:w w:val="91"/>
              </w:rPr>
              <w:t>Investment</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60" w:type="dxa"/>
            <w:vAlign w:val="bottom"/>
          </w:tcPr>
          <w:p>
            <w:pPr>
              <w:jc w:val="center"/>
              <w:ind w:left="222"/>
              <w:spacing w:after="0"/>
              <w:rPr>
                <w:sz w:val="20"/>
                <w:szCs w:val="20"/>
                <w:color w:val="auto"/>
              </w:rPr>
            </w:pPr>
            <w:r>
              <w:rPr>
                <w:rFonts w:ascii="Arial" w:cs="Arial" w:eastAsia="Arial" w:hAnsi="Arial"/>
                <w:sz w:val="12"/>
                <w:szCs w:val="12"/>
                <w:b w:val="1"/>
                <w:bCs w:val="1"/>
                <w:color w:val="auto"/>
                <w:w w:val="87"/>
              </w:rPr>
              <w:t>Charges</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w w:val="86"/>
              </w:rPr>
              <w:t>Deposit</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3"/>
              </w:rPr>
              <w:t>and</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60" w:type="dxa"/>
            <w:vAlign w:val="bottom"/>
          </w:tcPr>
          <w:p>
            <w:pPr>
              <w:jc w:val="center"/>
              <w:ind w:left="222"/>
              <w:spacing w:after="0"/>
              <w:rPr>
                <w:sz w:val="20"/>
                <w:szCs w:val="20"/>
                <w:color w:val="auto"/>
              </w:rPr>
            </w:pPr>
            <w:r>
              <w:rPr>
                <w:rFonts w:ascii="Arial" w:cs="Arial" w:eastAsia="Arial" w:hAnsi="Arial"/>
                <w:sz w:val="12"/>
                <w:szCs w:val="12"/>
                <w:b w:val="1"/>
                <w:bCs w:val="1"/>
                <w:color w:val="auto"/>
                <w:w w:val="87"/>
              </w:rPr>
              <w:t>on Deposit</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92"/>
              </w:rPr>
              <w:t>Related</w:t>
            </w:r>
          </w:p>
        </w:tc>
        <w:tc>
          <w:tcPr>
            <w:tcW w:w="120" w:type="dxa"/>
            <w:vAlign w:val="bottom"/>
          </w:tcPr>
          <w:p>
            <w:pPr>
              <w:spacing w:after="0"/>
              <w:rPr>
                <w:sz w:val="12"/>
                <w:szCs w:val="12"/>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rPr>
              <w:t>Interchange</w:t>
            </w:r>
          </w:p>
        </w:tc>
        <w:tc>
          <w:tcPr>
            <w:tcW w:w="140" w:type="dxa"/>
            <w:vAlign w:val="bottom"/>
          </w:tcPr>
          <w:p>
            <w:pPr>
              <w:spacing w:after="0"/>
              <w:rPr>
                <w:sz w:val="12"/>
                <w:szCs w:val="12"/>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1"/>
              </w:rPr>
              <w:t>Insurance</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60" w:type="dxa"/>
            <w:vAlign w:val="bottom"/>
          </w:tcPr>
          <w:p>
            <w:pPr>
              <w:jc w:val="center"/>
              <w:ind w:left="222"/>
              <w:spacing w:after="0"/>
              <w:rPr>
                <w:sz w:val="20"/>
                <w:szCs w:val="20"/>
                <w:color w:val="auto"/>
              </w:rPr>
            </w:pPr>
            <w:r>
              <w:rPr>
                <w:rFonts w:ascii="Arial" w:cs="Arial" w:eastAsia="Arial" w:hAnsi="Arial"/>
                <w:sz w:val="12"/>
                <w:szCs w:val="12"/>
                <w:b w:val="1"/>
                <w:bCs w:val="1"/>
                <w:color w:val="auto"/>
                <w:w w:val="84"/>
              </w:rPr>
              <w:t>Accounts</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w w:val="90"/>
              </w:rPr>
              <w:t>Income</w:t>
            </w:r>
          </w:p>
        </w:tc>
        <w:tc>
          <w:tcPr>
            <w:tcW w:w="120" w:type="dxa"/>
            <w:vAlign w:val="bottom"/>
          </w:tcPr>
          <w:p>
            <w:pPr>
              <w:spacing w:after="0"/>
              <w:rPr>
                <w:sz w:val="13"/>
                <w:szCs w:val="13"/>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2"/>
                <w:szCs w:val="12"/>
                <w:b w:val="1"/>
                <w:bCs w:val="1"/>
                <w:color w:val="auto"/>
              </w:rPr>
              <w:t>Income</w:t>
            </w:r>
          </w:p>
        </w:tc>
        <w:tc>
          <w:tcPr>
            <w:tcW w:w="140" w:type="dxa"/>
            <w:vAlign w:val="bottom"/>
          </w:tcPr>
          <w:p>
            <w:pPr>
              <w:spacing w:after="0"/>
              <w:rPr>
                <w:sz w:val="13"/>
                <w:szCs w:val="13"/>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86"/>
              </w:rPr>
              <w:t>Commissions</w:t>
            </w:r>
          </w:p>
        </w:tc>
        <w:tc>
          <w:tcPr>
            <w:tcW w:w="240" w:type="dxa"/>
            <w:vAlign w:val="bottom"/>
          </w:tcPr>
          <w:p>
            <w:pPr>
              <w:spacing w:after="0"/>
              <w:rPr>
                <w:sz w:val="13"/>
                <w:szCs w:val="13"/>
                <w:color w:val="auto"/>
              </w:rPr>
            </w:pPr>
          </w:p>
        </w:tc>
        <w:tc>
          <w:tcPr>
            <w:tcW w:w="1000" w:type="dxa"/>
            <w:vAlign w:val="bottom"/>
            <w:gridSpan w:val="2"/>
          </w:tcPr>
          <w:p>
            <w:pPr>
              <w:ind w:left="20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5"/>
        </w:trPr>
        <w:tc>
          <w:tcPr>
            <w:tcW w:w="3200" w:type="dxa"/>
            <w:vAlign w:val="bottom"/>
            <w:vMerge w:val="restart"/>
          </w:tcPr>
          <w:p>
            <w:pPr>
              <w:spacing w:after="0"/>
              <w:rPr>
                <w:sz w:val="20"/>
                <w:szCs w:val="20"/>
                <w:color w:val="auto"/>
              </w:rPr>
            </w:pPr>
            <w:r>
              <w:rPr>
                <w:rFonts w:ascii="Arial" w:cs="Arial" w:eastAsia="Arial" w:hAnsi="Arial"/>
                <w:sz w:val="12"/>
                <w:szCs w:val="12"/>
                <w:color w:val="auto"/>
              </w:rPr>
              <w:t>Retail</w:t>
            </w:r>
          </w:p>
        </w:tc>
        <w:tc>
          <w:tcPr>
            <w:tcW w:w="144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160"/>
              <w:spacing w:after="0"/>
              <w:rPr>
                <w:sz w:val="20"/>
                <w:szCs w:val="20"/>
                <w:color w:val="auto"/>
              </w:rPr>
            </w:pPr>
            <w:r>
              <w:rPr>
                <w:rFonts w:ascii="Arial" w:cs="Arial" w:eastAsia="Arial" w:hAnsi="Arial"/>
                <w:sz w:val="12"/>
                <w:szCs w:val="12"/>
                <w:b w:val="1"/>
                <w:bCs w:val="1"/>
                <w:color w:val="auto"/>
                <w:w w:val="91"/>
              </w:rPr>
              <w:t>(In thousands)</w:t>
            </w: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20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200" w:type="dxa"/>
            <w:vAlign w:val="bottom"/>
            <w:shd w:val="clear" w:color="auto" w:fill="CCEEFF"/>
          </w:tcPr>
          <w:p>
            <w:pPr>
              <w:ind w:left="80"/>
              <w:spacing w:after="0"/>
              <w:rPr>
                <w:sz w:val="20"/>
                <w:szCs w:val="20"/>
                <w:color w:val="auto"/>
              </w:rPr>
            </w:pPr>
            <w:r>
              <w:rPr>
                <w:rFonts w:ascii="Arial" w:cs="Arial" w:eastAsia="Arial" w:hAnsi="Arial"/>
                <w:sz w:val="12"/>
                <w:szCs w:val="12"/>
                <w:color w:val="auto"/>
              </w:rPr>
              <w:t>Overdraft fees</w:t>
            </w:r>
          </w:p>
        </w:tc>
        <w:tc>
          <w:tcPr>
            <w:tcW w:w="2300" w:type="dxa"/>
            <w:vAlign w:val="bottom"/>
            <w:gridSpan w:val="2"/>
            <w:shd w:val="clear" w:color="auto" w:fill="CCEEFF"/>
          </w:tcPr>
          <w:p>
            <w:pPr>
              <w:jc w:val="right"/>
              <w:ind w:right="742"/>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w w:val="86"/>
              </w:rPr>
              <w:t>5,627</w:t>
            </w: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5,627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00" w:type="dxa"/>
            <w:vAlign w:val="bottom"/>
          </w:tcPr>
          <w:p>
            <w:pPr>
              <w:ind w:left="80"/>
              <w:spacing w:after="0"/>
              <w:rPr>
                <w:sz w:val="20"/>
                <w:szCs w:val="20"/>
                <w:color w:val="auto"/>
              </w:rPr>
            </w:pPr>
            <w:r>
              <w:rPr>
                <w:rFonts w:ascii="Arial" w:cs="Arial" w:eastAsia="Arial" w:hAnsi="Arial"/>
                <w:sz w:val="12"/>
                <w:szCs w:val="12"/>
                <w:color w:val="auto"/>
              </w:rPr>
              <w:t>Account service charges</w:t>
            </w:r>
          </w:p>
        </w:tc>
        <w:tc>
          <w:tcPr>
            <w:tcW w:w="1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2"/>
                <w:szCs w:val="12"/>
                <w:color w:val="auto"/>
                <w:w w:val="86"/>
              </w:rPr>
              <w:t>2,017</w:t>
            </w:r>
          </w:p>
        </w:tc>
        <w:tc>
          <w:tcPr>
            <w:tcW w:w="22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00" w:type="dxa"/>
            <w:vAlign w:val="bottom"/>
            <w:shd w:val="clear" w:color="auto" w:fill="CCEEFF"/>
          </w:tcPr>
          <w:p>
            <w:pPr>
              <w:ind w:left="80"/>
              <w:spacing w:after="0"/>
              <w:rPr>
                <w:sz w:val="20"/>
                <w:szCs w:val="20"/>
                <w:color w:val="auto"/>
              </w:rPr>
            </w:pPr>
            <w:r>
              <w:rPr>
                <w:rFonts w:ascii="Arial" w:cs="Arial" w:eastAsia="Arial" w:hAnsi="Arial"/>
                <w:sz w:val="12"/>
                <w:szCs w:val="12"/>
                <w:color w:val="auto"/>
              </w:rPr>
              <w:t>ATM fees</w:t>
            </w:r>
          </w:p>
        </w:tc>
        <w:tc>
          <w:tcPr>
            <w:tcW w:w="14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1,173</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00" w:type="dxa"/>
            <w:vAlign w:val="bottom"/>
          </w:tcPr>
          <w:p>
            <w:pPr>
              <w:ind w:left="80"/>
              <w:spacing w:after="0"/>
              <w:rPr>
                <w:sz w:val="20"/>
                <w:szCs w:val="20"/>
                <w:color w:val="auto"/>
              </w:rPr>
            </w:pPr>
            <w:r>
              <w:rPr>
                <w:rFonts w:ascii="Arial" w:cs="Arial" w:eastAsia="Arial" w:hAnsi="Arial"/>
                <w:sz w:val="12"/>
                <w:szCs w:val="12"/>
                <w:color w:val="auto"/>
              </w:rPr>
              <w:t>Other</w:t>
            </w:r>
          </w:p>
        </w:tc>
        <w:tc>
          <w:tcPr>
            <w:tcW w:w="1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769</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769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Business</w:t>
            </w:r>
          </w:p>
        </w:tc>
        <w:tc>
          <w:tcPr>
            <w:tcW w:w="14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00" w:type="dxa"/>
            <w:vAlign w:val="bottom"/>
          </w:tcPr>
          <w:p>
            <w:pPr>
              <w:ind w:left="80"/>
              <w:spacing w:after="0"/>
              <w:rPr>
                <w:sz w:val="20"/>
                <w:szCs w:val="20"/>
                <w:color w:val="auto"/>
              </w:rPr>
            </w:pPr>
            <w:r>
              <w:rPr>
                <w:rFonts w:ascii="Arial" w:cs="Arial" w:eastAsia="Arial" w:hAnsi="Arial"/>
                <w:sz w:val="12"/>
                <w:szCs w:val="12"/>
                <w:color w:val="auto"/>
              </w:rPr>
              <w:t>Overdraft fees</w:t>
            </w:r>
          </w:p>
        </w:tc>
        <w:tc>
          <w:tcPr>
            <w:tcW w:w="1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2"/>
                <w:szCs w:val="12"/>
                <w:color w:val="auto"/>
              </w:rPr>
              <w:t>873</w:t>
            </w:r>
          </w:p>
        </w:tc>
        <w:tc>
          <w:tcPr>
            <w:tcW w:w="22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873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00" w:type="dxa"/>
            <w:vAlign w:val="bottom"/>
            <w:shd w:val="clear" w:color="auto" w:fill="CCEEFF"/>
          </w:tcPr>
          <w:p>
            <w:pPr>
              <w:ind w:left="80"/>
              <w:spacing w:after="0"/>
              <w:rPr>
                <w:sz w:val="20"/>
                <w:szCs w:val="20"/>
                <w:color w:val="auto"/>
              </w:rPr>
            </w:pPr>
            <w:r>
              <w:rPr>
                <w:rFonts w:ascii="Arial" w:cs="Arial" w:eastAsia="Arial" w:hAnsi="Arial"/>
                <w:sz w:val="12"/>
                <w:szCs w:val="12"/>
                <w:color w:val="auto"/>
              </w:rPr>
              <w:t>ATM fees</w:t>
            </w:r>
          </w:p>
        </w:tc>
        <w:tc>
          <w:tcPr>
            <w:tcW w:w="14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24</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00" w:type="dxa"/>
            <w:vAlign w:val="bottom"/>
          </w:tcPr>
          <w:p>
            <w:pPr>
              <w:ind w:left="80"/>
              <w:spacing w:after="0"/>
              <w:rPr>
                <w:sz w:val="20"/>
                <w:szCs w:val="20"/>
                <w:color w:val="auto"/>
              </w:rPr>
            </w:pPr>
            <w:r>
              <w:rPr>
                <w:rFonts w:ascii="Arial" w:cs="Arial" w:eastAsia="Arial" w:hAnsi="Arial"/>
                <w:sz w:val="12"/>
                <w:szCs w:val="12"/>
                <w:color w:val="auto"/>
              </w:rPr>
              <w:t>Other</w:t>
            </w:r>
          </w:p>
        </w:tc>
        <w:tc>
          <w:tcPr>
            <w:tcW w:w="1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342</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342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Interchange income</w:t>
            </w:r>
          </w:p>
        </w:tc>
        <w:tc>
          <w:tcPr>
            <w:tcW w:w="14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11,230</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11,230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00" w:type="dxa"/>
            <w:vAlign w:val="bottom"/>
          </w:tcPr>
          <w:p>
            <w:pPr>
              <w:spacing w:after="0"/>
              <w:rPr>
                <w:sz w:val="20"/>
                <w:szCs w:val="20"/>
                <w:color w:val="auto"/>
              </w:rPr>
            </w:pPr>
            <w:r>
              <w:rPr>
                <w:rFonts w:ascii="Arial" w:cs="Arial" w:eastAsia="Arial" w:hAnsi="Arial"/>
                <w:sz w:val="12"/>
                <w:szCs w:val="12"/>
                <w:color w:val="auto"/>
              </w:rPr>
              <w:t>Asset management revenue</w:t>
            </w:r>
          </w:p>
        </w:tc>
        <w:tc>
          <w:tcPr>
            <w:tcW w:w="1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1,283</w:t>
            </w: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1,283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Transaction based revenue</w:t>
            </w:r>
          </w:p>
        </w:tc>
        <w:tc>
          <w:tcPr>
            <w:tcW w:w="14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688</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00" w:type="dxa"/>
            <w:vAlign w:val="bottom"/>
          </w:tcPr>
          <w:p>
            <w:pPr>
              <w:spacing w:after="0"/>
              <w:rPr>
                <w:sz w:val="12"/>
                <w:szCs w:val="12"/>
                <w:color w:val="auto"/>
              </w:rPr>
            </w:pPr>
          </w:p>
        </w:tc>
        <w:tc>
          <w:tcPr>
            <w:tcW w:w="2300" w:type="dxa"/>
            <w:vAlign w:val="bottom"/>
            <w:gridSpan w:val="2"/>
          </w:tcPr>
          <w:p>
            <w:pPr>
              <w:spacing w:after="0"/>
              <w:rPr>
                <w:sz w:val="12"/>
                <w:szCs w:val="12"/>
                <w:color w:val="auto"/>
              </w:rPr>
            </w:pPr>
          </w:p>
        </w:tc>
        <w:tc>
          <w:tcPr>
            <w:tcW w:w="52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Total</w:t>
            </w:r>
          </w:p>
        </w:tc>
        <w:tc>
          <w:tcPr>
            <w:tcW w:w="14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ind w:right="742"/>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6"/>
              </w:rPr>
              <w:t>8,517</w:t>
            </w:r>
          </w:p>
        </w:tc>
        <w:tc>
          <w:tcPr>
            <w:tcW w:w="2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2,308</w:t>
            </w:r>
          </w:p>
        </w:tc>
        <w:tc>
          <w:tcPr>
            <w:tcW w:w="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11,230</w:t>
            </w:r>
          </w:p>
        </w:tc>
        <w:tc>
          <w:tcPr>
            <w:tcW w:w="2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1,971</w:t>
            </w:r>
          </w:p>
        </w:tc>
        <w:tc>
          <w:tcPr>
            <w:tcW w:w="2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24,026</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32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Reconciliation to Consolidated Statement of Operations:</w:t>
            </w:r>
          </w:p>
        </w:tc>
        <w:tc>
          <w:tcPr>
            <w:tcW w:w="14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00" w:type="dxa"/>
            <w:vAlign w:val="bottom"/>
          </w:tcPr>
          <w:p>
            <w:pPr>
              <w:ind w:left="80"/>
              <w:spacing w:after="0"/>
              <w:rPr>
                <w:sz w:val="20"/>
                <w:szCs w:val="20"/>
                <w:color w:val="auto"/>
              </w:rPr>
            </w:pPr>
            <w:r>
              <w:rPr>
                <w:rFonts w:ascii="Arial" w:cs="Arial" w:eastAsia="Arial" w:hAnsi="Arial"/>
                <w:sz w:val="12"/>
                <w:szCs w:val="12"/>
                <w:color w:val="auto"/>
              </w:rPr>
              <w:t>Non-interest income - other:</w:t>
            </w:r>
          </w:p>
        </w:tc>
        <w:tc>
          <w:tcPr>
            <w:tcW w:w="1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Other deposit related income</w:t>
            </w:r>
          </w:p>
        </w:tc>
        <w:tc>
          <w:tcPr>
            <w:tcW w:w="14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2,308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00" w:type="dxa"/>
            <w:vAlign w:val="bottom"/>
          </w:tcPr>
          <w:p>
            <w:pPr>
              <w:ind w:left="200"/>
              <w:spacing w:after="0"/>
              <w:rPr>
                <w:sz w:val="20"/>
                <w:szCs w:val="20"/>
                <w:color w:val="auto"/>
              </w:rPr>
            </w:pPr>
            <w:r>
              <w:rPr>
                <w:rFonts w:ascii="Arial" w:cs="Arial" w:eastAsia="Arial" w:hAnsi="Arial"/>
                <w:sz w:val="12"/>
                <w:szCs w:val="12"/>
                <w:color w:val="auto"/>
              </w:rPr>
              <w:t>Investment and insurance commissions</w:t>
            </w:r>
          </w:p>
        </w:tc>
        <w:tc>
          <w:tcPr>
            <w:tcW w:w="1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1,971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Bank owned life insurance</w:t>
            </w:r>
          </w:p>
        </w:tc>
        <w:tc>
          <w:tcPr>
            <w:tcW w:w="14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00" w:type="dxa"/>
            <w:vAlign w:val="bottom"/>
          </w:tcPr>
          <w:p>
            <w:pPr>
              <w:ind w:left="200"/>
              <w:spacing w:after="0"/>
              <w:rPr>
                <w:sz w:val="20"/>
                <w:szCs w:val="20"/>
                <w:color w:val="auto"/>
              </w:rPr>
            </w:pPr>
            <w:r>
              <w:rPr>
                <w:rFonts w:ascii="Arial" w:cs="Arial" w:eastAsia="Arial" w:hAnsi="Arial"/>
                <w:sz w:val="12"/>
                <w:szCs w:val="12"/>
                <w:color w:val="auto"/>
              </w:rPr>
              <w:t>Other</w:t>
            </w:r>
          </w:p>
        </w:tc>
        <w:tc>
          <w:tcPr>
            <w:tcW w:w="1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2,332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Total</w:t>
            </w:r>
          </w:p>
        </w:tc>
        <w:tc>
          <w:tcPr>
            <w:tcW w:w="14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7,521</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55"/>
        </w:trPr>
        <w:tc>
          <w:tcPr>
            <w:tcW w:w="3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jc w:val="right"/>
              <w:ind w:right="1"/>
              <w:spacing w:after="0"/>
              <w:rPr>
                <w:sz w:val="20"/>
                <w:szCs w:val="20"/>
                <w:color w:val="auto"/>
              </w:rPr>
            </w:pPr>
            <w:r>
              <w:rPr>
                <w:rFonts w:ascii="Arial" w:cs="Arial" w:eastAsia="Arial" w:hAnsi="Arial"/>
                <w:sz w:val="10"/>
                <w:szCs w:val="10"/>
                <w:color w:val="auto"/>
              </w:rPr>
              <w:t>108</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3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27" w:right="299" w:bottom="1440" w:gutter="0" w:footer="0" w:header="0"/>
        </w:sectPr>
      </w:pPr>
    </w:p>
    <w:bookmarkStart w:id="128" w:name="page129"/>
    <w:bookmarkEnd w:id="1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200" w:type="dxa"/>
            <w:vAlign w:val="bottom"/>
          </w:tcPr>
          <w:p>
            <w:pPr>
              <w:spacing w:after="0"/>
              <w:rPr>
                <w:sz w:val="13"/>
                <w:szCs w:val="13"/>
                <w:color w:val="auto"/>
              </w:rPr>
            </w:pPr>
          </w:p>
        </w:tc>
        <w:tc>
          <w:tcPr>
            <w:tcW w:w="5520" w:type="dxa"/>
            <w:vAlign w:val="bottom"/>
            <w:gridSpan w:val="10"/>
          </w:tcPr>
          <w:p>
            <w:pPr>
              <w:jc w:val="right"/>
              <w:ind w:right="1120"/>
              <w:spacing w:after="0"/>
              <w:rPr>
                <w:sz w:val="20"/>
                <w:szCs w:val="20"/>
                <w:color w:val="auto"/>
              </w:rPr>
            </w:pPr>
            <w:r>
              <w:rPr>
                <w:rFonts w:ascii="Arial" w:cs="Arial" w:eastAsia="Arial" w:hAnsi="Arial"/>
                <w:sz w:val="12"/>
                <w:szCs w:val="12"/>
                <w:b w:val="1"/>
                <w:bCs w:val="1"/>
                <w:color w:val="auto"/>
              </w:rPr>
              <w:t>NOTES TO CONSOLIDATED FINANCIAL STATEMENTS − (Continued)</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3200" w:type="dxa"/>
            <w:vAlign w:val="bottom"/>
          </w:tcPr>
          <w:p>
            <w:pPr>
              <w:spacing w:after="0"/>
              <w:rPr>
                <w:sz w:val="20"/>
                <w:szCs w:val="20"/>
                <w:color w:val="auto"/>
              </w:rPr>
            </w:pPr>
            <w:r>
              <w:rPr>
                <w:rFonts w:ascii="Arial" w:cs="Arial" w:eastAsia="Arial" w:hAnsi="Arial"/>
                <w:sz w:val="12"/>
                <w:szCs w:val="12"/>
                <w:color w:val="auto"/>
              </w:rPr>
              <w:t>2019</w:t>
            </w:r>
          </w:p>
        </w:tc>
        <w:tc>
          <w:tcPr>
            <w:tcW w:w="1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vMerge w:val="restart"/>
          </w:tcPr>
          <w:p>
            <w:pPr>
              <w:jc w:val="center"/>
              <w:ind w:right="420"/>
              <w:spacing w:after="0"/>
              <w:rPr>
                <w:sz w:val="20"/>
                <w:szCs w:val="20"/>
                <w:color w:val="auto"/>
              </w:rPr>
            </w:pPr>
            <w:r>
              <w:rPr>
                <w:rFonts w:ascii="Arial" w:cs="Arial" w:eastAsia="Arial" w:hAnsi="Arial"/>
                <w:sz w:val="12"/>
                <w:szCs w:val="12"/>
                <w:b w:val="1"/>
                <w:bCs w:val="1"/>
                <w:color w:val="auto"/>
                <w:w w:val="88"/>
              </w:rPr>
              <w:t>Service</w:t>
            </w:r>
          </w:p>
        </w:tc>
        <w:tc>
          <w:tcPr>
            <w:tcW w:w="220" w:type="dxa"/>
            <w:vAlign w:val="bottom"/>
          </w:tcPr>
          <w:p>
            <w:pPr>
              <w:spacing w:after="0"/>
              <w:rPr>
                <w:sz w:val="22"/>
                <w:szCs w:val="22"/>
                <w:color w:val="auto"/>
              </w:rPr>
            </w:pPr>
          </w:p>
        </w:tc>
        <w:tc>
          <w:tcPr>
            <w:tcW w:w="1140" w:type="dxa"/>
            <w:vAlign w:val="bottom"/>
            <w:gridSpan w:val="2"/>
            <w:vMerge w:val="restart"/>
          </w:tcPr>
          <w:p>
            <w:pPr>
              <w:jc w:val="center"/>
              <w:ind w:right="440"/>
              <w:spacing w:after="0"/>
              <w:rPr>
                <w:sz w:val="20"/>
                <w:szCs w:val="20"/>
                <w:color w:val="auto"/>
              </w:rPr>
            </w:pPr>
            <w:r>
              <w:rPr>
                <w:rFonts w:ascii="Arial" w:cs="Arial" w:eastAsia="Arial" w:hAnsi="Arial"/>
                <w:sz w:val="12"/>
                <w:szCs w:val="12"/>
                <w:b w:val="1"/>
                <w:bCs w:val="1"/>
                <w:color w:val="auto"/>
                <w:w w:val="93"/>
              </w:rPr>
              <w:t>Other</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vMerge w:val="restart"/>
          </w:tcPr>
          <w:p>
            <w:pPr>
              <w:jc w:val="center"/>
              <w:ind w:right="340"/>
              <w:spacing w:after="0"/>
              <w:rPr>
                <w:sz w:val="20"/>
                <w:szCs w:val="20"/>
                <w:color w:val="auto"/>
              </w:rPr>
            </w:pPr>
            <w:r>
              <w:rPr>
                <w:rFonts w:ascii="Arial" w:cs="Arial" w:eastAsia="Arial" w:hAnsi="Arial"/>
                <w:sz w:val="12"/>
                <w:szCs w:val="12"/>
                <w:b w:val="1"/>
                <w:bCs w:val="1"/>
                <w:color w:val="auto"/>
                <w:w w:val="91"/>
              </w:rPr>
              <w:t>Investment</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87"/>
              </w:rPr>
              <w:t>Charges</w:t>
            </w:r>
          </w:p>
        </w:tc>
        <w:tc>
          <w:tcPr>
            <w:tcW w:w="220" w:type="dxa"/>
            <w:vAlign w:val="bottom"/>
          </w:tcPr>
          <w:p>
            <w:pPr>
              <w:spacing w:after="0"/>
              <w:rPr>
                <w:sz w:val="12"/>
                <w:szCs w:val="12"/>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w w:val="86"/>
              </w:rPr>
              <w:t>Deposit</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3"/>
              </w:rPr>
              <w:t>and</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87"/>
              </w:rPr>
              <w:t>on Deposit</w:t>
            </w:r>
          </w:p>
        </w:tc>
        <w:tc>
          <w:tcPr>
            <w:tcW w:w="220" w:type="dxa"/>
            <w:vAlign w:val="bottom"/>
          </w:tcPr>
          <w:p>
            <w:pPr>
              <w:spacing w:after="0"/>
              <w:rPr>
                <w:sz w:val="12"/>
                <w:szCs w:val="12"/>
                <w:color w:val="auto"/>
              </w:rPr>
            </w:pPr>
          </w:p>
        </w:tc>
        <w:tc>
          <w:tcPr>
            <w:tcW w:w="114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92"/>
              </w:rPr>
              <w:t>Related</w:t>
            </w:r>
          </w:p>
        </w:tc>
        <w:tc>
          <w:tcPr>
            <w:tcW w:w="120" w:type="dxa"/>
            <w:vAlign w:val="bottom"/>
          </w:tcPr>
          <w:p>
            <w:pPr>
              <w:spacing w:after="0"/>
              <w:rPr>
                <w:sz w:val="12"/>
                <w:szCs w:val="12"/>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rPr>
              <w:t>Interchange</w:t>
            </w:r>
          </w:p>
        </w:tc>
        <w:tc>
          <w:tcPr>
            <w:tcW w:w="140" w:type="dxa"/>
            <w:vAlign w:val="bottom"/>
          </w:tcPr>
          <w:p>
            <w:pPr>
              <w:spacing w:after="0"/>
              <w:rPr>
                <w:sz w:val="12"/>
                <w:szCs w:val="12"/>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1"/>
              </w:rPr>
              <w:t>Insurance</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84"/>
              </w:rPr>
              <w:t>Accounts</w:t>
            </w:r>
          </w:p>
        </w:tc>
        <w:tc>
          <w:tcPr>
            <w:tcW w:w="220" w:type="dxa"/>
            <w:vAlign w:val="bottom"/>
          </w:tcPr>
          <w:p>
            <w:pPr>
              <w:spacing w:after="0"/>
              <w:rPr>
                <w:sz w:val="13"/>
                <w:szCs w:val="13"/>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w w:val="90"/>
              </w:rPr>
              <w:t>Income</w:t>
            </w:r>
          </w:p>
        </w:tc>
        <w:tc>
          <w:tcPr>
            <w:tcW w:w="120" w:type="dxa"/>
            <w:vAlign w:val="bottom"/>
          </w:tcPr>
          <w:p>
            <w:pPr>
              <w:spacing w:after="0"/>
              <w:rPr>
                <w:sz w:val="13"/>
                <w:szCs w:val="13"/>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2"/>
                <w:szCs w:val="12"/>
                <w:b w:val="1"/>
                <w:bCs w:val="1"/>
                <w:color w:val="auto"/>
              </w:rPr>
              <w:t>Income</w:t>
            </w:r>
          </w:p>
        </w:tc>
        <w:tc>
          <w:tcPr>
            <w:tcW w:w="140" w:type="dxa"/>
            <w:vAlign w:val="bottom"/>
          </w:tcPr>
          <w:p>
            <w:pPr>
              <w:spacing w:after="0"/>
              <w:rPr>
                <w:sz w:val="13"/>
                <w:szCs w:val="13"/>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86"/>
              </w:rPr>
              <w:t>Commissions</w:t>
            </w:r>
          </w:p>
        </w:tc>
        <w:tc>
          <w:tcPr>
            <w:tcW w:w="240" w:type="dxa"/>
            <w:vAlign w:val="bottom"/>
          </w:tcPr>
          <w:p>
            <w:pPr>
              <w:spacing w:after="0"/>
              <w:rPr>
                <w:sz w:val="13"/>
                <w:szCs w:val="13"/>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5"/>
        </w:trPr>
        <w:tc>
          <w:tcPr>
            <w:tcW w:w="3200" w:type="dxa"/>
            <w:vAlign w:val="bottom"/>
            <w:vMerge w:val="restart"/>
          </w:tcPr>
          <w:p>
            <w:pPr>
              <w:spacing w:after="0"/>
              <w:rPr>
                <w:sz w:val="20"/>
                <w:szCs w:val="20"/>
                <w:color w:val="auto"/>
              </w:rPr>
            </w:pPr>
            <w:r>
              <w:rPr>
                <w:rFonts w:ascii="Arial" w:cs="Arial" w:eastAsia="Arial" w:hAnsi="Arial"/>
                <w:sz w:val="12"/>
                <w:szCs w:val="12"/>
                <w:color w:val="auto"/>
              </w:rPr>
              <w:t>Retail</w:t>
            </w:r>
          </w:p>
        </w:tc>
        <w:tc>
          <w:tcPr>
            <w:tcW w:w="14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160"/>
              <w:spacing w:after="0"/>
              <w:rPr>
                <w:sz w:val="20"/>
                <w:szCs w:val="20"/>
                <w:color w:val="auto"/>
              </w:rPr>
            </w:pPr>
            <w:r>
              <w:rPr>
                <w:rFonts w:ascii="Arial" w:cs="Arial" w:eastAsia="Arial" w:hAnsi="Arial"/>
                <w:sz w:val="12"/>
                <w:szCs w:val="12"/>
                <w:b w:val="1"/>
                <w:bCs w:val="1"/>
                <w:color w:val="auto"/>
                <w:w w:val="91"/>
              </w:rPr>
              <w:t>(In thousands)</w:t>
            </w: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20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200" w:type="dxa"/>
            <w:vAlign w:val="bottom"/>
            <w:shd w:val="clear" w:color="auto" w:fill="CCEEFF"/>
          </w:tcPr>
          <w:p>
            <w:pPr>
              <w:ind w:left="80"/>
              <w:spacing w:after="0"/>
              <w:rPr>
                <w:sz w:val="20"/>
                <w:szCs w:val="20"/>
                <w:color w:val="auto"/>
              </w:rPr>
            </w:pPr>
            <w:r>
              <w:rPr>
                <w:rFonts w:ascii="Arial" w:cs="Arial" w:eastAsia="Arial" w:hAnsi="Arial"/>
                <w:sz w:val="12"/>
                <w:szCs w:val="12"/>
                <w:color w:val="auto"/>
              </w:rPr>
              <w:t>Overdraft fees</w:t>
            </w:r>
          </w:p>
        </w:tc>
        <w:tc>
          <w:tcPr>
            <w:tcW w:w="1620" w:type="dxa"/>
            <w:vAlign w:val="bottom"/>
            <w:gridSpan w:val="2"/>
            <w:shd w:val="clear" w:color="auto" w:fill="CCEEFF"/>
          </w:tcPr>
          <w:p>
            <w:pPr>
              <w:jc w:val="right"/>
              <w:ind w:right="72"/>
              <w:spacing w:after="0"/>
              <w:rPr>
                <w:sz w:val="20"/>
                <w:szCs w:val="20"/>
                <w:color w:val="auto"/>
              </w:rPr>
            </w:pPr>
            <w:r>
              <w:rPr>
                <w:rFonts w:ascii="Arial" w:cs="Arial" w:eastAsia="Arial" w:hAnsi="Arial"/>
                <w:sz w:val="12"/>
                <w:szCs w:val="12"/>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7,590</w:t>
            </w: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7,590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00" w:type="dxa"/>
            <w:vAlign w:val="bottom"/>
          </w:tcPr>
          <w:p>
            <w:pPr>
              <w:ind w:left="80"/>
              <w:spacing w:after="0"/>
              <w:rPr>
                <w:sz w:val="20"/>
                <w:szCs w:val="20"/>
                <w:color w:val="auto"/>
              </w:rPr>
            </w:pPr>
            <w:r>
              <w:rPr>
                <w:rFonts w:ascii="Arial" w:cs="Arial" w:eastAsia="Arial" w:hAnsi="Arial"/>
                <w:sz w:val="12"/>
                <w:szCs w:val="12"/>
                <w:color w:val="auto"/>
              </w:rPr>
              <w:t>Account service charges</w:t>
            </w:r>
          </w:p>
        </w:tc>
        <w:tc>
          <w:tcPr>
            <w:tcW w:w="1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2,103</w:t>
            </w:r>
          </w:p>
        </w:tc>
        <w:tc>
          <w:tcPr>
            <w:tcW w:w="22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2,103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00" w:type="dxa"/>
            <w:vAlign w:val="bottom"/>
            <w:shd w:val="clear" w:color="auto" w:fill="CCEEFF"/>
          </w:tcPr>
          <w:p>
            <w:pPr>
              <w:ind w:left="80"/>
              <w:spacing w:after="0"/>
              <w:rPr>
                <w:sz w:val="20"/>
                <w:szCs w:val="20"/>
                <w:color w:val="auto"/>
              </w:rPr>
            </w:pPr>
            <w:r>
              <w:rPr>
                <w:rFonts w:ascii="Arial" w:cs="Arial" w:eastAsia="Arial" w:hAnsi="Arial"/>
                <w:sz w:val="12"/>
                <w:szCs w:val="12"/>
                <w:color w:val="auto"/>
              </w:rPr>
              <w:t>ATM fees</w:t>
            </w:r>
          </w:p>
        </w:tc>
        <w:tc>
          <w:tcPr>
            <w:tcW w:w="1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1,368</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00" w:type="dxa"/>
            <w:vAlign w:val="bottom"/>
          </w:tcPr>
          <w:p>
            <w:pPr>
              <w:ind w:left="80"/>
              <w:spacing w:after="0"/>
              <w:rPr>
                <w:sz w:val="20"/>
                <w:szCs w:val="20"/>
                <w:color w:val="auto"/>
              </w:rPr>
            </w:pPr>
            <w:r>
              <w:rPr>
                <w:rFonts w:ascii="Arial" w:cs="Arial" w:eastAsia="Arial" w:hAnsi="Arial"/>
                <w:sz w:val="12"/>
                <w:szCs w:val="12"/>
                <w:color w:val="auto"/>
              </w:rPr>
              <w:t>Other</w:t>
            </w:r>
          </w:p>
        </w:tc>
        <w:tc>
          <w:tcPr>
            <w:tcW w:w="1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965</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965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Business</w:t>
            </w:r>
          </w:p>
        </w:tc>
        <w:tc>
          <w:tcPr>
            <w:tcW w:w="1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00" w:type="dxa"/>
            <w:vAlign w:val="bottom"/>
          </w:tcPr>
          <w:p>
            <w:pPr>
              <w:ind w:left="80"/>
              <w:spacing w:after="0"/>
              <w:rPr>
                <w:sz w:val="20"/>
                <w:szCs w:val="20"/>
                <w:color w:val="auto"/>
              </w:rPr>
            </w:pPr>
            <w:r>
              <w:rPr>
                <w:rFonts w:ascii="Arial" w:cs="Arial" w:eastAsia="Arial" w:hAnsi="Arial"/>
                <w:sz w:val="12"/>
                <w:szCs w:val="12"/>
                <w:color w:val="auto"/>
              </w:rPr>
              <w:t>Overdraft fees</w:t>
            </w:r>
          </w:p>
        </w:tc>
        <w:tc>
          <w:tcPr>
            <w:tcW w:w="1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1,515</w:t>
            </w:r>
          </w:p>
        </w:tc>
        <w:tc>
          <w:tcPr>
            <w:tcW w:w="22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1,515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00" w:type="dxa"/>
            <w:vAlign w:val="bottom"/>
            <w:shd w:val="clear" w:color="auto" w:fill="CCEEFF"/>
          </w:tcPr>
          <w:p>
            <w:pPr>
              <w:ind w:left="80"/>
              <w:spacing w:after="0"/>
              <w:rPr>
                <w:sz w:val="20"/>
                <w:szCs w:val="20"/>
                <w:color w:val="auto"/>
              </w:rPr>
            </w:pPr>
            <w:r>
              <w:rPr>
                <w:rFonts w:ascii="Arial" w:cs="Arial" w:eastAsia="Arial" w:hAnsi="Arial"/>
                <w:sz w:val="12"/>
                <w:szCs w:val="12"/>
                <w:color w:val="auto"/>
              </w:rPr>
              <w:t>ATM fees</w:t>
            </w:r>
          </w:p>
        </w:tc>
        <w:tc>
          <w:tcPr>
            <w:tcW w:w="1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35</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00" w:type="dxa"/>
            <w:vAlign w:val="bottom"/>
          </w:tcPr>
          <w:p>
            <w:pPr>
              <w:ind w:left="80"/>
              <w:spacing w:after="0"/>
              <w:rPr>
                <w:sz w:val="20"/>
                <w:szCs w:val="20"/>
                <w:color w:val="auto"/>
              </w:rPr>
            </w:pPr>
            <w:r>
              <w:rPr>
                <w:rFonts w:ascii="Arial" w:cs="Arial" w:eastAsia="Arial" w:hAnsi="Arial"/>
                <w:sz w:val="12"/>
                <w:szCs w:val="12"/>
                <w:color w:val="auto"/>
              </w:rPr>
              <w:t>Other</w:t>
            </w:r>
          </w:p>
        </w:tc>
        <w:tc>
          <w:tcPr>
            <w:tcW w:w="1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422</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422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Interchange income</w:t>
            </w:r>
          </w:p>
        </w:tc>
        <w:tc>
          <w:tcPr>
            <w:tcW w:w="1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10,297</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10,297</w:t>
            </w:r>
          </w:p>
        </w:tc>
        <w:tc>
          <w:tcPr>
            <w:tcW w:w="0" w:type="dxa"/>
            <w:vAlign w:val="bottom"/>
          </w:tcPr>
          <w:p>
            <w:pPr>
              <w:spacing w:after="0"/>
              <w:rPr>
                <w:sz w:val="1"/>
                <w:szCs w:val="1"/>
                <w:color w:val="auto"/>
              </w:rPr>
            </w:pPr>
          </w:p>
        </w:tc>
      </w:tr>
      <w:tr>
        <w:trPr>
          <w:trHeight w:val="144"/>
        </w:trPr>
        <w:tc>
          <w:tcPr>
            <w:tcW w:w="3200" w:type="dxa"/>
            <w:vAlign w:val="bottom"/>
          </w:tcPr>
          <w:p>
            <w:pPr>
              <w:spacing w:after="0"/>
              <w:rPr>
                <w:sz w:val="20"/>
                <w:szCs w:val="20"/>
                <w:color w:val="auto"/>
              </w:rPr>
            </w:pPr>
            <w:r>
              <w:rPr>
                <w:rFonts w:ascii="Arial" w:cs="Arial" w:eastAsia="Arial" w:hAnsi="Arial"/>
                <w:sz w:val="12"/>
                <w:szCs w:val="12"/>
                <w:color w:val="auto"/>
              </w:rPr>
              <w:t>Asset management revenue</w:t>
            </w:r>
          </w:p>
        </w:tc>
        <w:tc>
          <w:tcPr>
            <w:tcW w:w="1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1,123</w:t>
            </w: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1,123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Transaction based revenue</w:t>
            </w:r>
          </w:p>
        </w:tc>
        <w:tc>
          <w:tcPr>
            <w:tcW w:w="1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535</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00" w:type="dxa"/>
            <w:vAlign w:val="bottom"/>
          </w:tcPr>
          <w:p>
            <w:pPr>
              <w:spacing w:after="0"/>
              <w:rPr>
                <w:sz w:val="12"/>
                <w:szCs w:val="12"/>
                <w:color w:val="auto"/>
              </w:rPr>
            </w:pPr>
          </w:p>
        </w:tc>
        <w:tc>
          <w:tcPr>
            <w:tcW w:w="1620" w:type="dxa"/>
            <w:vAlign w:val="bottom"/>
            <w:gridSpan w:val="2"/>
          </w:tcPr>
          <w:p>
            <w:pPr>
              <w:spacing w:after="0"/>
              <w:rPr>
                <w:sz w:val="12"/>
                <w:szCs w:val="12"/>
                <w:color w:val="auto"/>
              </w:rPr>
            </w:pPr>
          </w:p>
        </w:tc>
        <w:tc>
          <w:tcPr>
            <w:tcW w:w="120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Total</w:t>
            </w:r>
          </w:p>
        </w:tc>
        <w:tc>
          <w:tcPr>
            <w:tcW w:w="14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11,208</w:t>
            </w:r>
          </w:p>
        </w:tc>
        <w:tc>
          <w:tcPr>
            <w:tcW w:w="2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2,790</w:t>
            </w:r>
          </w:p>
        </w:tc>
        <w:tc>
          <w:tcPr>
            <w:tcW w:w="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10,297</w:t>
            </w:r>
          </w:p>
        </w:tc>
        <w:tc>
          <w:tcPr>
            <w:tcW w:w="2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1,658</w:t>
            </w:r>
          </w:p>
        </w:tc>
        <w:tc>
          <w:tcPr>
            <w:tcW w:w="2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25,953</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32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Reconciliation to Consolidated Statement of Operations:</w:t>
            </w:r>
          </w:p>
        </w:tc>
        <w:tc>
          <w:tcPr>
            <w:tcW w:w="1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00" w:type="dxa"/>
            <w:vAlign w:val="bottom"/>
          </w:tcPr>
          <w:p>
            <w:pPr>
              <w:ind w:left="80"/>
              <w:spacing w:after="0"/>
              <w:rPr>
                <w:sz w:val="20"/>
                <w:szCs w:val="20"/>
                <w:color w:val="auto"/>
              </w:rPr>
            </w:pPr>
            <w:r>
              <w:rPr>
                <w:rFonts w:ascii="Arial" w:cs="Arial" w:eastAsia="Arial" w:hAnsi="Arial"/>
                <w:sz w:val="12"/>
                <w:szCs w:val="12"/>
                <w:color w:val="auto"/>
              </w:rPr>
              <w:t>Non-interest income - other:</w:t>
            </w:r>
          </w:p>
        </w:tc>
        <w:tc>
          <w:tcPr>
            <w:tcW w:w="1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Other deposit related income</w:t>
            </w:r>
          </w:p>
        </w:tc>
        <w:tc>
          <w:tcPr>
            <w:tcW w:w="1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2,790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00" w:type="dxa"/>
            <w:vAlign w:val="bottom"/>
          </w:tcPr>
          <w:p>
            <w:pPr>
              <w:ind w:left="200"/>
              <w:spacing w:after="0"/>
              <w:rPr>
                <w:sz w:val="20"/>
                <w:szCs w:val="20"/>
                <w:color w:val="auto"/>
              </w:rPr>
            </w:pPr>
            <w:r>
              <w:rPr>
                <w:rFonts w:ascii="Arial" w:cs="Arial" w:eastAsia="Arial" w:hAnsi="Arial"/>
                <w:sz w:val="12"/>
                <w:szCs w:val="12"/>
                <w:color w:val="auto"/>
              </w:rPr>
              <w:t>Investment and insurance commissions</w:t>
            </w:r>
          </w:p>
        </w:tc>
        <w:tc>
          <w:tcPr>
            <w:tcW w:w="1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1,658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Bank owned life insurance</w:t>
            </w:r>
          </w:p>
        </w:tc>
        <w:tc>
          <w:tcPr>
            <w:tcW w:w="1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1,111</w:t>
            </w:r>
          </w:p>
        </w:tc>
        <w:tc>
          <w:tcPr>
            <w:tcW w:w="0" w:type="dxa"/>
            <w:vAlign w:val="bottom"/>
          </w:tcPr>
          <w:p>
            <w:pPr>
              <w:spacing w:after="0"/>
              <w:rPr>
                <w:sz w:val="1"/>
                <w:szCs w:val="1"/>
                <w:color w:val="auto"/>
              </w:rPr>
            </w:pPr>
          </w:p>
        </w:tc>
      </w:tr>
      <w:tr>
        <w:trPr>
          <w:trHeight w:val="144"/>
        </w:trPr>
        <w:tc>
          <w:tcPr>
            <w:tcW w:w="3200" w:type="dxa"/>
            <w:vAlign w:val="bottom"/>
          </w:tcPr>
          <w:p>
            <w:pPr>
              <w:ind w:left="200"/>
              <w:spacing w:after="0"/>
              <w:rPr>
                <w:sz w:val="20"/>
                <w:szCs w:val="20"/>
                <w:color w:val="auto"/>
              </w:rPr>
            </w:pPr>
            <w:r>
              <w:rPr>
                <w:rFonts w:ascii="Arial" w:cs="Arial" w:eastAsia="Arial" w:hAnsi="Arial"/>
                <w:sz w:val="12"/>
                <w:szCs w:val="12"/>
                <w:color w:val="auto"/>
              </w:rPr>
              <w:t>Other</w:t>
            </w:r>
          </w:p>
        </w:tc>
        <w:tc>
          <w:tcPr>
            <w:tcW w:w="1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Total</w:t>
            </w:r>
          </w:p>
        </w:tc>
        <w:tc>
          <w:tcPr>
            <w:tcW w:w="14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9,282</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55"/>
        </w:trPr>
        <w:tc>
          <w:tcPr>
            <w:tcW w:w="3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1"/>
              <w:spacing w:after="0"/>
              <w:rPr>
                <w:sz w:val="20"/>
                <w:szCs w:val="20"/>
                <w:color w:val="auto"/>
              </w:rPr>
            </w:pPr>
            <w:r>
              <w:rPr>
                <w:rFonts w:ascii="Arial" w:cs="Arial" w:eastAsia="Arial" w:hAnsi="Arial"/>
                <w:sz w:val="10"/>
                <w:szCs w:val="10"/>
                <w:color w:val="auto"/>
              </w:rPr>
              <w:t>109</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3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27" w:right="299" w:bottom="1440" w:gutter="0" w:footer="0" w:header="0"/>
        </w:sectPr>
      </w:pPr>
    </w:p>
    <w:bookmarkStart w:id="129" w:name="page130"/>
    <w:bookmarkEnd w:id="129"/>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2900" w:type="dxa"/>
            <w:vAlign w:val="bottom"/>
          </w:tcPr>
          <w:p>
            <w:pPr>
              <w:spacing w:after="0"/>
              <w:rPr>
                <w:sz w:val="13"/>
                <w:szCs w:val="13"/>
                <w:color w:val="auto"/>
              </w:rPr>
            </w:pPr>
          </w:p>
        </w:tc>
        <w:tc>
          <w:tcPr>
            <w:tcW w:w="4480" w:type="dxa"/>
            <w:vAlign w:val="bottom"/>
            <w:gridSpan w:val="4"/>
          </w:tcPr>
          <w:p>
            <w:pPr>
              <w:jc w:val="right"/>
              <w:ind w:right="420"/>
              <w:spacing w:after="0"/>
              <w:rPr>
                <w:sz w:val="20"/>
                <w:szCs w:val="20"/>
                <w:color w:val="auto"/>
              </w:rPr>
            </w:pPr>
            <w:r>
              <w:rPr>
                <w:rFonts w:ascii="Arial" w:cs="Arial" w:eastAsia="Arial" w:hAnsi="Arial"/>
                <w:sz w:val="12"/>
                <w:szCs w:val="12"/>
                <w:b w:val="1"/>
                <w:bCs w:val="1"/>
                <w:color w:val="auto"/>
              </w:rPr>
              <w:t>QUARTERLY FINANCIAL DATA (UNAUDITED)</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6180" w:type="dxa"/>
            <w:vAlign w:val="bottom"/>
            <w:gridSpan w:val="3"/>
          </w:tcPr>
          <w:p>
            <w:pPr>
              <w:ind w:left="240"/>
              <w:spacing w:after="0"/>
              <w:rPr>
                <w:sz w:val="20"/>
                <w:szCs w:val="20"/>
                <w:color w:val="auto"/>
              </w:rPr>
            </w:pPr>
            <w:r>
              <w:rPr>
                <w:rFonts w:ascii="Arial" w:cs="Arial" w:eastAsia="Arial" w:hAnsi="Arial"/>
                <w:sz w:val="12"/>
                <w:szCs w:val="12"/>
                <w:color w:val="auto"/>
              </w:rPr>
              <w:t>A summary of selected quarterly results of operations for the years ended December 31 follows:</w:t>
            </w: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9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5"/>
          </w:tcPr>
          <w:p>
            <w:pPr>
              <w:jc w:val="right"/>
              <w:ind w:right="920"/>
              <w:spacing w:after="0"/>
              <w:rPr>
                <w:sz w:val="20"/>
                <w:szCs w:val="20"/>
                <w:color w:val="auto"/>
              </w:rPr>
            </w:pPr>
            <w:r>
              <w:rPr>
                <w:rFonts w:ascii="Arial" w:cs="Arial" w:eastAsia="Arial" w:hAnsi="Arial"/>
                <w:sz w:val="12"/>
                <w:szCs w:val="12"/>
                <w:b w:val="1"/>
                <w:bCs w:val="1"/>
                <w:color w:val="auto"/>
              </w:rPr>
              <w:t>Three Months Ended</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9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March 31,</w:t>
            </w: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ind w:left="240"/>
              <w:spacing w:after="0"/>
              <w:rPr>
                <w:sz w:val="20"/>
                <w:szCs w:val="20"/>
                <w:color w:val="auto"/>
              </w:rPr>
            </w:pPr>
            <w:r>
              <w:rPr>
                <w:rFonts w:ascii="Arial" w:cs="Arial" w:eastAsia="Arial" w:hAnsi="Arial"/>
                <w:sz w:val="12"/>
                <w:szCs w:val="12"/>
                <w:b w:val="1"/>
                <w:bCs w:val="1"/>
                <w:color w:val="auto"/>
              </w:rPr>
              <w:t>June 30,</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w w:val="95"/>
              </w:rPr>
              <w:t>September 30,</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rPr>
              <w:t>December 31,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900" w:type="dxa"/>
            <w:vAlign w:val="bottom"/>
            <w:vMerge w:val="restart"/>
          </w:tcPr>
          <w:p>
            <w:pPr>
              <w:spacing w:after="0"/>
              <w:rPr>
                <w:sz w:val="20"/>
                <w:szCs w:val="20"/>
                <w:color w:val="auto"/>
              </w:rPr>
            </w:pPr>
            <w:r>
              <w:rPr>
                <w:rFonts w:ascii="Arial" w:cs="Arial" w:eastAsia="Arial" w:hAnsi="Arial"/>
                <w:sz w:val="12"/>
                <w:szCs w:val="12"/>
                <w:color w:val="auto"/>
              </w:rPr>
              <w:t>2021</w:t>
            </w:r>
          </w:p>
        </w:tc>
        <w:tc>
          <w:tcPr>
            <w:tcW w:w="3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80" w:type="dxa"/>
            <w:vAlign w:val="bottom"/>
            <w:gridSpan w:val="5"/>
          </w:tcPr>
          <w:p>
            <w:pPr>
              <w:jc w:val="right"/>
              <w:ind w:right="420"/>
              <w:spacing w:after="0"/>
              <w:rPr>
                <w:sz w:val="20"/>
                <w:szCs w:val="20"/>
                <w:color w:val="auto"/>
              </w:rPr>
            </w:pPr>
            <w:r>
              <w:rPr>
                <w:rFonts w:ascii="Arial" w:cs="Arial" w:eastAsia="Arial" w:hAnsi="Arial"/>
                <w:sz w:val="12"/>
                <w:szCs w:val="12"/>
                <w:b w:val="1"/>
                <w:bCs w:val="1"/>
                <w:color w:val="auto"/>
                <w:w w:val="89"/>
              </w:rPr>
              <w:t>(In thousands, except per share amounts)</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900" w:type="dxa"/>
            <w:vAlign w:val="bottom"/>
            <w:vMerge w:val="continue"/>
          </w:tcPr>
          <w:p>
            <w:pPr>
              <w:spacing w:after="0"/>
              <w:rPr>
                <w:sz w:val="11"/>
                <w:szCs w:val="11"/>
                <w:color w:val="auto"/>
              </w:rPr>
            </w:pPr>
          </w:p>
        </w:tc>
        <w:tc>
          <w:tcPr>
            <w:tcW w:w="3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9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Interest income</w:t>
            </w:r>
          </w:p>
        </w:tc>
        <w:tc>
          <w:tcPr>
            <w:tcW w:w="32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32,502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33,499</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35,855</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36,224</w:t>
            </w:r>
          </w:p>
        </w:tc>
        <w:tc>
          <w:tcPr>
            <w:tcW w:w="0" w:type="dxa"/>
            <w:vAlign w:val="bottom"/>
          </w:tcPr>
          <w:p>
            <w:pPr>
              <w:spacing w:after="0"/>
              <w:rPr>
                <w:sz w:val="1"/>
                <w:szCs w:val="1"/>
                <w:color w:val="auto"/>
              </w:rPr>
            </w:pPr>
          </w:p>
        </w:tc>
      </w:tr>
      <w:tr>
        <w:trPr>
          <w:trHeight w:val="144"/>
        </w:trPr>
        <w:tc>
          <w:tcPr>
            <w:tcW w:w="2900" w:type="dxa"/>
            <w:vAlign w:val="bottom"/>
          </w:tcPr>
          <w:p>
            <w:pPr>
              <w:ind w:left="100"/>
              <w:spacing w:after="0"/>
              <w:rPr>
                <w:sz w:val="20"/>
                <w:szCs w:val="20"/>
                <w:color w:val="auto"/>
              </w:rPr>
            </w:pPr>
            <w:r>
              <w:rPr>
                <w:rFonts w:ascii="Arial" w:cs="Arial" w:eastAsia="Arial" w:hAnsi="Arial"/>
                <w:sz w:val="12"/>
                <w:szCs w:val="12"/>
                <w:color w:val="auto"/>
              </w:rPr>
              <w:t>Net interest income</w:t>
            </w:r>
          </w:p>
        </w:tc>
        <w:tc>
          <w:tcPr>
            <w:tcW w:w="3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30,284</w:t>
            </w:r>
          </w:p>
        </w:tc>
        <w:tc>
          <w:tcPr>
            <w:tcW w:w="100" w:type="dxa"/>
            <w:vAlign w:val="bottom"/>
          </w:tcPr>
          <w:p>
            <w:pPr>
              <w:spacing w:after="0"/>
              <w:rPr>
                <w:sz w:val="12"/>
                <w:szCs w:val="1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31,393</w:t>
            </w: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33,803</w:t>
            </w: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34,285</w:t>
            </w:r>
          </w:p>
        </w:tc>
        <w:tc>
          <w:tcPr>
            <w:tcW w:w="0" w:type="dxa"/>
            <w:vAlign w:val="bottom"/>
          </w:tcPr>
          <w:p>
            <w:pPr>
              <w:spacing w:after="0"/>
              <w:rPr>
                <w:sz w:val="1"/>
                <w:szCs w:val="1"/>
                <w:color w:val="auto"/>
              </w:rPr>
            </w:pPr>
          </w:p>
        </w:tc>
      </w:tr>
      <w:tr>
        <w:trPr>
          <w:trHeight w:val="144"/>
        </w:trPr>
        <w:tc>
          <w:tcPr>
            <w:tcW w:w="29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Provision for credit losses</w:t>
            </w:r>
          </w:p>
        </w:tc>
        <w:tc>
          <w:tcPr>
            <w:tcW w:w="3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(474)</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(1,425)</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(659)</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630</w:t>
            </w:r>
          </w:p>
        </w:tc>
        <w:tc>
          <w:tcPr>
            <w:tcW w:w="0" w:type="dxa"/>
            <w:vAlign w:val="bottom"/>
          </w:tcPr>
          <w:p>
            <w:pPr>
              <w:spacing w:after="0"/>
              <w:rPr>
                <w:sz w:val="1"/>
                <w:szCs w:val="1"/>
                <w:color w:val="auto"/>
              </w:rPr>
            </w:pPr>
          </w:p>
        </w:tc>
      </w:tr>
      <w:tr>
        <w:trPr>
          <w:trHeight w:val="144"/>
        </w:trPr>
        <w:tc>
          <w:tcPr>
            <w:tcW w:w="2900" w:type="dxa"/>
            <w:vAlign w:val="bottom"/>
          </w:tcPr>
          <w:p>
            <w:pPr>
              <w:ind w:left="100"/>
              <w:spacing w:after="0"/>
              <w:rPr>
                <w:sz w:val="20"/>
                <w:szCs w:val="20"/>
                <w:color w:val="auto"/>
              </w:rPr>
            </w:pPr>
            <w:r>
              <w:rPr>
                <w:rFonts w:ascii="Arial" w:cs="Arial" w:eastAsia="Arial" w:hAnsi="Arial"/>
                <w:sz w:val="12"/>
                <w:szCs w:val="12"/>
                <w:color w:val="auto"/>
              </w:rPr>
              <w:t>Income before income tax</w:t>
            </w:r>
          </w:p>
        </w:tc>
        <w:tc>
          <w:tcPr>
            <w:tcW w:w="3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27,143</w:t>
            </w:r>
          </w:p>
        </w:tc>
        <w:tc>
          <w:tcPr>
            <w:tcW w:w="100" w:type="dxa"/>
            <w:vAlign w:val="bottom"/>
          </w:tcPr>
          <w:p>
            <w:pPr>
              <w:spacing w:after="0"/>
              <w:rPr>
                <w:sz w:val="12"/>
                <w:szCs w:val="1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15,053</w:t>
            </w: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19,645</w:t>
            </w: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15,472</w:t>
            </w:r>
          </w:p>
        </w:tc>
        <w:tc>
          <w:tcPr>
            <w:tcW w:w="0" w:type="dxa"/>
            <w:vAlign w:val="bottom"/>
          </w:tcPr>
          <w:p>
            <w:pPr>
              <w:spacing w:after="0"/>
              <w:rPr>
                <w:sz w:val="1"/>
                <w:szCs w:val="1"/>
                <w:color w:val="auto"/>
              </w:rPr>
            </w:pPr>
          </w:p>
        </w:tc>
      </w:tr>
      <w:tr>
        <w:trPr>
          <w:trHeight w:val="144"/>
        </w:trPr>
        <w:tc>
          <w:tcPr>
            <w:tcW w:w="29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Net income</w:t>
            </w:r>
          </w:p>
        </w:tc>
        <w:tc>
          <w:tcPr>
            <w:tcW w:w="3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22,037</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12,388</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15,962</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12,508</w:t>
            </w:r>
          </w:p>
        </w:tc>
        <w:tc>
          <w:tcPr>
            <w:tcW w:w="0" w:type="dxa"/>
            <w:vAlign w:val="bottom"/>
          </w:tcPr>
          <w:p>
            <w:pPr>
              <w:spacing w:after="0"/>
              <w:rPr>
                <w:sz w:val="1"/>
                <w:szCs w:val="1"/>
                <w:color w:val="auto"/>
              </w:rPr>
            </w:pPr>
          </w:p>
        </w:tc>
      </w:tr>
      <w:tr>
        <w:trPr>
          <w:trHeight w:val="144"/>
        </w:trPr>
        <w:tc>
          <w:tcPr>
            <w:tcW w:w="29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00" w:type="dxa"/>
            <w:vAlign w:val="bottom"/>
            <w:shd w:val="clear" w:color="auto" w:fill="CCEEFF"/>
          </w:tcPr>
          <w:p>
            <w:pPr>
              <w:spacing w:after="0"/>
              <w:rPr>
                <w:sz w:val="20"/>
                <w:szCs w:val="20"/>
                <w:color w:val="auto"/>
              </w:rPr>
            </w:pPr>
            <w:r>
              <w:rPr>
                <w:rFonts w:ascii="Arial" w:cs="Arial" w:eastAsia="Arial" w:hAnsi="Arial"/>
                <w:sz w:val="12"/>
                <w:szCs w:val="12"/>
                <w:color w:val="auto"/>
              </w:rPr>
              <w:t>Net income per common share</w:t>
            </w:r>
          </w:p>
        </w:tc>
        <w:tc>
          <w:tcPr>
            <w:tcW w:w="3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00" w:type="dxa"/>
            <w:vAlign w:val="bottom"/>
          </w:tcPr>
          <w:p>
            <w:pPr>
              <w:ind w:left="100"/>
              <w:spacing w:after="0"/>
              <w:rPr>
                <w:sz w:val="20"/>
                <w:szCs w:val="20"/>
                <w:color w:val="auto"/>
              </w:rPr>
            </w:pPr>
            <w:r>
              <w:rPr>
                <w:rFonts w:ascii="Arial" w:cs="Arial" w:eastAsia="Arial" w:hAnsi="Arial"/>
                <w:sz w:val="12"/>
                <w:szCs w:val="12"/>
                <w:color w:val="auto"/>
              </w:rPr>
              <w:t>Basic</w:t>
            </w:r>
          </w:p>
        </w:tc>
        <w:tc>
          <w:tcPr>
            <w:tcW w:w="3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1.01</w:t>
            </w:r>
          </w:p>
        </w:tc>
        <w:tc>
          <w:tcPr>
            <w:tcW w:w="100" w:type="dxa"/>
            <w:vAlign w:val="bottom"/>
          </w:tcPr>
          <w:p>
            <w:pPr>
              <w:spacing w:after="0"/>
              <w:rPr>
                <w:sz w:val="12"/>
                <w:szCs w:val="1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0.57</w:t>
            </w: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0.74</w:t>
            </w: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0.59</w:t>
            </w:r>
          </w:p>
        </w:tc>
        <w:tc>
          <w:tcPr>
            <w:tcW w:w="0" w:type="dxa"/>
            <w:vAlign w:val="bottom"/>
          </w:tcPr>
          <w:p>
            <w:pPr>
              <w:spacing w:after="0"/>
              <w:rPr>
                <w:sz w:val="1"/>
                <w:szCs w:val="1"/>
                <w:color w:val="auto"/>
              </w:rPr>
            </w:pPr>
          </w:p>
        </w:tc>
      </w:tr>
      <w:tr>
        <w:trPr>
          <w:trHeight w:val="144"/>
        </w:trPr>
        <w:tc>
          <w:tcPr>
            <w:tcW w:w="29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Diluted</w:t>
            </w:r>
          </w:p>
        </w:tc>
        <w:tc>
          <w:tcPr>
            <w:tcW w:w="3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1.00</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0.56</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0.73</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0.58</w:t>
            </w:r>
          </w:p>
        </w:tc>
        <w:tc>
          <w:tcPr>
            <w:tcW w:w="0" w:type="dxa"/>
            <w:vAlign w:val="bottom"/>
          </w:tcPr>
          <w:p>
            <w:pPr>
              <w:spacing w:after="0"/>
              <w:rPr>
                <w:sz w:val="1"/>
                <w:szCs w:val="1"/>
                <w:color w:val="auto"/>
              </w:rPr>
            </w:pPr>
          </w:p>
        </w:tc>
      </w:tr>
      <w:tr>
        <w:trPr>
          <w:trHeight w:val="144"/>
        </w:trPr>
        <w:tc>
          <w:tcPr>
            <w:tcW w:w="29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00" w:type="dxa"/>
            <w:vAlign w:val="bottom"/>
            <w:shd w:val="clear" w:color="auto" w:fill="CCEEFF"/>
          </w:tcPr>
          <w:p>
            <w:pPr>
              <w:spacing w:after="0"/>
              <w:rPr>
                <w:sz w:val="20"/>
                <w:szCs w:val="20"/>
                <w:color w:val="auto"/>
              </w:rPr>
            </w:pPr>
            <w:r>
              <w:rPr>
                <w:rFonts w:ascii="Arial" w:cs="Arial" w:eastAsia="Arial" w:hAnsi="Arial"/>
                <w:sz w:val="12"/>
                <w:szCs w:val="12"/>
                <w:color w:val="auto"/>
              </w:rPr>
              <w:t>2020</w:t>
            </w:r>
          </w:p>
        </w:tc>
        <w:tc>
          <w:tcPr>
            <w:tcW w:w="3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00" w:type="dxa"/>
            <w:vAlign w:val="bottom"/>
          </w:tcPr>
          <w:p>
            <w:pPr>
              <w:ind w:left="100"/>
              <w:spacing w:after="0"/>
              <w:rPr>
                <w:sz w:val="20"/>
                <w:szCs w:val="20"/>
                <w:color w:val="auto"/>
              </w:rPr>
            </w:pPr>
            <w:r>
              <w:rPr>
                <w:rFonts w:ascii="Arial" w:cs="Arial" w:eastAsia="Arial" w:hAnsi="Arial"/>
                <w:sz w:val="12"/>
                <w:szCs w:val="12"/>
                <w:color w:val="auto"/>
              </w:rPr>
              <w:t>Interest income</w:t>
            </w:r>
          </w:p>
        </w:tc>
        <w:tc>
          <w:tcPr>
            <w:tcW w:w="32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35,579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33,754</w:t>
            </w: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35,034</w:t>
            </w: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35,462</w:t>
            </w:r>
          </w:p>
        </w:tc>
        <w:tc>
          <w:tcPr>
            <w:tcW w:w="0" w:type="dxa"/>
            <w:vAlign w:val="bottom"/>
          </w:tcPr>
          <w:p>
            <w:pPr>
              <w:spacing w:after="0"/>
              <w:rPr>
                <w:sz w:val="1"/>
                <w:szCs w:val="1"/>
                <w:color w:val="auto"/>
              </w:rPr>
            </w:pPr>
          </w:p>
        </w:tc>
      </w:tr>
      <w:tr>
        <w:trPr>
          <w:trHeight w:val="144"/>
        </w:trPr>
        <w:tc>
          <w:tcPr>
            <w:tcW w:w="29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Net interest income</w:t>
            </w:r>
          </w:p>
        </w:tc>
        <w:tc>
          <w:tcPr>
            <w:tcW w:w="3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30,191</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30,462</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31,966</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30,993</w:t>
            </w:r>
          </w:p>
        </w:tc>
        <w:tc>
          <w:tcPr>
            <w:tcW w:w="0" w:type="dxa"/>
            <w:vAlign w:val="bottom"/>
          </w:tcPr>
          <w:p>
            <w:pPr>
              <w:spacing w:after="0"/>
              <w:rPr>
                <w:sz w:val="1"/>
                <w:szCs w:val="1"/>
                <w:color w:val="auto"/>
              </w:rPr>
            </w:pPr>
          </w:p>
        </w:tc>
      </w:tr>
      <w:tr>
        <w:trPr>
          <w:trHeight w:val="144"/>
        </w:trPr>
        <w:tc>
          <w:tcPr>
            <w:tcW w:w="2900" w:type="dxa"/>
            <w:vAlign w:val="bottom"/>
          </w:tcPr>
          <w:p>
            <w:pPr>
              <w:ind w:left="100"/>
              <w:spacing w:after="0" w:line="144" w:lineRule="exact"/>
              <w:rPr>
                <w:sz w:val="20"/>
                <w:szCs w:val="20"/>
                <w:color w:val="auto"/>
              </w:rPr>
            </w:pPr>
            <w:r>
              <w:rPr>
                <w:rFonts w:ascii="Arial" w:cs="Arial" w:eastAsia="Arial" w:hAnsi="Arial"/>
                <w:sz w:val="10"/>
                <w:szCs w:val="10"/>
                <w:color w:val="auto"/>
              </w:rPr>
              <w:t>Provision for credit losses</w:t>
            </w:r>
            <w:r>
              <w:rPr>
                <w:rFonts w:ascii="Arial" w:cs="Arial" w:eastAsia="Arial" w:hAnsi="Arial"/>
                <w:sz w:val="16"/>
                <w:szCs w:val="16"/>
                <w:color w:val="auto"/>
                <w:vertAlign w:val="superscript"/>
              </w:rPr>
              <w:t>(1)</w:t>
            </w:r>
          </w:p>
        </w:tc>
        <w:tc>
          <w:tcPr>
            <w:tcW w:w="3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6,721</w:t>
            </w:r>
          </w:p>
        </w:tc>
        <w:tc>
          <w:tcPr>
            <w:tcW w:w="100" w:type="dxa"/>
            <w:vAlign w:val="bottom"/>
          </w:tcPr>
          <w:p>
            <w:pPr>
              <w:spacing w:after="0"/>
              <w:rPr>
                <w:sz w:val="12"/>
                <w:szCs w:val="1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5,188</w:t>
            </w: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975</w:t>
            </w:r>
          </w:p>
        </w:tc>
        <w:tc>
          <w:tcPr>
            <w:tcW w:w="14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2"/>
                <w:szCs w:val="12"/>
                <w:color w:val="auto"/>
              </w:rPr>
              <w:t>(421)</w:t>
            </w:r>
          </w:p>
        </w:tc>
        <w:tc>
          <w:tcPr>
            <w:tcW w:w="0" w:type="dxa"/>
            <w:vAlign w:val="bottom"/>
          </w:tcPr>
          <w:p>
            <w:pPr>
              <w:spacing w:after="0"/>
              <w:rPr>
                <w:sz w:val="1"/>
                <w:szCs w:val="1"/>
                <w:color w:val="auto"/>
              </w:rPr>
            </w:pPr>
          </w:p>
        </w:tc>
      </w:tr>
      <w:tr>
        <w:trPr>
          <w:trHeight w:val="144"/>
        </w:trPr>
        <w:tc>
          <w:tcPr>
            <w:tcW w:w="29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Income before income tax</w:t>
            </w:r>
          </w:p>
        </w:tc>
        <w:tc>
          <w:tcPr>
            <w:tcW w:w="3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5,755</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18,295</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24,361</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21,070</w:t>
            </w:r>
          </w:p>
        </w:tc>
        <w:tc>
          <w:tcPr>
            <w:tcW w:w="0" w:type="dxa"/>
            <w:vAlign w:val="bottom"/>
          </w:tcPr>
          <w:p>
            <w:pPr>
              <w:spacing w:after="0"/>
              <w:rPr>
                <w:sz w:val="1"/>
                <w:szCs w:val="1"/>
                <w:color w:val="auto"/>
              </w:rPr>
            </w:pPr>
          </w:p>
        </w:tc>
      </w:tr>
      <w:tr>
        <w:trPr>
          <w:trHeight w:val="144"/>
        </w:trPr>
        <w:tc>
          <w:tcPr>
            <w:tcW w:w="2900" w:type="dxa"/>
            <w:vAlign w:val="bottom"/>
          </w:tcPr>
          <w:p>
            <w:pPr>
              <w:ind w:left="100"/>
              <w:spacing w:after="0"/>
              <w:rPr>
                <w:sz w:val="20"/>
                <w:szCs w:val="20"/>
                <w:color w:val="auto"/>
              </w:rPr>
            </w:pPr>
            <w:r>
              <w:rPr>
                <w:rFonts w:ascii="Arial" w:cs="Arial" w:eastAsia="Arial" w:hAnsi="Arial"/>
                <w:sz w:val="12"/>
                <w:szCs w:val="12"/>
                <w:color w:val="auto"/>
              </w:rPr>
              <w:t>Net income</w:t>
            </w:r>
          </w:p>
        </w:tc>
        <w:tc>
          <w:tcPr>
            <w:tcW w:w="3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4,810</w:t>
            </w:r>
          </w:p>
        </w:tc>
        <w:tc>
          <w:tcPr>
            <w:tcW w:w="100" w:type="dxa"/>
            <w:vAlign w:val="bottom"/>
          </w:tcPr>
          <w:p>
            <w:pPr>
              <w:spacing w:after="0"/>
              <w:rPr>
                <w:sz w:val="12"/>
                <w:szCs w:val="1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14,772</w:t>
            </w: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19,584</w:t>
            </w: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16,986</w:t>
            </w:r>
          </w:p>
        </w:tc>
        <w:tc>
          <w:tcPr>
            <w:tcW w:w="0" w:type="dxa"/>
            <w:vAlign w:val="bottom"/>
          </w:tcPr>
          <w:p>
            <w:pPr>
              <w:spacing w:after="0"/>
              <w:rPr>
                <w:sz w:val="1"/>
                <w:szCs w:val="1"/>
                <w:color w:val="auto"/>
              </w:rPr>
            </w:pPr>
          </w:p>
        </w:tc>
      </w:tr>
      <w:tr>
        <w:trPr>
          <w:trHeight w:val="144"/>
        </w:trPr>
        <w:tc>
          <w:tcPr>
            <w:tcW w:w="2900" w:type="dxa"/>
            <w:vAlign w:val="bottom"/>
            <w:shd w:val="clear" w:color="auto" w:fill="CCEEFF"/>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00" w:type="dxa"/>
            <w:vAlign w:val="bottom"/>
          </w:tcPr>
          <w:p>
            <w:pPr>
              <w:spacing w:after="0"/>
              <w:rPr>
                <w:sz w:val="20"/>
                <w:szCs w:val="20"/>
                <w:color w:val="auto"/>
              </w:rPr>
            </w:pPr>
            <w:r>
              <w:rPr>
                <w:rFonts w:ascii="Arial" w:cs="Arial" w:eastAsia="Arial" w:hAnsi="Arial"/>
                <w:sz w:val="12"/>
                <w:szCs w:val="12"/>
                <w:color w:val="auto"/>
              </w:rPr>
              <w:t>Net income per common share</w:t>
            </w:r>
          </w:p>
        </w:tc>
        <w:tc>
          <w:tcPr>
            <w:tcW w:w="3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Basic</w:t>
            </w:r>
          </w:p>
        </w:tc>
        <w:tc>
          <w:tcPr>
            <w:tcW w:w="3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0.22</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0.67</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0.90</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0.78</w:t>
            </w:r>
          </w:p>
        </w:tc>
        <w:tc>
          <w:tcPr>
            <w:tcW w:w="0" w:type="dxa"/>
            <w:vAlign w:val="bottom"/>
          </w:tcPr>
          <w:p>
            <w:pPr>
              <w:spacing w:after="0"/>
              <w:rPr>
                <w:sz w:val="1"/>
                <w:szCs w:val="1"/>
                <w:color w:val="auto"/>
              </w:rPr>
            </w:pPr>
          </w:p>
        </w:tc>
      </w:tr>
      <w:tr>
        <w:trPr>
          <w:trHeight w:val="153"/>
        </w:trPr>
        <w:tc>
          <w:tcPr>
            <w:tcW w:w="2900" w:type="dxa"/>
            <w:vAlign w:val="bottom"/>
          </w:tcPr>
          <w:p>
            <w:pPr>
              <w:ind w:left="100"/>
              <w:spacing w:after="0"/>
              <w:rPr>
                <w:sz w:val="20"/>
                <w:szCs w:val="20"/>
                <w:color w:val="auto"/>
              </w:rPr>
            </w:pPr>
            <w:r>
              <w:rPr>
                <w:rFonts w:ascii="Arial" w:cs="Arial" w:eastAsia="Arial" w:hAnsi="Arial"/>
                <w:sz w:val="12"/>
                <w:szCs w:val="12"/>
                <w:color w:val="auto"/>
              </w:rPr>
              <w:t>Diluted</w:t>
            </w:r>
          </w:p>
        </w:tc>
        <w:tc>
          <w:tcPr>
            <w:tcW w:w="3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0.21</w:t>
            </w:r>
          </w:p>
        </w:tc>
        <w:tc>
          <w:tcPr>
            <w:tcW w:w="100" w:type="dxa"/>
            <w:vAlign w:val="bottom"/>
          </w:tcPr>
          <w:p>
            <w:pPr>
              <w:spacing w:after="0"/>
              <w:rPr>
                <w:sz w:val="13"/>
                <w:szCs w:val="1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0.67</w:t>
            </w: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0.89</w:t>
            </w:r>
          </w:p>
        </w:tc>
        <w:tc>
          <w:tcPr>
            <w:tcW w:w="14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0.77</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28" w:hanging="328"/>
        <w:spacing w:after="0"/>
        <w:tabs>
          <w:tab w:leader="none" w:pos="328" w:val="left"/>
        </w:tabs>
        <w:numPr>
          <w:ilvl w:val="0"/>
          <w:numId w:val="41"/>
        </w:numPr>
        <w:rPr>
          <w:rFonts w:ascii="Arial" w:cs="Arial" w:eastAsia="Arial" w:hAnsi="Arial"/>
          <w:sz w:val="12"/>
          <w:szCs w:val="12"/>
          <w:color w:val="auto"/>
        </w:rPr>
      </w:pPr>
      <w:r>
        <w:rPr>
          <w:rFonts w:ascii="Arial" w:cs="Arial" w:eastAsia="Arial" w:hAnsi="Arial"/>
          <w:sz w:val="12"/>
          <w:szCs w:val="12"/>
          <w:color w:val="auto"/>
        </w:rPr>
        <w:t>Beginning January 1, 2021, calculation is based on CECL methodology. Prior to January 1, 2021, calculation was based on the probable incurred loss methodology.</w:t>
      </w:r>
    </w:p>
    <w:p>
      <w:pPr>
        <w:spacing w:after="0" w:line="150" w:lineRule="exact"/>
        <w:rPr>
          <w:sz w:val="20"/>
          <w:szCs w:val="20"/>
          <w:color w:val="auto"/>
        </w:rPr>
      </w:pPr>
    </w:p>
    <w:p>
      <w:pPr>
        <w:jc w:val="both"/>
        <w:ind w:left="8" w:firstLine="240"/>
        <w:spacing w:after="0" w:line="263" w:lineRule="auto"/>
        <w:rPr>
          <w:sz w:val="20"/>
          <w:szCs w:val="20"/>
          <w:color w:val="auto"/>
        </w:rPr>
      </w:pPr>
      <w:r>
        <w:rPr>
          <w:rFonts w:ascii="Arial" w:cs="Arial" w:eastAsia="Arial" w:hAnsi="Arial"/>
          <w:sz w:val="12"/>
          <w:szCs w:val="12"/>
          <w:color w:val="auto"/>
        </w:rPr>
        <w:t>During the fourth quarter of 2021, we recognized a negative fair value adjustment on certain mortgage banking related loans held for sale and derivatives not designated as hedging instruments (see note #16). During the fourth quarter of 2020, we recognized $1.6 million of losses in interest expense relating to cash flow hedges that had been transferred to a no hedge designation (see note #16), $1.5 million of core data processing conversion related expenses and a negative fair value adjustment due to price on our capitalized mortgage loan servicing rights of $0.9 million (see note #4).</w:t>
      </w:r>
    </w:p>
    <w:p>
      <w:pPr>
        <w:spacing w:after="0" w:line="118"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2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60" w:type="dxa"/>
            <w:vAlign w:val="bottom"/>
            <w:gridSpan w:val="7"/>
          </w:tcPr>
          <w:p>
            <w:pPr>
              <w:ind w:left="40"/>
              <w:spacing w:after="0"/>
              <w:rPr>
                <w:sz w:val="20"/>
                <w:szCs w:val="20"/>
                <w:color w:val="auto"/>
              </w:rPr>
            </w:pPr>
            <w:r>
              <w:rPr>
                <w:rFonts w:ascii="Arial" w:cs="Arial" w:eastAsia="Arial" w:hAnsi="Arial"/>
                <w:sz w:val="12"/>
                <w:szCs w:val="12"/>
                <w:b w:val="1"/>
                <w:bCs w:val="1"/>
                <w:color w:val="auto"/>
              </w:rPr>
              <w:t>QUARTERLY SUMMARY (UNAUDITED)</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238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7"/>
          </w:tcPr>
          <w:p>
            <w:pPr>
              <w:ind w:left="140"/>
              <w:spacing w:after="0"/>
              <w:rPr>
                <w:sz w:val="20"/>
                <w:szCs w:val="20"/>
                <w:color w:val="auto"/>
              </w:rPr>
            </w:pPr>
            <w:r>
              <w:rPr>
                <w:rFonts w:ascii="Arial" w:cs="Arial" w:eastAsia="Arial" w:hAnsi="Arial"/>
                <w:sz w:val="12"/>
                <w:szCs w:val="12"/>
                <w:b w:val="1"/>
                <w:bCs w:val="1"/>
                <w:color w:val="auto"/>
                <w:w w:val="95"/>
              </w:rPr>
              <w:t>Reported Sales Prices of Common Shares</w:t>
            </w: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3"/>
          </w:tcPr>
          <w:p>
            <w:pPr>
              <w:jc w:val="center"/>
              <w:ind w:left="340"/>
              <w:spacing w:after="0"/>
              <w:rPr>
                <w:sz w:val="20"/>
                <w:szCs w:val="20"/>
                <w:color w:val="auto"/>
              </w:rPr>
            </w:pPr>
            <w:r>
              <w:rPr>
                <w:rFonts w:ascii="Arial" w:cs="Arial" w:eastAsia="Arial" w:hAnsi="Arial"/>
                <w:sz w:val="12"/>
                <w:szCs w:val="12"/>
                <w:b w:val="1"/>
                <w:bCs w:val="1"/>
                <w:color w:val="auto"/>
                <w:w w:val="91"/>
              </w:rPr>
              <w:t>Cash Dividends</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238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140"/>
              <w:spacing w:after="0"/>
              <w:rPr>
                <w:sz w:val="20"/>
                <w:szCs w:val="20"/>
                <w:color w:val="auto"/>
              </w:rPr>
            </w:pPr>
            <w:r>
              <w:rPr>
                <w:rFonts w:ascii="Arial" w:cs="Arial" w:eastAsia="Arial" w:hAnsi="Arial"/>
                <w:sz w:val="12"/>
                <w:szCs w:val="12"/>
                <w:b w:val="1"/>
                <w:bCs w:val="1"/>
                <w:color w:val="auto"/>
              </w:rPr>
              <w:t>2021</w:t>
            </w:r>
          </w:p>
        </w:tc>
        <w:tc>
          <w:tcPr>
            <w:tcW w:w="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b w:val="1"/>
                <w:bCs w:val="1"/>
                <w:color w:val="auto"/>
              </w:rPr>
              <w:t>2020</w:t>
            </w: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jc w:val="center"/>
              <w:ind w:left="340"/>
              <w:spacing w:after="0"/>
              <w:rPr>
                <w:sz w:val="20"/>
                <w:szCs w:val="20"/>
                <w:color w:val="auto"/>
              </w:rPr>
            </w:pPr>
            <w:r>
              <w:rPr>
                <w:rFonts w:ascii="Arial" w:cs="Arial" w:eastAsia="Arial" w:hAnsi="Arial"/>
                <w:sz w:val="12"/>
                <w:szCs w:val="12"/>
                <w:b w:val="1"/>
                <w:bCs w:val="1"/>
                <w:color w:val="auto"/>
                <w:w w:val="90"/>
              </w:rPr>
              <w:t>Declared</w:t>
            </w:r>
          </w:p>
        </w:tc>
        <w:tc>
          <w:tcPr>
            <w:tcW w:w="5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23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b w:val="1"/>
                <w:bCs w:val="1"/>
                <w:color w:val="auto"/>
              </w:rPr>
              <w:t>High</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ind w:left="140"/>
              <w:spacing w:after="0"/>
              <w:rPr>
                <w:sz w:val="20"/>
                <w:szCs w:val="20"/>
                <w:color w:val="auto"/>
              </w:rPr>
            </w:pPr>
            <w:r>
              <w:rPr>
                <w:rFonts w:ascii="Arial" w:cs="Arial" w:eastAsia="Arial" w:hAnsi="Arial"/>
                <w:sz w:val="12"/>
                <w:szCs w:val="12"/>
                <w:b w:val="1"/>
                <w:bCs w:val="1"/>
                <w:color w:val="auto"/>
              </w:rPr>
              <w:t>Low</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60"/>
              <w:spacing w:after="0"/>
              <w:rPr>
                <w:sz w:val="20"/>
                <w:szCs w:val="20"/>
                <w:color w:val="auto"/>
              </w:rPr>
            </w:pPr>
            <w:r>
              <w:rPr>
                <w:rFonts w:ascii="Arial" w:cs="Arial" w:eastAsia="Arial" w:hAnsi="Arial"/>
                <w:sz w:val="12"/>
                <w:szCs w:val="12"/>
                <w:b w:val="1"/>
                <w:bCs w:val="1"/>
                <w:color w:val="auto"/>
              </w:rPr>
              <w:t>Close</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High</w:t>
            </w:r>
          </w:p>
        </w:tc>
        <w:tc>
          <w:tcPr>
            <w:tcW w:w="200" w:type="dxa"/>
            <w:vAlign w:val="bottom"/>
          </w:tcPr>
          <w:p>
            <w:pPr>
              <w:spacing w:after="0"/>
              <w:rPr>
                <w:sz w:val="12"/>
                <w:szCs w:val="12"/>
                <w:color w:val="auto"/>
              </w:rPr>
            </w:pPr>
          </w:p>
        </w:tc>
        <w:tc>
          <w:tcPr>
            <w:tcW w:w="940" w:type="dxa"/>
            <w:vAlign w:val="bottom"/>
            <w:gridSpan w:val="2"/>
          </w:tcPr>
          <w:p>
            <w:pPr>
              <w:jc w:val="right"/>
              <w:ind w:right="560"/>
              <w:spacing w:after="0"/>
              <w:rPr>
                <w:sz w:val="20"/>
                <w:szCs w:val="20"/>
                <w:color w:val="auto"/>
              </w:rPr>
            </w:pPr>
            <w:r>
              <w:rPr>
                <w:rFonts w:ascii="Arial" w:cs="Arial" w:eastAsia="Arial" w:hAnsi="Arial"/>
                <w:sz w:val="12"/>
                <w:szCs w:val="12"/>
                <w:b w:val="1"/>
                <w:bCs w:val="1"/>
                <w:color w:val="auto"/>
              </w:rPr>
              <w:t>Low</w:t>
            </w:r>
          </w:p>
        </w:tc>
        <w:tc>
          <w:tcPr>
            <w:tcW w:w="180" w:type="dxa"/>
            <w:vAlign w:val="bottom"/>
          </w:tcPr>
          <w:p>
            <w:pPr>
              <w:spacing w:after="0"/>
              <w:rPr>
                <w:sz w:val="12"/>
                <w:szCs w:val="12"/>
                <w:color w:val="auto"/>
              </w:rPr>
            </w:pPr>
          </w:p>
        </w:tc>
        <w:tc>
          <w:tcPr>
            <w:tcW w:w="720" w:type="dxa"/>
            <w:vAlign w:val="bottom"/>
          </w:tcPr>
          <w:p>
            <w:pPr>
              <w:jc w:val="right"/>
              <w:ind w:right="260"/>
              <w:spacing w:after="0"/>
              <w:rPr>
                <w:sz w:val="20"/>
                <w:szCs w:val="20"/>
                <w:color w:val="auto"/>
              </w:rPr>
            </w:pPr>
            <w:r>
              <w:rPr>
                <w:rFonts w:ascii="Arial" w:cs="Arial" w:eastAsia="Arial" w:hAnsi="Arial"/>
                <w:sz w:val="12"/>
                <w:szCs w:val="12"/>
                <w:b w:val="1"/>
                <w:bCs w:val="1"/>
                <w:color w:val="auto"/>
              </w:rPr>
              <w:t>Close</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60"/>
              <w:spacing w:after="0"/>
              <w:rPr>
                <w:sz w:val="20"/>
                <w:szCs w:val="20"/>
                <w:color w:val="auto"/>
              </w:rPr>
            </w:pPr>
            <w:r>
              <w:rPr>
                <w:rFonts w:ascii="Arial" w:cs="Arial" w:eastAsia="Arial" w:hAnsi="Arial"/>
                <w:sz w:val="12"/>
                <w:szCs w:val="12"/>
                <w:b w:val="1"/>
                <w:bCs w:val="1"/>
                <w:color w:val="auto"/>
              </w:rPr>
              <w:t>2021</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12"/>
                <w:szCs w:val="12"/>
                <w:color w:val="auto"/>
              </w:rPr>
            </w:pPr>
          </w:p>
        </w:tc>
      </w:tr>
      <w:tr>
        <w:trPr>
          <w:trHeight w:val="142"/>
        </w:trPr>
        <w:tc>
          <w:tcPr>
            <w:tcW w:w="2380" w:type="dxa"/>
            <w:vAlign w:val="bottom"/>
            <w:shd w:val="clear" w:color="auto" w:fill="CCEEFF"/>
          </w:tcPr>
          <w:p>
            <w:pPr>
              <w:spacing w:after="0"/>
              <w:rPr>
                <w:sz w:val="20"/>
                <w:szCs w:val="20"/>
                <w:color w:val="auto"/>
              </w:rPr>
            </w:pPr>
            <w:r>
              <w:rPr>
                <w:rFonts w:ascii="Arial" w:cs="Arial" w:eastAsia="Arial" w:hAnsi="Arial"/>
                <w:sz w:val="12"/>
                <w:szCs w:val="12"/>
                <w:color w:val="auto"/>
              </w:rPr>
              <w:t>First quarter</w:t>
            </w:r>
          </w:p>
        </w:tc>
        <w:tc>
          <w:tcPr>
            <w:tcW w:w="600" w:type="dxa"/>
            <w:vAlign w:val="bottom"/>
            <w:tcBorders>
              <w:top w:val="single" w:sz="8" w:color="auto"/>
            </w:tcBorders>
            <w:shd w:val="clear" w:color="auto" w:fill="CCEEFF"/>
          </w:tcPr>
          <w:p>
            <w:pPr>
              <w:jc w:val="right"/>
              <w:ind w:right="486"/>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3"/>
              </w:rPr>
              <w:t>24.73</w:t>
            </w:r>
          </w:p>
        </w:tc>
        <w:tc>
          <w:tcPr>
            <w:tcW w:w="24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2"/>
                <w:szCs w:val="12"/>
                <w:color w:val="auto"/>
                <w:w w:val="79"/>
              </w:rPr>
              <w:t>18.18</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23.64</w:t>
            </w:r>
          </w:p>
        </w:tc>
        <w:tc>
          <w:tcPr>
            <w:tcW w:w="22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22.98</w:t>
            </w:r>
          </w:p>
        </w:tc>
        <w:tc>
          <w:tcPr>
            <w:tcW w:w="22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9.19</w:t>
            </w:r>
          </w:p>
        </w:tc>
        <w:tc>
          <w:tcPr>
            <w:tcW w:w="22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12.87</w:t>
            </w:r>
          </w:p>
        </w:tc>
        <w:tc>
          <w:tcPr>
            <w:tcW w:w="20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0.21</w:t>
            </w:r>
          </w:p>
        </w:tc>
        <w:tc>
          <w:tcPr>
            <w:tcW w:w="220" w:type="dxa"/>
            <w:vAlign w:val="bottom"/>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2"/>
                <w:szCs w:val="12"/>
                <w:color w:val="auto"/>
                <w:w w:val="76"/>
              </w:rPr>
              <w:t>0.20</w:t>
            </w:r>
          </w:p>
        </w:tc>
        <w:tc>
          <w:tcPr>
            <w:tcW w:w="120" w:type="dxa"/>
            <w:vAlign w:val="bottom"/>
            <w:shd w:val="clear" w:color="auto" w:fill="CCEEFF"/>
          </w:tcPr>
          <w:p>
            <w:pPr>
              <w:spacing w:after="0"/>
              <w:rPr>
                <w:sz w:val="12"/>
                <w:szCs w:val="12"/>
                <w:color w:val="auto"/>
              </w:rPr>
            </w:pPr>
          </w:p>
        </w:tc>
      </w:tr>
      <w:tr>
        <w:trPr>
          <w:trHeight w:val="144"/>
        </w:trPr>
        <w:tc>
          <w:tcPr>
            <w:tcW w:w="2380" w:type="dxa"/>
            <w:vAlign w:val="bottom"/>
          </w:tcPr>
          <w:p>
            <w:pPr>
              <w:spacing w:after="0"/>
              <w:rPr>
                <w:sz w:val="20"/>
                <w:szCs w:val="20"/>
                <w:color w:val="auto"/>
              </w:rPr>
            </w:pPr>
            <w:r>
              <w:rPr>
                <w:rFonts w:ascii="Arial" w:cs="Arial" w:eastAsia="Arial" w:hAnsi="Arial"/>
                <w:sz w:val="12"/>
                <w:szCs w:val="12"/>
                <w:color w:val="auto"/>
              </w:rPr>
              <w:t>Second quarter</w:t>
            </w:r>
          </w:p>
        </w:tc>
        <w:tc>
          <w:tcPr>
            <w:tcW w:w="600" w:type="dxa"/>
            <w:vAlign w:val="bottom"/>
          </w:tcPr>
          <w:p>
            <w:pPr>
              <w:spacing w:after="0"/>
              <w:rPr>
                <w:sz w:val="12"/>
                <w:szCs w:val="12"/>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2"/>
                <w:szCs w:val="12"/>
                <w:color w:val="auto"/>
                <w:w w:val="93"/>
              </w:rPr>
              <w:t>24.50</w:t>
            </w:r>
          </w:p>
        </w:tc>
        <w:tc>
          <w:tcPr>
            <w:tcW w:w="200" w:type="dxa"/>
            <w:vAlign w:val="bottom"/>
          </w:tcPr>
          <w:p>
            <w:pPr>
              <w:spacing w:after="0"/>
              <w:rPr>
                <w:sz w:val="12"/>
                <w:szCs w:val="12"/>
                <w:color w:val="auto"/>
              </w:rPr>
            </w:pPr>
          </w:p>
        </w:tc>
        <w:tc>
          <w:tcPr>
            <w:tcW w:w="760" w:type="dxa"/>
            <w:vAlign w:val="bottom"/>
            <w:gridSpan w:val="2"/>
          </w:tcPr>
          <w:p>
            <w:pPr>
              <w:ind w:left="440"/>
              <w:spacing w:after="0"/>
              <w:rPr>
                <w:sz w:val="20"/>
                <w:szCs w:val="20"/>
                <w:color w:val="auto"/>
              </w:rPr>
            </w:pPr>
            <w:r>
              <w:rPr>
                <w:rFonts w:ascii="Arial" w:cs="Arial" w:eastAsia="Arial" w:hAnsi="Arial"/>
                <w:sz w:val="12"/>
                <w:szCs w:val="12"/>
                <w:color w:val="auto"/>
                <w:w w:val="99"/>
              </w:rPr>
              <w:t>21.10</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21.71</w:t>
            </w:r>
          </w:p>
        </w:tc>
        <w:tc>
          <w:tcPr>
            <w:tcW w:w="200" w:type="dxa"/>
            <w:vAlign w:val="bottom"/>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16.92</w:t>
            </w:r>
          </w:p>
        </w:tc>
        <w:tc>
          <w:tcPr>
            <w:tcW w:w="200" w:type="dxa"/>
            <w:vAlign w:val="bottom"/>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10.91</w:t>
            </w:r>
          </w:p>
        </w:tc>
        <w:tc>
          <w:tcPr>
            <w:tcW w:w="180" w:type="dxa"/>
            <w:vAlign w:val="bottom"/>
          </w:tcPr>
          <w:p>
            <w:pPr>
              <w:spacing w:after="0"/>
              <w:rPr>
                <w:sz w:val="12"/>
                <w:szCs w:val="1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14.85</w:t>
            </w:r>
          </w:p>
        </w:tc>
        <w:tc>
          <w:tcPr>
            <w:tcW w:w="20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2"/>
                <w:szCs w:val="12"/>
                <w:color w:val="auto"/>
              </w:rPr>
              <w:t>0.21</w:t>
            </w:r>
          </w:p>
        </w:tc>
        <w:tc>
          <w:tcPr>
            <w:tcW w:w="300" w:type="dxa"/>
            <w:vAlign w:val="bottom"/>
          </w:tcPr>
          <w:p>
            <w:pPr>
              <w:spacing w:after="0"/>
              <w:rPr>
                <w:sz w:val="12"/>
                <w:szCs w:val="12"/>
                <w:color w:val="auto"/>
              </w:rPr>
            </w:pPr>
          </w:p>
        </w:tc>
        <w:tc>
          <w:tcPr>
            <w:tcW w:w="700" w:type="dxa"/>
            <w:vAlign w:val="bottom"/>
            <w:gridSpan w:val="2"/>
          </w:tcPr>
          <w:p>
            <w:pPr>
              <w:ind w:left="380"/>
              <w:spacing w:after="0"/>
              <w:rPr>
                <w:sz w:val="20"/>
                <w:szCs w:val="20"/>
                <w:color w:val="auto"/>
              </w:rPr>
            </w:pPr>
            <w:r>
              <w:rPr>
                <w:rFonts w:ascii="Arial" w:cs="Arial" w:eastAsia="Arial" w:hAnsi="Arial"/>
                <w:sz w:val="12"/>
                <w:szCs w:val="12"/>
                <w:color w:val="auto"/>
              </w:rPr>
              <w:t>0.20</w:t>
            </w:r>
          </w:p>
        </w:tc>
      </w:tr>
      <w:tr>
        <w:trPr>
          <w:trHeight w:val="144"/>
        </w:trPr>
        <w:tc>
          <w:tcPr>
            <w:tcW w:w="2380" w:type="dxa"/>
            <w:vAlign w:val="bottom"/>
            <w:shd w:val="clear" w:color="auto" w:fill="CCEEFF"/>
          </w:tcPr>
          <w:p>
            <w:pPr>
              <w:spacing w:after="0"/>
              <w:rPr>
                <w:sz w:val="20"/>
                <w:szCs w:val="20"/>
                <w:color w:val="auto"/>
              </w:rPr>
            </w:pPr>
            <w:r>
              <w:rPr>
                <w:rFonts w:ascii="Arial" w:cs="Arial" w:eastAsia="Arial" w:hAnsi="Arial"/>
                <w:sz w:val="12"/>
                <w:szCs w:val="12"/>
                <w:color w:val="auto"/>
              </w:rPr>
              <w:t>Third quarter</w:t>
            </w:r>
          </w:p>
        </w:tc>
        <w:tc>
          <w:tcPr>
            <w:tcW w:w="6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w w:val="93"/>
              </w:rPr>
              <w:t>22.22</w:t>
            </w: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w w:val="99"/>
              </w:rPr>
              <w:t>19.60</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21.48</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16.20</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12.14</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12.57</w:t>
            </w: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0.21</w:t>
            </w:r>
          </w:p>
        </w:tc>
        <w:tc>
          <w:tcPr>
            <w:tcW w:w="3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2"/>
                <w:szCs w:val="12"/>
                <w:color w:val="auto"/>
              </w:rPr>
              <w:t>0.20</w:t>
            </w:r>
          </w:p>
        </w:tc>
      </w:tr>
      <w:tr>
        <w:trPr>
          <w:trHeight w:val="153"/>
        </w:trPr>
        <w:tc>
          <w:tcPr>
            <w:tcW w:w="2380" w:type="dxa"/>
            <w:vAlign w:val="bottom"/>
          </w:tcPr>
          <w:p>
            <w:pPr>
              <w:spacing w:after="0"/>
              <w:rPr>
                <w:sz w:val="20"/>
                <w:szCs w:val="20"/>
                <w:color w:val="auto"/>
              </w:rPr>
            </w:pPr>
            <w:r>
              <w:rPr>
                <w:rFonts w:ascii="Arial" w:cs="Arial" w:eastAsia="Arial" w:hAnsi="Arial"/>
                <w:sz w:val="12"/>
                <w:szCs w:val="12"/>
                <w:color w:val="auto"/>
              </w:rPr>
              <w:t>Fourth quarter</w:t>
            </w:r>
          </w:p>
        </w:tc>
        <w:tc>
          <w:tcPr>
            <w:tcW w:w="600" w:type="dxa"/>
            <w:vAlign w:val="bottom"/>
          </w:tcPr>
          <w:p>
            <w:pPr>
              <w:spacing w:after="0"/>
              <w:rPr>
                <w:sz w:val="13"/>
                <w:szCs w:val="13"/>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2"/>
                <w:szCs w:val="12"/>
                <w:color w:val="auto"/>
                <w:w w:val="93"/>
              </w:rPr>
              <w:t>24.48</w:t>
            </w:r>
          </w:p>
        </w:tc>
        <w:tc>
          <w:tcPr>
            <w:tcW w:w="200" w:type="dxa"/>
            <w:vAlign w:val="bottom"/>
          </w:tcPr>
          <w:p>
            <w:pPr>
              <w:spacing w:after="0"/>
              <w:rPr>
                <w:sz w:val="13"/>
                <w:szCs w:val="13"/>
                <w:color w:val="auto"/>
              </w:rPr>
            </w:pPr>
          </w:p>
        </w:tc>
        <w:tc>
          <w:tcPr>
            <w:tcW w:w="760" w:type="dxa"/>
            <w:vAlign w:val="bottom"/>
            <w:gridSpan w:val="2"/>
          </w:tcPr>
          <w:p>
            <w:pPr>
              <w:ind w:left="440"/>
              <w:spacing w:after="0"/>
              <w:rPr>
                <w:sz w:val="20"/>
                <w:szCs w:val="20"/>
                <w:color w:val="auto"/>
              </w:rPr>
            </w:pPr>
            <w:r>
              <w:rPr>
                <w:rFonts w:ascii="Arial" w:cs="Arial" w:eastAsia="Arial" w:hAnsi="Arial"/>
                <w:sz w:val="12"/>
                <w:szCs w:val="12"/>
                <w:color w:val="auto"/>
                <w:w w:val="99"/>
              </w:rPr>
              <w:t>21.44</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23.87</w:t>
            </w:r>
          </w:p>
        </w:tc>
        <w:tc>
          <w:tcPr>
            <w:tcW w:w="200" w:type="dxa"/>
            <w:vAlign w:val="bottom"/>
          </w:tcPr>
          <w:p>
            <w:pPr>
              <w:spacing w:after="0"/>
              <w:rPr>
                <w:sz w:val="13"/>
                <w:szCs w:val="1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19.28</w:t>
            </w:r>
          </w:p>
        </w:tc>
        <w:tc>
          <w:tcPr>
            <w:tcW w:w="200" w:type="dxa"/>
            <w:vAlign w:val="bottom"/>
          </w:tcPr>
          <w:p>
            <w:pPr>
              <w:spacing w:after="0"/>
              <w:rPr>
                <w:sz w:val="13"/>
                <w:szCs w:val="1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12.42</w:t>
            </w:r>
          </w:p>
        </w:tc>
        <w:tc>
          <w:tcPr>
            <w:tcW w:w="180" w:type="dxa"/>
            <w:vAlign w:val="bottom"/>
          </w:tcPr>
          <w:p>
            <w:pPr>
              <w:spacing w:after="0"/>
              <w:rPr>
                <w:sz w:val="13"/>
                <w:szCs w:val="1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2"/>
                <w:szCs w:val="12"/>
                <w:color w:val="auto"/>
              </w:rPr>
              <w:t>18.47</w:t>
            </w:r>
          </w:p>
        </w:tc>
        <w:tc>
          <w:tcPr>
            <w:tcW w:w="20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2"/>
                <w:szCs w:val="12"/>
                <w:color w:val="auto"/>
              </w:rPr>
              <w:t>0.21</w:t>
            </w:r>
          </w:p>
        </w:tc>
        <w:tc>
          <w:tcPr>
            <w:tcW w:w="300" w:type="dxa"/>
            <w:vAlign w:val="bottom"/>
          </w:tcPr>
          <w:p>
            <w:pPr>
              <w:spacing w:after="0"/>
              <w:rPr>
                <w:sz w:val="13"/>
                <w:szCs w:val="13"/>
                <w:color w:val="auto"/>
              </w:rPr>
            </w:pPr>
          </w:p>
        </w:tc>
        <w:tc>
          <w:tcPr>
            <w:tcW w:w="700" w:type="dxa"/>
            <w:vAlign w:val="bottom"/>
            <w:gridSpan w:val="2"/>
          </w:tcPr>
          <w:p>
            <w:pPr>
              <w:ind w:left="380"/>
              <w:spacing w:after="0"/>
              <w:rPr>
                <w:sz w:val="20"/>
                <w:szCs w:val="20"/>
                <w:color w:val="auto"/>
              </w:rPr>
            </w:pPr>
            <w:r>
              <w:rPr>
                <w:rFonts w:ascii="Arial" w:cs="Arial" w:eastAsia="Arial" w:hAnsi="Arial"/>
                <w:sz w:val="12"/>
                <w:szCs w:val="12"/>
                <w:color w:val="auto"/>
              </w:rPr>
              <w:t>0.20</w:t>
            </w:r>
          </w:p>
        </w:tc>
      </w:tr>
    </w:tbl>
    <w:p>
      <w:pPr>
        <w:spacing w:after="0" w:line="126" w:lineRule="exact"/>
        <w:rPr>
          <w:sz w:val="20"/>
          <w:szCs w:val="20"/>
          <w:color w:val="auto"/>
        </w:rPr>
      </w:pPr>
    </w:p>
    <w:p>
      <w:pPr>
        <w:jc w:val="both"/>
        <w:ind w:left="8" w:firstLine="240"/>
        <w:spacing w:after="0" w:line="323" w:lineRule="auto"/>
        <w:rPr>
          <w:sz w:val="20"/>
          <w:szCs w:val="20"/>
          <w:color w:val="auto"/>
        </w:rPr>
      </w:pPr>
      <w:r>
        <w:rPr>
          <w:rFonts w:ascii="Arial" w:cs="Arial" w:eastAsia="Arial" w:hAnsi="Arial"/>
          <w:sz w:val="11"/>
          <w:szCs w:val="11"/>
          <w:color w:val="auto"/>
        </w:rPr>
        <w:t>We have approximately 1,300 holders of record of our common stock. Our common stock trades on the NASDAQ Global Select Market System under the symbol “IBCP.” The prices shown above are supplied by NASDAQ and reflect the inter-dealer prices and may not include retail markups, markdowns or commissions. There may have been transactions or quotations at higher or lower prices of which we are not aware.</w:t>
      </w:r>
    </w:p>
    <w:p>
      <w:pPr>
        <w:spacing w:after="0" w:line="92" w:lineRule="exact"/>
        <w:rPr>
          <w:sz w:val="20"/>
          <w:szCs w:val="20"/>
          <w:color w:val="auto"/>
        </w:rPr>
      </w:pPr>
    </w:p>
    <w:p>
      <w:pPr>
        <w:jc w:val="both"/>
        <w:ind w:left="8" w:firstLine="240"/>
        <w:spacing w:after="0" w:line="276" w:lineRule="auto"/>
        <w:rPr>
          <w:sz w:val="20"/>
          <w:szCs w:val="20"/>
          <w:color w:val="auto"/>
        </w:rPr>
      </w:pPr>
      <w:r>
        <w:rPr>
          <w:rFonts w:ascii="Arial" w:cs="Arial" w:eastAsia="Arial" w:hAnsi="Arial"/>
          <w:sz w:val="12"/>
          <w:szCs w:val="12"/>
          <w:color w:val="auto"/>
        </w:rPr>
        <w:t>In addition to limitations imposed by the provisions of the Michigan Business Corporation Act (which, among other things, limits us from paying dividends to the extent we are insolvent), our ability to pay dividends is limited by our ability to obtain funds from our Bank and by regulatory capital guidelines applicable to us (see note #20).</w:t>
      </w:r>
    </w:p>
    <w:p>
      <w:pPr>
        <w:spacing w:after="0" w:line="111" w:lineRule="exact"/>
        <w:rPr>
          <w:sz w:val="20"/>
          <w:szCs w:val="20"/>
          <w:color w:val="auto"/>
        </w:rPr>
      </w:pPr>
    </w:p>
    <w:p>
      <w:pPr>
        <w:jc w:val="center"/>
        <w:ind w:right="-7"/>
        <w:spacing w:after="0"/>
        <w:rPr>
          <w:sz w:val="20"/>
          <w:szCs w:val="20"/>
          <w:color w:val="auto"/>
        </w:rPr>
      </w:pPr>
      <w:r>
        <w:rPr>
          <w:rFonts w:ascii="Arial" w:cs="Arial" w:eastAsia="Arial" w:hAnsi="Arial"/>
          <w:sz w:val="10"/>
          <w:szCs w:val="10"/>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37465</wp:posOffset>
            </wp:positionV>
            <wp:extent cx="7178040" cy="114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415" w:right="299" w:bottom="1440" w:gutter="0" w:footer="0" w:header="0"/>
        </w:sectPr>
      </w:pPr>
    </w:p>
    <w:bookmarkStart w:id="130" w:name="page131"/>
    <w:bookmarkEnd w:id="130"/>
    <w:p>
      <w:pPr>
        <w:jc w:val="right"/>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228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0">
                      <a:extLst>
                        <a:ext uri="{28A0092B-C50C-407E-A947-70E740481C1C}"/>
                      </a:extLst>
                    </a:blip>
                    <a:srcRect/>
                    <a:stretch>
                      <a:fillRect/>
                    </a:stretch>
                  </pic:blipFill>
                  <pic:spPr bwMode="auto">
                    <a:xfrm>
                      <a:off x="0" y="0"/>
                      <a:ext cx="7178040" cy="22860"/>
                    </a:xfrm>
                    <a:prstGeom prst="rect">
                      <a:avLst/>
                    </a:prstGeom>
                    <a:noFill/>
                  </pic:spPr>
                </pic:pic>
              </a:graphicData>
            </a:graphic>
          </wp:anchor>
        </w:drawing>
        <w:t>EXHIBIT 21</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600" w:type="dxa"/>
            <w:vAlign w:val="bottom"/>
          </w:tcPr>
          <w:p>
            <w:pPr>
              <w:spacing w:after="0"/>
              <w:rPr>
                <w:sz w:val="12"/>
                <w:szCs w:val="12"/>
                <w:color w:val="auto"/>
              </w:rPr>
            </w:pPr>
          </w:p>
        </w:tc>
        <w:tc>
          <w:tcPr>
            <w:tcW w:w="4400" w:type="dxa"/>
            <w:vAlign w:val="bottom"/>
            <w:gridSpan w:val="3"/>
          </w:tcPr>
          <w:p>
            <w:pPr>
              <w:jc w:val="center"/>
              <w:ind w:right="2260"/>
              <w:spacing w:after="0"/>
              <w:rPr>
                <w:sz w:val="20"/>
                <w:szCs w:val="20"/>
                <w:color w:val="auto"/>
              </w:rPr>
            </w:pPr>
            <w:r>
              <w:rPr>
                <w:rFonts w:ascii="Arial" w:cs="Arial" w:eastAsia="Arial" w:hAnsi="Arial"/>
                <w:sz w:val="12"/>
                <w:szCs w:val="12"/>
                <w:color w:val="auto"/>
                <w:w w:val="96"/>
              </w:rPr>
              <w:t>INDEPENDENT BANK CORPORATION</w:t>
            </w:r>
          </w:p>
        </w:tc>
        <w:tc>
          <w:tcPr>
            <w:tcW w:w="0" w:type="dxa"/>
            <w:vAlign w:val="bottom"/>
          </w:tcPr>
          <w:p>
            <w:pPr>
              <w:spacing w:after="0"/>
              <w:rPr>
                <w:sz w:val="1"/>
                <w:szCs w:val="1"/>
                <w:color w:val="auto"/>
              </w:rPr>
            </w:pPr>
          </w:p>
        </w:tc>
      </w:tr>
      <w:tr>
        <w:trPr>
          <w:trHeight w:val="151"/>
        </w:trPr>
        <w:tc>
          <w:tcPr>
            <w:tcW w:w="4600" w:type="dxa"/>
            <w:vAlign w:val="bottom"/>
          </w:tcPr>
          <w:p>
            <w:pPr>
              <w:spacing w:after="0"/>
              <w:rPr>
                <w:sz w:val="13"/>
                <w:szCs w:val="13"/>
                <w:color w:val="auto"/>
              </w:rPr>
            </w:pPr>
          </w:p>
        </w:tc>
        <w:tc>
          <w:tcPr>
            <w:tcW w:w="208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90"/>
              </w:rPr>
              <w:t>Subsidiaries of the Registrant</w:t>
            </w:r>
          </w:p>
        </w:tc>
        <w:tc>
          <w:tcPr>
            <w:tcW w:w="23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05"/>
        </w:trPr>
        <w:tc>
          <w:tcPr>
            <w:tcW w:w="4600" w:type="dxa"/>
            <w:vAlign w:val="bottom"/>
            <w:vMerge w:val="restart"/>
          </w:tcPr>
          <w:p>
            <w:pPr>
              <w:spacing w:after="0"/>
              <w:rPr>
                <w:sz w:val="20"/>
                <w:szCs w:val="20"/>
                <w:color w:val="auto"/>
              </w:rPr>
            </w:pPr>
            <w:r>
              <w:rPr>
                <w:rFonts w:ascii="Arial" w:cs="Arial" w:eastAsia="Arial" w:hAnsi="Arial"/>
                <w:sz w:val="12"/>
                <w:szCs w:val="12"/>
                <w:color w:val="auto"/>
              </w:rPr>
              <w:t>IBC Capital Finance III</w:t>
            </w:r>
          </w:p>
        </w:tc>
        <w:tc>
          <w:tcPr>
            <w:tcW w:w="2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2"/>
              </w:rPr>
              <w:t>State of Incorporation</w:t>
            </w:r>
          </w:p>
        </w:tc>
        <w:tc>
          <w:tcPr>
            <w:tcW w:w="0" w:type="dxa"/>
            <w:vAlign w:val="bottom"/>
          </w:tcPr>
          <w:p>
            <w:pPr>
              <w:spacing w:after="0"/>
              <w:rPr>
                <w:sz w:val="1"/>
                <w:szCs w:val="1"/>
                <w:color w:val="auto"/>
              </w:rPr>
            </w:pPr>
          </w:p>
        </w:tc>
      </w:tr>
      <w:tr>
        <w:trPr>
          <w:trHeight w:val="142"/>
        </w:trPr>
        <w:tc>
          <w:tcPr>
            <w:tcW w:w="4600" w:type="dxa"/>
            <w:vAlign w:val="bottom"/>
            <w:vMerge w:val="continue"/>
          </w:tcPr>
          <w:p>
            <w:pPr>
              <w:spacing w:after="0"/>
              <w:rPr>
                <w:sz w:val="12"/>
                <w:szCs w:val="12"/>
                <w:color w:val="auto"/>
              </w:rPr>
            </w:pPr>
          </w:p>
        </w:tc>
        <w:tc>
          <w:tcPr>
            <w:tcW w:w="20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00" w:type="dxa"/>
            <w:vAlign w:val="bottom"/>
          </w:tcPr>
          <w:p>
            <w:pPr>
              <w:ind w:left="100"/>
              <w:spacing w:after="0"/>
              <w:rPr>
                <w:sz w:val="20"/>
                <w:szCs w:val="20"/>
                <w:color w:val="auto"/>
              </w:rPr>
            </w:pPr>
            <w:r>
              <w:rPr>
                <w:rFonts w:ascii="Arial" w:cs="Arial" w:eastAsia="Arial" w:hAnsi="Arial"/>
                <w:sz w:val="12"/>
                <w:szCs w:val="12"/>
                <w:color w:val="auto"/>
              </w:rPr>
              <w:t>Grand Rapids, Michigan</w:t>
            </w:r>
          </w:p>
        </w:tc>
        <w:tc>
          <w:tcPr>
            <w:tcW w:w="20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Arial" w:cs="Arial" w:eastAsia="Arial" w:hAnsi="Arial"/>
                <w:sz w:val="12"/>
                <w:szCs w:val="12"/>
                <w:color w:val="auto"/>
                <w:w w:val="90"/>
              </w:rPr>
              <w:t>Delaware</w:t>
            </w:r>
          </w:p>
        </w:tc>
        <w:tc>
          <w:tcPr>
            <w:tcW w:w="0" w:type="dxa"/>
            <w:vAlign w:val="bottom"/>
          </w:tcPr>
          <w:p>
            <w:pPr>
              <w:spacing w:after="0"/>
              <w:rPr>
                <w:sz w:val="1"/>
                <w:szCs w:val="1"/>
                <w:color w:val="auto"/>
              </w:rPr>
            </w:pPr>
          </w:p>
        </w:tc>
      </w:tr>
      <w:tr>
        <w:trPr>
          <w:trHeight w:val="144"/>
        </w:trPr>
        <w:tc>
          <w:tcPr>
            <w:tcW w:w="4600" w:type="dxa"/>
            <w:vAlign w:val="bottom"/>
          </w:tcPr>
          <w:p>
            <w:pPr>
              <w:spacing w:after="0"/>
              <w:rPr>
                <w:sz w:val="20"/>
                <w:szCs w:val="20"/>
                <w:color w:val="auto"/>
              </w:rPr>
            </w:pPr>
            <w:r>
              <w:rPr>
                <w:rFonts w:ascii="Arial" w:cs="Arial" w:eastAsia="Arial" w:hAnsi="Arial"/>
                <w:sz w:val="12"/>
                <w:szCs w:val="12"/>
                <w:color w:val="auto"/>
              </w:rPr>
              <w:t>IBC Capital Finance IV</w:t>
            </w:r>
          </w:p>
        </w:tc>
        <w:tc>
          <w:tcPr>
            <w:tcW w:w="20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00" w:type="dxa"/>
            <w:vAlign w:val="bottom"/>
          </w:tcPr>
          <w:p>
            <w:pPr>
              <w:ind w:left="100"/>
              <w:spacing w:after="0"/>
              <w:rPr>
                <w:sz w:val="20"/>
                <w:szCs w:val="20"/>
                <w:color w:val="auto"/>
              </w:rPr>
            </w:pPr>
            <w:r>
              <w:rPr>
                <w:rFonts w:ascii="Arial" w:cs="Arial" w:eastAsia="Arial" w:hAnsi="Arial"/>
                <w:sz w:val="12"/>
                <w:szCs w:val="12"/>
                <w:color w:val="auto"/>
              </w:rPr>
              <w:t>Grand Rapids, Michigan</w:t>
            </w:r>
          </w:p>
        </w:tc>
        <w:tc>
          <w:tcPr>
            <w:tcW w:w="20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Arial" w:cs="Arial" w:eastAsia="Arial" w:hAnsi="Arial"/>
                <w:sz w:val="12"/>
                <w:szCs w:val="12"/>
                <w:color w:val="auto"/>
                <w:w w:val="90"/>
              </w:rPr>
              <w:t>Delaware</w:t>
            </w:r>
          </w:p>
        </w:tc>
        <w:tc>
          <w:tcPr>
            <w:tcW w:w="0" w:type="dxa"/>
            <w:vAlign w:val="bottom"/>
          </w:tcPr>
          <w:p>
            <w:pPr>
              <w:spacing w:after="0"/>
              <w:rPr>
                <w:sz w:val="1"/>
                <w:szCs w:val="1"/>
                <w:color w:val="auto"/>
              </w:rPr>
            </w:pPr>
          </w:p>
        </w:tc>
      </w:tr>
      <w:tr>
        <w:trPr>
          <w:trHeight w:val="144"/>
        </w:trPr>
        <w:tc>
          <w:tcPr>
            <w:tcW w:w="4600" w:type="dxa"/>
            <w:vAlign w:val="bottom"/>
          </w:tcPr>
          <w:p>
            <w:pPr>
              <w:spacing w:after="0"/>
              <w:rPr>
                <w:sz w:val="20"/>
                <w:szCs w:val="20"/>
                <w:color w:val="auto"/>
              </w:rPr>
            </w:pPr>
            <w:r>
              <w:rPr>
                <w:rFonts w:ascii="Arial" w:cs="Arial" w:eastAsia="Arial" w:hAnsi="Arial"/>
                <w:sz w:val="12"/>
                <w:szCs w:val="12"/>
                <w:color w:val="auto"/>
              </w:rPr>
              <w:t>Midwest Guaranty Trust I</w:t>
            </w:r>
          </w:p>
        </w:tc>
        <w:tc>
          <w:tcPr>
            <w:tcW w:w="20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00" w:type="dxa"/>
            <w:vAlign w:val="bottom"/>
          </w:tcPr>
          <w:p>
            <w:pPr>
              <w:ind w:left="100"/>
              <w:spacing w:after="0"/>
              <w:rPr>
                <w:sz w:val="20"/>
                <w:szCs w:val="20"/>
                <w:color w:val="auto"/>
              </w:rPr>
            </w:pPr>
            <w:r>
              <w:rPr>
                <w:rFonts w:ascii="Arial" w:cs="Arial" w:eastAsia="Arial" w:hAnsi="Arial"/>
                <w:sz w:val="12"/>
                <w:szCs w:val="12"/>
                <w:color w:val="auto"/>
              </w:rPr>
              <w:t>Grand Rapids, Michigan</w:t>
            </w:r>
          </w:p>
        </w:tc>
        <w:tc>
          <w:tcPr>
            <w:tcW w:w="20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Arial" w:cs="Arial" w:eastAsia="Arial" w:hAnsi="Arial"/>
                <w:sz w:val="12"/>
                <w:szCs w:val="12"/>
                <w:color w:val="auto"/>
                <w:w w:val="90"/>
              </w:rPr>
              <w:t>Delaware</w:t>
            </w:r>
          </w:p>
        </w:tc>
        <w:tc>
          <w:tcPr>
            <w:tcW w:w="0" w:type="dxa"/>
            <w:vAlign w:val="bottom"/>
          </w:tcPr>
          <w:p>
            <w:pPr>
              <w:spacing w:after="0"/>
              <w:rPr>
                <w:sz w:val="1"/>
                <w:szCs w:val="1"/>
                <w:color w:val="auto"/>
              </w:rPr>
            </w:pPr>
          </w:p>
        </w:tc>
      </w:tr>
      <w:tr>
        <w:trPr>
          <w:trHeight w:val="144"/>
        </w:trPr>
        <w:tc>
          <w:tcPr>
            <w:tcW w:w="4600" w:type="dxa"/>
            <w:vAlign w:val="bottom"/>
          </w:tcPr>
          <w:p>
            <w:pPr>
              <w:spacing w:after="0"/>
              <w:rPr>
                <w:sz w:val="20"/>
                <w:szCs w:val="20"/>
                <w:color w:val="auto"/>
              </w:rPr>
            </w:pPr>
            <w:r>
              <w:rPr>
                <w:rFonts w:ascii="Arial" w:cs="Arial" w:eastAsia="Arial" w:hAnsi="Arial"/>
                <w:sz w:val="12"/>
                <w:szCs w:val="12"/>
                <w:color w:val="auto"/>
              </w:rPr>
              <w:t>TCSB Statutory Trust I</w:t>
            </w:r>
          </w:p>
        </w:tc>
        <w:tc>
          <w:tcPr>
            <w:tcW w:w="20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00" w:type="dxa"/>
            <w:vAlign w:val="bottom"/>
          </w:tcPr>
          <w:p>
            <w:pPr>
              <w:ind w:left="100"/>
              <w:spacing w:after="0"/>
              <w:rPr>
                <w:sz w:val="20"/>
                <w:szCs w:val="20"/>
                <w:color w:val="auto"/>
              </w:rPr>
            </w:pPr>
            <w:r>
              <w:rPr>
                <w:rFonts w:ascii="Arial" w:cs="Arial" w:eastAsia="Arial" w:hAnsi="Arial"/>
                <w:sz w:val="12"/>
                <w:szCs w:val="12"/>
                <w:color w:val="auto"/>
              </w:rPr>
              <w:t>Grand Rapids, Michigan</w:t>
            </w:r>
          </w:p>
        </w:tc>
        <w:tc>
          <w:tcPr>
            <w:tcW w:w="20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Arial" w:cs="Arial" w:eastAsia="Arial" w:hAnsi="Arial"/>
                <w:sz w:val="12"/>
                <w:szCs w:val="12"/>
                <w:color w:val="auto"/>
                <w:w w:val="90"/>
              </w:rPr>
              <w:t>Delaware</w:t>
            </w:r>
          </w:p>
        </w:tc>
        <w:tc>
          <w:tcPr>
            <w:tcW w:w="0" w:type="dxa"/>
            <w:vAlign w:val="bottom"/>
          </w:tcPr>
          <w:p>
            <w:pPr>
              <w:spacing w:after="0"/>
              <w:rPr>
                <w:sz w:val="1"/>
                <w:szCs w:val="1"/>
                <w:color w:val="auto"/>
              </w:rPr>
            </w:pPr>
          </w:p>
        </w:tc>
      </w:tr>
      <w:tr>
        <w:trPr>
          <w:trHeight w:val="144"/>
        </w:trPr>
        <w:tc>
          <w:tcPr>
            <w:tcW w:w="4600" w:type="dxa"/>
            <w:vAlign w:val="bottom"/>
          </w:tcPr>
          <w:p>
            <w:pPr>
              <w:spacing w:after="0"/>
              <w:rPr>
                <w:sz w:val="20"/>
                <w:szCs w:val="20"/>
                <w:color w:val="auto"/>
              </w:rPr>
            </w:pPr>
            <w:r>
              <w:rPr>
                <w:rFonts w:ascii="Arial" w:cs="Arial" w:eastAsia="Arial" w:hAnsi="Arial"/>
                <w:sz w:val="12"/>
                <w:szCs w:val="12"/>
                <w:color w:val="auto"/>
              </w:rPr>
              <w:t>Independent Bank</w:t>
            </w:r>
          </w:p>
        </w:tc>
        <w:tc>
          <w:tcPr>
            <w:tcW w:w="20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00" w:type="dxa"/>
            <w:vAlign w:val="bottom"/>
          </w:tcPr>
          <w:p>
            <w:pPr>
              <w:ind w:left="100"/>
              <w:spacing w:after="0"/>
              <w:rPr>
                <w:sz w:val="20"/>
                <w:szCs w:val="20"/>
                <w:color w:val="auto"/>
              </w:rPr>
            </w:pPr>
            <w:r>
              <w:rPr>
                <w:rFonts w:ascii="Arial" w:cs="Arial" w:eastAsia="Arial" w:hAnsi="Arial"/>
                <w:sz w:val="12"/>
                <w:szCs w:val="12"/>
                <w:color w:val="auto"/>
              </w:rPr>
              <w:t>Grand Rapids, Michigan</w:t>
            </w:r>
          </w:p>
        </w:tc>
        <w:tc>
          <w:tcPr>
            <w:tcW w:w="20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Arial" w:cs="Arial" w:eastAsia="Arial" w:hAnsi="Arial"/>
                <w:sz w:val="12"/>
                <w:szCs w:val="12"/>
                <w:color w:val="auto"/>
                <w:w w:val="95"/>
              </w:rPr>
              <w:t>Michigan</w:t>
            </w:r>
          </w:p>
        </w:tc>
        <w:tc>
          <w:tcPr>
            <w:tcW w:w="0" w:type="dxa"/>
            <w:vAlign w:val="bottom"/>
          </w:tcPr>
          <w:p>
            <w:pPr>
              <w:spacing w:after="0"/>
              <w:rPr>
                <w:sz w:val="1"/>
                <w:szCs w:val="1"/>
                <w:color w:val="auto"/>
              </w:rPr>
            </w:pPr>
          </w:p>
        </w:tc>
      </w:tr>
      <w:tr>
        <w:trPr>
          <w:trHeight w:val="144"/>
        </w:trPr>
        <w:tc>
          <w:tcPr>
            <w:tcW w:w="4600" w:type="dxa"/>
            <w:vAlign w:val="bottom"/>
          </w:tcPr>
          <w:p>
            <w:pPr>
              <w:spacing w:after="0"/>
              <w:rPr>
                <w:sz w:val="20"/>
                <w:szCs w:val="20"/>
                <w:color w:val="auto"/>
              </w:rPr>
            </w:pPr>
            <w:r>
              <w:rPr>
                <w:rFonts w:ascii="Arial" w:cs="Arial" w:eastAsia="Arial" w:hAnsi="Arial"/>
                <w:sz w:val="12"/>
                <w:szCs w:val="12"/>
                <w:color w:val="auto"/>
              </w:rPr>
              <w:t>IB Advisory Services, Inc., Grand Rapids, Michigan</w:t>
            </w:r>
          </w:p>
        </w:tc>
        <w:tc>
          <w:tcPr>
            <w:tcW w:w="20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00" w:type="dxa"/>
            <w:vAlign w:val="bottom"/>
          </w:tcPr>
          <w:p>
            <w:pPr>
              <w:ind w:left="100"/>
              <w:spacing w:after="0"/>
              <w:rPr>
                <w:sz w:val="20"/>
                <w:szCs w:val="20"/>
                <w:color w:val="auto"/>
              </w:rPr>
            </w:pPr>
            <w:r>
              <w:rPr>
                <w:rFonts w:ascii="Arial" w:cs="Arial" w:eastAsia="Arial" w:hAnsi="Arial"/>
                <w:sz w:val="12"/>
                <w:szCs w:val="12"/>
                <w:color w:val="auto"/>
              </w:rPr>
              <w:t>(a subsidiary of Independent Bank)</w:t>
            </w:r>
          </w:p>
        </w:tc>
        <w:tc>
          <w:tcPr>
            <w:tcW w:w="20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Arial" w:cs="Arial" w:eastAsia="Arial" w:hAnsi="Arial"/>
                <w:sz w:val="12"/>
                <w:szCs w:val="12"/>
                <w:color w:val="auto"/>
                <w:w w:val="95"/>
              </w:rPr>
              <w:t>Michigan</w:t>
            </w:r>
          </w:p>
        </w:tc>
        <w:tc>
          <w:tcPr>
            <w:tcW w:w="0" w:type="dxa"/>
            <w:vAlign w:val="bottom"/>
          </w:tcPr>
          <w:p>
            <w:pPr>
              <w:spacing w:after="0"/>
              <w:rPr>
                <w:sz w:val="1"/>
                <w:szCs w:val="1"/>
                <w:color w:val="auto"/>
              </w:rPr>
            </w:pPr>
          </w:p>
        </w:tc>
      </w:tr>
      <w:tr>
        <w:trPr>
          <w:trHeight w:val="144"/>
        </w:trPr>
        <w:tc>
          <w:tcPr>
            <w:tcW w:w="4600" w:type="dxa"/>
            <w:vAlign w:val="bottom"/>
          </w:tcPr>
          <w:p>
            <w:pPr>
              <w:spacing w:after="0"/>
              <w:rPr>
                <w:sz w:val="20"/>
                <w:szCs w:val="20"/>
                <w:color w:val="auto"/>
              </w:rPr>
            </w:pPr>
            <w:r>
              <w:rPr>
                <w:rFonts w:ascii="Arial" w:cs="Arial" w:eastAsia="Arial" w:hAnsi="Arial"/>
                <w:sz w:val="12"/>
                <w:szCs w:val="12"/>
                <w:color w:val="auto"/>
              </w:rPr>
              <w:t>IB Insurance Services, Inc., Grand Rapids, Michigan</w:t>
            </w:r>
          </w:p>
        </w:tc>
        <w:tc>
          <w:tcPr>
            <w:tcW w:w="20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00" w:type="dxa"/>
            <w:vAlign w:val="bottom"/>
          </w:tcPr>
          <w:p>
            <w:pPr>
              <w:ind w:left="100"/>
              <w:spacing w:after="0"/>
              <w:rPr>
                <w:sz w:val="20"/>
                <w:szCs w:val="20"/>
                <w:color w:val="auto"/>
              </w:rPr>
            </w:pPr>
            <w:r>
              <w:rPr>
                <w:rFonts w:ascii="Arial" w:cs="Arial" w:eastAsia="Arial" w:hAnsi="Arial"/>
                <w:sz w:val="12"/>
                <w:szCs w:val="12"/>
                <w:color w:val="auto"/>
              </w:rPr>
              <w:t>(a subsidiary of Independent Bank)</w:t>
            </w:r>
          </w:p>
        </w:tc>
        <w:tc>
          <w:tcPr>
            <w:tcW w:w="20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Arial" w:cs="Arial" w:eastAsia="Arial" w:hAnsi="Arial"/>
                <w:sz w:val="12"/>
                <w:szCs w:val="12"/>
                <w:color w:val="auto"/>
                <w:w w:val="95"/>
              </w:rPr>
              <w:t>Michigan</w:t>
            </w:r>
          </w:p>
        </w:tc>
        <w:tc>
          <w:tcPr>
            <w:tcW w:w="0" w:type="dxa"/>
            <w:vAlign w:val="bottom"/>
          </w:tcPr>
          <w:p>
            <w:pPr>
              <w:spacing w:after="0"/>
              <w:rPr>
                <w:sz w:val="1"/>
                <w:szCs w:val="1"/>
                <w:color w:val="auto"/>
              </w:rPr>
            </w:pPr>
          </w:p>
        </w:tc>
      </w:tr>
      <w:tr>
        <w:trPr>
          <w:trHeight w:val="144"/>
        </w:trPr>
        <w:tc>
          <w:tcPr>
            <w:tcW w:w="4600" w:type="dxa"/>
            <w:vAlign w:val="bottom"/>
          </w:tcPr>
          <w:p>
            <w:pPr>
              <w:spacing w:after="0"/>
              <w:rPr>
                <w:sz w:val="20"/>
                <w:szCs w:val="20"/>
                <w:color w:val="auto"/>
              </w:rPr>
            </w:pPr>
            <w:r>
              <w:rPr>
                <w:rFonts w:ascii="Arial" w:cs="Arial" w:eastAsia="Arial" w:hAnsi="Arial"/>
                <w:sz w:val="12"/>
                <w:szCs w:val="12"/>
                <w:color w:val="auto"/>
              </w:rPr>
              <w:t>Independent Title Services, Inc., Grand Rapids, Michigan</w:t>
            </w:r>
          </w:p>
        </w:tc>
        <w:tc>
          <w:tcPr>
            <w:tcW w:w="20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00" w:type="dxa"/>
            <w:vAlign w:val="bottom"/>
          </w:tcPr>
          <w:p>
            <w:pPr>
              <w:ind w:left="100"/>
              <w:spacing w:after="0"/>
              <w:rPr>
                <w:sz w:val="20"/>
                <w:szCs w:val="20"/>
                <w:color w:val="auto"/>
              </w:rPr>
            </w:pPr>
            <w:r>
              <w:rPr>
                <w:rFonts w:ascii="Arial" w:cs="Arial" w:eastAsia="Arial" w:hAnsi="Arial"/>
                <w:sz w:val="12"/>
                <w:szCs w:val="12"/>
                <w:color w:val="auto"/>
              </w:rPr>
              <w:t>(a subsidiary of Independent Bank Corporation)</w:t>
            </w:r>
          </w:p>
        </w:tc>
        <w:tc>
          <w:tcPr>
            <w:tcW w:w="20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Arial" w:cs="Arial" w:eastAsia="Arial" w:hAnsi="Arial"/>
                <w:sz w:val="12"/>
                <w:szCs w:val="12"/>
                <w:color w:val="auto"/>
                <w:w w:val="95"/>
              </w:rPr>
              <w:t>Michigan</w:t>
            </w:r>
          </w:p>
        </w:tc>
        <w:tc>
          <w:tcPr>
            <w:tcW w:w="0" w:type="dxa"/>
            <w:vAlign w:val="bottom"/>
          </w:tcPr>
          <w:p>
            <w:pPr>
              <w:spacing w:after="0"/>
              <w:rPr>
                <w:sz w:val="1"/>
                <w:szCs w:val="1"/>
                <w:color w:val="auto"/>
              </w:rPr>
            </w:pPr>
          </w:p>
        </w:tc>
      </w:tr>
      <w:tr>
        <w:trPr>
          <w:trHeight w:val="144"/>
        </w:trPr>
        <w:tc>
          <w:tcPr>
            <w:tcW w:w="4600" w:type="dxa"/>
            <w:vAlign w:val="bottom"/>
          </w:tcPr>
          <w:p>
            <w:pPr>
              <w:spacing w:after="0"/>
              <w:rPr>
                <w:sz w:val="20"/>
                <w:szCs w:val="20"/>
                <w:color w:val="auto"/>
              </w:rPr>
            </w:pPr>
            <w:r>
              <w:rPr>
                <w:rFonts w:ascii="Arial" w:cs="Arial" w:eastAsia="Arial" w:hAnsi="Arial"/>
                <w:sz w:val="12"/>
                <w:szCs w:val="12"/>
                <w:color w:val="auto"/>
              </w:rPr>
              <w:t>Independent Life Insurance Trust, Grand Rapids, Michigan</w:t>
            </w:r>
          </w:p>
        </w:tc>
        <w:tc>
          <w:tcPr>
            <w:tcW w:w="20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600" w:type="dxa"/>
            <w:vAlign w:val="bottom"/>
          </w:tcPr>
          <w:p>
            <w:pPr>
              <w:ind w:left="100"/>
              <w:spacing w:after="0"/>
              <w:rPr>
                <w:sz w:val="20"/>
                <w:szCs w:val="20"/>
                <w:color w:val="auto"/>
              </w:rPr>
            </w:pPr>
            <w:r>
              <w:rPr>
                <w:rFonts w:ascii="Arial" w:cs="Arial" w:eastAsia="Arial" w:hAnsi="Arial"/>
                <w:sz w:val="12"/>
                <w:szCs w:val="12"/>
                <w:color w:val="auto"/>
              </w:rPr>
              <w:t>(a subsidiary of Independent Bank)</w:t>
            </w:r>
          </w:p>
        </w:tc>
        <w:tc>
          <w:tcPr>
            <w:tcW w:w="2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2"/>
                <w:szCs w:val="12"/>
                <w:color w:val="auto"/>
                <w:w w:val="95"/>
              </w:rPr>
              <w:t>Michigan</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4"/>
          <w:szCs w:val="14"/>
          <w:color w:val="auto"/>
        </w:rPr>
        <w:t>Note: Table excludes insignificant subsidiaries, such as single-member limited liability companies formed solely to hold other real estate.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260985</wp:posOffset>
            </wp:positionV>
            <wp:extent cx="7178040" cy="114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sectPr>
      </w:pPr>
    </w:p>
    <w:bookmarkStart w:id="131" w:name="page132"/>
    <w:bookmarkEnd w:id="131"/>
    <w:p>
      <w:pPr>
        <w:jc w:val="right"/>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228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2">
                      <a:extLst>
                        <a:ext uri="{28A0092B-C50C-407E-A947-70E740481C1C}"/>
                      </a:extLst>
                    </a:blip>
                    <a:srcRect/>
                    <a:stretch>
                      <a:fillRect/>
                    </a:stretch>
                  </pic:blipFill>
                  <pic:spPr bwMode="auto">
                    <a:xfrm>
                      <a:off x="0" y="0"/>
                      <a:ext cx="7178040" cy="22860"/>
                    </a:xfrm>
                    <a:prstGeom prst="rect">
                      <a:avLst/>
                    </a:prstGeom>
                    <a:noFill/>
                  </pic:spPr>
                </pic:pic>
              </a:graphicData>
            </a:graphic>
          </wp:anchor>
        </w:drawing>
        <w:t>EXHIBIT 23</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167"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4"/>
          <w:szCs w:val="14"/>
          <w:color w:val="auto"/>
        </w:rPr>
        <w:t>We consent to the incorporation by reference in the Registration Statements (Nos. 333-89072, 333-125484, 333-189437, 333-221177, 333-222358 and 333-255976) on Forms S-8 of Independent Bank Corporation of our report dated March 4, 2022 with respect to the consolidated financial statements and effectiveness of internal control over financial reporting, appearing in this Annual Report on Form 10-K for the year ended December 31, 2021.</w:t>
      </w:r>
    </w:p>
    <w:p>
      <w:pPr>
        <w:spacing w:after="0" w:line="136"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/s/ Crowe LLP</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South Bend, Indiana</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March 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255270</wp:posOffset>
            </wp:positionV>
            <wp:extent cx="7178040" cy="114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sectPr>
      </w:pPr>
    </w:p>
    <w:bookmarkStart w:id="132" w:name="page133"/>
    <w:bookmarkEnd w:id="132"/>
    <w:p>
      <w:pPr>
        <w:jc w:val="right"/>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228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4">
                      <a:extLst>
                        <a:ext uri="{28A0092B-C50C-407E-A947-70E740481C1C}"/>
                      </a:extLst>
                    </a:blip>
                    <a:srcRect/>
                    <a:stretch>
                      <a:fillRect/>
                    </a:stretch>
                  </pic:blipFill>
                  <pic:spPr bwMode="auto">
                    <a:xfrm>
                      <a:off x="0" y="0"/>
                      <a:ext cx="7178040" cy="22860"/>
                    </a:xfrm>
                    <a:prstGeom prst="rect">
                      <a:avLst/>
                    </a:prstGeom>
                    <a:noFill/>
                  </pic:spPr>
                </pic:pic>
              </a:graphicData>
            </a:graphic>
          </wp:anchor>
        </w:drawing>
        <w:t>EXHIBIT 31.1</w:t>
      </w:r>
    </w:p>
    <w:p>
      <w:pPr>
        <w:spacing w:after="0" w:line="163"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CERTIFICATION</w:t>
      </w:r>
    </w:p>
    <w:p>
      <w:pPr>
        <w:spacing w:after="0" w:line="163" w:lineRule="exact"/>
        <w:rPr>
          <w:sz w:val="20"/>
          <w:szCs w:val="20"/>
          <w:color w:val="auto"/>
        </w:rPr>
      </w:pPr>
    </w:p>
    <w:p>
      <w:pPr>
        <w:ind w:left="8"/>
        <w:spacing w:after="0"/>
        <w:rPr>
          <w:sz w:val="20"/>
          <w:szCs w:val="20"/>
          <w:color w:val="auto"/>
        </w:rPr>
      </w:pPr>
      <w:r>
        <w:rPr>
          <w:rFonts w:ascii="Arial" w:cs="Arial" w:eastAsia="Arial" w:hAnsi="Arial"/>
          <w:sz w:val="14"/>
          <w:szCs w:val="14"/>
          <w:color w:val="auto"/>
        </w:rPr>
        <w:t>I, William B. Kessel, certify that:</w:t>
      </w:r>
    </w:p>
    <w:p>
      <w:pPr>
        <w:spacing w:after="0" w:line="168" w:lineRule="exact"/>
        <w:rPr>
          <w:sz w:val="20"/>
          <w:szCs w:val="20"/>
          <w:color w:val="auto"/>
        </w:rPr>
      </w:pPr>
    </w:p>
    <w:p>
      <w:pPr>
        <w:ind w:left="428" w:hanging="428"/>
        <w:spacing w:after="0"/>
        <w:tabs>
          <w:tab w:leader="none" w:pos="428" w:val="left"/>
        </w:tabs>
        <w:numPr>
          <w:ilvl w:val="0"/>
          <w:numId w:val="42"/>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Independent Bank Corporation;</w:t>
      </w:r>
    </w:p>
    <w:p>
      <w:pPr>
        <w:spacing w:after="0" w:line="14" w:lineRule="exact"/>
        <w:rPr>
          <w:rFonts w:ascii="Arial" w:cs="Arial" w:eastAsia="Arial" w:hAnsi="Arial"/>
          <w:sz w:val="12"/>
          <w:szCs w:val="12"/>
          <w:color w:val="auto"/>
        </w:rPr>
      </w:pPr>
    </w:p>
    <w:p>
      <w:pPr>
        <w:ind w:left="428" w:hanging="428"/>
        <w:spacing w:after="0" w:line="250" w:lineRule="auto"/>
        <w:tabs>
          <w:tab w:leader="none" w:pos="428" w:val="left"/>
        </w:tabs>
        <w:numPr>
          <w:ilvl w:val="0"/>
          <w:numId w:val="42"/>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28" w:hanging="428"/>
        <w:spacing w:after="0" w:line="250" w:lineRule="auto"/>
        <w:tabs>
          <w:tab w:leader="none" w:pos="428" w:val="left"/>
        </w:tabs>
        <w:numPr>
          <w:ilvl w:val="0"/>
          <w:numId w:val="42"/>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428" w:hanging="428"/>
        <w:spacing w:after="0" w:line="250" w:lineRule="auto"/>
        <w:tabs>
          <w:tab w:leader="none" w:pos="428" w:val="left"/>
        </w:tabs>
        <w:numPr>
          <w:ilvl w:val="0"/>
          <w:numId w:val="42"/>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15.15(f)) for the registrant and have:</w:t>
      </w:r>
    </w:p>
    <w:p>
      <w:pPr>
        <w:ind w:left="868" w:hanging="436"/>
        <w:spacing w:after="0" w:line="250" w:lineRule="auto"/>
        <w:tabs>
          <w:tab w:leader="none" w:pos="868" w:val="left"/>
        </w:tabs>
        <w:numPr>
          <w:ilvl w:val="1"/>
          <w:numId w:val="42"/>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868" w:hanging="436"/>
        <w:spacing w:after="0" w:line="250" w:lineRule="auto"/>
        <w:tabs>
          <w:tab w:leader="none" w:pos="868" w:val="left"/>
        </w:tabs>
        <w:numPr>
          <w:ilvl w:val="1"/>
          <w:numId w:val="42"/>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868" w:hanging="436"/>
        <w:spacing w:after="0" w:line="250" w:lineRule="auto"/>
        <w:tabs>
          <w:tab w:leader="none" w:pos="868" w:val="left"/>
        </w:tabs>
        <w:numPr>
          <w:ilvl w:val="1"/>
          <w:numId w:val="42"/>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868" w:hanging="436"/>
        <w:spacing w:after="0" w:line="250" w:lineRule="auto"/>
        <w:tabs>
          <w:tab w:leader="none" w:pos="868" w:val="left"/>
        </w:tabs>
        <w:numPr>
          <w:ilvl w:val="1"/>
          <w:numId w:val="42"/>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428" w:hanging="428"/>
        <w:spacing w:after="0" w:line="250" w:lineRule="auto"/>
        <w:tabs>
          <w:tab w:leader="none" w:pos="428" w:val="left"/>
        </w:tabs>
        <w:numPr>
          <w:ilvl w:val="0"/>
          <w:numId w:val="42"/>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868" w:right="20" w:hanging="436"/>
        <w:spacing w:after="0" w:line="250" w:lineRule="auto"/>
        <w:tabs>
          <w:tab w:leader="none" w:pos="868" w:val="left"/>
        </w:tabs>
        <w:numPr>
          <w:ilvl w:val="1"/>
          <w:numId w:val="42"/>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868" w:hanging="436"/>
        <w:spacing w:after="0"/>
        <w:tabs>
          <w:tab w:leader="none" w:pos="868" w:val="left"/>
        </w:tabs>
        <w:numPr>
          <w:ilvl w:val="1"/>
          <w:numId w:val="42"/>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controls over financial reporting.</w:t>
      </w:r>
    </w:p>
    <w:p>
      <w:pPr>
        <w:spacing w:after="0" w:line="147"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5660" w:type="dxa"/>
            <w:vAlign w:val="bottom"/>
          </w:tcPr>
          <w:p>
            <w:pPr>
              <w:spacing w:after="0"/>
              <w:rPr>
                <w:sz w:val="20"/>
                <w:szCs w:val="20"/>
                <w:color w:val="auto"/>
              </w:rPr>
            </w:pPr>
            <w:r>
              <w:rPr>
                <w:rFonts w:ascii="Arial" w:cs="Arial" w:eastAsia="Arial" w:hAnsi="Arial"/>
                <w:sz w:val="12"/>
                <w:szCs w:val="12"/>
                <w:color w:val="auto"/>
              </w:rPr>
              <w:t>Date: March 4, 2022</w:t>
            </w:r>
          </w:p>
        </w:tc>
        <w:tc>
          <w:tcPr>
            <w:tcW w:w="1020" w:type="dxa"/>
            <w:vAlign w:val="bottom"/>
            <w:tcBorders>
              <w:bottom w:val="single" w:sz="8" w:color="auto"/>
            </w:tcBorders>
          </w:tcPr>
          <w:p>
            <w:pPr>
              <w:spacing w:after="0"/>
              <w:rPr>
                <w:sz w:val="20"/>
                <w:szCs w:val="20"/>
                <w:color w:val="auto"/>
              </w:rPr>
            </w:pPr>
            <w:r>
              <w:rPr>
                <w:rFonts w:ascii="Arial" w:cs="Arial" w:eastAsia="Arial" w:hAnsi="Arial"/>
                <w:sz w:val="12"/>
                <w:szCs w:val="12"/>
                <w:color w:val="auto"/>
                <w:w w:val="91"/>
              </w:rPr>
              <w:t>/s/ William B. Kessel</w:t>
            </w:r>
          </w:p>
        </w:tc>
        <w:tc>
          <w:tcPr>
            <w:tcW w:w="4620" w:type="dxa"/>
            <w:vAlign w:val="bottom"/>
          </w:tcPr>
          <w:p>
            <w:pPr>
              <w:spacing w:after="0"/>
              <w:rPr>
                <w:sz w:val="12"/>
                <w:szCs w:val="12"/>
                <w:color w:val="auto"/>
              </w:rPr>
            </w:pPr>
          </w:p>
        </w:tc>
      </w:tr>
      <w:tr>
        <w:trPr>
          <w:trHeight w:val="142"/>
        </w:trPr>
        <w:tc>
          <w:tcPr>
            <w:tcW w:w="5660" w:type="dxa"/>
            <w:vAlign w:val="bottom"/>
          </w:tcPr>
          <w:p>
            <w:pPr>
              <w:spacing w:after="0"/>
              <w:rPr>
                <w:sz w:val="12"/>
                <w:szCs w:val="12"/>
                <w:color w:val="auto"/>
              </w:rPr>
            </w:pPr>
          </w:p>
        </w:tc>
        <w:tc>
          <w:tcPr>
            <w:tcW w:w="5640" w:type="dxa"/>
            <w:vAlign w:val="bottom"/>
            <w:gridSpan w:val="2"/>
          </w:tcPr>
          <w:p>
            <w:pPr>
              <w:ind w:left="220"/>
              <w:spacing w:after="0"/>
              <w:rPr>
                <w:sz w:val="20"/>
                <w:szCs w:val="20"/>
                <w:color w:val="auto"/>
              </w:rPr>
            </w:pPr>
            <w:r>
              <w:rPr>
                <w:rFonts w:ascii="Arial" w:cs="Arial" w:eastAsia="Arial" w:hAnsi="Arial"/>
                <w:sz w:val="12"/>
                <w:szCs w:val="12"/>
                <w:color w:val="auto"/>
              </w:rPr>
              <w:t>William B. Kessel</w:t>
            </w:r>
          </w:p>
        </w:tc>
      </w:tr>
      <w:tr>
        <w:trPr>
          <w:trHeight w:val="153"/>
        </w:trPr>
        <w:tc>
          <w:tcPr>
            <w:tcW w:w="5660" w:type="dxa"/>
            <w:vAlign w:val="bottom"/>
          </w:tcPr>
          <w:p>
            <w:pPr>
              <w:spacing w:after="0"/>
              <w:rPr>
                <w:sz w:val="13"/>
                <w:szCs w:val="13"/>
                <w:color w:val="auto"/>
              </w:rPr>
            </w:pPr>
          </w:p>
        </w:tc>
        <w:tc>
          <w:tcPr>
            <w:tcW w:w="5640" w:type="dxa"/>
            <w:vAlign w:val="bottom"/>
            <w:gridSpan w:val="2"/>
          </w:tcPr>
          <w:p>
            <w:pPr>
              <w:ind w:left="220"/>
              <w:spacing w:after="0"/>
              <w:rPr>
                <w:sz w:val="20"/>
                <w:szCs w:val="20"/>
                <w:color w:val="auto"/>
              </w:rPr>
            </w:pPr>
            <w:r>
              <w:rPr>
                <w:rFonts w:ascii="Arial" w:cs="Arial" w:eastAsia="Arial" w:hAnsi="Arial"/>
                <w:sz w:val="12"/>
                <w:szCs w:val="12"/>
                <w:color w:val="auto"/>
              </w:rPr>
              <w:t>President and Chief Executive Officer</w:t>
            </w:r>
          </w:p>
        </w:tc>
      </w:tr>
      <w:tr>
        <w:trPr>
          <w:trHeight w:val="396"/>
        </w:trPr>
        <w:tc>
          <w:tcPr>
            <w:tcW w:w="56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8"/>
          </w:cols>
          <w:pgMar w:left="292" w:top="233" w:right="299" w:bottom="1440" w:gutter="0" w:footer="0" w:header="0"/>
        </w:sectPr>
      </w:pPr>
    </w:p>
    <w:bookmarkStart w:id="133" w:name="page134"/>
    <w:bookmarkEnd w:id="133"/>
    <w:p>
      <w:pPr>
        <w:jc w:val="right"/>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228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5">
                      <a:extLst>
                        <a:ext uri="{28A0092B-C50C-407E-A947-70E740481C1C}"/>
                      </a:extLst>
                    </a:blip>
                    <a:srcRect/>
                    <a:stretch>
                      <a:fillRect/>
                    </a:stretch>
                  </pic:blipFill>
                  <pic:spPr bwMode="auto">
                    <a:xfrm>
                      <a:off x="0" y="0"/>
                      <a:ext cx="7178040" cy="22860"/>
                    </a:xfrm>
                    <a:prstGeom prst="rect">
                      <a:avLst/>
                    </a:prstGeom>
                    <a:noFill/>
                  </pic:spPr>
                </pic:pic>
              </a:graphicData>
            </a:graphic>
          </wp:anchor>
        </w:drawing>
        <w:t>EXHIBIT 31.2</w:t>
      </w:r>
    </w:p>
    <w:p>
      <w:pPr>
        <w:spacing w:after="0" w:line="163"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CERTIFICATION</w:t>
      </w:r>
    </w:p>
    <w:p>
      <w:pPr>
        <w:spacing w:after="0" w:line="163" w:lineRule="exact"/>
        <w:rPr>
          <w:sz w:val="20"/>
          <w:szCs w:val="20"/>
          <w:color w:val="auto"/>
        </w:rPr>
      </w:pPr>
    </w:p>
    <w:p>
      <w:pPr>
        <w:ind w:left="8"/>
        <w:spacing w:after="0"/>
        <w:rPr>
          <w:sz w:val="20"/>
          <w:szCs w:val="20"/>
          <w:color w:val="auto"/>
        </w:rPr>
      </w:pPr>
      <w:r>
        <w:rPr>
          <w:rFonts w:ascii="Arial" w:cs="Arial" w:eastAsia="Arial" w:hAnsi="Arial"/>
          <w:sz w:val="14"/>
          <w:szCs w:val="14"/>
          <w:color w:val="auto"/>
        </w:rPr>
        <w:t>I, Gavin A. Mohr, certify that:</w:t>
      </w:r>
    </w:p>
    <w:p>
      <w:pPr>
        <w:spacing w:after="0" w:line="168" w:lineRule="exact"/>
        <w:rPr>
          <w:sz w:val="20"/>
          <w:szCs w:val="20"/>
          <w:color w:val="auto"/>
        </w:rPr>
      </w:pPr>
    </w:p>
    <w:p>
      <w:pPr>
        <w:ind w:left="428" w:hanging="428"/>
        <w:spacing w:after="0"/>
        <w:tabs>
          <w:tab w:leader="none" w:pos="428" w:val="left"/>
        </w:tabs>
        <w:numPr>
          <w:ilvl w:val="0"/>
          <w:numId w:val="43"/>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Independent Bank Corporation;</w:t>
      </w:r>
    </w:p>
    <w:p>
      <w:pPr>
        <w:spacing w:after="0" w:line="14" w:lineRule="exact"/>
        <w:rPr>
          <w:rFonts w:ascii="Arial" w:cs="Arial" w:eastAsia="Arial" w:hAnsi="Arial"/>
          <w:sz w:val="12"/>
          <w:szCs w:val="12"/>
          <w:color w:val="auto"/>
        </w:rPr>
      </w:pPr>
    </w:p>
    <w:p>
      <w:pPr>
        <w:ind w:left="428" w:hanging="428"/>
        <w:spacing w:after="0" w:line="250" w:lineRule="auto"/>
        <w:tabs>
          <w:tab w:leader="none" w:pos="428" w:val="left"/>
        </w:tabs>
        <w:numPr>
          <w:ilvl w:val="0"/>
          <w:numId w:val="43"/>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28" w:hanging="428"/>
        <w:spacing w:after="0" w:line="250" w:lineRule="auto"/>
        <w:tabs>
          <w:tab w:leader="none" w:pos="428" w:val="left"/>
        </w:tabs>
        <w:numPr>
          <w:ilvl w:val="0"/>
          <w:numId w:val="43"/>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428" w:hanging="428"/>
        <w:spacing w:after="0" w:line="250" w:lineRule="auto"/>
        <w:tabs>
          <w:tab w:leader="none" w:pos="428" w:val="left"/>
        </w:tabs>
        <w:numPr>
          <w:ilvl w:val="0"/>
          <w:numId w:val="43"/>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15.15(f)) for the registrant and have:</w:t>
      </w:r>
    </w:p>
    <w:p>
      <w:pPr>
        <w:ind w:left="868" w:hanging="436"/>
        <w:spacing w:after="0" w:line="250" w:lineRule="auto"/>
        <w:tabs>
          <w:tab w:leader="none" w:pos="868" w:val="left"/>
        </w:tabs>
        <w:numPr>
          <w:ilvl w:val="1"/>
          <w:numId w:val="43"/>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868" w:hanging="436"/>
        <w:spacing w:after="0" w:line="250" w:lineRule="auto"/>
        <w:tabs>
          <w:tab w:leader="none" w:pos="868" w:val="left"/>
        </w:tabs>
        <w:numPr>
          <w:ilvl w:val="1"/>
          <w:numId w:val="43"/>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868" w:hanging="436"/>
        <w:spacing w:after="0" w:line="250" w:lineRule="auto"/>
        <w:tabs>
          <w:tab w:leader="none" w:pos="868" w:val="left"/>
        </w:tabs>
        <w:numPr>
          <w:ilvl w:val="1"/>
          <w:numId w:val="43"/>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868" w:hanging="436"/>
        <w:spacing w:after="0" w:line="250" w:lineRule="auto"/>
        <w:tabs>
          <w:tab w:leader="none" w:pos="868" w:val="left"/>
        </w:tabs>
        <w:numPr>
          <w:ilvl w:val="1"/>
          <w:numId w:val="43"/>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428" w:hanging="428"/>
        <w:spacing w:after="0" w:line="250" w:lineRule="auto"/>
        <w:tabs>
          <w:tab w:leader="none" w:pos="428" w:val="left"/>
        </w:tabs>
        <w:numPr>
          <w:ilvl w:val="0"/>
          <w:numId w:val="43"/>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868" w:right="20" w:hanging="436"/>
        <w:spacing w:after="0" w:line="250" w:lineRule="auto"/>
        <w:tabs>
          <w:tab w:leader="none" w:pos="868" w:val="left"/>
        </w:tabs>
        <w:numPr>
          <w:ilvl w:val="1"/>
          <w:numId w:val="43"/>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868" w:hanging="436"/>
        <w:spacing w:after="0"/>
        <w:tabs>
          <w:tab w:leader="none" w:pos="868" w:val="left"/>
        </w:tabs>
        <w:numPr>
          <w:ilvl w:val="1"/>
          <w:numId w:val="43"/>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controls over financial reporting.</w:t>
      </w:r>
    </w:p>
    <w:p>
      <w:pPr>
        <w:spacing w:after="0" w:line="147"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5660" w:type="dxa"/>
            <w:vAlign w:val="bottom"/>
          </w:tcPr>
          <w:p>
            <w:pPr>
              <w:spacing w:after="0"/>
              <w:rPr>
                <w:sz w:val="20"/>
                <w:szCs w:val="20"/>
                <w:color w:val="auto"/>
              </w:rPr>
            </w:pPr>
            <w:r>
              <w:rPr>
                <w:rFonts w:ascii="Arial" w:cs="Arial" w:eastAsia="Arial" w:hAnsi="Arial"/>
                <w:sz w:val="12"/>
                <w:szCs w:val="12"/>
                <w:color w:val="auto"/>
              </w:rPr>
              <w:t>Date: March 4, 2022</w:t>
            </w:r>
          </w:p>
        </w:tc>
        <w:tc>
          <w:tcPr>
            <w:tcW w:w="880" w:type="dxa"/>
            <w:vAlign w:val="bottom"/>
            <w:tcBorders>
              <w:bottom w:val="single" w:sz="8" w:color="auto"/>
            </w:tcBorders>
          </w:tcPr>
          <w:p>
            <w:pPr>
              <w:spacing w:after="0"/>
              <w:rPr>
                <w:sz w:val="20"/>
                <w:szCs w:val="20"/>
                <w:color w:val="auto"/>
              </w:rPr>
            </w:pPr>
            <w:r>
              <w:rPr>
                <w:rFonts w:ascii="Arial" w:cs="Arial" w:eastAsia="Arial" w:hAnsi="Arial"/>
                <w:sz w:val="12"/>
                <w:szCs w:val="12"/>
                <w:color w:val="auto"/>
                <w:w w:val="92"/>
              </w:rPr>
              <w:t>/s/ Gavin A. Mohr</w:t>
            </w:r>
          </w:p>
        </w:tc>
        <w:tc>
          <w:tcPr>
            <w:tcW w:w="4760" w:type="dxa"/>
            <w:vAlign w:val="bottom"/>
          </w:tcPr>
          <w:p>
            <w:pPr>
              <w:spacing w:after="0"/>
              <w:rPr>
                <w:sz w:val="12"/>
                <w:szCs w:val="12"/>
                <w:color w:val="auto"/>
              </w:rPr>
            </w:pPr>
          </w:p>
        </w:tc>
      </w:tr>
      <w:tr>
        <w:trPr>
          <w:trHeight w:val="142"/>
        </w:trPr>
        <w:tc>
          <w:tcPr>
            <w:tcW w:w="5660" w:type="dxa"/>
            <w:vAlign w:val="bottom"/>
          </w:tcPr>
          <w:p>
            <w:pPr>
              <w:spacing w:after="0"/>
              <w:rPr>
                <w:sz w:val="12"/>
                <w:szCs w:val="12"/>
                <w:color w:val="auto"/>
              </w:rPr>
            </w:pPr>
          </w:p>
        </w:tc>
        <w:tc>
          <w:tcPr>
            <w:tcW w:w="5640" w:type="dxa"/>
            <w:vAlign w:val="bottom"/>
            <w:gridSpan w:val="2"/>
          </w:tcPr>
          <w:p>
            <w:pPr>
              <w:ind w:left="220"/>
              <w:spacing w:after="0"/>
              <w:rPr>
                <w:sz w:val="20"/>
                <w:szCs w:val="20"/>
                <w:color w:val="auto"/>
              </w:rPr>
            </w:pPr>
            <w:r>
              <w:rPr>
                <w:rFonts w:ascii="Arial" w:cs="Arial" w:eastAsia="Arial" w:hAnsi="Arial"/>
                <w:sz w:val="12"/>
                <w:szCs w:val="12"/>
                <w:color w:val="auto"/>
              </w:rPr>
              <w:t>Gavin A. Mohr</w:t>
            </w:r>
          </w:p>
        </w:tc>
      </w:tr>
      <w:tr>
        <w:trPr>
          <w:trHeight w:val="153"/>
        </w:trPr>
        <w:tc>
          <w:tcPr>
            <w:tcW w:w="5660" w:type="dxa"/>
            <w:vAlign w:val="bottom"/>
          </w:tcPr>
          <w:p>
            <w:pPr>
              <w:spacing w:after="0"/>
              <w:rPr>
                <w:sz w:val="13"/>
                <w:szCs w:val="13"/>
                <w:color w:val="auto"/>
              </w:rPr>
            </w:pPr>
          </w:p>
        </w:tc>
        <w:tc>
          <w:tcPr>
            <w:tcW w:w="5640" w:type="dxa"/>
            <w:vAlign w:val="bottom"/>
            <w:gridSpan w:val="2"/>
          </w:tcPr>
          <w:p>
            <w:pPr>
              <w:ind w:left="220"/>
              <w:spacing w:after="0"/>
              <w:rPr>
                <w:sz w:val="20"/>
                <w:szCs w:val="20"/>
                <w:color w:val="auto"/>
              </w:rPr>
            </w:pPr>
            <w:r>
              <w:rPr>
                <w:rFonts w:ascii="Arial" w:cs="Arial" w:eastAsia="Arial" w:hAnsi="Arial"/>
                <w:sz w:val="12"/>
                <w:szCs w:val="12"/>
                <w:color w:val="auto"/>
              </w:rPr>
              <w:t>Chief Financial Officer</w:t>
            </w:r>
          </w:p>
        </w:tc>
      </w:tr>
      <w:tr>
        <w:trPr>
          <w:trHeight w:val="396"/>
        </w:trPr>
        <w:tc>
          <w:tcPr>
            <w:tcW w:w="56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r>
    </w:tbl>
    <w:p>
      <w:pPr>
        <w:sectPr>
          <w:pgSz w:w="11900" w:h="16838" w:orient="portrait"/>
          <w:cols w:equalWidth="0" w:num="1">
            <w:col w:w="11308"/>
          </w:cols>
          <w:pgMar w:left="292" w:top="233" w:right="299" w:bottom="1440" w:gutter="0" w:footer="0" w:header="0"/>
        </w:sectPr>
      </w:pPr>
    </w:p>
    <w:bookmarkStart w:id="134" w:name="page135"/>
    <w:bookmarkEnd w:id="134"/>
    <w:p>
      <w:pPr>
        <w:jc w:val="right"/>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228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6">
                      <a:extLst>
                        <a:ext uri="{28A0092B-C50C-407E-A947-70E740481C1C}"/>
                      </a:extLst>
                    </a:blip>
                    <a:srcRect/>
                    <a:stretch>
                      <a:fillRect/>
                    </a:stretch>
                  </pic:blipFill>
                  <pic:spPr bwMode="auto">
                    <a:xfrm>
                      <a:off x="0" y="0"/>
                      <a:ext cx="7178040" cy="22860"/>
                    </a:xfrm>
                    <a:prstGeom prst="rect">
                      <a:avLst/>
                    </a:prstGeom>
                    <a:noFill/>
                  </pic:spPr>
                </pic:pic>
              </a:graphicData>
            </a:graphic>
          </wp:anchor>
        </w:drawing>
        <w:t>EXHIBIT 32.1</w:t>
      </w:r>
    </w:p>
    <w:p>
      <w:pPr>
        <w:spacing w:after="0" w:line="163"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CERTIFICATE OF THE</w:t>
      </w:r>
    </w:p>
    <w:p>
      <w:pPr>
        <w:spacing w:after="0" w:line="13"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CHIEF EXECUTIVE OFFICER OF</w:t>
      </w:r>
    </w:p>
    <w:p>
      <w:pPr>
        <w:spacing w:after="0" w:line="1"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INDEPENDENT BANK CORPORATION</w:t>
      </w:r>
    </w:p>
    <w:p>
      <w:pPr>
        <w:spacing w:after="0" w:line="151" w:lineRule="exact"/>
        <w:rPr>
          <w:sz w:val="20"/>
          <w:szCs w:val="20"/>
          <w:color w:val="auto"/>
        </w:rPr>
      </w:pPr>
    </w:p>
    <w:p>
      <w:pPr>
        <w:ind w:left="8"/>
        <w:spacing w:after="0"/>
        <w:rPr>
          <w:sz w:val="20"/>
          <w:szCs w:val="20"/>
          <w:color w:val="auto"/>
        </w:rPr>
      </w:pPr>
      <w:r>
        <w:rPr>
          <w:rFonts w:ascii="Arial" w:cs="Arial" w:eastAsia="Arial" w:hAnsi="Arial"/>
          <w:sz w:val="14"/>
          <w:szCs w:val="14"/>
          <w:color w:val="auto"/>
        </w:rPr>
        <w:t>Pursuant to Section 906 of the Sarbanes-Oxley Act of 2002:</w:t>
      </w:r>
    </w:p>
    <w:p>
      <w:pPr>
        <w:spacing w:after="0" w:line="163" w:lineRule="exact"/>
        <w:rPr>
          <w:sz w:val="20"/>
          <w:szCs w:val="20"/>
          <w:color w:val="auto"/>
        </w:rPr>
      </w:pPr>
    </w:p>
    <w:p>
      <w:pPr>
        <w:ind w:left="8"/>
        <w:spacing w:after="0"/>
        <w:rPr>
          <w:sz w:val="20"/>
          <w:szCs w:val="20"/>
          <w:color w:val="auto"/>
        </w:rPr>
      </w:pPr>
      <w:r>
        <w:rPr>
          <w:rFonts w:ascii="Arial" w:cs="Arial" w:eastAsia="Arial" w:hAnsi="Arial"/>
          <w:sz w:val="14"/>
          <w:szCs w:val="14"/>
          <w:color w:val="auto"/>
        </w:rPr>
        <w:t>I, William B. Kessel, President and Chief Executive Officer of Independent Bank Corporation, certify pursuant to Section 906 of the Sarbanes-Oxley Act of 2002 that:</w:t>
      </w:r>
    </w:p>
    <w:p>
      <w:pPr>
        <w:spacing w:after="0" w:line="168" w:lineRule="exact"/>
        <w:rPr>
          <w:sz w:val="20"/>
          <w:szCs w:val="20"/>
          <w:color w:val="auto"/>
        </w:rPr>
      </w:pPr>
    </w:p>
    <w:p>
      <w:pPr>
        <w:ind w:left="208" w:hanging="208"/>
        <w:spacing w:after="0"/>
        <w:tabs>
          <w:tab w:leader="none" w:pos="208" w:val="left"/>
        </w:tabs>
        <w:numPr>
          <w:ilvl w:val="0"/>
          <w:numId w:val="44"/>
        </w:numPr>
        <w:rPr>
          <w:rFonts w:ascii="Arial" w:cs="Arial" w:eastAsia="Arial" w:hAnsi="Arial"/>
          <w:sz w:val="11"/>
          <w:szCs w:val="11"/>
          <w:color w:val="auto"/>
        </w:rPr>
      </w:pPr>
      <w:r>
        <w:rPr>
          <w:rFonts w:ascii="Arial" w:cs="Arial" w:eastAsia="Arial" w:hAnsi="Arial"/>
          <w:sz w:val="11"/>
          <w:szCs w:val="11"/>
          <w:color w:val="auto"/>
        </w:rPr>
        <w:t>The annual report on Form 10-K for the annual period ended December 31, 2021, which this statement accompanies, fully complies with requirements of Section 13(a) or 15(d) of the Securities Exchange Act of 1934 and;</w:t>
      </w:r>
    </w:p>
    <w:p>
      <w:pPr>
        <w:spacing w:after="0" w:line="179" w:lineRule="exact"/>
        <w:rPr>
          <w:rFonts w:ascii="Arial" w:cs="Arial" w:eastAsia="Arial" w:hAnsi="Arial"/>
          <w:sz w:val="11"/>
          <w:szCs w:val="11"/>
          <w:color w:val="auto"/>
        </w:rPr>
      </w:pPr>
    </w:p>
    <w:p>
      <w:pPr>
        <w:ind w:left="208" w:right="20" w:hanging="208"/>
        <w:spacing w:after="0" w:line="276" w:lineRule="auto"/>
        <w:tabs>
          <w:tab w:leader="none" w:pos="208" w:val="left"/>
        </w:tabs>
        <w:numPr>
          <w:ilvl w:val="0"/>
          <w:numId w:val="44"/>
        </w:numPr>
        <w:rPr>
          <w:rFonts w:ascii="Arial" w:cs="Arial" w:eastAsia="Arial" w:hAnsi="Arial"/>
          <w:sz w:val="12"/>
          <w:szCs w:val="12"/>
          <w:color w:val="auto"/>
        </w:rPr>
      </w:pPr>
      <w:r>
        <w:rPr>
          <w:rFonts w:ascii="Arial" w:cs="Arial" w:eastAsia="Arial" w:hAnsi="Arial"/>
          <w:sz w:val="12"/>
          <w:szCs w:val="12"/>
          <w:color w:val="auto"/>
        </w:rPr>
        <w:t>The information contained in this annual report on Form 10-K for the annual period ended December 31, 2021, fairly presents, in all material respects, the financial condition and results of operations of Independent Bank Corporation.</w:t>
      </w:r>
    </w:p>
    <w:p>
      <w:pPr>
        <w:spacing w:after="0" w:line="121"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5660" w:type="dxa"/>
            <w:vAlign w:val="bottom"/>
          </w:tcPr>
          <w:p>
            <w:pPr>
              <w:spacing w:after="0"/>
              <w:rPr>
                <w:sz w:val="20"/>
                <w:szCs w:val="20"/>
                <w:color w:val="auto"/>
              </w:rPr>
            </w:pPr>
            <w:r>
              <w:rPr>
                <w:rFonts w:ascii="Arial" w:cs="Arial" w:eastAsia="Arial" w:hAnsi="Arial"/>
                <w:sz w:val="12"/>
                <w:szCs w:val="12"/>
                <w:color w:val="auto"/>
              </w:rPr>
              <w:t>Date: March 4, 2022</w:t>
            </w:r>
          </w:p>
        </w:tc>
        <w:tc>
          <w:tcPr>
            <w:tcW w:w="1020" w:type="dxa"/>
            <w:vAlign w:val="bottom"/>
            <w:tcBorders>
              <w:bottom w:val="single" w:sz="8" w:color="auto"/>
            </w:tcBorders>
          </w:tcPr>
          <w:p>
            <w:pPr>
              <w:spacing w:after="0"/>
              <w:rPr>
                <w:sz w:val="20"/>
                <w:szCs w:val="20"/>
                <w:color w:val="auto"/>
              </w:rPr>
            </w:pPr>
            <w:r>
              <w:rPr>
                <w:rFonts w:ascii="Arial" w:cs="Arial" w:eastAsia="Arial" w:hAnsi="Arial"/>
                <w:sz w:val="12"/>
                <w:szCs w:val="12"/>
                <w:color w:val="auto"/>
                <w:w w:val="91"/>
              </w:rPr>
              <w:t>/s/ William B. Kessel</w:t>
            </w:r>
          </w:p>
        </w:tc>
        <w:tc>
          <w:tcPr>
            <w:tcW w:w="1020" w:type="dxa"/>
            <w:vAlign w:val="bottom"/>
          </w:tcPr>
          <w:p>
            <w:pPr>
              <w:spacing w:after="0"/>
              <w:rPr>
                <w:sz w:val="12"/>
                <w:szCs w:val="12"/>
                <w:color w:val="auto"/>
              </w:rPr>
            </w:pPr>
          </w:p>
        </w:tc>
      </w:tr>
      <w:tr>
        <w:trPr>
          <w:trHeight w:val="142"/>
        </w:trPr>
        <w:tc>
          <w:tcPr>
            <w:tcW w:w="5660" w:type="dxa"/>
            <w:vAlign w:val="bottom"/>
          </w:tcPr>
          <w:p>
            <w:pPr>
              <w:spacing w:after="0"/>
              <w:rPr>
                <w:sz w:val="12"/>
                <w:szCs w:val="12"/>
                <w:color w:val="auto"/>
              </w:rPr>
            </w:pPr>
          </w:p>
        </w:tc>
        <w:tc>
          <w:tcPr>
            <w:tcW w:w="2040" w:type="dxa"/>
            <w:vAlign w:val="bottom"/>
            <w:gridSpan w:val="2"/>
          </w:tcPr>
          <w:p>
            <w:pPr>
              <w:ind w:left="220"/>
              <w:spacing w:after="0"/>
              <w:rPr>
                <w:sz w:val="20"/>
                <w:szCs w:val="20"/>
                <w:color w:val="auto"/>
              </w:rPr>
            </w:pPr>
            <w:r>
              <w:rPr>
                <w:rFonts w:ascii="Arial" w:cs="Arial" w:eastAsia="Arial" w:hAnsi="Arial"/>
                <w:sz w:val="12"/>
                <w:szCs w:val="12"/>
                <w:color w:val="auto"/>
              </w:rPr>
              <w:t>William B. Kessel</w:t>
            </w:r>
          </w:p>
        </w:tc>
      </w:tr>
      <w:tr>
        <w:trPr>
          <w:trHeight w:val="153"/>
        </w:trPr>
        <w:tc>
          <w:tcPr>
            <w:tcW w:w="5660" w:type="dxa"/>
            <w:vAlign w:val="bottom"/>
          </w:tcPr>
          <w:p>
            <w:pPr>
              <w:spacing w:after="0"/>
              <w:rPr>
                <w:sz w:val="13"/>
                <w:szCs w:val="13"/>
                <w:color w:val="auto"/>
              </w:rPr>
            </w:pPr>
          </w:p>
        </w:tc>
        <w:tc>
          <w:tcPr>
            <w:tcW w:w="2040" w:type="dxa"/>
            <w:vAlign w:val="bottom"/>
            <w:gridSpan w:val="2"/>
          </w:tcPr>
          <w:p>
            <w:pPr>
              <w:ind w:left="220"/>
              <w:spacing w:after="0"/>
              <w:rPr>
                <w:sz w:val="20"/>
                <w:szCs w:val="20"/>
                <w:color w:val="auto"/>
              </w:rPr>
            </w:pPr>
            <w:r>
              <w:rPr>
                <w:rFonts w:ascii="Arial" w:cs="Arial" w:eastAsia="Arial" w:hAnsi="Arial"/>
                <w:sz w:val="12"/>
                <w:szCs w:val="12"/>
                <w:color w:val="auto"/>
                <w:w w:val="90"/>
              </w:rPr>
              <w:t>President and Chief Executive Officer</w:t>
            </w:r>
          </w:p>
        </w:tc>
      </w:tr>
    </w:tbl>
    <w:p>
      <w:pPr>
        <w:spacing w:after="0" w:line="148" w:lineRule="exact"/>
        <w:rPr>
          <w:sz w:val="20"/>
          <w:szCs w:val="20"/>
          <w:color w:val="auto"/>
        </w:rPr>
      </w:pPr>
    </w:p>
    <w:p>
      <w:pPr>
        <w:jc w:val="both"/>
        <w:ind w:left="8"/>
        <w:spacing w:after="0" w:line="257" w:lineRule="auto"/>
        <w:rPr>
          <w:sz w:val="20"/>
          <w:szCs w:val="20"/>
          <w:color w:val="auto"/>
        </w:rPr>
      </w:pPr>
      <w:r>
        <w:rPr>
          <w:rFonts w:ascii="Arial" w:cs="Arial" w:eastAsia="Arial" w:hAnsi="Arial"/>
          <w:sz w:val="14"/>
          <w:szCs w:val="14"/>
          <w:color w:val="auto"/>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Independent Bank Corporation and will be retained by Independent Bank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240665</wp:posOffset>
            </wp:positionV>
            <wp:extent cx="7178040" cy="114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233" w:right="299" w:bottom="1440" w:gutter="0" w:footer="0" w:header="0"/>
        </w:sectPr>
      </w:pPr>
    </w:p>
    <w:bookmarkStart w:id="135" w:name="page136"/>
    <w:bookmarkEnd w:id="135"/>
    <w:p>
      <w:pPr>
        <w:jc w:val="right"/>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228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8">
                      <a:extLst>
                        <a:ext uri="{28A0092B-C50C-407E-A947-70E740481C1C}"/>
                      </a:extLst>
                    </a:blip>
                    <a:srcRect/>
                    <a:stretch>
                      <a:fillRect/>
                    </a:stretch>
                  </pic:blipFill>
                  <pic:spPr bwMode="auto">
                    <a:xfrm>
                      <a:off x="0" y="0"/>
                      <a:ext cx="7178040" cy="22860"/>
                    </a:xfrm>
                    <a:prstGeom prst="rect">
                      <a:avLst/>
                    </a:prstGeom>
                    <a:noFill/>
                  </pic:spPr>
                </pic:pic>
              </a:graphicData>
            </a:graphic>
          </wp:anchor>
        </w:drawing>
        <w:t>EXHIBIT 32.2</w:t>
      </w:r>
    </w:p>
    <w:p>
      <w:pPr>
        <w:spacing w:after="0" w:line="163"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CERTIFICATE OF THE</w:t>
      </w:r>
    </w:p>
    <w:p>
      <w:pPr>
        <w:spacing w:after="0" w:line="13"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CHIEF FINANCIAL OFFICER OF</w:t>
      </w:r>
    </w:p>
    <w:p>
      <w:pPr>
        <w:spacing w:after="0" w:line="1"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INDEPENDENT BANK CORPORATION</w:t>
      </w:r>
    </w:p>
    <w:p>
      <w:pPr>
        <w:spacing w:after="0" w:line="151" w:lineRule="exact"/>
        <w:rPr>
          <w:sz w:val="20"/>
          <w:szCs w:val="20"/>
          <w:color w:val="auto"/>
        </w:rPr>
      </w:pPr>
    </w:p>
    <w:p>
      <w:pPr>
        <w:ind w:left="8"/>
        <w:spacing w:after="0"/>
        <w:rPr>
          <w:sz w:val="20"/>
          <w:szCs w:val="20"/>
          <w:color w:val="auto"/>
        </w:rPr>
      </w:pPr>
      <w:r>
        <w:rPr>
          <w:rFonts w:ascii="Arial" w:cs="Arial" w:eastAsia="Arial" w:hAnsi="Arial"/>
          <w:sz w:val="14"/>
          <w:szCs w:val="14"/>
          <w:color w:val="auto"/>
        </w:rPr>
        <w:t>Pursuant to Section 906 of the Sarbanes-Oxley Act of 2002:</w:t>
      </w:r>
    </w:p>
    <w:p>
      <w:pPr>
        <w:spacing w:after="0" w:line="163" w:lineRule="exact"/>
        <w:rPr>
          <w:sz w:val="20"/>
          <w:szCs w:val="20"/>
          <w:color w:val="auto"/>
        </w:rPr>
      </w:pPr>
    </w:p>
    <w:p>
      <w:pPr>
        <w:ind w:left="8"/>
        <w:spacing w:after="0"/>
        <w:rPr>
          <w:sz w:val="20"/>
          <w:szCs w:val="20"/>
          <w:color w:val="auto"/>
        </w:rPr>
      </w:pPr>
      <w:r>
        <w:rPr>
          <w:rFonts w:ascii="Arial" w:cs="Arial" w:eastAsia="Arial" w:hAnsi="Arial"/>
          <w:sz w:val="14"/>
          <w:szCs w:val="14"/>
          <w:color w:val="auto"/>
        </w:rPr>
        <w:t>I, Gavin A. Mohr, Chief Financial Officer of Independent Bank Corporation, certify pursuant to Section 906 of the Sarbanes-Oxley Act of 2002 that:</w:t>
      </w:r>
    </w:p>
    <w:p>
      <w:pPr>
        <w:spacing w:after="0" w:line="168" w:lineRule="exact"/>
        <w:rPr>
          <w:sz w:val="20"/>
          <w:szCs w:val="20"/>
          <w:color w:val="auto"/>
        </w:rPr>
      </w:pPr>
    </w:p>
    <w:p>
      <w:pPr>
        <w:ind w:left="208" w:hanging="208"/>
        <w:spacing w:after="0"/>
        <w:tabs>
          <w:tab w:leader="none" w:pos="208" w:val="left"/>
        </w:tabs>
        <w:numPr>
          <w:ilvl w:val="0"/>
          <w:numId w:val="45"/>
        </w:numPr>
        <w:rPr>
          <w:rFonts w:ascii="Arial" w:cs="Arial" w:eastAsia="Arial" w:hAnsi="Arial"/>
          <w:sz w:val="11"/>
          <w:szCs w:val="11"/>
          <w:color w:val="auto"/>
        </w:rPr>
      </w:pPr>
      <w:r>
        <w:rPr>
          <w:rFonts w:ascii="Arial" w:cs="Arial" w:eastAsia="Arial" w:hAnsi="Arial"/>
          <w:sz w:val="11"/>
          <w:szCs w:val="11"/>
          <w:color w:val="auto"/>
        </w:rPr>
        <w:t>The annual report on Form 10-K for the annual period ended December 31, 2021, which this statement accompanies, fully complies with requirements of Section 13(a) or 15(d) of the Securities Exchange Act of 1934 and;</w:t>
      </w:r>
    </w:p>
    <w:p>
      <w:pPr>
        <w:spacing w:after="0" w:line="179" w:lineRule="exact"/>
        <w:rPr>
          <w:rFonts w:ascii="Arial" w:cs="Arial" w:eastAsia="Arial" w:hAnsi="Arial"/>
          <w:sz w:val="11"/>
          <w:szCs w:val="11"/>
          <w:color w:val="auto"/>
        </w:rPr>
      </w:pPr>
    </w:p>
    <w:p>
      <w:pPr>
        <w:ind w:left="208" w:right="20" w:hanging="208"/>
        <w:spacing w:after="0" w:line="276" w:lineRule="auto"/>
        <w:tabs>
          <w:tab w:leader="none" w:pos="208" w:val="left"/>
        </w:tabs>
        <w:numPr>
          <w:ilvl w:val="0"/>
          <w:numId w:val="45"/>
        </w:numPr>
        <w:rPr>
          <w:rFonts w:ascii="Arial" w:cs="Arial" w:eastAsia="Arial" w:hAnsi="Arial"/>
          <w:sz w:val="12"/>
          <w:szCs w:val="12"/>
          <w:color w:val="auto"/>
        </w:rPr>
      </w:pPr>
      <w:r>
        <w:rPr>
          <w:rFonts w:ascii="Arial" w:cs="Arial" w:eastAsia="Arial" w:hAnsi="Arial"/>
          <w:sz w:val="12"/>
          <w:szCs w:val="12"/>
          <w:color w:val="auto"/>
        </w:rPr>
        <w:t>The information contained in this annual report on Form 10-K for the annual period ended December 31, 2021, fairly presents, in all material respects, the financial condition and results of operations of Independent Bank Corporation.</w:t>
      </w:r>
    </w:p>
    <w:p>
      <w:pPr>
        <w:spacing w:after="0" w:line="121"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5660" w:type="dxa"/>
            <w:vAlign w:val="bottom"/>
          </w:tcPr>
          <w:p>
            <w:pPr>
              <w:spacing w:after="0"/>
              <w:rPr>
                <w:sz w:val="20"/>
                <w:szCs w:val="20"/>
                <w:color w:val="auto"/>
              </w:rPr>
            </w:pPr>
            <w:r>
              <w:rPr>
                <w:rFonts w:ascii="Arial" w:cs="Arial" w:eastAsia="Arial" w:hAnsi="Arial"/>
                <w:sz w:val="12"/>
                <w:szCs w:val="12"/>
                <w:color w:val="auto"/>
              </w:rPr>
              <w:t>Date: March 4, 2022</w:t>
            </w:r>
          </w:p>
        </w:tc>
        <w:tc>
          <w:tcPr>
            <w:tcW w:w="880" w:type="dxa"/>
            <w:vAlign w:val="bottom"/>
            <w:tcBorders>
              <w:bottom w:val="single" w:sz="8" w:color="auto"/>
            </w:tcBorders>
          </w:tcPr>
          <w:p>
            <w:pPr>
              <w:spacing w:after="0"/>
              <w:rPr>
                <w:sz w:val="20"/>
                <w:szCs w:val="20"/>
                <w:color w:val="auto"/>
              </w:rPr>
            </w:pPr>
            <w:r>
              <w:rPr>
                <w:rFonts w:ascii="Arial" w:cs="Arial" w:eastAsia="Arial" w:hAnsi="Arial"/>
                <w:sz w:val="12"/>
                <w:szCs w:val="12"/>
                <w:color w:val="auto"/>
                <w:w w:val="92"/>
              </w:rPr>
              <w:t>/s/ Gavin A. Mohr</w:t>
            </w:r>
          </w:p>
        </w:tc>
        <w:tc>
          <w:tcPr>
            <w:tcW w:w="460" w:type="dxa"/>
            <w:vAlign w:val="bottom"/>
          </w:tcPr>
          <w:p>
            <w:pPr>
              <w:spacing w:after="0"/>
              <w:rPr>
                <w:sz w:val="12"/>
                <w:szCs w:val="12"/>
                <w:color w:val="auto"/>
              </w:rPr>
            </w:pPr>
          </w:p>
        </w:tc>
      </w:tr>
      <w:tr>
        <w:trPr>
          <w:trHeight w:val="142"/>
        </w:trPr>
        <w:tc>
          <w:tcPr>
            <w:tcW w:w="5660" w:type="dxa"/>
            <w:vAlign w:val="bottom"/>
          </w:tcPr>
          <w:p>
            <w:pPr>
              <w:spacing w:after="0"/>
              <w:rPr>
                <w:sz w:val="12"/>
                <w:szCs w:val="12"/>
                <w:color w:val="auto"/>
              </w:rPr>
            </w:pPr>
          </w:p>
        </w:tc>
        <w:tc>
          <w:tcPr>
            <w:tcW w:w="1340" w:type="dxa"/>
            <w:vAlign w:val="bottom"/>
            <w:gridSpan w:val="2"/>
          </w:tcPr>
          <w:p>
            <w:pPr>
              <w:ind w:left="220"/>
              <w:spacing w:after="0"/>
              <w:rPr>
                <w:sz w:val="20"/>
                <w:szCs w:val="20"/>
                <w:color w:val="auto"/>
              </w:rPr>
            </w:pPr>
            <w:r>
              <w:rPr>
                <w:rFonts w:ascii="Arial" w:cs="Arial" w:eastAsia="Arial" w:hAnsi="Arial"/>
                <w:sz w:val="12"/>
                <w:szCs w:val="12"/>
                <w:color w:val="auto"/>
              </w:rPr>
              <w:t>Gavin A. Mohr</w:t>
            </w:r>
          </w:p>
        </w:tc>
      </w:tr>
      <w:tr>
        <w:trPr>
          <w:trHeight w:val="153"/>
        </w:trPr>
        <w:tc>
          <w:tcPr>
            <w:tcW w:w="5660" w:type="dxa"/>
            <w:vAlign w:val="bottom"/>
          </w:tcPr>
          <w:p>
            <w:pPr>
              <w:spacing w:after="0"/>
              <w:rPr>
                <w:sz w:val="13"/>
                <w:szCs w:val="13"/>
                <w:color w:val="auto"/>
              </w:rPr>
            </w:pPr>
          </w:p>
        </w:tc>
        <w:tc>
          <w:tcPr>
            <w:tcW w:w="1340" w:type="dxa"/>
            <w:vAlign w:val="bottom"/>
            <w:gridSpan w:val="2"/>
          </w:tcPr>
          <w:p>
            <w:pPr>
              <w:ind w:left="220"/>
              <w:spacing w:after="0"/>
              <w:rPr>
                <w:sz w:val="20"/>
                <w:szCs w:val="20"/>
                <w:color w:val="auto"/>
              </w:rPr>
            </w:pPr>
            <w:r>
              <w:rPr>
                <w:rFonts w:ascii="Arial" w:cs="Arial" w:eastAsia="Arial" w:hAnsi="Arial"/>
                <w:sz w:val="12"/>
                <w:szCs w:val="12"/>
                <w:color w:val="auto"/>
                <w:w w:val="93"/>
              </w:rPr>
              <w:t>Chief Financial Officer</w:t>
            </w:r>
          </w:p>
        </w:tc>
      </w:tr>
    </w:tbl>
    <w:p>
      <w:pPr>
        <w:spacing w:after="0" w:line="148" w:lineRule="exact"/>
        <w:rPr>
          <w:sz w:val="20"/>
          <w:szCs w:val="20"/>
          <w:color w:val="auto"/>
        </w:rPr>
      </w:pPr>
    </w:p>
    <w:p>
      <w:pPr>
        <w:jc w:val="both"/>
        <w:ind w:left="8"/>
        <w:spacing w:after="0" w:line="257" w:lineRule="auto"/>
        <w:rPr>
          <w:sz w:val="20"/>
          <w:szCs w:val="20"/>
          <w:color w:val="auto"/>
        </w:rPr>
      </w:pPr>
      <w:r>
        <w:rPr>
          <w:rFonts w:ascii="Arial" w:cs="Arial" w:eastAsia="Arial" w:hAnsi="Arial"/>
          <w:sz w:val="14"/>
          <w:szCs w:val="14"/>
          <w:color w:val="auto"/>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Independent Bank Corporation and will be retained by Independent Bank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240665</wp:posOffset>
            </wp:positionV>
            <wp:extent cx="7178040" cy="114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sectPr>
      <w:pgSz w:w="11900" w:h="16838" w:orient="portrait"/>
      <w:cols w:equalWidth="0" w:num="1">
        <w:col w:w="11308"/>
      </w:cols>
      <w:pgMar w:left="292" w:top="233"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1."/>
      <w:numFmt w:val="decimal"/>
      <w:start w:val="19"/>
    </w:lvl>
  </w:abstractNum>
  <w:abstractNum w:abstractNumId="4">
    <w:nsid w:val="79838CB2"/>
    <w:multiLevelType w:val="hybridMultilevel"/>
    <w:lvl w:ilvl="0">
      <w:lvlJc w:val="left"/>
      <w:lvlText w:val="(%1)"/>
      <w:numFmt w:val="decimal"/>
      <w:start w:val="1"/>
    </w:lvl>
  </w:abstractNum>
  <w:abstractNum w:abstractNumId="5">
    <w:nsid w:val="4353D0CD"/>
    <w:multiLevelType w:val="hybridMultilevel"/>
    <w:lvl w:ilvl="0">
      <w:lvlJc w:val="left"/>
      <w:lvlText w:val="%1."/>
      <w:numFmt w:val="decimal"/>
      <w:start w:val="1"/>
    </w:lvl>
  </w:abstractNum>
  <w:abstractNum w:abstractNumId="6">
    <w:nsid w:val="B03E0C6"/>
    <w:multiLevelType w:val="hybridMultilevel"/>
    <w:lvl w:ilvl="0">
      <w:lvlJc w:val="left"/>
      <w:lvlText w:val="%1"/>
      <w:numFmt w:val="decimal"/>
      <w:start w:val="13"/>
    </w:lvl>
  </w:abstractNum>
  <w:abstractNum w:abstractNumId="7">
    <w:nsid w:val="189A769B"/>
    <w:multiLevelType w:val="hybridMultilevel"/>
    <w:lvl w:ilvl="0">
      <w:lvlJc w:val="left"/>
      <w:lvlText w:val="%1"/>
      <w:numFmt w:val="decimal"/>
      <w:start w:val="21"/>
    </w:lvl>
  </w:abstractNum>
  <w:abstractNum w:abstractNumId="8">
    <w:nsid w:val="54E49EB4"/>
    <w:multiLevelType w:val="hybridMultilevel"/>
    <w:lvl w:ilvl="0">
      <w:lvlJc w:val="left"/>
      <w:lvlText w:val="%1"/>
      <w:numFmt w:val="decimal"/>
      <w:start w:val="23"/>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1)"/>
      <w:numFmt w:val="decimal"/>
      <w:start w:val="1"/>
    </w:lvl>
  </w:abstractNum>
  <w:abstractNum w:abstractNumId="13">
    <w:nsid w:val="3A95F874"/>
    <w:multiLevelType w:val="hybridMultilevel"/>
    <w:lvl w:ilvl="0">
      <w:lvlJc w:val="left"/>
      <w:lvlText w:val="(%1)"/>
      <w:numFmt w:val="decimal"/>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1)"/>
      <w:numFmt w:val="decimal"/>
      <w:start w:val="1"/>
    </w:lvl>
  </w:abstractNum>
  <w:abstractNum w:abstractNumId="17">
    <w:nsid w:val="737B8DDC"/>
    <w:multiLevelType w:val="hybridMultilevel"/>
    <w:lvl w:ilvl="0">
      <w:lvlJc w:val="left"/>
      <w:lvlText w:val="(%1)"/>
      <w:numFmt w:val="decimal"/>
      <w:start w:val="1"/>
    </w:lvl>
  </w:abstractNum>
  <w:abstractNum w:abstractNumId="18">
    <w:nsid w:val="6CEAF087"/>
    <w:multiLevelType w:val="hybridMultilevel"/>
    <w:lvl w:ilvl="0">
      <w:lvlJc w:val="left"/>
      <w:lvlText w:val="(%1)"/>
      <w:numFmt w:val="decimal"/>
      <w:start w:val="1"/>
    </w:lvl>
  </w:abstractNum>
  <w:abstractNum w:abstractNumId="19">
    <w:nsid w:val="22221A70"/>
    <w:multiLevelType w:val="hybridMultilevel"/>
    <w:lvl w:ilvl="0">
      <w:lvlJc w:val="left"/>
      <w:lvlText w:val="(%1)"/>
      <w:numFmt w:val="decimal"/>
      <w:start w:val="1"/>
    </w:lvl>
  </w:abstractNum>
  <w:abstractNum w:abstractNumId="20">
    <w:nsid w:val="4516DDE9"/>
    <w:multiLevelType w:val="hybridMultilevel"/>
    <w:lvl w:ilvl="0">
      <w:lvlJc w:val="left"/>
      <w:lvlText w:val="•"/>
      <w:numFmt w:val="bullet"/>
      <w:start w:val="1"/>
    </w:lvl>
    <w:lvl w:ilvl="1">
      <w:lvlJc w:val="left"/>
      <w:lvlText w:val="○"/>
      <w:numFmt w:val="bullet"/>
      <w:start w:val="1"/>
    </w:lvl>
  </w:abstractNum>
  <w:abstractNum w:abstractNumId="21">
    <w:nsid w:val="3006C83E"/>
    <w:multiLevelType w:val="hybridMultilevel"/>
    <w:lvl w:ilvl="0">
      <w:lvlJc w:val="left"/>
      <w:lvlText w:val="(%1)"/>
      <w:numFmt w:val="lowerRoman"/>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1"/>
      <w:numFmt w:val="decimal"/>
      <w:start w:val="1"/>
    </w:lvl>
    <w:lvl w:ilvl="1">
      <w:lvlJc w:val="left"/>
      <w:lvlText w:val="(%2)"/>
      <w:numFmt w:val="decimal"/>
      <w:start w:val="1"/>
    </w:lvl>
  </w:abstractNum>
  <w:abstractNum w:abstractNumId="24">
    <w:nsid w:val="5577F8E1"/>
    <w:multiLevelType w:val="hybridMultilevel"/>
    <w:lvl w:ilvl="0">
      <w:lvlJc w:val="left"/>
      <w:lvlText w:val="(%1)"/>
      <w:numFmt w:val="decimal"/>
      <w:start w:val="2"/>
    </w:lvl>
    <w:lvl w:ilvl="1">
      <w:lvlJc w:val="left"/>
      <w:lvlText w:val="%2"/>
      <w:numFmt w:val="decimal"/>
      <w:start w:val="1"/>
    </w:lvl>
  </w:abstractNum>
  <w:abstractNum w:abstractNumId="25">
    <w:nsid w:val="440BADFC"/>
    <w:multiLevelType w:val="hybridMultilevel"/>
    <w:lvl w:ilvl="0">
      <w:lvlJc w:val="left"/>
      <w:lvlText w:val="(%1)"/>
      <w:numFmt w:val="decimal"/>
      <w:start w:val="1"/>
    </w:lvl>
  </w:abstractNum>
  <w:abstractNum w:abstractNumId="26">
    <w:nsid w:val="5072367"/>
    <w:multiLevelType w:val="hybridMultilevel"/>
    <w:lvl w:ilvl="0">
      <w:lvlJc w:val="left"/>
      <w:lvlText w:val="(%1)"/>
      <w:numFmt w:val="decimal"/>
      <w:start w:val="1"/>
    </w:lvl>
  </w:abstractNum>
  <w:abstractNum w:abstractNumId="27">
    <w:nsid w:val="3804823E"/>
    <w:multiLevelType w:val="hybridMultilevel"/>
    <w:lvl w:ilvl="0">
      <w:lvlJc w:val="left"/>
      <w:lvlText w:val="(%1)"/>
      <w:numFmt w:val="decimal"/>
      <w:start w:val="1"/>
    </w:lvl>
  </w:abstractNum>
  <w:abstractNum w:abstractNumId="28">
    <w:nsid w:val="77465F01"/>
    <w:multiLevelType w:val="hybridMultilevel"/>
    <w:lvl w:ilvl="0">
      <w:lvlJc w:val="left"/>
      <w:lvlText w:val="(%1)"/>
      <w:numFmt w:val="decimal"/>
      <w:start w:val="1"/>
    </w:lvl>
  </w:abstractNum>
  <w:abstractNum w:abstractNumId="29">
    <w:nsid w:val="7724C67E"/>
    <w:multiLevelType w:val="hybridMultilevel"/>
    <w:lvl w:ilvl="0">
      <w:lvlJc w:val="left"/>
      <w:lvlText w:val="%1"/>
      <w:numFmt w:val="upperLetter"/>
      <w:start w:val="68"/>
    </w:lvl>
  </w:abstractNum>
  <w:abstractNum w:abstractNumId="30">
    <w:nsid w:val="5C482A97"/>
    <w:multiLevelType w:val="hybridMultilevel"/>
    <w:lvl w:ilvl="0">
      <w:lvlJc w:val="left"/>
      <w:lvlText w:val="(%1)"/>
      <w:numFmt w:val="decimal"/>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1)"/>
      <w:numFmt w:val="decimal"/>
      <w:start w:val="1"/>
    </w:lvl>
  </w:abstractNum>
  <w:abstractNum w:abstractNumId="33">
    <w:nsid w:val="51EAD36B"/>
    <w:multiLevelType w:val="hybridMultilevel"/>
    <w:lvl w:ilvl="0">
      <w:lvlJc w:val="left"/>
      <w:lvlText w:val="(%1)"/>
      <w:numFmt w:val="decimal"/>
      <w:start w:val="1"/>
    </w:lvl>
  </w:abstractNum>
  <w:abstractNum w:abstractNumId="34">
    <w:nsid w:val="2D517796"/>
    <w:multiLevelType w:val="hybridMultilevel"/>
    <w:lvl w:ilvl="0">
      <w:lvlJc w:val="left"/>
      <w:lvlText w:val="(%1)"/>
      <w:numFmt w:val="decimal"/>
      <w:start w:val="1"/>
    </w:lvl>
  </w:abstractNum>
  <w:abstractNum w:abstractNumId="35">
    <w:nsid w:val="580BD78F"/>
    <w:multiLevelType w:val="hybridMultilevel"/>
    <w:lvl w:ilvl="0">
      <w:lvlJc w:val="left"/>
      <w:lvlText w:val="(%1)"/>
      <w:numFmt w:val="decimal"/>
      <w:start w:val="1"/>
    </w:lvl>
  </w:abstractNum>
  <w:abstractNum w:abstractNumId="36">
    <w:nsid w:val="153EA438"/>
    <w:multiLevelType w:val="hybridMultilevel"/>
    <w:lvl w:ilvl="0">
      <w:lvlJc w:val="left"/>
      <w:lvlText w:val="(%1)"/>
      <w:numFmt w:val="decimal"/>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1)"/>
      <w:numFmt w:val="decimal"/>
      <w:start w:val="1"/>
    </w:lvl>
  </w:abstractNum>
  <w:abstractNum w:abstractNumId="39">
    <w:nsid w:val="6A2342EC"/>
    <w:multiLevelType w:val="hybridMultilevel"/>
    <w:lvl w:ilvl="0">
      <w:lvlJc w:val="left"/>
      <w:lvlText w:val="(%1)"/>
      <w:numFmt w:val="decimal"/>
      <w:start w:val="1"/>
    </w:lvl>
  </w:abstractNum>
  <w:abstractNum w:abstractNumId="40">
    <w:nsid w:val="2A487CB0"/>
    <w:multiLevelType w:val="hybridMultilevel"/>
    <w:lvl w:ilvl="0">
      <w:lvlJc w:val="left"/>
      <w:lvlText w:val="(%1)"/>
      <w:numFmt w:val="decimal"/>
      <w:start w:val="1"/>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jpeg"/><Relationship Id="rId100" Type="http://schemas.openxmlformats.org/officeDocument/2006/relationships/image" Target="media/image82.jpeg"/><Relationship Id="rId101" Type="http://schemas.openxmlformats.org/officeDocument/2006/relationships/image" Target="media/image83.png"/><Relationship Id="rId102" Type="http://schemas.openxmlformats.org/officeDocument/2006/relationships/image" Target="media/image84.jpe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06"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png"/><Relationship Id="rId110" Type="http://schemas.openxmlformats.org/officeDocument/2006/relationships/image" Target="media/image92.png"/><Relationship Id="rId111" Type="http://schemas.openxmlformats.org/officeDocument/2006/relationships/image" Target="media/image93.png"/><Relationship Id="rId112" Type="http://schemas.openxmlformats.org/officeDocument/2006/relationships/image" Target="media/image94.png"/><Relationship Id="rId113" Type="http://schemas.openxmlformats.org/officeDocument/2006/relationships/image" Target="media/image95.png"/><Relationship Id="rId114" Type="http://schemas.openxmlformats.org/officeDocument/2006/relationships/image" Target="media/image96.png"/><Relationship Id="rId115" Type="http://schemas.openxmlformats.org/officeDocument/2006/relationships/image" Target="media/image97.png"/><Relationship Id="rId116" Type="http://schemas.openxmlformats.org/officeDocument/2006/relationships/image" Target="media/image98.png"/><Relationship Id="rId117" Type="http://schemas.openxmlformats.org/officeDocument/2006/relationships/image" Target="media/image99.png"/><Relationship Id="rId118" Type="http://schemas.openxmlformats.org/officeDocument/2006/relationships/image" Target="media/image100.png"/><Relationship Id="rId119" Type="http://schemas.openxmlformats.org/officeDocument/2006/relationships/image" Target="media/image101.png"/><Relationship Id="rId120" Type="http://schemas.openxmlformats.org/officeDocument/2006/relationships/image" Target="media/image102.png"/><Relationship Id="rId121" Type="http://schemas.openxmlformats.org/officeDocument/2006/relationships/image" Target="media/image103.png"/><Relationship Id="rId122" Type="http://schemas.openxmlformats.org/officeDocument/2006/relationships/image" Target="media/image104.png"/><Relationship Id="rId123" Type="http://schemas.openxmlformats.org/officeDocument/2006/relationships/image" Target="media/image105.png"/><Relationship Id="rId124" Type="http://schemas.openxmlformats.org/officeDocument/2006/relationships/image" Target="media/image106.png"/><Relationship Id="rId125" Type="http://schemas.openxmlformats.org/officeDocument/2006/relationships/image" Target="media/image107.png"/><Relationship Id="rId126" Type="http://schemas.openxmlformats.org/officeDocument/2006/relationships/image" Target="media/image108.png"/><Relationship Id="rId127" Type="http://schemas.openxmlformats.org/officeDocument/2006/relationships/image" Target="media/image109.png"/><Relationship Id="rId128" Type="http://schemas.openxmlformats.org/officeDocument/2006/relationships/image" Target="media/image110.png"/><Relationship Id="rId129" Type="http://schemas.openxmlformats.org/officeDocument/2006/relationships/image" Target="media/image111.png"/><Relationship Id="rId130" Type="http://schemas.openxmlformats.org/officeDocument/2006/relationships/image" Target="media/image112.png"/><Relationship Id="rId131" Type="http://schemas.openxmlformats.org/officeDocument/2006/relationships/image" Target="media/image113.png"/><Relationship Id="rId132" Type="http://schemas.openxmlformats.org/officeDocument/2006/relationships/image" Target="media/image114.png"/><Relationship Id="rId133" Type="http://schemas.openxmlformats.org/officeDocument/2006/relationships/image" Target="media/image115.png"/><Relationship Id="rId134" Type="http://schemas.openxmlformats.org/officeDocument/2006/relationships/image" Target="media/image116.png"/><Relationship Id="rId135" Type="http://schemas.openxmlformats.org/officeDocument/2006/relationships/image" Target="media/image117.png"/><Relationship Id="rId136" Type="http://schemas.openxmlformats.org/officeDocument/2006/relationships/image" Target="media/image118.png"/><Relationship Id="rId137" Type="http://schemas.openxmlformats.org/officeDocument/2006/relationships/image" Target="media/image119.png"/><Relationship Id="rId138" Type="http://schemas.openxmlformats.org/officeDocument/2006/relationships/image" Target="media/image120.png"/><Relationship Id="rId139" Type="http://schemas.openxmlformats.org/officeDocument/2006/relationships/image" Target="media/image121.png"/><Relationship Id="rId140" Type="http://schemas.openxmlformats.org/officeDocument/2006/relationships/image" Target="media/image122.png"/><Relationship Id="rId141" Type="http://schemas.openxmlformats.org/officeDocument/2006/relationships/image" Target="media/image123.png"/><Relationship Id="rId142" Type="http://schemas.openxmlformats.org/officeDocument/2006/relationships/image" Target="media/image124.png"/><Relationship Id="rId143" Type="http://schemas.openxmlformats.org/officeDocument/2006/relationships/image" Target="media/image125.png"/><Relationship Id="rId144" Type="http://schemas.openxmlformats.org/officeDocument/2006/relationships/image" Target="media/image126.png"/><Relationship Id="rId145" Type="http://schemas.openxmlformats.org/officeDocument/2006/relationships/image" Target="media/image127.png"/><Relationship Id="rId146" Type="http://schemas.openxmlformats.org/officeDocument/2006/relationships/image" Target="media/image128.png"/><Relationship Id="rId147" Type="http://schemas.openxmlformats.org/officeDocument/2006/relationships/image" Target="media/image129.png"/><Relationship Id="rId148" Type="http://schemas.openxmlformats.org/officeDocument/2006/relationships/image" Target="media/image130.png"/><Relationship Id="rId149" Type="http://schemas.openxmlformats.org/officeDocument/2006/relationships/image" Target="media/image131.png"/><Relationship Id="rId150" Type="http://schemas.openxmlformats.org/officeDocument/2006/relationships/image" Target="media/image132.png"/><Relationship Id="rId151" Type="http://schemas.openxmlformats.org/officeDocument/2006/relationships/image" Target="media/image133.png"/><Relationship Id="rId152" Type="http://schemas.openxmlformats.org/officeDocument/2006/relationships/image" Target="media/image134.png"/><Relationship Id="rId153" Type="http://schemas.openxmlformats.org/officeDocument/2006/relationships/image" Target="media/image135.png"/><Relationship Id="rId154" Type="http://schemas.openxmlformats.org/officeDocument/2006/relationships/image" Target="media/image136.png"/><Relationship Id="rId155" Type="http://schemas.openxmlformats.org/officeDocument/2006/relationships/image" Target="media/image137.png"/><Relationship Id="rId156" Type="http://schemas.openxmlformats.org/officeDocument/2006/relationships/image" Target="media/image138.png"/><Relationship Id="rId157" Type="http://schemas.openxmlformats.org/officeDocument/2006/relationships/image" Target="media/image139.png"/><Relationship Id="rId158" Type="http://schemas.openxmlformats.org/officeDocument/2006/relationships/image" Target="media/image140.png"/><Relationship Id="rId159" Type="http://schemas.openxmlformats.org/officeDocument/2006/relationships/image" Target="media/image141.png"/><Relationship Id="rId160" Type="http://schemas.openxmlformats.org/officeDocument/2006/relationships/image" Target="media/image142.png"/><Relationship Id="rId161" Type="http://schemas.openxmlformats.org/officeDocument/2006/relationships/image" Target="media/image143.png"/><Relationship Id="rId162" Type="http://schemas.openxmlformats.org/officeDocument/2006/relationships/image" Target="media/image144.png"/><Relationship Id="rId163" Type="http://schemas.openxmlformats.org/officeDocument/2006/relationships/image" Target="media/image145.png"/><Relationship Id="rId164" Type="http://schemas.openxmlformats.org/officeDocument/2006/relationships/image" Target="media/image146.png"/><Relationship Id="rId165" Type="http://schemas.openxmlformats.org/officeDocument/2006/relationships/image" Target="media/image147.png"/><Relationship Id="rId166" Type="http://schemas.openxmlformats.org/officeDocument/2006/relationships/image" Target="media/image148.png"/><Relationship Id="rId167" Type="http://schemas.openxmlformats.org/officeDocument/2006/relationships/image" Target="media/image149.png"/><Relationship Id="rId168" Type="http://schemas.openxmlformats.org/officeDocument/2006/relationships/image" Target="media/image150.png"/><Relationship Id="rId169" Type="http://schemas.openxmlformats.org/officeDocument/2006/relationships/image" Target="media/image151.png"/><Relationship Id="rId170" Type="http://schemas.openxmlformats.org/officeDocument/2006/relationships/image" Target="media/image152.png"/><Relationship Id="rId171" Type="http://schemas.openxmlformats.org/officeDocument/2006/relationships/image" Target="media/image153.png"/><Relationship Id="rId172" Type="http://schemas.openxmlformats.org/officeDocument/2006/relationships/image" Target="media/image154.png"/><Relationship Id="rId173" Type="http://schemas.openxmlformats.org/officeDocument/2006/relationships/image" Target="media/image155.png"/><Relationship Id="rId174" Type="http://schemas.openxmlformats.org/officeDocument/2006/relationships/image" Target="media/image156.png"/><Relationship Id="rId175" Type="http://schemas.openxmlformats.org/officeDocument/2006/relationships/image" Target="media/image157.png"/><Relationship Id="rId176" Type="http://schemas.openxmlformats.org/officeDocument/2006/relationships/image" Target="media/image158.png"/><Relationship Id="rId177" Type="http://schemas.openxmlformats.org/officeDocument/2006/relationships/image" Target="media/image159.png"/><Relationship Id="rId178" Type="http://schemas.openxmlformats.org/officeDocument/2006/relationships/image" Target="media/image160.png"/><Relationship Id="rId179" Type="http://schemas.openxmlformats.org/officeDocument/2006/relationships/image" Target="media/image161.png"/><Relationship Id="rId47" Type="http://schemas.openxmlformats.org/officeDocument/2006/relationships/hyperlink" Target="https://www.sec.gov/Archives/edgar/data/39311/000114036117040856/ex3_1.htm" TargetMode="External"/><Relationship Id="rId48" Type="http://schemas.openxmlformats.org/officeDocument/2006/relationships/hyperlink" Target="https://www.sec.gov/Archives/edgar/data/39311/000156761917000394/h10041717x1_ex3-2.htm" TargetMode="External"/><Relationship Id="rId49" Type="http://schemas.openxmlformats.org/officeDocument/2006/relationships/hyperlink" Target="https://www.sec.gov/Archives/edgar/data/39311/000114036120005031/hc10008974x1_ex4.htm" TargetMode="External"/><Relationship Id="rId50" Type="http://schemas.openxmlformats.org/officeDocument/2006/relationships/hyperlink" Target="https://www.sec.gov/Archives/edgar/data/39311/000114036120012543/ex10_1.htm" TargetMode="External"/><Relationship Id="rId51" Type="http://schemas.openxmlformats.org/officeDocument/2006/relationships/hyperlink" Target="https://www.sec.gov/Archives/edgar/data/39311/000114036117047794/s002003x1_ex10-3.htm" TargetMode="External"/><Relationship Id="rId52" Type="http://schemas.openxmlformats.org/officeDocument/2006/relationships/hyperlink" Target="https://www.sec.gov/Archives/edgar/data/39311/000114036117047794/s002003x1_ex10-4.htm" TargetMode="External"/><Relationship Id="rId53" Type="http://schemas.openxmlformats.org/officeDocument/2006/relationships/hyperlink" Target="https://www.sec.gov/Archives/edgar/data/39311/000114036121007399/nc10020480x1_def14a.htm" TargetMode="External"/><Relationship Id="rId54" Type="http://schemas.openxmlformats.org/officeDocument/2006/relationships/hyperlink" Target="https://www.sec.gov/Archives/edgar/data/39311/000114036119008354/ex10_1.htm" TargetMode="External"/><Relationship Id="rId55" Type="http://schemas.openxmlformats.org/officeDocument/2006/relationships/hyperlink" Target="https://www.sec.gov/Archives/edgar/data/39311/000114036111026023/ex10_2.htm" TargetMode="External"/><Relationship Id="rId56" Type="http://schemas.openxmlformats.org/officeDocument/2006/relationships/hyperlink" Target="https://www.sec.gov/Archives/edgar/data/39311/000114036114011558/ex10_12.htm" TargetMode="External"/><Relationship Id="rId57" Type="http://schemas.openxmlformats.org/officeDocument/2006/relationships/hyperlink" Target="https://www.sec.gov/Archives/edgar/data/39311/000156761915000219/s000723x1_ex10-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2022-03-04T15:27:07Z</dcterms:created>
  <dcterms:modified xsi:type="dcterms:W3CDTF">2022-03-04T15:27:07Z</dcterms:modified>
</cp:coreProperties>
</file>